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C6D5083">
      <w:pPr>
        <w:ind w:firstLine="881"/>
        <w:rPr>
          <w:rFonts w:hint="eastAsia" w:ascii="华文楷体" w:hAnsi="华文楷体" w:eastAsia="华文楷体"/>
          <w:b/>
          <w:sz w:val="44"/>
          <w:szCs w:val="44"/>
        </w:rPr>
      </w:pPr>
      <w:bookmarkStart w:id="0" w:name="_Toc418954588"/>
    </w:p>
    <w:p w14:paraId="5E691D6E">
      <w:pPr>
        <w:ind w:firstLine="881"/>
        <w:jc w:val="left"/>
        <w:rPr>
          <w:rFonts w:hint="eastAsia" w:ascii="华文楷体" w:hAnsi="华文楷体" w:eastAsia="华文楷体"/>
          <w:b/>
          <w:sz w:val="44"/>
          <w:szCs w:val="44"/>
        </w:rPr>
      </w:pPr>
      <w:r>
        <w:rPr>
          <w:rFonts w:hint="eastAsia" w:ascii="华文楷体" w:hAnsi="华文楷体" w:eastAsia="华文楷体"/>
          <w:b/>
          <w:sz w:val="44"/>
          <w:szCs w:val="44"/>
        </w:rPr>
        <w:t>云南永利发林业有限公司年产10万立方米全竹、竹木复合地板一厂区改扩建项目</w:t>
      </w:r>
    </w:p>
    <w:p w14:paraId="50B78FE7">
      <w:pPr>
        <w:spacing w:line="240" w:lineRule="auto"/>
        <w:ind w:firstLine="1682"/>
        <w:rPr>
          <w:rFonts w:ascii="华文楷体" w:hAnsi="华文楷体" w:eastAsia="华文楷体"/>
          <w:b/>
          <w:sz w:val="84"/>
          <w:szCs w:val="84"/>
        </w:rPr>
      </w:pPr>
      <w:r>
        <w:rPr>
          <w:rFonts w:ascii="华文楷体" w:hAnsi="华文楷体" w:eastAsia="华文楷体"/>
          <w:b/>
          <w:sz w:val="84"/>
          <w:szCs w:val="84"/>
        </w:rPr>
        <w:t>环境影响报告书</w:t>
      </w:r>
    </w:p>
    <w:p w14:paraId="75D0BE00">
      <w:pPr>
        <w:spacing w:line="240" w:lineRule="auto"/>
        <w:ind w:firstLine="881"/>
        <w:jc w:val="center"/>
        <w:outlineLvl w:val="0"/>
        <w:rPr>
          <w:rFonts w:ascii="华文楷体" w:hAnsi="华文楷体" w:eastAsia="华文楷体"/>
          <w:b/>
          <w:sz w:val="44"/>
          <w:szCs w:val="44"/>
        </w:rPr>
      </w:pPr>
      <w:bookmarkStart w:id="1" w:name="_Toc1025"/>
      <w:bookmarkStart w:id="2" w:name="_Toc10819"/>
      <w:bookmarkStart w:id="3" w:name="_Toc19509"/>
      <w:bookmarkStart w:id="4" w:name="_Toc10517"/>
      <w:bookmarkStart w:id="5" w:name="_Toc12151"/>
      <w:bookmarkStart w:id="6" w:name="_Toc149"/>
      <w:bookmarkStart w:id="7" w:name="_Toc471588994"/>
      <w:bookmarkStart w:id="8" w:name="_Toc18957"/>
      <w:bookmarkStart w:id="9" w:name="_Toc2342"/>
      <w:bookmarkStart w:id="10" w:name="_Toc482972250"/>
      <w:bookmarkStart w:id="11" w:name="_Toc4700"/>
      <w:bookmarkStart w:id="12" w:name="_Toc32687"/>
      <w:bookmarkStart w:id="13" w:name="_Toc7977"/>
      <w:bookmarkStart w:id="14" w:name="_Toc32693"/>
      <w:r>
        <w:rPr>
          <w:rFonts w:hint="eastAsia" w:ascii="华文楷体" w:hAnsi="华文楷体" w:eastAsia="华文楷体"/>
          <w:b/>
          <w:sz w:val="44"/>
          <w:szCs w:val="44"/>
        </w:rPr>
        <w:t>（</w:t>
      </w:r>
      <w:r>
        <w:rPr>
          <w:rFonts w:hint="eastAsia" w:ascii="华文楷体" w:hAnsi="华文楷体" w:eastAsia="华文楷体"/>
          <w:b/>
          <w:sz w:val="44"/>
          <w:szCs w:val="44"/>
          <w:lang w:val="en-US" w:eastAsia="zh-CN"/>
        </w:rPr>
        <w:t>报批</w:t>
      </w:r>
      <w:r>
        <w:rPr>
          <w:rFonts w:hint="eastAsia" w:ascii="华文楷体" w:hAnsi="华文楷体" w:eastAsia="华文楷体"/>
          <w:b/>
          <w:sz w:val="44"/>
          <w:szCs w:val="44"/>
        </w:rPr>
        <w:t>稿）</w:t>
      </w:r>
      <w:bookmarkEnd w:id="0"/>
      <w:bookmarkEnd w:id="1"/>
      <w:bookmarkEnd w:id="2"/>
      <w:bookmarkEnd w:id="3"/>
      <w:bookmarkEnd w:id="4"/>
      <w:bookmarkEnd w:id="5"/>
      <w:bookmarkEnd w:id="6"/>
      <w:bookmarkEnd w:id="7"/>
      <w:bookmarkEnd w:id="8"/>
      <w:bookmarkEnd w:id="9"/>
      <w:bookmarkEnd w:id="10"/>
      <w:bookmarkEnd w:id="11"/>
      <w:bookmarkEnd w:id="12"/>
      <w:bookmarkEnd w:id="13"/>
    </w:p>
    <w:p w14:paraId="76E4141C">
      <w:pPr>
        <w:ind w:firstLine="0"/>
        <w:rPr>
          <w:rFonts w:ascii="华文楷体" w:hAnsi="华文楷体" w:eastAsia="华文楷体"/>
          <w:b/>
          <w:sz w:val="32"/>
          <w:szCs w:val="32"/>
        </w:rPr>
      </w:pPr>
    </w:p>
    <w:p w14:paraId="716825BE">
      <w:pPr>
        <w:ind w:firstLine="641"/>
        <w:jc w:val="left"/>
        <w:rPr>
          <w:rFonts w:ascii="华文楷体" w:hAnsi="华文楷体" w:eastAsia="华文楷体"/>
          <w:b/>
          <w:sz w:val="32"/>
          <w:szCs w:val="32"/>
        </w:rPr>
      </w:pPr>
    </w:p>
    <w:p w14:paraId="61787563">
      <w:pPr>
        <w:pStyle w:val="2"/>
        <w:ind w:firstLine="0"/>
        <w:rPr>
          <w:rFonts w:ascii="华文楷体" w:hAnsi="华文楷体" w:eastAsia="华文楷体"/>
          <w:b/>
          <w:sz w:val="32"/>
          <w:szCs w:val="32"/>
        </w:rPr>
      </w:pPr>
    </w:p>
    <w:p w14:paraId="48E0FB8D">
      <w:pPr>
        <w:pStyle w:val="2"/>
        <w:ind w:firstLine="641"/>
        <w:rPr>
          <w:rFonts w:ascii="华文楷体" w:hAnsi="华文楷体" w:eastAsia="华文楷体"/>
          <w:b/>
          <w:sz w:val="32"/>
          <w:szCs w:val="32"/>
        </w:rPr>
      </w:pPr>
    </w:p>
    <w:p w14:paraId="06689193">
      <w:pPr>
        <w:pStyle w:val="2"/>
        <w:ind w:firstLine="641"/>
        <w:rPr>
          <w:rFonts w:ascii="华文楷体" w:hAnsi="华文楷体" w:eastAsia="华文楷体"/>
          <w:b/>
          <w:sz w:val="32"/>
          <w:szCs w:val="32"/>
        </w:rPr>
      </w:pPr>
    </w:p>
    <w:p w14:paraId="3F6A06DF">
      <w:pPr>
        <w:pStyle w:val="2"/>
        <w:ind w:firstLine="641"/>
        <w:rPr>
          <w:rFonts w:ascii="华文楷体" w:hAnsi="华文楷体" w:eastAsia="华文楷体"/>
          <w:b/>
          <w:sz w:val="32"/>
          <w:szCs w:val="32"/>
        </w:rPr>
      </w:pPr>
    </w:p>
    <w:p w14:paraId="624C245D">
      <w:pPr>
        <w:pStyle w:val="2"/>
        <w:ind w:firstLine="0"/>
        <w:rPr>
          <w:rFonts w:ascii="华文楷体" w:hAnsi="华文楷体" w:eastAsia="华文楷体"/>
          <w:b/>
          <w:sz w:val="32"/>
          <w:szCs w:val="32"/>
        </w:rPr>
      </w:pPr>
    </w:p>
    <w:p w14:paraId="042EC580">
      <w:pPr>
        <w:ind w:firstLine="881"/>
        <w:rPr>
          <w:rFonts w:hint="eastAsia" w:ascii="华文楷体" w:hAnsi="华文楷体" w:eastAsia="华文楷体"/>
          <w:b/>
          <w:sz w:val="44"/>
          <w:szCs w:val="44"/>
        </w:rPr>
      </w:pPr>
      <w:r>
        <w:rPr>
          <w:rFonts w:hint="eastAsia" w:ascii="华文楷体" w:hAnsi="华文楷体" w:eastAsia="华文楷体"/>
          <w:b/>
          <w:sz w:val="44"/>
          <w:szCs w:val="44"/>
        </w:rPr>
        <w:t>委托单位：云南永利发林业有限公司</w:t>
      </w:r>
    </w:p>
    <w:p w14:paraId="3C94D690">
      <w:pPr>
        <w:ind w:firstLine="881"/>
        <w:rPr>
          <w:rFonts w:hint="eastAsia" w:ascii="华文楷体" w:hAnsi="华文楷体" w:eastAsia="华文楷体"/>
          <w:b/>
          <w:sz w:val="44"/>
          <w:szCs w:val="44"/>
        </w:rPr>
      </w:pPr>
      <w:r>
        <w:rPr>
          <w:rFonts w:hint="eastAsia" w:ascii="华文楷体" w:hAnsi="华文楷体" w:eastAsia="华文楷体"/>
          <w:b/>
          <w:sz w:val="44"/>
          <w:szCs w:val="44"/>
        </w:rPr>
        <w:t>编制单位：云南大学科技咨询发展中心</w:t>
      </w:r>
    </w:p>
    <w:p w14:paraId="516D5BDA">
      <w:pPr>
        <w:ind w:firstLine="2643"/>
        <w:rPr>
          <w:rFonts w:hint="eastAsia" w:ascii="华文楷体" w:hAnsi="华文楷体" w:eastAsia="华文楷体"/>
          <w:b/>
          <w:sz w:val="44"/>
          <w:szCs w:val="44"/>
        </w:rPr>
      </w:pPr>
      <w:r>
        <w:rPr>
          <w:rFonts w:hint="eastAsia" w:ascii="华文楷体" w:hAnsi="华文楷体" w:eastAsia="华文楷体"/>
          <w:b/>
          <w:sz w:val="44"/>
          <w:szCs w:val="44"/>
        </w:rPr>
        <w:t>二○</w:t>
      </w:r>
      <w:r>
        <w:rPr>
          <w:rFonts w:hint="eastAsia" w:ascii="华文楷体" w:hAnsi="华文楷体" w:eastAsia="华文楷体"/>
          <w:b/>
          <w:sz w:val="44"/>
          <w:szCs w:val="44"/>
          <w:lang w:val="en-US" w:eastAsia="zh-CN"/>
        </w:rPr>
        <w:t>二</w:t>
      </w:r>
      <w:r>
        <w:rPr>
          <w:rFonts w:hint="eastAsia" w:ascii="华文楷体" w:hAnsi="华文楷体" w:eastAsia="华文楷体"/>
          <w:b/>
          <w:sz w:val="44"/>
          <w:szCs w:val="44"/>
        </w:rPr>
        <w:t>○年</w:t>
      </w:r>
      <w:r>
        <w:rPr>
          <w:rFonts w:hint="eastAsia" w:ascii="华文楷体" w:hAnsi="华文楷体" w:eastAsia="华文楷体"/>
          <w:b/>
          <w:sz w:val="44"/>
          <w:szCs w:val="44"/>
          <w:lang w:val="en-US" w:eastAsia="zh-CN"/>
        </w:rPr>
        <w:t>六</w:t>
      </w:r>
      <w:r>
        <w:rPr>
          <w:rFonts w:hint="eastAsia" w:ascii="华文楷体" w:hAnsi="华文楷体" w:eastAsia="华文楷体"/>
          <w:b/>
          <w:sz w:val="44"/>
          <w:szCs w:val="44"/>
        </w:rPr>
        <w:t>月</w:t>
      </w:r>
    </w:p>
    <w:p w14:paraId="4EA93798">
      <w:pPr>
        <w:ind w:firstLine="643"/>
        <w:jc w:val="center"/>
        <w:rPr>
          <w:rFonts w:hint="eastAsia" w:ascii="宋体" w:hAnsi="宋体"/>
          <w:b/>
          <w:sz w:val="32"/>
          <w:szCs w:val="32"/>
        </w:rPr>
      </w:pPr>
    </w:p>
    <w:p w14:paraId="1A9A0710">
      <w:pPr>
        <w:spacing w:line="540" w:lineRule="exact"/>
        <w:ind w:firstLine="562"/>
        <w:jc w:val="center"/>
        <w:rPr>
          <w:rFonts w:hint="eastAsia"/>
          <w:b/>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orient="landscape"/>
          <w:pgMar w:top="1440" w:right="1797" w:bottom="1440" w:left="1797" w:header="850" w:footer="992" w:gutter="0"/>
          <w:cols w:space="1701" w:num="1"/>
        </w:sectPr>
      </w:pPr>
    </w:p>
    <w:p w14:paraId="1CD0321A">
      <w:pPr>
        <w:spacing w:line="540" w:lineRule="exact"/>
        <w:ind w:firstLine="562"/>
        <w:jc w:val="center"/>
        <w:rPr>
          <w:b/>
          <w:sz w:val="28"/>
          <w:szCs w:val="28"/>
        </w:rPr>
      </w:pPr>
      <w:r>
        <w:rPr>
          <w:rFonts w:hint="eastAsia"/>
          <w:b/>
          <w:sz w:val="28"/>
          <w:szCs w:val="28"/>
        </w:rPr>
        <w:t>目     录</w:t>
      </w:r>
    </w:p>
    <w:p w14:paraId="26811B41">
      <w:pPr>
        <w:pStyle w:val="238"/>
        <w:tabs>
          <w:tab w:val="right" w:leader="dot" w:pos="8312"/>
        </w:tabs>
      </w:pPr>
      <w:r>
        <w:rPr>
          <w:rFonts w:hint="eastAsia"/>
        </w:rPr>
        <w:t>第一章  概 述</w:t>
      </w:r>
      <w:r>
        <w:tab/>
      </w:r>
      <w:r>
        <w:t>1</w:t>
      </w:r>
    </w:p>
    <w:p w14:paraId="78FA4B28">
      <w:pPr>
        <w:pStyle w:val="244"/>
        <w:tabs>
          <w:tab w:val="right" w:leader="dot" w:pos="8312"/>
        </w:tabs>
      </w:pPr>
      <w:r>
        <w:rPr>
          <w:rFonts w:hint="eastAsia" w:ascii="Times New Roman" w:hAnsi="Times New Roman"/>
        </w:rPr>
        <w:t>1.1项目建设背景</w:t>
      </w:r>
      <w:r>
        <w:tab/>
      </w:r>
      <w:r>
        <w:t>1</w:t>
      </w:r>
    </w:p>
    <w:p w14:paraId="6DAE530E">
      <w:pPr>
        <w:pStyle w:val="244"/>
        <w:tabs>
          <w:tab w:val="right" w:leader="dot" w:pos="8312"/>
        </w:tabs>
      </w:pPr>
      <w:r>
        <w:rPr>
          <w:rFonts w:hint="eastAsia" w:ascii="Times New Roman" w:hAnsi="Times New Roman"/>
        </w:rPr>
        <w:t>1.2环境影响评价工作过程</w:t>
      </w:r>
      <w:r>
        <w:tab/>
      </w:r>
      <w:r>
        <w:t>2</w:t>
      </w:r>
    </w:p>
    <w:p w14:paraId="534F56B7">
      <w:pPr>
        <w:pStyle w:val="244"/>
        <w:tabs>
          <w:tab w:val="right" w:leader="dot" w:pos="8312"/>
        </w:tabs>
      </w:pPr>
      <w:r>
        <w:rPr>
          <w:rFonts w:hint="eastAsia" w:ascii="Times New Roman" w:hAnsi="Times New Roman"/>
        </w:rPr>
        <w:t>1.3建设项目的特点</w:t>
      </w:r>
      <w:r>
        <w:tab/>
      </w:r>
      <w:r>
        <w:t>3</w:t>
      </w:r>
    </w:p>
    <w:p w14:paraId="545BC44A">
      <w:pPr>
        <w:pStyle w:val="244"/>
        <w:tabs>
          <w:tab w:val="right" w:leader="dot" w:pos="8312"/>
        </w:tabs>
      </w:pPr>
      <w:r>
        <w:rPr>
          <w:rFonts w:hint="eastAsia" w:ascii="Times New Roman" w:hAnsi="Times New Roman"/>
        </w:rPr>
        <w:t>1.4分析判定相关情况</w:t>
      </w:r>
      <w:r>
        <w:tab/>
      </w:r>
      <w:r>
        <w:t>3</w:t>
      </w:r>
    </w:p>
    <w:p w14:paraId="37329DAA">
      <w:pPr>
        <w:pStyle w:val="244"/>
        <w:tabs>
          <w:tab w:val="right" w:leader="dot" w:pos="8312"/>
        </w:tabs>
      </w:pPr>
      <w:r>
        <w:rPr>
          <w:rFonts w:hint="eastAsia" w:ascii="Times New Roman" w:hAnsi="Times New Roman"/>
        </w:rPr>
        <w:t>1</w:t>
      </w:r>
      <w:r>
        <w:rPr>
          <w:rFonts w:ascii="Times New Roman" w:hAnsi="Times New Roman"/>
        </w:rPr>
        <w:t>.</w:t>
      </w:r>
      <w:r>
        <w:rPr>
          <w:rFonts w:hint="eastAsia" w:ascii="Times New Roman" w:hAnsi="Times New Roman"/>
        </w:rPr>
        <w:t>5</w:t>
      </w:r>
      <w:r>
        <w:rPr>
          <w:rFonts w:ascii="Times New Roman" w:hAnsi="Times New Roman"/>
        </w:rPr>
        <w:t xml:space="preserve"> </w:t>
      </w:r>
      <w:r>
        <w:rPr>
          <w:rFonts w:hint="eastAsia" w:ascii="Times New Roman" w:hAnsi="Times New Roman"/>
        </w:rPr>
        <w:t>关注的主要环境问题及环境影响</w:t>
      </w:r>
      <w:r>
        <w:tab/>
      </w:r>
      <w:r>
        <w:t>3</w:t>
      </w:r>
    </w:p>
    <w:p w14:paraId="28785A4A">
      <w:pPr>
        <w:pStyle w:val="244"/>
        <w:tabs>
          <w:tab w:val="right" w:leader="dot" w:pos="8312"/>
        </w:tabs>
      </w:pPr>
      <w:r>
        <w:rPr>
          <w:rFonts w:ascii="Times New Roman" w:hAnsi="Times New Roman"/>
        </w:rPr>
        <w:t>1.</w:t>
      </w:r>
      <w:r>
        <w:rPr>
          <w:rFonts w:hint="eastAsia" w:ascii="Times New Roman" w:hAnsi="Times New Roman"/>
        </w:rPr>
        <w:t>6</w:t>
      </w:r>
      <w:r>
        <w:rPr>
          <w:rFonts w:ascii="Times New Roman" w:hAnsi="Times New Roman"/>
        </w:rPr>
        <w:t xml:space="preserve"> </w:t>
      </w:r>
      <w:r>
        <w:rPr>
          <w:rFonts w:hint="eastAsia" w:ascii="Times New Roman" w:hAnsi="Times New Roman"/>
        </w:rPr>
        <w:t>环境影响评价的主要结论</w:t>
      </w:r>
      <w:r>
        <w:tab/>
      </w:r>
      <w:r>
        <w:t>5</w:t>
      </w:r>
    </w:p>
    <w:p w14:paraId="6E71A1BB">
      <w:pPr>
        <w:pStyle w:val="238"/>
        <w:tabs>
          <w:tab w:val="right" w:leader="dot" w:pos="8312"/>
        </w:tabs>
      </w:pPr>
      <w:r>
        <w:rPr>
          <w:rFonts w:hint="eastAsia"/>
        </w:rPr>
        <w:t>第二章  总 则</w:t>
      </w:r>
      <w:r>
        <w:tab/>
      </w:r>
      <w:r>
        <w:t>6</w:t>
      </w:r>
    </w:p>
    <w:p w14:paraId="60890C36">
      <w:pPr>
        <w:pStyle w:val="244"/>
        <w:tabs>
          <w:tab w:val="right" w:leader="dot" w:pos="8312"/>
        </w:tabs>
      </w:pPr>
      <w:r>
        <w:rPr>
          <w:rFonts w:hint="eastAsia" w:ascii="Times New Roman" w:hAnsi="Times New Roman"/>
        </w:rPr>
        <w:t>2.1</w:t>
      </w:r>
      <w:r>
        <w:rPr>
          <w:rFonts w:ascii="Times New Roman" w:hAnsi="Times New Roman"/>
        </w:rPr>
        <w:t xml:space="preserve"> </w:t>
      </w:r>
      <w:r>
        <w:rPr>
          <w:rFonts w:hint="eastAsia" w:ascii="Times New Roman" w:hAnsi="Times New Roman"/>
        </w:rPr>
        <w:t>编制依据</w:t>
      </w:r>
      <w:r>
        <w:tab/>
      </w:r>
      <w:r>
        <w:t>6</w:t>
      </w:r>
    </w:p>
    <w:p w14:paraId="0C6EA0DE">
      <w:pPr>
        <w:pStyle w:val="244"/>
        <w:tabs>
          <w:tab w:val="right" w:leader="dot" w:pos="8312"/>
        </w:tabs>
      </w:pPr>
      <w:r>
        <w:rPr>
          <w:rFonts w:hint="eastAsia" w:ascii="Times New Roman" w:hAnsi="Times New Roman"/>
        </w:rPr>
        <w:t>2.2</w:t>
      </w:r>
      <w:r>
        <w:rPr>
          <w:rFonts w:ascii="Times New Roman" w:hAnsi="Times New Roman"/>
        </w:rPr>
        <w:t xml:space="preserve"> </w:t>
      </w:r>
      <w:r>
        <w:rPr>
          <w:rFonts w:hint="eastAsia" w:ascii="Times New Roman" w:hAnsi="Times New Roman"/>
        </w:rPr>
        <w:t>环境影响识别与评价因子筛选</w:t>
      </w:r>
      <w:r>
        <w:tab/>
      </w:r>
      <w:r>
        <w:t>12</w:t>
      </w:r>
    </w:p>
    <w:p w14:paraId="4A5512A3">
      <w:pPr>
        <w:pStyle w:val="244"/>
        <w:tabs>
          <w:tab w:val="right" w:leader="dot" w:pos="8312"/>
        </w:tabs>
      </w:pPr>
      <w:r>
        <w:rPr>
          <w:rFonts w:hint="eastAsia" w:ascii="Times New Roman" w:hAnsi="Times New Roman"/>
          <w:bCs/>
          <w:lang w:val="en-US" w:eastAsia="zh-CN"/>
        </w:rPr>
        <w:t>2.3</w:t>
      </w:r>
      <w:r>
        <w:rPr>
          <w:rFonts w:ascii="Times New Roman" w:hAnsi="Times New Roman"/>
          <w:bCs/>
          <w:lang w:val="en-US" w:eastAsia="zh-CN"/>
        </w:rPr>
        <w:t xml:space="preserve"> </w:t>
      </w:r>
      <w:r>
        <w:rPr>
          <w:rFonts w:hint="eastAsia" w:ascii="Times New Roman" w:hAnsi="Times New Roman"/>
          <w:bCs/>
          <w:lang w:val="en-US" w:eastAsia="zh-CN"/>
        </w:rPr>
        <w:t>环境功能区划</w:t>
      </w:r>
      <w:r>
        <w:tab/>
      </w:r>
      <w:r>
        <w:t>14</w:t>
      </w:r>
    </w:p>
    <w:p w14:paraId="01D92D90">
      <w:pPr>
        <w:pStyle w:val="244"/>
        <w:tabs>
          <w:tab w:val="right" w:leader="dot" w:pos="8312"/>
        </w:tabs>
      </w:pPr>
      <w:r>
        <w:rPr>
          <w:rFonts w:hint="eastAsia" w:ascii="Times New Roman" w:hAnsi="Times New Roman"/>
          <w:lang w:val="en-US" w:eastAsia="zh-CN"/>
        </w:rPr>
        <w:t>2.4</w:t>
      </w:r>
      <w:r>
        <w:rPr>
          <w:rFonts w:hint="eastAsia" w:ascii="Times New Roman" w:hAnsi="Times New Roman"/>
        </w:rPr>
        <w:t>评价标准</w:t>
      </w:r>
      <w:r>
        <w:tab/>
      </w:r>
      <w:r>
        <w:t>15</w:t>
      </w:r>
    </w:p>
    <w:p w14:paraId="194B6F8A">
      <w:pPr>
        <w:pStyle w:val="244"/>
        <w:tabs>
          <w:tab w:val="right" w:leader="dot" w:pos="8312"/>
        </w:tabs>
      </w:pPr>
      <w:r>
        <w:rPr>
          <w:rFonts w:hint="eastAsia" w:ascii="Times New Roman" w:hAnsi="Times New Roman"/>
        </w:rPr>
        <w:t>2.</w:t>
      </w:r>
      <w:r>
        <w:rPr>
          <w:rFonts w:hint="eastAsia" w:ascii="Times New Roman" w:hAnsi="Times New Roman"/>
          <w:lang w:val="en-US" w:eastAsia="zh-CN"/>
        </w:rPr>
        <w:t>5</w:t>
      </w:r>
      <w:r>
        <w:rPr>
          <w:rFonts w:ascii="Times New Roman" w:hAnsi="Times New Roman"/>
        </w:rPr>
        <w:t xml:space="preserve"> </w:t>
      </w:r>
      <w:r>
        <w:rPr>
          <w:rFonts w:hint="eastAsia" w:ascii="Times New Roman" w:hAnsi="Times New Roman"/>
        </w:rPr>
        <w:t>评价工作等级和评价范围</w:t>
      </w:r>
      <w:r>
        <w:tab/>
      </w:r>
      <w:r>
        <w:t>21</w:t>
      </w:r>
    </w:p>
    <w:p w14:paraId="10FFA041">
      <w:pPr>
        <w:pStyle w:val="244"/>
        <w:tabs>
          <w:tab w:val="right" w:leader="dot" w:pos="8312"/>
        </w:tabs>
      </w:pPr>
      <w:r>
        <w:rPr>
          <w:rFonts w:ascii="Times New Roman" w:hAnsi="Times New Roman"/>
        </w:rPr>
        <w:t xml:space="preserve">2.6 </w:t>
      </w:r>
      <w:r>
        <w:rPr>
          <w:rFonts w:hint="eastAsia" w:ascii="Times New Roman" w:hAnsi="Times New Roman"/>
        </w:rPr>
        <w:t>主要环境保护目标</w:t>
      </w:r>
      <w:r>
        <w:tab/>
      </w:r>
      <w:r>
        <w:t>25</w:t>
      </w:r>
    </w:p>
    <w:p w14:paraId="1E3E61A9">
      <w:pPr>
        <w:pStyle w:val="244"/>
        <w:tabs>
          <w:tab w:val="right" w:leader="dot" w:pos="8312"/>
        </w:tabs>
      </w:pPr>
      <w:r>
        <w:rPr>
          <w:rFonts w:hint="eastAsia" w:ascii="Times New Roman" w:hAnsi="Times New Roman"/>
        </w:rPr>
        <w:t xml:space="preserve">2.7 </w:t>
      </w:r>
      <w:r>
        <w:rPr>
          <w:rFonts w:hint="eastAsia"/>
        </w:rPr>
        <w:t>评价专题设置及重点</w:t>
      </w:r>
      <w:r>
        <w:tab/>
      </w:r>
      <w:r>
        <w:t>27</w:t>
      </w:r>
    </w:p>
    <w:p w14:paraId="17E2F76D">
      <w:pPr>
        <w:pStyle w:val="244"/>
        <w:tabs>
          <w:tab w:val="right" w:leader="dot" w:pos="8312"/>
        </w:tabs>
      </w:pPr>
      <w:r>
        <w:rPr>
          <w:rFonts w:hint="eastAsia" w:ascii="Times New Roman" w:hAnsi="Times New Roman"/>
        </w:rPr>
        <w:t>2.8</w:t>
      </w:r>
      <w:r>
        <w:rPr>
          <w:rFonts w:ascii="Times New Roman" w:hAnsi="Times New Roman"/>
        </w:rPr>
        <w:t xml:space="preserve"> </w:t>
      </w:r>
      <w:r>
        <w:rPr>
          <w:rFonts w:hint="eastAsia" w:ascii="Times New Roman" w:hAnsi="Times New Roman"/>
        </w:rPr>
        <w:t>环境影响评价的工作过程</w:t>
      </w:r>
      <w:r>
        <w:tab/>
      </w:r>
      <w:r>
        <w:t>28</w:t>
      </w:r>
    </w:p>
    <w:p w14:paraId="240C3218">
      <w:pPr>
        <w:pStyle w:val="238"/>
        <w:tabs>
          <w:tab w:val="right" w:leader="dot" w:pos="8312"/>
        </w:tabs>
      </w:pPr>
      <w:r>
        <w:rPr>
          <w:rFonts w:hint="eastAsia"/>
          <w:lang w:val="en-US"/>
        </w:rPr>
        <w:t xml:space="preserve">第三章 </w:t>
      </w:r>
      <w:r>
        <w:rPr>
          <w:rFonts w:hint="eastAsia"/>
          <w:lang w:val="en-US" w:eastAsia="zh-CN"/>
        </w:rPr>
        <w:t>原有项目概况</w:t>
      </w:r>
      <w:r>
        <w:tab/>
      </w:r>
      <w:r>
        <w:t>30</w:t>
      </w:r>
    </w:p>
    <w:p w14:paraId="3A5EE4A8">
      <w:pPr>
        <w:pStyle w:val="244"/>
        <w:tabs>
          <w:tab w:val="right" w:leader="dot" w:pos="8312"/>
        </w:tabs>
      </w:pPr>
      <w:r>
        <w:rPr>
          <w:rFonts w:hint="eastAsia" w:ascii="Times New Roman" w:hAnsi="Times New Roman"/>
          <w:bCs/>
        </w:rPr>
        <w:t>3.1原有项目概况</w:t>
      </w:r>
      <w:r>
        <w:tab/>
      </w:r>
      <w:r>
        <w:t>30</w:t>
      </w:r>
    </w:p>
    <w:p w14:paraId="31C7A3B6">
      <w:pPr>
        <w:pStyle w:val="244"/>
        <w:tabs>
          <w:tab w:val="right" w:leader="dot" w:pos="8312"/>
        </w:tabs>
      </w:pPr>
      <w:r>
        <w:rPr>
          <w:rFonts w:hint="eastAsia" w:ascii="Times New Roman" w:hAnsi="Times New Roman"/>
          <w:bCs/>
        </w:rPr>
        <w:t>3.</w:t>
      </w:r>
      <w:r>
        <w:rPr>
          <w:rFonts w:hint="eastAsia" w:ascii="Times New Roman" w:hAnsi="Times New Roman"/>
          <w:bCs/>
          <w:lang w:val="en-US" w:eastAsia="zh-CN"/>
        </w:rPr>
        <w:t>2</w:t>
      </w:r>
      <w:r>
        <w:rPr>
          <w:rFonts w:hint="eastAsia" w:ascii="Times New Roman" w:hAnsi="Times New Roman"/>
          <w:bCs/>
        </w:rPr>
        <w:t>原有项目的生产工艺</w:t>
      </w:r>
      <w:r>
        <w:tab/>
      </w:r>
      <w:r>
        <w:t>31</w:t>
      </w:r>
    </w:p>
    <w:p w14:paraId="42890546">
      <w:pPr>
        <w:pStyle w:val="244"/>
        <w:tabs>
          <w:tab w:val="right" w:leader="dot" w:pos="8312"/>
        </w:tabs>
      </w:pPr>
      <w:r>
        <w:rPr>
          <w:rFonts w:hint="eastAsia" w:ascii="Times New Roman" w:hAnsi="Times New Roman"/>
          <w:bCs/>
        </w:rPr>
        <w:t>3.</w:t>
      </w:r>
      <w:r>
        <w:rPr>
          <w:rFonts w:hint="eastAsia" w:ascii="Times New Roman" w:hAnsi="Times New Roman"/>
          <w:bCs/>
          <w:lang w:val="en-US" w:eastAsia="zh-CN"/>
        </w:rPr>
        <w:t>3</w:t>
      </w:r>
      <w:r>
        <w:rPr>
          <w:rFonts w:hint="eastAsia" w:ascii="Times New Roman" w:hAnsi="Times New Roman"/>
          <w:bCs/>
        </w:rPr>
        <w:t>原有项目污染物排放及环境影响因素</w:t>
      </w:r>
      <w:r>
        <w:tab/>
      </w:r>
      <w:r>
        <w:t>32</w:t>
      </w:r>
    </w:p>
    <w:p w14:paraId="1452DA41">
      <w:pPr>
        <w:pStyle w:val="244"/>
        <w:tabs>
          <w:tab w:val="right" w:leader="dot" w:pos="8312"/>
        </w:tabs>
      </w:pPr>
      <w:r>
        <w:rPr>
          <w:rFonts w:hint="eastAsia" w:ascii="Times New Roman" w:hAnsi="Times New Roman"/>
          <w:bCs/>
        </w:rPr>
        <w:t>3.</w:t>
      </w:r>
      <w:r>
        <w:rPr>
          <w:rFonts w:hint="eastAsia" w:ascii="Times New Roman" w:hAnsi="Times New Roman"/>
          <w:bCs/>
          <w:lang w:val="en-US" w:eastAsia="zh-CN"/>
        </w:rPr>
        <w:t>3</w:t>
      </w:r>
      <w:r>
        <w:rPr>
          <w:rFonts w:hint="eastAsia" w:ascii="Times New Roman" w:hAnsi="Times New Roman"/>
          <w:bCs/>
        </w:rPr>
        <w:t>原有项目存在的主要环境问题及整改方案</w:t>
      </w:r>
      <w:r>
        <w:tab/>
      </w:r>
      <w:r>
        <w:t>35</w:t>
      </w:r>
    </w:p>
    <w:p w14:paraId="4E85020C">
      <w:pPr>
        <w:pStyle w:val="238"/>
        <w:tabs>
          <w:tab w:val="right" w:leader="dot" w:pos="8312"/>
        </w:tabs>
      </w:pPr>
      <w:r>
        <w:rPr>
          <w:rFonts w:hint="eastAsia"/>
        </w:rPr>
        <w:t xml:space="preserve">第四章 </w:t>
      </w:r>
      <w:r>
        <w:rPr>
          <w:rFonts w:hint="eastAsia"/>
          <w:lang w:val="en-US" w:eastAsia="zh-CN"/>
        </w:rPr>
        <w:t>建设项目工程分析</w:t>
      </w:r>
      <w:r>
        <w:tab/>
      </w:r>
      <w:r>
        <w:t>37</w:t>
      </w:r>
    </w:p>
    <w:p w14:paraId="493C5CAB">
      <w:pPr>
        <w:pStyle w:val="244"/>
        <w:tabs>
          <w:tab w:val="right" w:leader="dot" w:pos="8312"/>
        </w:tabs>
      </w:pPr>
      <w:r>
        <w:rPr>
          <w:rFonts w:hint="eastAsia" w:ascii="Times New Roman" w:hAnsi="Times New Roman"/>
          <w:lang w:val="en-US" w:eastAsia="zh-CN"/>
        </w:rPr>
        <w:t>4.1</w:t>
      </w:r>
      <w:r>
        <w:rPr>
          <w:rFonts w:hint="eastAsia" w:ascii="Times New Roman" w:hAnsi="Times New Roman"/>
        </w:rPr>
        <w:t>建设项目概况</w:t>
      </w:r>
      <w:r>
        <w:tab/>
      </w:r>
      <w:r>
        <w:t>37</w:t>
      </w:r>
    </w:p>
    <w:p w14:paraId="232292A8">
      <w:pPr>
        <w:pStyle w:val="244"/>
        <w:tabs>
          <w:tab w:val="right" w:leader="dot" w:pos="8312"/>
        </w:tabs>
      </w:pPr>
      <w:r>
        <w:rPr>
          <w:rFonts w:hint="eastAsia" w:ascii="Times New Roman" w:hAnsi="Times New Roman"/>
          <w:lang w:val="en-US" w:eastAsia="zh-CN"/>
        </w:rPr>
        <w:t>4.2</w:t>
      </w:r>
      <w:r>
        <w:rPr>
          <w:rFonts w:hint="eastAsia" w:ascii="Times New Roman" w:hAnsi="Times New Roman"/>
        </w:rPr>
        <w:t>工程环境污染分析及工艺流程</w:t>
      </w:r>
      <w:r>
        <w:tab/>
      </w:r>
      <w:r>
        <w:t>53</w:t>
      </w:r>
    </w:p>
    <w:p w14:paraId="4EA666C3">
      <w:pPr>
        <w:pStyle w:val="244"/>
        <w:tabs>
          <w:tab w:val="right" w:leader="dot" w:pos="8312"/>
        </w:tabs>
      </w:pPr>
      <w:r>
        <w:rPr>
          <w:rFonts w:hint="eastAsia" w:ascii="Times New Roman" w:hAnsi="Times New Roman"/>
          <w:lang w:val="en-US" w:eastAsia="zh-CN"/>
        </w:rPr>
        <w:t>4.3</w:t>
      </w:r>
      <w:r>
        <w:rPr>
          <w:rFonts w:hint="eastAsia" w:ascii="Times New Roman" w:hAnsi="Times New Roman"/>
        </w:rPr>
        <w:t>工程污染因素分析</w:t>
      </w:r>
      <w:r>
        <w:tab/>
      </w:r>
      <w:r>
        <w:t>74</w:t>
      </w:r>
    </w:p>
    <w:p w14:paraId="7F157956">
      <w:pPr>
        <w:pStyle w:val="244"/>
        <w:tabs>
          <w:tab w:val="right" w:leader="dot" w:pos="8312"/>
        </w:tabs>
      </w:pPr>
      <w:r>
        <w:rPr>
          <w:rFonts w:hint="eastAsia" w:ascii="Times New Roman" w:hAnsi="Times New Roman"/>
          <w:bCs/>
          <w:lang w:val="en-US" w:eastAsia="zh-CN"/>
        </w:rPr>
        <w:t>4.4改扩建完成前后项目运营期污染物排污“三笔帐”情况</w:t>
      </w:r>
      <w:r>
        <w:tab/>
      </w:r>
      <w:r>
        <w:t>99</w:t>
      </w:r>
    </w:p>
    <w:p w14:paraId="36043F98">
      <w:pPr>
        <w:pStyle w:val="238"/>
        <w:tabs>
          <w:tab w:val="right" w:leader="dot" w:pos="8312"/>
        </w:tabs>
      </w:pPr>
      <w:r>
        <w:rPr>
          <w:rFonts w:hint="eastAsia"/>
          <w:bCs/>
          <w:lang w:val="en-US" w:eastAsia="zh-CN"/>
        </w:rPr>
        <w:t>第五章 环境现状调查与评价</w:t>
      </w:r>
      <w:r>
        <w:tab/>
      </w:r>
      <w:r>
        <w:t>100</w:t>
      </w:r>
    </w:p>
    <w:p w14:paraId="1AF646EA">
      <w:pPr>
        <w:pStyle w:val="244"/>
        <w:tabs>
          <w:tab w:val="right" w:leader="dot" w:pos="8312"/>
        </w:tabs>
      </w:pPr>
      <w:r>
        <w:rPr>
          <w:rFonts w:hint="eastAsia" w:ascii="Times New Roman" w:hAnsi="Times New Roman"/>
          <w:lang w:val="en-US" w:eastAsia="zh-CN"/>
        </w:rPr>
        <w:t>5</w:t>
      </w:r>
      <w:r>
        <w:rPr>
          <w:rFonts w:hint="eastAsia" w:ascii="Times New Roman" w:hAnsi="Times New Roman"/>
        </w:rPr>
        <w:t>.1 自然环境概况</w:t>
      </w:r>
      <w:r>
        <w:tab/>
      </w:r>
      <w:r>
        <w:t>100</w:t>
      </w:r>
    </w:p>
    <w:p w14:paraId="4346295F">
      <w:pPr>
        <w:pStyle w:val="244"/>
        <w:tabs>
          <w:tab w:val="right" w:leader="dot" w:pos="8312"/>
        </w:tabs>
      </w:pPr>
      <w:r>
        <w:rPr>
          <w:rFonts w:hint="eastAsia" w:ascii="Times New Roman" w:hAnsi="Times New Roman"/>
          <w:lang w:val="en-US" w:eastAsia="zh-CN"/>
        </w:rPr>
        <w:t>5</w:t>
      </w:r>
      <w:r>
        <w:rPr>
          <w:rFonts w:hint="eastAsia" w:ascii="Times New Roman" w:hAnsi="Times New Roman"/>
        </w:rPr>
        <w:t>.2 社会环境概况</w:t>
      </w:r>
      <w:r>
        <w:tab/>
      </w:r>
      <w:r>
        <w:t>103</w:t>
      </w:r>
    </w:p>
    <w:p w14:paraId="341E4932">
      <w:pPr>
        <w:pStyle w:val="244"/>
        <w:tabs>
          <w:tab w:val="right" w:leader="dot" w:pos="8312"/>
        </w:tabs>
      </w:pPr>
      <w:r>
        <w:rPr>
          <w:rFonts w:hint="eastAsia" w:ascii="Times New Roman" w:hAnsi="Times New Roman"/>
          <w:lang w:val="en-US" w:eastAsia="zh-CN"/>
        </w:rPr>
        <w:t>5</w:t>
      </w:r>
      <w:r>
        <w:rPr>
          <w:rFonts w:hint="eastAsia" w:ascii="Times New Roman" w:hAnsi="Times New Roman"/>
        </w:rPr>
        <w:t>.3 项目周边环境敏感区介绍</w:t>
      </w:r>
      <w:r>
        <w:tab/>
      </w:r>
      <w:r>
        <w:t>105</w:t>
      </w:r>
    </w:p>
    <w:p w14:paraId="734E7139">
      <w:pPr>
        <w:pStyle w:val="244"/>
        <w:tabs>
          <w:tab w:val="right" w:leader="dot" w:pos="8312"/>
        </w:tabs>
      </w:pPr>
      <w:r>
        <w:rPr>
          <w:rFonts w:hint="eastAsia"/>
          <w:lang w:val="en-US" w:eastAsia="zh-CN"/>
        </w:rPr>
        <w:t>5</w:t>
      </w:r>
      <w:r>
        <w:rPr>
          <w:rFonts w:hint="eastAsia"/>
        </w:rPr>
        <w:t>.4</w:t>
      </w:r>
      <w:r>
        <w:t xml:space="preserve"> </w:t>
      </w:r>
      <w:r>
        <w:rPr>
          <w:rFonts w:hint="eastAsia"/>
        </w:rPr>
        <w:t>项目周围环境质量状况</w:t>
      </w:r>
      <w:r>
        <w:tab/>
      </w:r>
      <w:r>
        <w:t>105</w:t>
      </w:r>
    </w:p>
    <w:p w14:paraId="09B06E4D">
      <w:pPr>
        <w:pStyle w:val="244"/>
        <w:tabs>
          <w:tab w:val="right" w:leader="dot" w:pos="8312"/>
        </w:tabs>
      </w:pPr>
      <w:r>
        <w:rPr>
          <w:rFonts w:hint="eastAsia"/>
          <w:lang w:val="en-US" w:eastAsia="zh-CN"/>
        </w:rPr>
        <w:t>5</w:t>
      </w:r>
      <w:r>
        <w:rPr>
          <w:rFonts w:hint="eastAsia"/>
        </w:rPr>
        <w:t>.5</w:t>
      </w:r>
      <w:r>
        <w:t>区域污染源调查</w:t>
      </w:r>
      <w:r>
        <w:tab/>
      </w:r>
      <w:r>
        <w:t>120</w:t>
      </w:r>
    </w:p>
    <w:p w14:paraId="1E2A6AE5">
      <w:pPr>
        <w:pStyle w:val="238"/>
        <w:tabs>
          <w:tab w:val="right" w:leader="dot" w:pos="8312"/>
        </w:tabs>
      </w:pPr>
      <w:r>
        <w:rPr>
          <w:rFonts w:hint="eastAsia"/>
          <w:bCs/>
          <w:lang w:val="en-US" w:eastAsia="zh-CN"/>
        </w:rPr>
        <w:t>第六章 环境影响预测与评价</w:t>
      </w:r>
      <w:r>
        <w:tab/>
      </w:r>
      <w:r>
        <w:t>121</w:t>
      </w:r>
    </w:p>
    <w:p w14:paraId="288C6FE0">
      <w:pPr>
        <w:pStyle w:val="244"/>
        <w:tabs>
          <w:tab w:val="right" w:leader="dot" w:pos="8312"/>
        </w:tabs>
      </w:pPr>
      <w:r>
        <w:rPr>
          <w:rFonts w:hint="eastAsia" w:ascii="Times New Roman" w:hAnsi="Times New Roman"/>
          <w:lang w:val="en-US" w:eastAsia="zh-CN"/>
        </w:rPr>
        <w:t>6</w:t>
      </w:r>
      <w:r>
        <w:rPr>
          <w:rFonts w:hint="eastAsia" w:ascii="Times New Roman" w:hAnsi="Times New Roman"/>
        </w:rPr>
        <w:t>.1 施工期环境影响与评价</w:t>
      </w:r>
      <w:r>
        <w:tab/>
      </w:r>
      <w:r>
        <w:t>121</w:t>
      </w:r>
    </w:p>
    <w:p w14:paraId="53361F7F">
      <w:pPr>
        <w:pStyle w:val="244"/>
        <w:tabs>
          <w:tab w:val="right" w:leader="dot" w:pos="8312"/>
        </w:tabs>
      </w:pPr>
      <w:r>
        <w:rPr>
          <w:rFonts w:hint="eastAsia" w:ascii="Times New Roman" w:hAnsi="Times New Roman"/>
          <w:lang w:val="en-US" w:eastAsia="zh-CN"/>
        </w:rPr>
        <w:t>6</w:t>
      </w:r>
      <w:r>
        <w:rPr>
          <w:rFonts w:hint="eastAsia" w:ascii="Times New Roman" w:hAnsi="Times New Roman"/>
        </w:rPr>
        <w:t>.2 运营期环境影响与评价</w:t>
      </w:r>
      <w:r>
        <w:tab/>
      </w:r>
      <w:r>
        <w:t>124</w:t>
      </w:r>
    </w:p>
    <w:p w14:paraId="749A8716">
      <w:pPr>
        <w:pStyle w:val="238"/>
        <w:tabs>
          <w:tab w:val="right" w:leader="dot" w:pos="8312"/>
        </w:tabs>
      </w:pPr>
      <w:r>
        <w:t>第</w:t>
      </w:r>
      <w:r>
        <w:rPr>
          <w:rFonts w:hint="eastAsia"/>
          <w:lang w:val="en-US" w:eastAsia="zh-CN"/>
        </w:rPr>
        <w:t>七</w:t>
      </w:r>
      <w:r>
        <w:t>章  环境风险评价</w:t>
      </w:r>
      <w:r>
        <w:tab/>
      </w:r>
      <w:r>
        <w:t>182</w:t>
      </w:r>
    </w:p>
    <w:p w14:paraId="773B3D5A">
      <w:pPr>
        <w:pStyle w:val="244"/>
        <w:tabs>
          <w:tab w:val="right" w:leader="dot" w:pos="8312"/>
        </w:tabs>
      </w:pPr>
      <w:r>
        <w:rPr>
          <w:rFonts w:hint="eastAsia" w:ascii="Times New Roman" w:hAnsi="Times New Roman"/>
          <w:bCs/>
          <w:lang w:val="en-US" w:eastAsia="zh-CN"/>
        </w:rPr>
        <w:t>7.1环境风险潜势初判</w:t>
      </w:r>
      <w:r>
        <w:tab/>
      </w:r>
      <w:r>
        <w:t>182</w:t>
      </w:r>
    </w:p>
    <w:p w14:paraId="34CA4F01">
      <w:pPr>
        <w:pStyle w:val="244"/>
        <w:tabs>
          <w:tab w:val="right" w:leader="dot" w:pos="8312"/>
        </w:tabs>
      </w:pPr>
      <w:r>
        <w:rPr>
          <w:rFonts w:hint="eastAsia" w:ascii="Times New Roman" w:hAnsi="Times New Roman"/>
          <w:bCs/>
          <w:lang w:val="en-US" w:eastAsia="zh-CN"/>
        </w:rPr>
        <w:t>7.2</w:t>
      </w:r>
      <w:r>
        <w:rPr>
          <w:rFonts w:ascii="Times New Roman" w:hAnsi="Times New Roman"/>
          <w:bCs/>
          <w:lang w:val="zh-CN" w:eastAsia="zh-CN"/>
        </w:rPr>
        <w:t>风险识别</w:t>
      </w:r>
      <w:r>
        <w:tab/>
      </w:r>
      <w:r>
        <w:t>187</w:t>
      </w:r>
    </w:p>
    <w:p w14:paraId="48FB9879">
      <w:pPr>
        <w:pStyle w:val="244"/>
        <w:tabs>
          <w:tab w:val="right" w:leader="dot" w:pos="8312"/>
        </w:tabs>
      </w:pPr>
      <w:r>
        <w:rPr>
          <w:rFonts w:hint="eastAsia" w:ascii="Times New Roman" w:hAnsi="Times New Roman"/>
          <w:bCs/>
          <w:lang w:val="en-US" w:eastAsia="zh-CN"/>
        </w:rPr>
        <w:t>7.3</w:t>
      </w:r>
      <w:r>
        <w:rPr>
          <w:rFonts w:ascii="Times New Roman" w:hAnsi="Times New Roman"/>
          <w:bCs/>
          <w:lang w:val="zh-CN" w:eastAsia="zh-CN"/>
        </w:rPr>
        <w:t>风险事故情形分析</w:t>
      </w:r>
      <w:r>
        <w:tab/>
      </w:r>
      <w:r>
        <w:t>197</w:t>
      </w:r>
    </w:p>
    <w:p w14:paraId="2BF38530">
      <w:pPr>
        <w:pStyle w:val="244"/>
        <w:tabs>
          <w:tab w:val="right" w:leader="dot" w:pos="8312"/>
        </w:tabs>
      </w:pPr>
      <w:r>
        <w:rPr>
          <w:rFonts w:hint="eastAsia" w:ascii="Times New Roman" w:hAnsi="Times New Roman"/>
          <w:bCs/>
          <w:lang w:val="en-US" w:eastAsia="zh-CN"/>
        </w:rPr>
        <w:t>7.4</w:t>
      </w:r>
      <w:r>
        <w:rPr>
          <w:rFonts w:ascii="Times New Roman" w:hAnsi="Times New Roman"/>
          <w:bCs/>
          <w:lang w:val="zh-CN" w:eastAsia="zh-CN"/>
        </w:rPr>
        <w:t>风险预测评价</w:t>
      </w:r>
      <w:r>
        <w:tab/>
      </w:r>
      <w:r>
        <w:t>201</w:t>
      </w:r>
    </w:p>
    <w:p w14:paraId="19698CAA">
      <w:pPr>
        <w:pStyle w:val="244"/>
        <w:tabs>
          <w:tab w:val="right" w:leader="dot" w:pos="8312"/>
        </w:tabs>
      </w:pPr>
      <w:r>
        <w:rPr>
          <w:rFonts w:hint="eastAsia" w:ascii="Times New Roman" w:hAnsi="Times New Roman"/>
          <w:bCs/>
          <w:lang w:val="en-US" w:eastAsia="zh-CN"/>
        </w:rPr>
        <w:t>7.5</w:t>
      </w:r>
      <w:r>
        <w:rPr>
          <w:rFonts w:ascii="Times New Roman" w:hAnsi="Times New Roman"/>
          <w:bCs/>
          <w:lang w:val="zh-CN" w:eastAsia="zh-CN"/>
        </w:rPr>
        <w:t>环境风险管理</w:t>
      </w:r>
      <w:r>
        <w:tab/>
      </w:r>
      <w:r>
        <w:t>206</w:t>
      </w:r>
    </w:p>
    <w:p w14:paraId="6DF3E4DA">
      <w:pPr>
        <w:pStyle w:val="244"/>
        <w:tabs>
          <w:tab w:val="right" w:leader="dot" w:pos="8312"/>
        </w:tabs>
      </w:pPr>
      <w:r>
        <w:rPr>
          <w:rFonts w:hint="eastAsia" w:ascii="Times New Roman" w:hAnsi="Times New Roman"/>
          <w:bCs/>
          <w:lang w:val="en-US" w:eastAsia="zh-CN"/>
        </w:rPr>
        <w:t>7.6环境风险防范措施投资</w:t>
      </w:r>
      <w:r>
        <w:tab/>
      </w:r>
      <w:r>
        <w:t>211</w:t>
      </w:r>
    </w:p>
    <w:p w14:paraId="590E2156">
      <w:pPr>
        <w:pStyle w:val="244"/>
        <w:tabs>
          <w:tab w:val="right" w:leader="dot" w:pos="8312"/>
        </w:tabs>
      </w:pPr>
      <w:r>
        <w:rPr>
          <w:rFonts w:hint="eastAsia" w:ascii="Times New Roman" w:hAnsi="Times New Roman"/>
          <w:bCs/>
          <w:lang w:val="en-US" w:eastAsia="zh-CN"/>
        </w:rPr>
        <w:t>7.7</w:t>
      </w:r>
      <w:r>
        <w:rPr>
          <w:rFonts w:ascii="Times New Roman" w:hAnsi="Times New Roman"/>
          <w:bCs/>
          <w:lang w:val="zh-CN" w:eastAsia="zh-CN"/>
        </w:rPr>
        <w:t>环境风险评价小结</w:t>
      </w:r>
      <w:r>
        <w:tab/>
      </w:r>
      <w:r>
        <w:t>211</w:t>
      </w:r>
    </w:p>
    <w:p w14:paraId="0D342771">
      <w:pPr>
        <w:pStyle w:val="238"/>
        <w:tabs>
          <w:tab w:val="right" w:leader="dot" w:pos="8312"/>
        </w:tabs>
      </w:pPr>
      <w:r>
        <w:rPr>
          <w:rFonts w:hint="eastAsia"/>
        </w:rPr>
        <w:t>第</w:t>
      </w:r>
      <w:r>
        <w:rPr>
          <w:rFonts w:hint="eastAsia"/>
          <w:lang w:val="en-US" w:eastAsia="zh-CN"/>
        </w:rPr>
        <w:t>八</w:t>
      </w:r>
      <w:r>
        <w:rPr>
          <w:rFonts w:hint="eastAsia"/>
        </w:rPr>
        <w:t>章  环境保护措施及其可行性论证</w:t>
      </w:r>
      <w:r>
        <w:tab/>
      </w:r>
      <w:r>
        <w:t>212</w:t>
      </w:r>
    </w:p>
    <w:p w14:paraId="142B7045">
      <w:pPr>
        <w:pStyle w:val="244"/>
        <w:tabs>
          <w:tab w:val="right" w:leader="dot" w:pos="8312"/>
        </w:tabs>
      </w:pPr>
      <w:r>
        <w:rPr>
          <w:rFonts w:hint="eastAsia" w:ascii="Times New Roman" w:hAnsi="Times New Roman"/>
          <w:lang w:val="en-US" w:eastAsia="zh-CN"/>
        </w:rPr>
        <w:t>8</w:t>
      </w:r>
      <w:r>
        <w:rPr>
          <w:rFonts w:hint="eastAsia" w:ascii="Times New Roman" w:hAnsi="Times New Roman"/>
        </w:rPr>
        <w:t>.1 施工期环境保护措施分析</w:t>
      </w:r>
      <w:r>
        <w:tab/>
      </w:r>
      <w:r>
        <w:t>212</w:t>
      </w:r>
    </w:p>
    <w:p w14:paraId="484310E0">
      <w:pPr>
        <w:pStyle w:val="244"/>
        <w:tabs>
          <w:tab w:val="right" w:leader="dot" w:pos="8312"/>
        </w:tabs>
      </w:pPr>
      <w:r>
        <w:rPr>
          <w:rFonts w:hint="eastAsia" w:ascii="Times New Roman" w:hAnsi="Times New Roman"/>
          <w:lang w:val="en-US" w:eastAsia="zh-CN"/>
        </w:rPr>
        <w:t>8</w:t>
      </w:r>
      <w:r>
        <w:rPr>
          <w:rFonts w:hint="eastAsia" w:ascii="Times New Roman" w:hAnsi="Times New Roman"/>
        </w:rPr>
        <w:t>.2 运营期环境保护措施</w:t>
      </w:r>
      <w:r>
        <w:rPr>
          <w:rFonts w:hint="eastAsia"/>
          <w:szCs w:val="28"/>
        </w:rPr>
        <w:t>及其可行性论证</w:t>
      </w:r>
      <w:r>
        <w:tab/>
      </w:r>
      <w:r>
        <w:t>214</w:t>
      </w:r>
    </w:p>
    <w:p w14:paraId="353C14E2">
      <w:pPr>
        <w:pStyle w:val="244"/>
        <w:tabs>
          <w:tab w:val="right" w:leader="dot" w:pos="8312"/>
        </w:tabs>
      </w:pPr>
      <w:r>
        <w:rPr>
          <w:rFonts w:hint="eastAsia" w:ascii="Times New Roman" w:hAnsi="Times New Roman"/>
          <w:lang w:val="en-US" w:eastAsia="zh-CN"/>
        </w:rPr>
        <w:t>8</w:t>
      </w:r>
      <w:r>
        <w:rPr>
          <w:rFonts w:hint="eastAsia" w:ascii="Times New Roman" w:hAnsi="Times New Roman"/>
        </w:rPr>
        <w:t>.3污染防治措施汇总</w:t>
      </w:r>
      <w:r>
        <w:tab/>
      </w:r>
      <w:r>
        <w:t>222</w:t>
      </w:r>
    </w:p>
    <w:p w14:paraId="5894B77E">
      <w:pPr>
        <w:pStyle w:val="238"/>
        <w:tabs>
          <w:tab w:val="right" w:leader="dot" w:pos="8312"/>
        </w:tabs>
      </w:pPr>
      <w:r>
        <w:rPr>
          <w:rFonts w:hint="eastAsia"/>
        </w:rPr>
        <w:t>第</w:t>
      </w:r>
      <w:r>
        <w:rPr>
          <w:rFonts w:hint="eastAsia"/>
          <w:lang w:val="en-US" w:eastAsia="zh-CN"/>
        </w:rPr>
        <w:t>九</w:t>
      </w:r>
      <w:r>
        <w:rPr>
          <w:rFonts w:hint="eastAsia"/>
        </w:rPr>
        <w:t>章  产业政策、规划符合性、选址可行性分析</w:t>
      </w:r>
      <w:r>
        <w:tab/>
      </w:r>
      <w:r>
        <w:t>228</w:t>
      </w:r>
    </w:p>
    <w:p w14:paraId="7346BE36">
      <w:pPr>
        <w:pStyle w:val="244"/>
        <w:tabs>
          <w:tab w:val="right" w:leader="dot" w:pos="8312"/>
        </w:tabs>
      </w:pPr>
      <w:r>
        <w:rPr>
          <w:rFonts w:hint="eastAsia" w:ascii="Times New Roman" w:hAnsi="Times New Roman"/>
          <w:lang w:val="en-US" w:eastAsia="zh-CN"/>
        </w:rPr>
        <w:t>9</w:t>
      </w:r>
      <w:r>
        <w:rPr>
          <w:rFonts w:hint="eastAsia" w:ascii="Times New Roman" w:hAnsi="Times New Roman"/>
        </w:rPr>
        <w:t>.1产业政策符合性分析</w:t>
      </w:r>
      <w:r>
        <w:tab/>
      </w:r>
      <w:r>
        <w:t>228</w:t>
      </w:r>
    </w:p>
    <w:p w14:paraId="72C6B9A9">
      <w:pPr>
        <w:pStyle w:val="244"/>
        <w:tabs>
          <w:tab w:val="right" w:leader="dot" w:pos="8312"/>
        </w:tabs>
      </w:pPr>
      <w:r>
        <w:rPr>
          <w:rFonts w:hint="eastAsia" w:ascii="Times New Roman" w:hAnsi="Times New Roman"/>
          <w:lang w:val="en-US" w:eastAsia="zh-CN"/>
        </w:rPr>
        <w:t>9.2</w:t>
      </w:r>
      <w:r>
        <w:rPr>
          <w:rFonts w:hint="eastAsia" w:ascii="Times New Roman" w:hAnsi="Times New Roman"/>
        </w:rPr>
        <w:t>选址可行性</w:t>
      </w:r>
      <w:r>
        <w:tab/>
      </w:r>
      <w:r>
        <w:t>228</w:t>
      </w:r>
    </w:p>
    <w:p w14:paraId="266E6125">
      <w:pPr>
        <w:pStyle w:val="244"/>
        <w:tabs>
          <w:tab w:val="right" w:leader="dot" w:pos="8312"/>
        </w:tabs>
      </w:pPr>
      <w:r>
        <w:rPr>
          <w:rFonts w:hint="eastAsia" w:ascii="Times New Roman" w:hAnsi="Times New Roman"/>
          <w:lang w:val="en-US" w:eastAsia="zh-CN"/>
        </w:rPr>
        <w:t>9.3</w:t>
      </w:r>
      <w:r>
        <w:rPr>
          <w:rFonts w:hint="eastAsia" w:ascii="Times New Roman" w:hAnsi="Times New Roman"/>
        </w:rPr>
        <w:t>平面布局可行性</w:t>
      </w:r>
      <w:r>
        <w:tab/>
      </w:r>
      <w:r>
        <w:t>229</w:t>
      </w:r>
    </w:p>
    <w:p w14:paraId="4E9A0E03">
      <w:pPr>
        <w:pStyle w:val="244"/>
        <w:tabs>
          <w:tab w:val="right" w:leader="dot" w:pos="8312"/>
        </w:tabs>
      </w:pPr>
      <w:r>
        <w:rPr>
          <w:rFonts w:hint="eastAsia" w:ascii="Times New Roman" w:hAnsi="Times New Roman"/>
          <w:bCs/>
          <w:lang w:val="en-US" w:eastAsia="zh-CN"/>
        </w:rPr>
        <w:t>9.4“三线一单”符合性分析</w:t>
      </w:r>
      <w:r>
        <w:tab/>
      </w:r>
      <w:r>
        <w:t>229</w:t>
      </w:r>
    </w:p>
    <w:p w14:paraId="046B5E4D">
      <w:pPr>
        <w:pStyle w:val="244"/>
        <w:tabs>
          <w:tab w:val="right" w:leader="dot" w:pos="8312"/>
        </w:tabs>
      </w:pPr>
      <w:r>
        <w:rPr>
          <w:rFonts w:hint="eastAsia" w:ascii="Times New Roman" w:hAnsi="Times New Roman"/>
          <w:lang w:val="en-US" w:eastAsia="zh-CN"/>
        </w:rPr>
        <w:t>9.5</w:t>
      </w:r>
      <w:r>
        <w:rPr>
          <w:rFonts w:hint="eastAsia" w:ascii="Times New Roman" w:hAnsi="Times New Roman"/>
        </w:rPr>
        <w:t>小结</w:t>
      </w:r>
      <w:r>
        <w:tab/>
      </w:r>
      <w:r>
        <w:t>230</w:t>
      </w:r>
    </w:p>
    <w:p w14:paraId="6A2568F7">
      <w:pPr>
        <w:pStyle w:val="238"/>
        <w:tabs>
          <w:tab w:val="right" w:leader="dot" w:pos="8312"/>
        </w:tabs>
      </w:pPr>
      <w:r>
        <w:rPr>
          <w:rFonts w:hint="eastAsia"/>
        </w:rPr>
        <w:t>第</w:t>
      </w:r>
      <w:r>
        <w:rPr>
          <w:rFonts w:hint="eastAsia"/>
          <w:lang w:val="en-US" w:eastAsia="zh-CN"/>
        </w:rPr>
        <w:t>十</w:t>
      </w:r>
      <w:r>
        <w:rPr>
          <w:rFonts w:hint="eastAsia"/>
        </w:rPr>
        <w:t>章  环境影响经济损益分析</w:t>
      </w:r>
      <w:r>
        <w:tab/>
      </w:r>
      <w:r>
        <w:t>231</w:t>
      </w:r>
    </w:p>
    <w:p w14:paraId="2CEE5D47">
      <w:pPr>
        <w:pStyle w:val="244"/>
        <w:tabs>
          <w:tab w:val="right" w:leader="dot" w:pos="8312"/>
        </w:tabs>
      </w:pPr>
      <w:r>
        <w:rPr>
          <w:rFonts w:hint="eastAsia" w:ascii="Times New Roman" w:hAnsi="Times New Roman"/>
          <w:lang w:val="en-US" w:eastAsia="zh-CN"/>
        </w:rPr>
        <w:t>10</w:t>
      </w:r>
      <w:r>
        <w:rPr>
          <w:rFonts w:hint="eastAsia" w:ascii="Times New Roman" w:hAnsi="Times New Roman"/>
        </w:rPr>
        <w:t>.1</w:t>
      </w:r>
      <w:r>
        <w:rPr>
          <w:rFonts w:ascii="Times New Roman" w:hAnsi="Times New Roman"/>
        </w:rPr>
        <w:t>经济效益</w:t>
      </w:r>
      <w:r>
        <w:tab/>
      </w:r>
      <w:r>
        <w:t>231</w:t>
      </w:r>
    </w:p>
    <w:p w14:paraId="2D2F227E">
      <w:pPr>
        <w:pStyle w:val="244"/>
        <w:tabs>
          <w:tab w:val="right" w:leader="dot" w:pos="8312"/>
        </w:tabs>
      </w:pPr>
      <w:r>
        <w:rPr>
          <w:rFonts w:hint="eastAsia" w:ascii="Times New Roman" w:hAnsi="Times New Roman"/>
          <w:lang w:val="en-US" w:eastAsia="zh-CN"/>
        </w:rPr>
        <w:t>10</w:t>
      </w:r>
      <w:r>
        <w:rPr>
          <w:rFonts w:hint="eastAsia" w:ascii="Times New Roman" w:hAnsi="Times New Roman"/>
        </w:rPr>
        <w:t>.2</w:t>
      </w:r>
      <w:r>
        <w:rPr>
          <w:rFonts w:ascii="Times New Roman" w:hAnsi="Times New Roman"/>
        </w:rPr>
        <w:t>社会效益</w:t>
      </w:r>
      <w:r>
        <w:tab/>
      </w:r>
      <w:r>
        <w:t>231</w:t>
      </w:r>
    </w:p>
    <w:p w14:paraId="7E412D09">
      <w:pPr>
        <w:pStyle w:val="244"/>
        <w:tabs>
          <w:tab w:val="right" w:leader="dot" w:pos="8312"/>
        </w:tabs>
      </w:pPr>
      <w:r>
        <w:rPr>
          <w:rFonts w:hint="eastAsia" w:ascii="Times New Roman" w:hAnsi="Times New Roman"/>
          <w:lang w:val="en-US" w:eastAsia="zh-CN"/>
        </w:rPr>
        <w:t>10</w:t>
      </w:r>
      <w:r>
        <w:rPr>
          <w:rFonts w:hint="eastAsia" w:ascii="Times New Roman" w:hAnsi="Times New Roman"/>
        </w:rPr>
        <w:t>.3</w:t>
      </w:r>
      <w:r>
        <w:rPr>
          <w:rFonts w:ascii="Times New Roman" w:hAnsi="Times New Roman"/>
        </w:rPr>
        <w:t>环保投资及环境效益</w:t>
      </w:r>
      <w:r>
        <w:tab/>
      </w:r>
      <w:r>
        <w:t>231</w:t>
      </w:r>
    </w:p>
    <w:p w14:paraId="174B986F">
      <w:pPr>
        <w:pStyle w:val="244"/>
        <w:tabs>
          <w:tab w:val="right" w:leader="dot" w:pos="8312"/>
        </w:tabs>
      </w:pPr>
      <w:r>
        <w:rPr>
          <w:rFonts w:hint="eastAsia" w:ascii="Times New Roman" w:hAnsi="Times New Roman"/>
          <w:lang w:val="en-US" w:eastAsia="zh-CN"/>
        </w:rPr>
        <w:t>10</w:t>
      </w:r>
      <w:r>
        <w:rPr>
          <w:rFonts w:ascii="Times New Roman" w:hAnsi="Times New Roman"/>
        </w:rPr>
        <w:t>.4小结</w:t>
      </w:r>
      <w:r>
        <w:tab/>
      </w:r>
      <w:r>
        <w:t>233</w:t>
      </w:r>
    </w:p>
    <w:p w14:paraId="14272208">
      <w:pPr>
        <w:pStyle w:val="238"/>
        <w:tabs>
          <w:tab w:val="right" w:leader="dot" w:pos="8312"/>
        </w:tabs>
      </w:pPr>
      <w:r>
        <w:rPr>
          <w:rFonts w:hint="eastAsia"/>
        </w:rPr>
        <w:t>第十</w:t>
      </w:r>
      <w:r>
        <w:rPr>
          <w:rFonts w:hint="eastAsia"/>
          <w:lang w:val="en-US" w:eastAsia="zh-CN"/>
        </w:rPr>
        <w:t>一</w:t>
      </w:r>
      <w:r>
        <w:rPr>
          <w:rFonts w:hint="eastAsia"/>
        </w:rPr>
        <w:t>章  环境管理与监测计划</w:t>
      </w:r>
      <w:r>
        <w:tab/>
      </w:r>
      <w:r>
        <w:t>234</w:t>
      </w:r>
    </w:p>
    <w:p w14:paraId="342FB9C2">
      <w:pPr>
        <w:pStyle w:val="244"/>
        <w:tabs>
          <w:tab w:val="right" w:leader="dot" w:pos="8312"/>
        </w:tabs>
      </w:pPr>
      <w:r>
        <w:rPr>
          <w:rFonts w:hint="eastAsia" w:ascii="Times New Roman" w:hAnsi="Times New Roman"/>
          <w:bCs/>
          <w:lang w:val="en-US" w:eastAsia="zh-CN"/>
        </w:rPr>
        <w:t>11.1</w:t>
      </w:r>
      <w:r>
        <w:rPr>
          <w:rFonts w:hint="eastAsia" w:ascii="Times New Roman" w:hAnsi="Times New Roman"/>
          <w:bCs/>
          <w:lang w:val="zh-CN" w:eastAsia="zh-CN"/>
        </w:rPr>
        <w:t>环境管理计划及要求</w:t>
      </w:r>
      <w:r>
        <w:tab/>
      </w:r>
      <w:r>
        <w:t>234</w:t>
      </w:r>
    </w:p>
    <w:p w14:paraId="26B08266">
      <w:pPr>
        <w:pStyle w:val="244"/>
        <w:tabs>
          <w:tab w:val="right" w:leader="dot" w:pos="8312"/>
        </w:tabs>
      </w:pPr>
      <w:r>
        <w:rPr>
          <w:rFonts w:hint="eastAsia" w:ascii="Times New Roman" w:hAnsi="Times New Roman"/>
          <w:bCs/>
          <w:lang w:val="en-US" w:eastAsia="zh-CN"/>
        </w:rPr>
        <w:t>11.2</w:t>
      </w:r>
      <w:r>
        <w:rPr>
          <w:rFonts w:hint="eastAsia" w:ascii="Times New Roman" w:hAnsi="Times New Roman"/>
          <w:bCs/>
          <w:lang w:val="zh-CN" w:eastAsia="zh-CN"/>
        </w:rPr>
        <w:t>污染物排放清单及管理要求</w:t>
      </w:r>
      <w:r>
        <w:tab/>
      </w:r>
      <w:r>
        <w:t>235</w:t>
      </w:r>
    </w:p>
    <w:p w14:paraId="372EB25D">
      <w:pPr>
        <w:pStyle w:val="244"/>
        <w:tabs>
          <w:tab w:val="right" w:leader="dot" w:pos="8312"/>
        </w:tabs>
      </w:pPr>
      <w:r>
        <w:rPr>
          <w:rFonts w:hint="eastAsia" w:ascii="Times New Roman" w:hAnsi="Times New Roman"/>
          <w:bCs/>
          <w:lang w:val="en-US" w:eastAsia="zh-CN"/>
        </w:rPr>
        <w:t>11.3</w:t>
      </w:r>
      <w:r>
        <w:rPr>
          <w:rFonts w:hint="eastAsia" w:ascii="Times New Roman" w:hAnsi="Times New Roman"/>
          <w:bCs/>
          <w:lang w:val="zh-CN" w:eastAsia="zh-CN"/>
        </w:rPr>
        <w:t>环境监测计划</w:t>
      </w:r>
      <w:r>
        <w:tab/>
      </w:r>
      <w:r>
        <w:t>240</w:t>
      </w:r>
    </w:p>
    <w:p w14:paraId="2CEFB894">
      <w:pPr>
        <w:pStyle w:val="244"/>
        <w:tabs>
          <w:tab w:val="right" w:leader="dot" w:pos="8312"/>
        </w:tabs>
      </w:pPr>
      <w:r>
        <w:rPr>
          <w:rFonts w:hint="eastAsia" w:ascii="Times New Roman" w:hAnsi="Times New Roman"/>
          <w:bCs/>
          <w:lang w:val="en-US" w:eastAsia="zh-CN"/>
        </w:rPr>
        <w:t>11.4</w:t>
      </w:r>
      <w:r>
        <w:rPr>
          <w:rFonts w:hint="eastAsia" w:ascii="Times New Roman" w:hAnsi="Times New Roman"/>
          <w:bCs/>
          <w:lang w:val="zh-CN" w:eastAsia="zh-CN"/>
        </w:rPr>
        <w:t>竣工环境保护验收</w:t>
      </w:r>
      <w:r>
        <w:tab/>
      </w:r>
      <w:r>
        <w:t>242</w:t>
      </w:r>
    </w:p>
    <w:p w14:paraId="3388E22B">
      <w:pPr>
        <w:pStyle w:val="238"/>
        <w:tabs>
          <w:tab w:val="right" w:leader="dot" w:pos="8312"/>
        </w:tabs>
      </w:pPr>
      <w:r>
        <w:rPr>
          <w:rFonts w:hint="eastAsia"/>
        </w:rPr>
        <w:t>第十</w:t>
      </w:r>
      <w:r>
        <w:rPr>
          <w:rFonts w:hint="eastAsia"/>
          <w:lang w:val="en-US" w:eastAsia="zh-CN"/>
        </w:rPr>
        <w:t>二</w:t>
      </w:r>
      <w:r>
        <w:rPr>
          <w:rFonts w:hint="eastAsia"/>
        </w:rPr>
        <w:t xml:space="preserve">章 </w:t>
      </w:r>
      <w:r>
        <w:t xml:space="preserve"> </w:t>
      </w:r>
      <w:r>
        <w:rPr>
          <w:rFonts w:hint="eastAsia"/>
        </w:rPr>
        <w:t>清洁生产与总量控制</w:t>
      </w:r>
      <w:r>
        <w:tab/>
      </w:r>
      <w:r>
        <w:t>246</w:t>
      </w:r>
    </w:p>
    <w:p w14:paraId="037AD1B6">
      <w:pPr>
        <w:pStyle w:val="244"/>
        <w:tabs>
          <w:tab w:val="right" w:leader="dot" w:pos="8312"/>
        </w:tabs>
      </w:pPr>
      <w:r>
        <w:rPr>
          <w:rFonts w:hint="eastAsia" w:ascii="Times New Roman" w:hAnsi="Times New Roman"/>
        </w:rPr>
        <w:t>1</w:t>
      </w:r>
      <w:r>
        <w:rPr>
          <w:rFonts w:hint="eastAsia" w:ascii="Times New Roman" w:hAnsi="Times New Roman"/>
          <w:lang w:val="en-US" w:eastAsia="zh-CN"/>
        </w:rPr>
        <w:t>2</w:t>
      </w:r>
      <w:r>
        <w:rPr>
          <w:rFonts w:hint="eastAsia" w:ascii="Times New Roman" w:hAnsi="Times New Roman"/>
        </w:rPr>
        <w:t>.1清洁生产</w:t>
      </w:r>
      <w:r>
        <w:tab/>
      </w:r>
      <w:r>
        <w:t>246</w:t>
      </w:r>
    </w:p>
    <w:p w14:paraId="5F2FBDE3">
      <w:pPr>
        <w:pStyle w:val="244"/>
        <w:tabs>
          <w:tab w:val="right" w:leader="dot" w:pos="8312"/>
        </w:tabs>
      </w:pPr>
      <w:r>
        <w:rPr>
          <w:rFonts w:ascii="Times New Roman" w:hAnsi="Times New Roman"/>
        </w:rPr>
        <w:t>1</w:t>
      </w:r>
      <w:r>
        <w:rPr>
          <w:rFonts w:hint="eastAsia" w:ascii="Times New Roman" w:hAnsi="Times New Roman"/>
          <w:lang w:val="en-US" w:eastAsia="zh-CN"/>
        </w:rPr>
        <w:t>2</w:t>
      </w:r>
      <w:r>
        <w:rPr>
          <w:rFonts w:ascii="Times New Roman" w:hAnsi="Times New Roman"/>
        </w:rPr>
        <w:t>.2总量控制</w:t>
      </w:r>
      <w:r>
        <w:tab/>
      </w:r>
      <w:r>
        <w:t>248</w:t>
      </w:r>
    </w:p>
    <w:p w14:paraId="6146C70A">
      <w:pPr>
        <w:pStyle w:val="238"/>
        <w:tabs>
          <w:tab w:val="right" w:leader="dot" w:pos="8312"/>
        </w:tabs>
      </w:pPr>
      <w:r>
        <w:rPr>
          <w:rFonts w:hint="eastAsia"/>
        </w:rPr>
        <w:t>第十</w:t>
      </w:r>
      <w:r>
        <w:rPr>
          <w:rFonts w:hint="eastAsia"/>
          <w:lang w:val="en-US" w:eastAsia="zh-CN"/>
        </w:rPr>
        <w:t>三</w:t>
      </w:r>
      <w:r>
        <w:rPr>
          <w:rFonts w:hint="eastAsia"/>
        </w:rPr>
        <w:t>章  环境影响评价结论</w:t>
      </w:r>
      <w:r>
        <w:tab/>
      </w:r>
      <w:r>
        <w:t>250</w:t>
      </w:r>
    </w:p>
    <w:p w14:paraId="52D1AD29">
      <w:pPr>
        <w:pStyle w:val="244"/>
        <w:tabs>
          <w:tab w:val="right" w:leader="dot" w:pos="8312"/>
        </w:tabs>
      </w:pPr>
      <w:r>
        <w:rPr>
          <w:rFonts w:hint="eastAsia" w:ascii="Times New Roman" w:hAnsi="Times New Roman"/>
          <w:lang w:val="en-US" w:eastAsia="zh-CN"/>
        </w:rPr>
        <w:t>13</w:t>
      </w:r>
      <w:r>
        <w:rPr>
          <w:rFonts w:hint="eastAsia" w:ascii="Times New Roman" w:hAnsi="Times New Roman"/>
        </w:rPr>
        <w:t>.1 项目建设概况</w:t>
      </w:r>
      <w:r>
        <w:tab/>
      </w:r>
      <w:r>
        <w:t>250</w:t>
      </w:r>
    </w:p>
    <w:p w14:paraId="6DDF1DFD">
      <w:pPr>
        <w:pStyle w:val="244"/>
        <w:tabs>
          <w:tab w:val="right" w:leader="dot" w:pos="8312"/>
        </w:tabs>
      </w:pPr>
      <w:r>
        <w:rPr>
          <w:rFonts w:hint="eastAsia" w:ascii="Times New Roman" w:hAnsi="Times New Roman"/>
        </w:rPr>
        <w:t>1</w:t>
      </w:r>
      <w:r>
        <w:rPr>
          <w:rFonts w:hint="eastAsia" w:ascii="Times New Roman" w:hAnsi="Times New Roman"/>
          <w:lang w:val="en-US" w:eastAsia="zh-CN"/>
        </w:rPr>
        <w:t>3</w:t>
      </w:r>
      <w:r>
        <w:rPr>
          <w:rFonts w:hint="eastAsia" w:ascii="Times New Roman" w:hAnsi="Times New Roman"/>
        </w:rPr>
        <w:t>.2 环境质量现状</w:t>
      </w:r>
      <w:r>
        <w:tab/>
      </w:r>
      <w:r>
        <w:t>250</w:t>
      </w:r>
    </w:p>
    <w:p w14:paraId="5B59009F">
      <w:pPr>
        <w:pStyle w:val="244"/>
        <w:tabs>
          <w:tab w:val="right" w:leader="dot" w:pos="8312"/>
        </w:tabs>
      </w:pPr>
      <w:r>
        <w:rPr>
          <w:rFonts w:hint="eastAsia" w:ascii="Times New Roman" w:hAnsi="Times New Roman"/>
          <w:lang w:val="en-US" w:eastAsia="zh-CN"/>
        </w:rPr>
        <w:t>13</w:t>
      </w:r>
      <w:r>
        <w:rPr>
          <w:rFonts w:hint="eastAsia" w:ascii="Times New Roman" w:hAnsi="Times New Roman"/>
        </w:rPr>
        <w:t>.3环境影响及环境保护措施</w:t>
      </w:r>
      <w:r>
        <w:tab/>
      </w:r>
      <w:r>
        <w:t>250</w:t>
      </w:r>
    </w:p>
    <w:p w14:paraId="49314DC2">
      <w:pPr>
        <w:pStyle w:val="244"/>
        <w:tabs>
          <w:tab w:val="right" w:leader="dot" w:pos="8312"/>
        </w:tabs>
      </w:pPr>
      <w:r>
        <w:rPr>
          <w:rFonts w:hint="eastAsia" w:ascii="Times New Roman" w:hAnsi="Times New Roman"/>
          <w:lang w:val="en-US" w:eastAsia="zh-CN"/>
        </w:rPr>
        <w:t>13</w:t>
      </w:r>
      <w:r>
        <w:rPr>
          <w:rFonts w:hint="eastAsia" w:ascii="Times New Roman" w:hAnsi="Times New Roman"/>
        </w:rPr>
        <w:t>.4 公众意见采纳情况</w:t>
      </w:r>
      <w:r>
        <w:tab/>
      </w:r>
      <w:r>
        <w:t>252</w:t>
      </w:r>
    </w:p>
    <w:p w14:paraId="2EE832AB">
      <w:pPr>
        <w:pStyle w:val="244"/>
        <w:tabs>
          <w:tab w:val="right" w:leader="dot" w:pos="8312"/>
        </w:tabs>
      </w:pPr>
      <w:r>
        <w:rPr>
          <w:rFonts w:hint="eastAsia" w:ascii="Times New Roman" w:hAnsi="Times New Roman"/>
          <w:lang w:val="en-US" w:eastAsia="zh-CN"/>
        </w:rPr>
        <w:t>13</w:t>
      </w:r>
      <w:r>
        <w:rPr>
          <w:rFonts w:hint="eastAsia" w:ascii="Times New Roman" w:hAnsi="Times New Roman"/>
        </w:rPr>
        <w:t>.5 环境影响经济损益分析</w:t>
      </w:r>
      <w:r>
        <w:tab/>
      </w:r>
      <w:r>
        <w:t>255</w:t>
      </w:r>
    </w:p>
    <w:p w14:paraId="1DD37A49">
      <w:pPr>
        <w:pStyle w:val="244"/>
        <w:tabs>
          <w:tab w:val="right" w:leader="dot" w:pos="8312"/>
        </w:tabs>
      </w:pPr>
      <w:r>
        <w:rPr>
          <w:rFonts w:hint="eastAsia" w:ascii="Times New Roman" w:hAnsi="Times New Roman"/>
          <w:lang w:val="en-US" w:eastAsia="zh-CN"/>
        </w:rPr>
        <w:t>13</w:t>
      </w:r>
      <w:r>
        <w:rPr>
          <w:rFonts w:hint="eastAsia" w:ascii="Times New Roman" w:hAnsi="Times New Roman"/>
        </w:rPr>
        <w:t>.6 环境管理与监测计划</w:t>
      </w:r>
      <w:r>
        <w:tab/>
      </w:r>
      <w:r>
        <w:t>256</w:t>
      </w:r>
    </w:p>
    <w:p w14:paraId="73EE16E7">
      <w:pPr>
        <w:pStyle w:val="244"/>
        <w:tabs>
          <w:tab w:val="right" w:leader="dot" w:pos="8312"/>
        </w:tabs>
      </w:pPr>
      <w:r>
        <w:rPr>
          <w:rFonts w:hint="eastAsia" w:ascii="Times New Roman" w:hAnsi="Times New Roman"/>
          <w:lang w:val="en-US" w:eastAsia="zh-CN"/>
        </w:rPr>
        <w:t>13</w:t>
      </w:r>
      <w:r>
        <w:rPr>
          <w:rFonts w:hint="eastAsia" w:ascii="Times New Roman" w:hAnsi="Times New Roman"/>
        </w:rPr>
        <w:t>.7项目环境影响结论</w:t>
      </w:r>
      <w:r>
        <w:tab/>
      </w:r>
      <w:r>
        <w:t>256</w:t>
      </w:r>
    </w:p>
    <w:p w14:paraId="0C74482A">
      <w:pPr>
        <w:pStyle w:val="244"/>
        <w:tabs>
          <w:tab w:val="right" w:leader="dot" w:pos="8312"/>
        </w:tabs>
      </w:pPr>
      <w:r>
        <w:rPr>
          <w:rFonts w:hint="eastAsia" w:ascii="Times New Roman" w:hAnsi="Times New Roman"/>
          <w:lang w:val="en-US" w:eastAsia="zh-CN"/>
        </w:rPr>
        <w:t>13</w:t>
      </w:r>
      <w:r>
        <w:rPr>
          <w:rFonts w:hint="eastAsia" w:ascii="Times New Roman" w:hAnsi="Times New Roman"/>
        </w:rPr>
        <w:t>.8建议</w:t>
      </w:r>
      <w:r>
        <w:tab/>
      </w:r>
      <w:r>
        <w:t>256</w:t>
      </w:r>
    </w:p>
    <w:p w14:paraId="32B64D52">
      <w:pPr>
        <w:keepNext w:val="0"/>
        <w:keepLines w:val="0"/>
        <w:pageBreakBefore w:val="0"/>
        <w:widowControl/>
        <w:spacing w:line="360" w:lineRule="auto"/>
        <w:ind w:firstLine="0"/>
        <w:rPr>
          <w:rFonts w:hint="eastAsia" w:eastAsia="黑体"/>
          <w:szCs w:val="24"/>
        </w:rPr>
      </w:pPr>
      <w:r>
        <w:rPr>
          <w:rFonts w:hint="eastAsia" w:eastAsia="黑体"/>
          <w:szCs w:val="24"/>
        </w:rPr>
        <w:t>附图：</w:t>
      </w:r>
    </w:p>
    <w:p w14:paraId="19F68547">
      <w:pPr>
        <w:keepNext w:val="0"/>
        <w:keepLines w:val="0"/>
        <w:pageBreakBefore w:val="0"/>
        <w:widowControl/>
        <w:spacing w:line="360" w:lineRule="auto"/>
        <w:ind w:firstLine="950"/>
        <w:rPr>
          <w:rFonts w:hint="eastAsia" w:eastAsia="Calibri"/>
          <w:szCs w:val="24"/>
        </w:rPr>
      </w:pPr>
      <w:r>
        <w:rPr>
          <w:rFonts w:hint="eastAsia"/>
          <w:szCs w:val="24"/>
        </w:rPr>
        <w:t>附图</w:t>
      </w:r>
      <w:r>
        <w:rPr>
          <w:rFonts w:hint="eastAsia"/>
          <w:szCs w:val="24"/>
          <w:lang w:val="en-US" w:eastAsia="zh-CN"/>
        </w:rPr>
        <w:t>1</w:t>
      </w:r>
      <w:r>
        <w:rPr>
          <w:rFonts w:hint="eastAsia"/>
          <w:szCs w:val="24"/>
        </w:rPr>
        <w:t xml:space="preserve"> 项目交通地理位置图；</w:t>
      </w:r>
    </w:p>
    <w:p w14:paraId="34EED080">
      <w:pPr>
        <w:keepNext w:val="0"/>
        <w:keepLines w:val="0"/>
        <w:pageBreakBefore w:val="0"/>
        <w:widowControl/>
        <w:spacing w:line="360" w:lineRule="auto"/>
        <w:ind w:firstLine="950"/>
        <w:rPr>
          <w:rFonts w:hint="eastAsia" w:eastAsia="Calibri"/>
          <w:szCs w:val="24"/>
        </w:rPr>
      </w:pPr>
      <w:r>
        <w:rPr>
          <w:rFonts w:hint="eastAsia"/>
          <w:szCs w:val="24"/>
        </w:rPr>
        <w:t>附图</w:t>
      </w:r>
      <w:r>
        <w:rPr>
          <w:rFonts w:hint="eastAsia"/>
          <w:szCs w:val="24"/>
          <w:lang w:val="en-US" w:eastAsia="zh-CN"/>
        </w:rPr>
        <w:t>2</w:t>
      </w:r>
      <w:r>
        <w:rPr>
          <w:rFonts w:hint="eastAsia"/>
          <w:szCs w:val="24"/>
        </w:rPr>
        <w:t xml:space="preserve"> 项目区平面布置图；</w:t>
      </w:r>
    </w:p>
    <w:p w14:paraId="311A737A">
      <w:pPr>
        <w:keepNext w:val="0"/>
        <w:keepLines w:val="0"/>
        <w:pageBreakBefore w:val="0"/>
        <w:widowControl/>
        <w:spacing w:line="360" w:lineRule="auto"/>
        <w:ind w:firstLine="950"/>
        <w:rPr>
          <w:color w:val="000000"/>
          <w:szCs w:val="24"/>
        </w:rPr>
      </w:pPr>
      <w:r>
        <w:rPr>
          <w:rFonts w:hint="eastAsia"/>
          <w:color w:val="000000"/>
          <w:szCs w:val="24"/>
        </w:rPr>
        <w:t>附图</w:t>
      </w:r>
      <w:r>
        <w:rPr>
          <w:rFonts w:hint="eastAsia"/>
          <w:color w:val="000000"/>
          <w:szCs w:val="24"/>
          <w:lang w:val="en-US" w:eastAsia="zh-CN"/>
        </w:rPr>
        <w:t>3</w:t>
      </w:r>
      <w:r>
        <w:rPr>
          <w:color w:val="000000"/>
          <w:szCs w:val="24"/>
        </w:rPr>
        <w:t xml:space="preserve"> </w:t>
      </w:r>
      <w:r>
        <w:rPr>
          <w:rFonts w:hint="eastAsia"/>
          <w:color w:val="000000"/>
          <w:szCs w:val="24"/>
        </w:rPr>
        <w:t>项目区周边环境关系图；</w:t>
      </w:r>
    </w:p>
    <w:p w14:paraId="1C84D671">
      <w:pPr>
        <w:keepNext w:val="0"/>
        <w:keepLines w:val="0"/>
        <w:pageBreakBefore w:val="0"/>
        <w:widowControl/>
        <w:spacing w:line="360" w:lineRule="auto"/>
        <w:ind w:firstLine="950"/>
        <w:rPr>
          <w:rFonts w:hint="eastAsia" w:eastAsia="Calibri"/>
          <w:color w:val="000000"/>
          <w:szCs w:val="24"/>
          <w:lang w:eastAsia="zh-CN"/>
        </w:rPr>
      </w:pPr>
      <w:r>
        <w:rPr>
          <w:rFonts w:hint="eastAsia"/>
          <w:color w:val="000000"/>
          <w:szCs w:val="24"/>
        </w:rPr>
        <w:t>附图</w:t>
      </w:r>
      <w:r>
        <w:rPr>
          <w:rFonts w:hint="eastAsia"/>
          <w:color w:val="000000"/>
          <w:szCs w:val="24"/>
          <w:lang w:val="en-US" w:eastAsia="zh-CN"/>
        </w:rPr>
        <w:t>4</w:t>
      </w:r>
      <w:r>
        <w:rPr>
          <w:rFonts w:hint="eastAsia"/>
          <w:color w:val="000000"/>
          <w:szCs w:val="24"/>
        </w:rPr>
        <w:t xml:space="preserve"> 项目区水系图</w:t>
      </w:r>
      <w:r>
        <w:rPr>
          <w:rFonts w:hint="eastAsia"/>
          <w:color w:val="000000"/>
          <w:szCs w:val="24"/>
          <w:lang w:eastAsia="zh-CN"/>
        </w:rPr>
        <w:t>；</w:t>
      </w:r>
    </w:p>
    <w:p w14:paraId="22946760">
      <w:pPr>
        <w:keepNext w:val="0"/>
        <w:keepLines w:val="0"/>
        <w:pageBreakBefore w:val="0"/>
        <w:widowControl/>
        <w:spacing w:line="360" w:lineRule="auto"/>
        <w:ind w:firstLine="950"/>
        <w:rPr>
          <w:color w:val="000000"/>
          <w:lang w:val="en-US" w:eastAsia="zh-CN"/>
        </w:rPr>
      </w:pPr>
      <w:r>
        <w:rPr>
          <w:rFonts w:hint="eastAsia"/>
          <w:color w:val="000000"/>
          <w:szCs w:val="24"/>
        </w:rPr>
        <w:t>附图</w:t>
      </w:r>
      <w:r>
        <w:rPr>
          <w:rFonts w:hint="eastAsia"/>
          <w:color w:val="000000"/>
          <w:szCs w:val="24"/>
          <w:lang w:val="en-US" w:eastAsia="zh-CN"/>
        </w:rPr>
        <w:t>5</w:t>
      </w:r>
      <w:r>
        <w:rPr>
          <w:rFonts w:hint="eastAsia"/>
          <w:color w:val="000000"/>
          <w:szCs w:val="24"/>
        </w:rPr>
        <w:t xml:space="preserve"> 项目</w:t>
      </w:r>
      <w:r>
        <w:rPr>
          <w:rFonts w:hint="eastAsia"/>
          <w:color w:val="000000"/>
          <w:szCs w:val="24"/>
          <w:lang w:val="en-US" w:eastAsia="zh-CN"/>
        </w:rPr>
        <w:t>区</w:t>
      </w:r>
      <w:r>
        <w:rPr>
          <w:rFonts w:hint="eastAsia"/>
          <w:color w:val="000000"/>
          <w:szCs w:val="24"/>
        </w:rPr>
        <w:t>评价范围图</w:t>
      </w:r>
      <w:r>
        <w:rPr>
          <w:rFonts w:hint="eastAsia"/>
          <w:color w:val="000000"/>
          <w:szCs w:val="24"/>
          <w:lang w:eastAsia="zh-CN"/>
        </w:rPr>
        <w:t>；</w:t>
      </w:r>
    </w:p>
    <w:p w14:paraId="12B354C1">
      <w:pPr>
        <w:pStyle w:val="2"/>
        <w:rPr>
          <w:rFonts w:hint="eastAsia" w:ascii="Calibri" w:hAnsi="Calibri" w:cs="Times New Roman"/>
          <w:color w:val="000000"/>
          <w:sz w:val="24"/>
          <w:szCs w:val="24"/>
          <w:lang w:val="en-US" w:eastAsia="zh-CN" w:bidi="ar-SA"/>
        </w:rPr>
      </w:pPr>
      <w:r>
        <w:rPr>
          <w:rFonts w:hint="eastAsia"/>
          <w:color w:val="000000"/>
          <w:szCs w:val="24"/>
          <w:lang w:val="en-US" w:eastAsia="zh-CN"/>
        </w:rPr>
        <w:t xml:space="preserve">     </w:t>
      </w:r>
      <w:r>
        <w:rPr>
          <w:rFonts w:hint="eastAsia" w:ascii="Calibri" w:hAnsi="Calibri" w:cs="Times New Roman"/>
          <w:color w:val="000000"/>
          <w:sz w:val="24"/>
          <w:szCs w:val="24"/>
          <w:lang w:val="en-US" w:eastAsia="zh-CN" w:bidi="ar-SA"/>
        </w:rPr>
        <w:t>附图6 项目监测布点图；</w:t>
      </w:r>
    </w:p>
    <w:p w14:paraId="62EFCCF7">
      <w:pPr>
        <w:pStyle w:val="2"/>
        <w:rPr>
          <w:rFonts w:ascii="Calibri" w:hAnsi="Calibri" w:cs="Times New Roman"/>
          <w:color w:val="000000"/>
          <w:sz w:val="24"/>
          <w:szCs w:val="24"/>
          <w:lang w:val="en-US" w:eastAsia="zh-CN" w:bidi="ar-SA"/>
        </w:rPr>
      </w:pPr>
      <w:r>
        <w:rPr>
          <w:rFonts w:hint="eastAsia" w:ascii="Calibri" w:hAnsi="Calibri" w:cs="Times New Roman"/>
          <w:color w:val="000000"/>
          <w:sz w:val="24"/>
          <w:szCs w:val="24"/>
          <w:lang w:val="en-US" w:eastAsia="zh-CN" w:bidi="ar-SA"/>
        </w:rPr>
        <w:t xml:space="preserve">    附图7 项目防渗分区图。</w:t>
      </w:r>
    </w:p>
    <w:p w14:paraId="75F48709">
      <w:pPr>
        <w:keepNext w:val="0"/>
        <w:keepLines w:val="0"/>
        <w:pageBreakBefore w:val="0"/>
        <w:widowControl/>
        <w:spacing w:line="360" w:lineRule="auto"/>
        <w:ind w:firstLine="950"/>
        <w:rPr>
          <w:szCs w:val="24"/>
        </w:rPr>
      </w:pPr>
    </w:p>
    <w:p w14:paraId="0FF75799">
      <w:pPr>
        <w:keepNext w:val="0"/>
        <w:keepLines w:val="0"/>
        <w:pageBreakBefore w:val="0"/>
        <w:widowControl/>
        <w:spacing w:line="360" w:lineRule="auto"/>
        <w:ind w:firstLine="0"/>
        <w:rPr>
          <w:rFonts w:eastAsia="黑体"/>
          <w:szCs w:val="24"/>
        </w:rPr>
      </w:pPr>
      <w:r>
        <w:rPr>
          <w:rFonts w:hint="eastAsia" w:eastAsia="黑体"/>
          <w:szCs w:val="24"/>
        </w:rPr>
        <w:t>附件：</w:t>
      </w:r>
    </w:p>
    <w:p w14:paraId="75FAC34E">
      <w:pPr>
        <w:keepNext w:val="0"/>
        <w:keepLines w:val="0"/>
        <w:pageBreakBefore w:val="0"/>
        <w:widowControl/>
        <w:spacing w:line="360" w:lineRule="auto"/>
        <w:ind w:firstLine="950"/>
        <w:rPr>
          <w:rFonts w:hint="eastAsia"/>
          <w:szCs w:val="24"/>
        </w:rPr>
      </w:pPr>
      <w:r>
        <w:rPr>
          <w:rFonts w:hint="eastAsia"/>
          <w:szCs w:val="24"/>
        </w:rPr>
        <w:t>附</w:t>
      </w:r>
      <w:r>
        <w:rPr>
          <w:szCs w:val="24"/>
        </w:rPr>
        <w:t>件1</w:t>
      </w:r>
      <w:r>
        <w:rPr>
          <w:rFonts w:hint="eastAsia"/>
          <w:szCs w:val="24"/>
        </w:rPr>
        <w:t>项目委托书；</w:t>
      </w:r>
    </w:p>
    <w:p w14:paraId="093101E9">
      <w:pPr>
        <w:keepNext w:val="0"/>
        <w:keepLines w:val="0"/>
        <w:pageBreakBefore w:val="0"/>
        <w:widowControl/>
        <w:spacing w:line="360" w:lineRule="auto"/>
        <w:ind w:firstLine="950"/>
        <w:rPr>
          <w:rFonts w:hint="eastAsia"/>
          <w:szCs w:val="24"/>
        </w:rPr>
      </w:pPr>
      <w:r>
        <w:rPr>
          <w:rFonts w:hint="eastAsia"/>
          <w:szCs w:val="24"/>
        </w:rPr>
        <w:t>附件2营业执照；</w:t>
      </w:r>
    </w:p>
    <w:p w14:paraId="53BA4E15">
      <w:pPr>
        <w:keepNext w:val="0"/>
        <w:keepLines w:val="0"/>
        <w:pageBreakBefore w:val="0"/>
        <w:widowControl/>
        <w:spacing w:line="360" w:lineRule="auto"/>
        <w:ind w:firstLine="950"/>
        <w:rPr>
          <w:rFonts w:hint="eastAsia"/>
          <w:szCs w:val="24"/>
        </w:rPr>
      </w:pPr>
      <w:r>
        <w:rPr>
          <w:rFonts w:hint="eastAsia"/>
          <w:szCs w:val="24"/>
        </w:rPr>
        <w:t>附件3德宏州环境保护局准予行政许可决定书，文号：德环许准（2006）1号；</w:t>
      </w:r>
    </w:p>
    <w:p w14:paraId="397A439E">
      <w:pPr>
        <w:keepNext w:val="0"/>
        <w:keepLines w:val="0"/>
        <w:pageBreakBefore w:val="0"/>
        <w:widowControl/>
        <w:spacing w:line="360" w:lineRule="auto"/>
        <w:ind w:firstLine="950"/>
        <w:rPr>
          <w:rFonts w:hint="eastAsia"/>
          <w:szCs w:val="24"/>
        </w:rPr>
      </w:pPr>
      <w:r>
        <w:rPr>
          <w:rFonts w:hint="eastAsia"/>
          <w:szCs w:val="24"/>
        </w:rPr>
        <w:t>附件4德宏州环境保护局关于云南永利发林业有限公司年产10万立方米全竹、竹木复合地板一厂区工程环境保护竣工验收的批复，文号：德环审[2010]35号；</w:t>
      </w:r>
    </w:p>
    <w:p w14:paraId="4C22C0B1">
      <w:pPr>
        <w:keepNext w:val="0"/>
        <w:keepLines w:val="0"/>
        <w:pageBreakBefore w:val="0"/>
        <w:widowControl/>
        <w:spacing w:line="360" w:lineRule="auto"/>
        <w:ind w:firstLine="950"/>
        <w:rPr>
          <w:rFonts w:hint="eastAsia" w:ascii="宋体" w:hAnsi="宋体"/>
          <w:color w:val="FF0000"/>
          <w:szCs w:val="24"/>
          <w:lang w:val="en-US" w:eastAsia="zh-CN"/>
        </w:rPr>
      </w:pPr>
      <w:r>
        <w:rPr>
          <w:rFonts w:hint="eastAsia"/>
          <w:color w:val="FF0000"/>
          <w:szCs w:val="24"/>
          <w:lang w:val="en-US" w:eastAsia="zh-CN"/>
        </w:rPr>
        <w:t>附件5德宏州环境监测站“云南永利发林业有限公司年产10万立方米竹木符合地板生产线竣工环境保护验收监测报告”</w:t>
      </w:r>
      <w:r>
        <w:rPr>
          <w:rFonts w:hint="eastAsia" w:ascii="宋体" w:hAnsi="宋体"/>
          <w:color w:val="FF0000"/>
          <w:szCs w:val="24"/>
        </w:rPr>
        <w:t>（德环监字[2010]第135号）</w:t>
      </w:r>
      <w:r>
        <w:rPr>
          <w:rFonts w:hint="eastAsia" w:ascii="宋体" w:hAnsi="宋体"/>
          <w:color w:val="FF0000"/>
          <w:szCs w:val="24"/>
          <w:lang w:val="en-US" w:eastAsia="zh-CN"/>
        </w:rPr>
        <w:t xml:space="preserve">； </w:t>
      </w:r>
    </w:p>
    <w:p w14:paraId="573E80AE">
      <w:pPr>
        <w:keepNext w:val="0"/>
        <w:keepLines w:val="0"/>
        <w:pageBreakBefore w:val="0"/>
        <w:widowControl/>
        <w:spacing w:line="360" w:lineRule="auto"/>
        <w:ind w:firstLine="950"/>
        <w:rPr>
          <w:rFonts w:ascii="Times New Roman" w:hAnsi="Times New Roman" w:cs="Times New Roman"/>
          <w:color w:val="000000"/>
          <w:szCs w:val="24"/>
          <w:lang w:val="en-US" w:eastAsia="zh-CN"/>
        </w:rPr>
      </w:pPr>
      <w:r>
        <w:rPr>
          <w:rFonts w:ascii="Times New Roman" w:hAnsi="Times New Roman" w:cs="Times New Roman"/>
          <w:color w:val="000000"/>
          <w:szCs w:val="24"/>
          <w:lang w:val="en-US" w:eastAsia="zh-CN"/>
        </w:rPr>
        <w:t>附件6 原有项目排污许可证；</w:t>
      </w:r>
    </w:p>
    <w:p w14:paraId="237A45BC">
      <w:pPr>
        <w:keepNext w:val="0"/>
        <w:keepLines w:val="0"/>
        <w:pageBreakBefore w:val="0"/>
        <w:widowControl/>
        <w:spacing w:line="360" w:lineRule="auto"/>
        <w:ind w:firstLine="950"/>
        <w:rPr>
          <w:rFonts w:hint="eastAsia"/>
          <w:szCs w:val="24"/>
        </w:rPr>
      </w:pPr>
      <w:r>
        <w:rPr>
          <w:rFonts w:hint="eastAsia"/>
          <w:szCs w:val="24"/>
        </w:rPr>
        <w:t>附件</w:t>
      </w:r>
      <w:r>
        <w:rPr>
          <w:rFonts w:hint="eastAsia"/>
          <w:szCs w:val="24"/>
          <w:lang w:val="en-US" w:eastAsia="zh-CN"/>
        </w:rPr>
        <w:t>7</w:t>
      </w:r>
      <w:r>
        <w:rPr>
          <w:rFonts w:hint="eastAsia"/>
          <w:szCs w:val="24"/>
        </w:rPr>
        <w:t>芒市发展和改革局出具的投资项目备案证，文号：芒发改备案[2019]232号；</w:t>
      </w:r>
    </w:p>
    <w:p w14:paraId="312D02C0">
      <w:pPr>
        <w:keepNext w:val="0"/>
        <w:keepLines w:val="0"/>
        <w:pageBreakBefore w:val="0"/>
        <w:widowControl/>
        <w:spacing w:line="360" w:lineRule="auto"/>
        <w:ind w:firstLine="950"/>
        <w:rPr>
          <w:rFonts w:hint="eastAsia"/>
          <w:szCs w:val="24"/>
        </w:rPr>
      </w:pPr>
      <w:r>
        <w:rPr>
          <w:rFonts w:hint="eastAsia"/>
          <w:szCs w:val="24"/>
        </w:rPr>
        <w:t>附件</w:t>
      </w:r>
      <w:r>
        <w:rPr>
          <w:rFonts w:hint="eastAsia"/>
          <w:szCs w:val="24"/>
          <w:lang w:val="en-US" w:eastAsia="zh-CN"/>
        </w:rPr>
        <w:t>8</w:t>
      </w:r>
      <w:r>
        <w:rPr>
          <w:rFonts w:hint="eastAsia"/>
          <w:szCs w:val="24"/>
        </w:rPr>
        <w:t>不动产权证书；</w:t>
      </w:r>
    </w:p>
    <w:p w14:paraId="441C88D4">
      <w:pPr>
        <w:keepNext w:val="0"/>
        <w:keepLines w:val="0"/>
        <w:pageBreakBefore w:val="0"/>
        <w:widowControl/>
        <w:spacing w:line="360" w:lineRule="auto"/>
        <w:ind w:firstLine="950"/>
        <w:rPr>
          <w:rFonts w:hint="eastAsia"/>
          <w:szCs w:val="24"/>
        </w:rPr>
      </w:pPr>
      <w:r>
        <w:rPr>
          <w:rFonts w:hint="eastAsia"/>
          <w:szCs w:val="24"/>
        </w:rPr>
        <w:t>附件</w:t>
      </w:r>
      <w:r>
        <w:rPr>
          <w:rFonts w:hint="eastAsia"/>
          <w:szCs w:val="24"/>
          <w:lang w:val="en-US" w:eastAsia="zh-CN"/>
        </w:rPr>
        <w:t>9</w:t>
      </w:r>
      <w:r>
        <w:rPr>
          <w:rFonts w:hint="eastAsia"/>
          <w:szCs w:val="24"/>
        </w:rPr>
        <w:t>保山谱利分析测试有限公司出具的检测报告（谱利检字[2016]-018号）；</w:t>
      </w:r>
    </w:p>
    <w:p w14:paraId="457A3BBB">
      <w:pPr>
        <w:keepNext w:val="0"/>
        <w:keepLines w:val="0"/>
        <w:pageBreakBefore w:val="0"/>
        <w:widowControl/>
        <w:spacing w:line="360" w:lineRule="auto"/>
        <w:ind w:firstLine="950"/>
        <w:rPr>
          <w:rFonts w:hint="eastAsia"/>
          <w:szCs w:val="24"/>
        </w:rPr>
      </w:pPr>
      <w:r>
        <w:rPr>
          <w:rFonts w:hint="eastAsia"/>
        </w:rPr>
        <w:t>附件</w:t>
      </w:r>
      <w:r>
        <w:rPr>
          <w:rFonts w:hint="eastAsia"/>
          <w:lang w:val="en-US" w:eastAsia="zh-CN"/>
        </w:rPr>
        <w:t>10</w:t>
      </w:r>
      <w:r>
        <w:rPr>
          <w:rFonts w:hint="eastAsia"/>
          <w:szCs w:val="24"/>
        </w:rPr>
        <w:t>项目环境现状检测报告（浩辰环检字（2019）541号）</w:t>
      </w:r>
      <w:r>
        <w:rPr>
          <w:rFonts w:hint="eastAsia"/>
        </w:rPr>
        <w:t>；</w:t>
      </w:r>
    </w:p>
    <w:p w14:paraId="555CFAAF">
      <w:pPr>
        <w:keepNext w:val="0"/>
        <w:keepLines w:val="0"/>
        <w:pageBreakBefore w:val="0"/>
        <w:widowControl/>
        <w:spacing w:line="360" w:lineRule="auto"/>
        <w:ind w:firstLine="960"/>
        <w:rPr>
          <w:rFonts w:hint="eastAsia"/>
          <w:szCs w:val="24"/>
          <w:lang w:val="en-US" w:eastAsia="zh-CN"/>
        </w:rPr>
      </w:pPr>
      <w:r>
        <w:rPr>
          <w:rFonts w:hint="eastAsia"/>
          <w:szCs w:val="24"/>
          <w:lang w:val="en-US" w:eastAsia="zh-CN"/>
        </w:rPr>
        <w:t>附件11项目土壤环境现状监测（浩辰环检字（2020）016号）；</w:t>
      </w:r>
    </w:p>
    <w:p w14:paraId="179A4189">
      <w:pPr>
        <w:keepNext w:val="0"/>
        <w:keepLines w:val="0"/>
        <w:pageBreakBefore w:val="0"/>
        <w:widowControl/>
        <w:spacing w:line="360" w:lineRule="auto"/>
        <w:ind w:firstLine="960"/>
        <w:rPr>
          <w:rFonts w:eastAsia="Calibri"/>
          <w:szCs w:val="24"/>
          <w:lang w:val="en-US" w:eastAsia="zh-CN"/>
        </w:rPr>
      </w:pPr>
      <w:r>
        <w:rPr>
          <w:rFonts w:hint="eastAsia"/>
          <w:szCs w:val="24"/>
        </w:rPr>
        <w:t>附件1</w:t>
      </w:r>
      <w:r>
        <w:rPr>
          <w:rFonts w:hint="eastAsia"/>
          <w:szCs w:val="24"/>
          <w:lang w:val="en-US" w:eastAsia="zh-CN"/>
        </w:rPr>
        <w:t>2有组织排放废气检测报告（谱利检字[2019]-12048）；</w:t>
      </w:r>
    </w:p>
    <w:p w14:paraId="5C7D26A2">
      <w:pPr>
        <w:keepNext w:val="0"/>
        <w:keepLines w:val="0"/>
        <w:pageBreakBefore w:val="0"/>
        <w:widowControl/>
        <w:spacing w:line="360" w:lineRule="auto"/>
        <w:ind w:firstLine="960"/>
        <w:rPr>
          <w:color w:val="FF0000"/>
          <w:szCs w:val="24"/>
          <w:lang w:val="en-US" w:eastAsia="zh-CN"/>
        </w:rPr>
      </w:pPr>
      <w:r>
        <w:rPr>
          <w:rFonts w:hint="eastAsia"/>
          <w:color w:val="FF0000"/>
          <w:szCs w:val="24"/>
          <w:lang w:val="en-US" w:eastAsia="zh-CN"/>
        </w:rPr>
        <w:t>附件13检测报告（TLZW/JCBG-051-2019）；</w:t>
      </w:r>
    </w:p>
    <w:p w14:paraId="0FBBC0F2">
      <w:pPr>
        <w:keepNext w:val="0"/>
        <w:keepLines w:val="0"/>
        <w:pageBreakBefore w:val="0"/>
        <w:widowControl/>
        <w:spacing w:line="360" w:lineRule="auto"/>
        <w:ind w:firstLine="960"/>
        <w:rPr>
          <w:szCs w:val="24"/>
          <w:lang w:val="en-US" w:eastAsia="zh-CN"/>
        </w:rPr>
      </w:pPr>
      <w:r>
        <w:rPr>
          <w:rFonts w:hint="eastAsia"/>
          <w:szCs w:val="24"/>
          <w:lang w:val="en-US" w:eastAsia="zh-CN"/>
        </w:rPr>
        <w:t>附件14德宏州生态环境局行政处罚决定书（德环罚字[2019]5号）；</w:t>
      </w:r>
    </w:p>
    <w:p w14:paraId="384C1833">
      <w:pPr>
        <w:keepNext w:val="0"/>
        <w:keepLines w:val="0"/>
        <w:pageBreakBefore w:val="0"/>
        <w:widowControl/>
        <w:spacing w:line="360" w:lineRule="auto"/>
        <w:ind w:firstLine="950"/>
        <w:rPr>
          <w:rFonts w:hAnsi="宋体"/>
          <w:color w:val="FF0000"/>
          <w:szCs w:val="24"/>
          <w:lang w:val="en-US" w:eastAsia="zh-CN"/>
        </w:rPr>
      </w:pPr>
      <w:r>
        <w:rPr>
          <w:rFonts w:hint="eastAsia" w:hAnsi="宋体"/>
          <w:color w:val="FF0000"/>
          <w:szCs w:val="24"/>
          <w:lang w:val="en-US" w:eastAsia="zh-CN"/>
        </w:rPr>
        <w:t>附件15德宏州生态环境局责令改正违法行为决定书（德环责改字[2020]53号）；</w:t>
      </w:r>
    </w:p>
    <w:p w14:paraId="6AC3AE25">
      <w:pPr>
        <w:keepNext w:val="0"/>
        <w:keepLines w:val="0"/>
        <w:pageBreakBefore w:val="0"/>
        <w:widowControl/>
        <w:spacing w:line="360" w:lineRule="auto"/>
        <w:ind w:firstLine="960"/>
        <w:rPr>
          <w:rFonts w:hint="eastAsia"/>
          <w:szCs w:val="24"/>
        </w:rPr>
      </w:pPr>
      <w:r>
        <w:rPr>
          <w:rFonts w:hint="eastAsia"/>
          <w:szCs w:val="24"/>
        </w:rPr>
        <w:t>附件1</w:t>
      </w:r>
      <w:r>
        <w:rPr>
          <w:rFonts w:hint="eastAsia"/>
          <w:szCs w:val="24"/>
          <w:lang w:val="en-US" w:eastAsia="zh-CN"/>
        </w:rPr>
        <w:t>6</w:t>
      </w:r>
      <w:r>
        <w:rPr>
          <w:rFonts w:hint="eastAsia"/>
          <w:szCs w:val="24"/>
        </w:rPr>
        <w:t>公众参与调查表；</w:t>
      </w:r>
    </w:p>
    <w:p w14:paraId="6B6A5DC7">
      <w:pPr>
        <w:keepNext w:val="0"/>
        <w:keepLines w:val="0"/>
        <w:pageBreakBefore w:val="0"/>
        <w:widowControl/>
        <w:spacing w:line="360" w:lineRule="auto"/>
        <w:ind w:firstLine="950"/>
        <w:rPr>
          <w:color w:val="FF0000"/>
          <w:szCs w:val="24"/>
          <w:lang w:val="en-US" w:eastAsia="zh-CN"/>
        </w:rPr>
      </w:pPr>
      <w:r>
        <w:rPr>
          <w:rFonts w:hint="eastAsia"/>
          <w:color w:val="FF0000"/>
          <w:szCs w:val="24"/>
        </w:rPr>
        <w:t>附件1</w:t>
      </w:r>
      <w:r>
        <w:rPr>
          <w:rFonts w:hint="eastAsia"/>
          <w:color w:val="FF0000"/>
          <w:szCs w:val="24"/>
          <w:lang w:val="en-US" w:eastAsia="zh-CN"/>
        </w:rPr>
        <w:t>7德宏州生态环境局芒市分局关于云南永利发林业有限公司年产10万立方米全竹、竹木复合地板一厂区改扩建项目环境影响评价执行标准确认的函（德环芒函[2020]21号）；</w:t>
      </w:r>
    </w:p>
    <w:p w14:paraId="4783C69C">
      <w:pPr>
        <w:keepNext w:val="0"/>
        <w:keepLines w:val="0"/>
        <w:pageBreakBefore w:val="0"/>
        <w:widowControl/>
        <w:spacing w:line="360" w:lineRule="auto"/>
        <w:ind w:firstLine="950"/>
        <w:rPr>
          <w:rFonts w:hint="eastAsia" w:hAnsi="宋体"/>
          <w:color w:val="FF0000"/>
          <w:szCs w:val="24"/>
          <w:lang w:eastAsia="zh-CN"/>
        </w:rPr>
      </w:pPr>
      <w:r>
        <w:rPr>
          <w:rFonts w:hint="eastAsia" w:hAnsi="宋体"/>
          <w:color w:val="FF0000"/>
          <w:szCs w:val="24"/>
          <w:lang w:val="en-US" w:eastAsia="zh-CN"/>
        </w:rPr>
        <w:t>附件18</w:t>
      </w:r>
      <w:r>
        <w:rPr>
          <w:rFonts w:hint="eastAsia" w:hAnsi="宋体"/>
          <w:color w:val="FF0000"/>
          <w:szCs w:val="24"/>
        </w:rPr>
        <w:t>环评文件流程管理表及校审记录表</w:t>
      </w:r>
      <w:r>
        <w:rPr>
          <w:rFonts w:hint="eastAsia" w:hAnsi="宋体"/>
          <w:color w:val="FF0000"/>
          <w:szCs w:val="24"/>
          <w:lang w:eastAsia="zh-CN"/>
        </w:rPr>
        <w:t>；</w:t>
      </w:r>
    </w:p>
    <w:p w14:paraId="313B0ED1">
      <w:pPr>
        <w:keepNext w:val="0"/>
        <w:keepLines w:val="0"/>
        <w:pageBreakBefore w:val="0"/>
        <w:widowControl/>
        <w:spacing w:line="360" w:lineRule="auto"/>
        <w:ind w:firstLine="950"/>
        <w:rPr>
          <w:rFonts w:hAnsi="宋体"/>
          <w:color w:val="FF0000"/>
          <w:szCs w:val="24"/>
          <w:lang w:val="en-US" w:eastAsia="zh-CN"/>
        </w:rPr>
      </w:pPr>
      <w:r>
        <w:rPr>
          <w:rFonts w:hint="eastAsia" w:hAnsi="宋体"/>
          <w:color w:val="FF0000"/>
          <w:szCs w:val="24"/>
          <w:lang w:val="en-US" w:eastAsia="zh-CN"/>
        </w:rPr>
        <w:t>附件19技术服务合同；</w:t>
      </w:r>
    </w:p>
    <w:p w14:paraId="51246B7B">
      <w:pPr>
        <w:keepNext w:val="0"/>
        <w:keepLines w:val="0"/>
        <w:pageBreakBefore w:val="0"/>
        <w:widowControl/>
        <w:spacing w:line="360" w:lineRule="auto"/>
        <w:ind w:firstLine="950"/>
        <w:rPr>
          <w:rFonts w:hint="eastAsia" w:hAnsi="宋体"/>
          <w:color w:val="FF0000"/>
          <w:szCs w:val="24"/>
          <w:lang w:val="en-US" w:eastAsia="zh-CN"/>
        </w:rPr>
      </w:pPr>
      <w:r>
        <w:rPr>
          <w:rFonts w:hint="eastAsia" w:hAnsi="宋体"/>
          <w:color w:val="FF0000"/>
          <w:szCs w:val="24"/>
          <w:lang w:val="en-US" w:eastAsia="zh-CN"/>
        </w:rPr>
        <w:t>附件20报告书评审会会议纪要；</w:t>
      </w:r>
    </w:p>
    <w:p w14:paraId="3A072292">
      <w:pPr>
        <w:keepNext w:val="0"/>
        <w:keepLines w:val="0"/>
        <w:pageBreakBefore w:val="0"/>
        <w:widowControl/>
        <w:spacing w:line="360" w:lineRule="auto"/>
        <w:ind w:firstLine="950"/>
        <w:rPr>
          <w:color w:val="FF0000"/>
          <w:szCs w:val="24"/>
        </w:rPr>
      </w:pPr>
      <w:r>
        <w:rPr>
          <w:rFonts w:hint="eastAsia" w:hAnsi="宋体"/>
          <w:color w:val="FF0000"/>
          <w:szCs w:val="24"/>
          <w:lang w:val="en-US" w:eastAsia="zh-CN"/>
        </w:rPr>
        <w:t>附件21修改说明</w:t>
      </w:r>
      <w:r>
        <w:rPr>
          <w:rFonts w:hint="eastAsia"/>
          <w:color w:val="FF0000"/>
          <w:szCs w:val="24"/>
        </w:rPr>
        <w:t>。</w:t>
      </w:r>
    </w:p>
    <w:p w14:paraId="036E5CA8">
      <w:pPr>
        <w:pStyle w:val="2"/>
        <w:ind w:firstLine="0"/>
        <w:rPr>
          <w:rFonts w:hint="eastAsia"/>
        </w:rPr>
      </w:pPr>
    </w:p>
    <w:p w14:paraId="40EA02B1">
      <w:pPr>
        <w:spacing w:line="540" w:lineRule="exact"/>
        <w:ind w:firstLine="0"/>
        <w:rPr>
          <w:b/>
        </w:rPr>
        <w:sectPr>
          <w:footerReference r:id="rId11" w:type="default"/>
          <w:pgSz w:w="11906" w:h="16838" w:orient="landscape"/>
          <w:pgMar w:top="1440" w:right="1797" w:bottom="1440" w:left="1797" w:header="850" w:footer="992" w:gutter="0"/>
          <w:pgNumType w:start="1"/>
          <w:cols w:space="1701" w:num="1"/>
        </w:sectPr>
      </w:pPr>
    </w:p>
    <w:bookmarkEnd w:id="14"/>
    <w:p w14:paraId="39F44A4A">
      <w:pPr>
        <w:pStyle w:val="186"/>
        <w:ind w:firstLine="640"/>
        <w:rPr>
          <w:rFonts w:hint="eastAsia"/>
        </w:rPr>
      </w:pPr>
      <w:bookmarkStart w:id="15" w:name="_Toc32473"/>
      <w:r>
        <w:rPr>
          <w:rFonts w:hint="eastAsia"/>
        </w:rPr>
        <w:t>第一章  概 述</w:t>
      </w:r>
      <w:bookmarkEnd w:id="15"/>
    </w:p>
    <w:p w14:paraId="23C19A18">
      <w:pPr>
        <w:pStyle w:val="187"/>
        <w:rPr>
          <w:rFonts w:hint="eastAsia" w:ascii="Times New Roman" w:hAnsi="Times New Roman"/>
        </w:rPr>
      </w:pPr>
      <w:bookmarkStart w:id="16" w:name="_Toc17175"/>
      <w:r>
        <w:rPr>
          <w:rFonts w:hint="eastAsia" w:ascii="Times New Roman" w:hAnsi="Times New Roman"/>
        </w:rPr>
        <w:t>1.1项目建设背景</w:t>
      </w:r>
      <w:bookmarkEnd w:id="16"/>
    </w:p>
    <w:p w14:paraId="3CA65980">
      <w:pPr>
        <w:ind w:firstLine="480"/>
        <w:rPr>
          <w:rFonts w:eastAsia="宋体"/>
          <w:szCs w:val="22"/>
          <w:lang w:val="en-US" w:eastAsia="zh-CN"/>
        </w:rPr>
      </w:pPr>
      <w:r>
        <w:rPr>
          <w:rFonts w:hint="eastAsia"/>
          <w:szCs w:val="22"/>
        </w:rPr>
        <w:t>云南永利发林业有限公司成立于2005年11月1日，主要经营范围为竹、木材种植；加工锯材、胶合板、单板、刨花板、密度板、细木工板、集成材、竹制品、树脂胶等。（见附件2营业执照）云南永利发林业有限公司年产10万立方米全竹、竹木复合地板一厂区项目位于德宏州芒市镇大湾村委会街坡村民小组（奥环水泥厂西面），项目于2005年10月开工建设，2006年9月投入生产，项目总占地面积66466m</w:t>
      </w:r>
      <w:r>
        <w:rPr>
          <w:rFonts w:hint="eastAsia"/>
          <w:szCs w:val="22"/>
          <w:vertAlign w:val="superscript"/>
        </w:rPr>
        <w:t>2</w:t>
      </w:r>
      <w:r>
        <w:rPr>
          <w:rFonts w:hint="eastAsia"/>
          <w:szCs w:val="22"/>
        </w:rPr>
        <w:t>，主要建设内包括场地平整、生产厂房、仓库、办公、生活用房的建设等，</w:t>
      </w:r>
      <w:r>
        <w:rPr>
          <w:rFonts w:hint="eastAsia"/>
          <w:szCs w:val="22"/>
          <w:lang w:val="en-US" w:eastAsia="zh-CN"/>
        </w:rPr>
        <w:t>设计年产竹木符合箱用地板、建筑模板、胶合板10万m</w:t>
      </w:r>
      <w:r>
        <w:rPr>
          <w:rFonts w:hint="eastAsia"/>
          <w:szCs w:val="22"/>
          <w:vertAlign w:val="superscript"/>
          <w:lang w:val="en-US" w:eastAsia="zh-CN"/>
        </w:rPr>
        <w:t>3</w:t>
      </w:r>
      <w:r>
        <w:rPr>
          <w:rFonts w:hint="eastAsia"/>
          <w:szCs w:val="22"/>
          <w:lang w:val="en-US" w:eastAsia="zh-CN"/>
        </w:rPr>
        <w:t>。</w:t>
      </w:r>
      <w:r>
        <w:rPr>
          <w:rFonts w:hint="eastAsia"/>
          <w:szCs w:val="22"/>
        </w:rPr>
        <w:t>总投资13000万元，其中环保投资210万元，占投资的1.6%。该项目于2005年10月15日委托云南省德宏州环境科学研究所编制了“云南永利发林业有限公司年产10万立方米全竹、竹木复合地板一厂区建设项目环境影响报告表”，于2006年2月9日取得了德宏州环境保护局准予行政许可决定书，文号为：德环许准（2006）1号（见附件3）；于2010年3月开展了项目环境保护竣工验收，于2010年4月16日取了德宏州环境保护局关于云南永利发林业有限公司年产10万立方米全竹、竹木复合地板一厂区工程环境保护竣工验收的批复，文号为：德环审[2010]35号。（见附件4）</w:t>
      </w:r>
      <w:r>
        <w:rPr>
          <w:rFonts w:hint="eastAsia"/>
          <w:szCs w:val="22"/>
          <w:lang w:val="en-US" w:eastAsia="zh-CN"/>
        </w:rPr>
        <w:t>并且取得了排污许可证（见附件6）。</w:t>
      </w:r>
    </w:p>
    <w:p w14:paraId="09831312">
      <w:pPr>
        <w:ind w:firstLine="480"/>
        <w:rPr>
          <w:rFonts w:hint="eastAsia"/>
          <w:color w:val="000000"/>
          <w:szCs w:val="22"/>
        </w:rPr>
      </w:pPr>
      <w:r>
        <w:rPr>
          <w:rFonts w:hint="eastAsia"/>
          <w:szCs w:val="22"/>
        </w:rPr>
        <w:t>考虑到企业发展需要，云南永利发林业有限公司</w:t>
      </w:r>
      <w:r>
        <w:rPr>
          <w:rFonts w:hint="eastAsia"/>
          <w:color w:val="000000"/>
          <w:szCs w:val="22"/>
        </w:rPr>
        <w:t>决定投资100万元，</w:t>
      </w:r>
      <w:r>
        <w:rPr>
          <w:rFonts w:hint="eastAsia" w:ascii="Times New Roman" w:hAnsi="Times New Roman" w:cs="Times New Roman"/>
          <w:bCs/>
          <w:spacing w:val="4"/>
          <w:sz w:val="24"/>
          <w:szCs w:val="24"/>
          <w:lang w:val="en-US" w:eastAsia="zh-CN"/>
        </w:rPr>
        <w:t>在原有项目的基础上，对板材生产工艺进行技改，</w:t>
      </w:r>
      <w:r>
        <w:rPr>
          <w:rFonts w:hint="eastAsia"/>
          <w:color w:val="000000"/>
          <w:szCs w:val="22"/>
        </w:rPr>
        <w:t>增设制胶生产线1条，项目改扩建完成后，年产10万立方米全竹、竹木复合地板，年产5000吨胶水。该项目于2019年11月7日已经取得了芒市发展和改革局下发的“投资项目备案证”，文号为芒发改备案[2019]232号。（见附件</w:t>
      </w:r>
      <w:r>
        <w:rPr>
          <w:rFonts w:hint="eastAsia"/>
          <w:color w:val="000000"/>
          <w:szCs w:val="22"/>
          <w:lang w:val="en-US" w:eastAsia="zh-CN"/>
        </w:rPr>
        <w:t>7</w:t>
      </w:r>
      <w:r>
        <w:rPr>
          <w:rFonts w:hint="eastAsia"/>
          <w:color w:val="000000"/>
          <w:szCs w:val="22"/>
        </w:rPr>
        <w:t xml:space="preserve">）  </w:t>
      </w:r>
    </w:p>
    <w:p w14:paraId="1A181618">
      <w:pPr>
        <w:ind w:firstLine="480"/>
        <w:rPr>
          <w:rFonts w:hint="eastAsia"/>
          <w:color w:val="FF0000"/>
          <w:szCs w:val="24"/>
          <w:lang w:val="en-US" w:eastAsia="zh-CN"/>
        </w:rPr>
      </w:pPr>
      <w:r>
        <w:rPr>
          <w:rFonts w:hint="eastAsia"/>
          <w:color w:val="FF0000"/>
          <w:szCs w:val="24"/>
          <w:lang w:val="en-US" w:eastAsia="zh-CN"/>
        </w:rPr>
        <w:t>根据现场调查了解及德宏州生态环境局出具的责令改正违法行为决定书（德环责改字[2020]53号）</w:t>
      </w:r>
      <w:r>
        <w:rPr>
          <w:color w:val="FF0000"/>
          <w:szCs w:val="24"/>
        </w:rPr>
        <w:t>，项目</w:t>
      </w:r>
      <w:r>
        <w:rPr>
          <w:rFonts w:hint="eastAsia"/>
          <w:color w:val="FF0000"/>
          <w:szCs w:val="24"/>
          <w:lang w:val="en-US" w:eastAsia="zh-CN"/>
        </w:rPr>
        <w:t>于2008年11月在厂区内新建制胶车间，2008年12月建成；2011年11月改建有机热载体炉，2012年3月建成，</w:t>
      </w:r>
      <w:r>
        <w:rPr>
          <w:color w:val="FF0000"/>
          <w:szCs w:val="24"/>
        </w:rPr>
        <w:t>属于“未批先建”</w:t>
      </w:r>
      <w:bookmarkStart w:id="17" w:name="_Toc2778"/>
      <w:r>
        <w:rPr>
          <w:color w:val="FF0000"/>
          <w:szCs w:val="24"/>
        </w:rPr>
        <w:t>，</w:t>
      </w:r>
      <w:r>
        <w:rPr>
          <w:rFonts w:hint="eastAsia"/>
          <w:color w:val="FF0000"/>
          <w:szCs w:val="24"/>
          <w:lang w:val="en-US" w:eastAsia="zh-CN"/>
        </w:rPr>
        <w:t>根据</w:t>
      </w:r>
      <w:r>
        <w:rPr>
          <w:color w:val="FF0000"/>
          <w:szCs w:val="24"/>
        </w:rPr>
        <w:t>环保部《关于建设项目“未批先建”违法行为法律适用问题的意见》(环政法函[2018]31号)中明确规定，根据</w:t>
      </w:r>
      <w:r>
        <w:rPr>
          <w:rFonts w:hint="eastAsia"/>
          <w:color w:val="FF0000"/>
          <w:szCs w:val="24"/>
          <w:lang w:eastAsia="zh-CN"/>
        </w:rPr>
        <w:t>《中华人民共和国行政处罚法》</w:t>
      </w:r>
      <w:r>
        <w:rPr>
          <w:color w:val="FF0000"/>
          <w:szCs w:val="24"/>
        </w:rPr>
        <w:t>第二十九条的规定，即违法行为在二年内未被发现的，不再给予行政处罚</w:t>
      </w:r>
      <w:r>
        <w:rPr>
          <w:rFonts w:hint="eastAsia"/>
          <w:color w:val="FF0000"/>
          <w:szCs w:val="24"/>
          <w:lang w:val="en-US" w:eastAsia="zh-CN"/>
        </w:rPr>
        <w:t>。</w:t>
      </w:r>
    </w:p>
    <w:p w14:paraId="590C82D5">
      <w:pPr>
        <w:ind w:firstLine="480"/>
        <w:rPr>
          <w:color w:val="FF0000"/>
          <w:szCs w:val="24"/>
          <w:lang w:val="en-US" w:eastAsia="zh-CN"/>
        </w:rPr>
      </w:pPr>
      <w:r>
        <w:rPr>
          <w:rFonts w:hint="eastAsia"/>
          <w:color w:val="FF0000"/>
          <w:szCs w:val="24"/>
          <w:lang w:val="en-US" w:eastAsia="zh-CN"/>
        </w:rPr>
        <w:t>制胶车间2014年1月1日投入生产，2019年11月20日停产；有机热载体炉于2012年10月投入使用，2019年12月20日停止运行。制胶车间、热载体炉项目配套建设的环境保护设施未经验收投入使用，属于“未验先投”，建设单位已经按照德宏州生态环境局责令改正要求：停止建设，停产，完善相关环保手续，因此不再给予行政处罚。</w:t>
      </w:r>
    </w:p>
    <w:p w14:paraId="09566D1D">
      <w:pPr>
        <w:rPr>
          <w:rFonts w:hint="eastAsia" w:eastAsia="宋体"/>
          <w:szCs w:val="24"/>
          <w:lang w:val="en-US" w:eastAsia="zh-CN"/>
        </w:rPr>
      </w:pPr>
      <w:r>
        <w:rPr>
          <w:szCs w:val="24"/>
        </w:rPr>
        <w:t>根据《中华人民共和国环境保护法》（2015年1月1日实施）、《中华人民共和国环境影响评价法》（2018修正版)、《建设项目环境保护管理条例》和《云南省建设项目环境保护管理规定》等法律法规的规定，为了完善了相关环保手续，受建设单位委托，</w:t>
      </w:r>
      <w:r>
        <w:rPr>
          <w:szCs w:val="22"/>
        </w:rPr>
        <w:t>云南大学科技咨询发展中心</w:t>
      </w:r>
      <w:r>
        <w:rPr>
          <w:szCs w:val="24"/>
        </w:rPr>
        <w:t>承担本项目的环境影响评价工作（见附件1委托书）</w:t>
      </w:r>
      <w:r>
        <w:rPr>
          <w:rFonts w:hint="eastAsia"/>
          <w:szCs w:val="24"/>
          <w:lang w:eastAsia="zh-CN"/>
        </w:rPr>
        <w:t>。</w:t>
      </w:r>
    </w:p>
    <w:p w14:paraId="5B25AAFD">
      <w:pPr>
        <w:ind w:firstLine="480"/>
        <w:rPr>
          <w:rFonts w:hint="eastAsia" w:ascii="宋体" w:hAnsi="宋体"/>
          <w:szCs w:val="24"/>
        </w:rPr>
      </w:pPr>
      <w:r>
        <w:rPr>
          <w:rFonts w:ascii="宋体" w:hAnsi="宋体"/>
          <w:szCs w:val="24"/>
        </w:rPr>
        <w:t>按照《建设项目环境影响评价分类管理名录》（环境保护部令第</w:t>
      </w:r>
      <w:r>
        <w:rPr>
          <w:szCs w:val="24"/>
        </w:rPr>
        <w:t>44</w:t>
      </w:r>
      <w:r>
        <w:rPr>
          <w:rFonts w:ascii="宋体" w:hAnsi="宋体"/>
          <w:szCs w:val="24"/>
        </w:rPr>
        <w:t>号</w:t>
      </w:r>
      <w:r>
        <w:rPr>
          <w:szCs w:val="24"/>
        </w:rPr>
        <w:t>&lt;</w:t>
      </w:r>
      <w:r>
        <w:rPr>
          <w:rFonts w:ascii="宋体" w:hAnsi="宋体"/>
          <w:szCs w:val="24"/>
        </w:rPr>
        <w:t>修改版</w:t>
      </w:r>
      <w:r>
        <w:rPr>
          <w:szCs w:val="24"/>
        </w:rPr>
        <w:t>&gt;</w:t>
      </w:r>
      <w:r>
        <w:rPr>
          <w:rFonts w:ascii="宋体" w:hAnsi="宋体"/>
          <w:szCs w:val="24"/>
        </w:rPr>
        <w:t>）本项目</w:t>
      </w:r>
      <w:r>
        <w:rPr>
          <w:rFonts w:hint="eastAsia" w:ascii="宋体" w:hAnsi="宋体"/>
          <w:szCs w:val="24"/>
        </w:rPr>
        <w:t>属于</w:t>
      </w:r>
      <w:r>
        <w:rPr>
          <w:rFonts w:hint="eastAsia" w:ascii="宋体" w:hAnsi="宋体"/>
          <w:szCs w:val="24"/>
          <w:lang w:val="en-US" w:eastAsia="zh-CN"/>
        </w:rPr>
        <w:t>第“九、木材加工和木、竹、藤、棕、草制品业”中“26竹、藤、棕、草制品制造”；</w:t>
      </w:r>
      <w:r>
        <w:rPr>
          <w:rFonts w:hint="eastAsia" w:ascii="宋体" w:hAnsi="宋体"/>
          <w:szCs w:val="24"/>
        </w:rPr>
        <w:t>第“十五、化学原料和化学制品制造业”中“36基本化学原料制造；农药制造；涂料、染料、颜料、油墨及其类似产品制造；合成材料制造；专用化学品制造；炸药、火工及焰火产品制造；水处理剂等制造”，本项目</w:t>
      </w:r>
      <w:r>
        <w:rPr>
          <w:rFonts w:hint="eastAsia" w:ascii="宋体" w:hAnsi="宋体"/>
          <w:szCs w:val="24"/>
          <w:lang w:val="en-US" w:eastAsia="zh-CN"/>
        </w:rPr>
        <w:t>涉及胶水制造，</w:t>
      </w:r>
      <w:r>
        <w:rPr>
          <w:rFonts w:hint="eastAsia" w:ascii="宋体" w:hAnsi="宋体"/>
          <w:szCs w:val="24"/>
        </w:rPr>
        <w:t>不属于单纯混合或分装</w:t>
      </w:r>
      <w:r>
        <w:rPr>
          <w:rFonts w:ascii="宋体" w:hAnsi="宋体"/>
          <w:szCs w:val="24"/>
        </w:rPr>
        <w:t>，</w:t>
      </w:r>
      <w:r>
        <w:rPr>
          <w:rFonts w:hint="eastAsia" w:ascii="宋体" w:hAnsi="宋体"/>
          <w:szCs w:val="24"/>
        </w:rPr>
        <w:t>因此</w:t>
      </w:r>
      <w:r>
        <w:rPr>
          <w:rFonts w:ascii="宋体" w:hAnsi="宋体"/>
          <w:szCs w:val="24"/>
        </w:rPr>
        <w:t>应编制环境影响报告</w:t>
      </w:r>
      <w:r>
        <w:rPr>
          <w:rFonts w:hint="eastAsia" w:ascii="宋体" w:hAnsi="宋体"/>
          <w:szCs w:val="24"/>
        </w:rPr>
        <w:t>书</w:t>
      </w:r>
      <w:r>
        <w:rPr>
          <w:rFonts w:ascii="宋体" w:hAnsi="宋体"/>
          <w:szCs w:val="24"/>
        </w:rPr>
        <w:t>。</w:t>
      </w:r>
      <w:r>
        <w:rPr>
          <w:rFonts w:hint="eastAsia" w:ascii="宋体" w:hAnsi="宋体"/>
          <w:szCs w:val="24"/>
        </w:rPr>
        <w:t>我单位在接受委托后立即组成了工作组，对项目区环境现状开展了实地调查、资料收集，并委托监测单位进行了现状监测等相关工作，在此基础上，按照国家有关技术规范，编制完成了环境影响报告书，以供建设单位上报审批。</w:t>
      </w:r>
    </w:p>
    <w:p w14:paraId="6D60A8A5">
      <w:pPr>
        <w:pStyle w:val="187"/>
        <w:rPr>
          <w:rFonts w:hint="eastAsia"/>
          <w:sz w:val="24"/>
          <w:szCs w:val="22"/>
        </w:rPr>
      </w:pPr>
      <w:bookmarkStart w:id="18" w:name="_Toc29211"/>
      <w:r>
        <w:rPr>
          <w:rFonts w:hint="eastAsia" w:ascii="Times New Roman" w:hAnsi="Times New Roman"/>
        </w:rPr>
        <w:t>1.2环境影响评价工作过程</w:t>
      </w:r>
      <w:bookmarkEnd w:id="17"/>
      <w:bookmarkEnd w:id="18"/>
    </w:p>
    <w:p w14:paraId="793C1D3F">
      <w:pPr>
        <w:keepNext w:val="0"/>
        <w:keepLines w:val="0"/>
        <w:pageBreakBefore w:val="0"/>
        <w:widowControl w:val="0"/>
        <w:spacing w:line="360" w:lineRule="auto"/>
        <w:ind w:firstLine="480"/>
        <w:outlineLvl w:val="9"/>
        <w:rPr>
          <w:rFonts w:hint="eastAsia"/>
          <w:color w:val="FF0000"/>
          <w:sz w:val="24"/>
        </w:rPr>
      </w:pPr>
      <w:r>
        <w:rPr>
          <w:rFonts w:hint="eastAsia"/>
          <w:szCs w:val="22"/>
        </w:rPr>
        <w:t>云南大学科技咨询发展中心于2019年</w:t>
      </w:r>
      <w:r>
        <w:rPr>
          <w:rFonts w:hint="eastAsia"/>
          <w:szCs w:val="22"/>
          <w:lang w:val="en-US" w:eastAsia="zh-CN"/>
        </w:rPr>
        <w:t>7</w:t>
      </w:r>
      <w:r>
        <w:rPr>
          <w:rFonts w:hint="eastAsia"/>
          <w:szCs w:val="22"/>
        </w:rPr>
        <w:t>月</w:t>
      </w:r>
      <w:r>
        <w:rPr>
          <w:rFonts w:hint="eastAsia"/>
          <w:szCs w:val="22"/>
          <w:lang w:val="en-US" w:eastAsia="zh-CN"/>
        </w:rPr>
        <w:t>8</w:t>
      </w:r>
      <w:r>
        <w:rPr>
          <w:rFonts w:hint="eastAsia"/>
          <w:szCs w:val="22"/>
        </w:rPr>
        <w:t>日接受建设单位委托后，成立了工作小组，</w:t>
      </w:r>
      <w:r>
        <w:rPr>
          <w:rFonts w:hint="eastAsia"/>
        </w:rPr>
        <w:t>收集并研究了有关政策和相关法律法规文件，并进行了现场踏勘和资料调研，初步认为本项目选址合理；建设单位于2019年11月15日进行了第</w:t>
      </w:r>
      <w:r>
        <w:rPr>
          <w:rFonts w:hint="eastAsia"/>
          <w:color w:val="000000"/>
        </w:rPr>
        <w:t>一次信息公示，公示时间为2019年11月15日~11月29日（共计10个工作日）；20</w:t>
      </w:r>
      <w:r>
        <w:rPr>
          <w:rFonts w:hint="eastAsia"/>
          <w:color w:val="000000"/>
          <w:lang w:val="en-US" w:eastAsia="zh-CN"/>
        </w:rPr>
        <w:t>20</w:t>
      </w:r>
      <w:r>
        <w:rPr>
          <w:rFonts w:hint="eastAsia"/>
          <w:color w:val="000000"/>
        </w:rPr>
        <w:t>年</w:t>
      </w:r>
      <w:r>
        <w:rPr>
          <w:rFonts w:hint="eastAsia"/>
          <w:color w:val="000000"/>
          <w:lang w:val="en-US" w:eastAsia="zh-CN"/>
        </w:rPr>
        <w:t>4</w:t>
      </w:r>
      <w:r>
        <w:rPr>
          <w:rFonts w:hint="eastAsia"/>
          <w:color w:val="000000"/>
        </w:rPr>
        <w:t>月在环评报告书征求意见稿形成后，进行了第二次环境影响评价信息公开</w:t>
      </w:r>
      <w:r>
        <w:rPr>
          <w:rFonts w:hint="eastAsia"/>
          <w:color w:val="000000"/>
          <w:lang w:eastAsia="zh-CN"/>
        </w:rPr>
        <w:t>；</w:t>
      </w:r>
      <w:r>
        <w:rPr>
          <w:rFonts w:hint="eastAsia"/>
          <w:color w:val="000000"/>
          <w:lang w:val="en-US" w:eastAsia="zh-CN"/>
        </w:rPr>
        <w:t>建设单位以</w:t>
      </w:r>
      <w:r>
        <w:rPr>
          <w:rFonts w:hint="eastAsia"/>
          <w:color w:val="000000"/>
        </w:rPr>
        <w:t>环评</w:t>
      </w:r>
      <w:r>
        <w:rPr>
          <w:rFonts w:hint="eastAsia"/>
          <w:color w:val="000000"/>
          <w:lang w:val="en-US" w:eastAsia="zh-CN"/>
        </w:rPr>
        <w:t>论坛</w:t>
      </w:r>
      <w:r>
        <w:rPr>
          <w:rFonts w:hint="eastAsia"/>
          <w:color w:val="000000"/>
        </w:rPr>
        <w:t>、现场张贴等公开方式同步进行，</w:t>
      </w:r>
      <w:r>
        <w:rPr>
          <w:color w:val="000000"/>
        </w:rPr>
        <w:t>公示期间未收到任何公众反馈意见；于20</w:t>
      </w:r>
      <w:r>
        <w:rPr>
          <w:rFonts w:hint="eastAsia"/>
          <w:color w:val="000000"/>
          <w:lang w:val="en-US" w:eastAsia="zh-CN"/>
        </w:rPr>
        <w:t>20</w:t>
      </w:r>
      <w:r>
        <w:rPr>
          <w:color w:val="000000"/>
        </w:rPr>
        <w:t>年</w:t>
      </w:r>
      <w:r>
        <w:rPr>
          <w:rFonts w:hint="eastAsia"/>
          <w:color w:val="000000"/>
          <w:lang w:val="en-US" w:eastAsia="zh-CN"/>
        </w:rPr>
        <w:t>4</w:t>
      </w:r>
      <w:r>
        <w:rPr>
          <w:color w:val="000000"/>
        </w:rPr>
        <w:t>月编制完成了《</w:t>
      </w:r>
      <w:r>
        <w:rPr>
          <w:rFonts w:hint="eastAsia"/>
          <w:color w:val="000000"/>
        </w:rPr>
        <w:t>云南永利发林业有限公司年产10万立方米全竹、竹木复合地板一厂区改扩建项目</w:t>
      </w:r>
      <w:r>
        <w:rPr>
          <w:color w:val="000000"/>
        </w:rPr>
        <w:t>环境影响报告书（送审稿）》</w:t>
      </w:r>
      <w:r>
        <w:rPr>
          <w:rFonts w:hint="eastAsia"/>
          <w:color w:val="000000"/>
        </w:rPr>
        <w:t>，</w:t>
      </w:r>
      <w:r>
        <w:rPr>
          <w:rFonts w:hint="eastAsia"/>
          <w:color w:val="FF0000"/>
          <w:sz w:val="24"/>
          <w:szCs w:val="24"/>
          <w:lang w:val="en-US" w:eastAsia="zh-CN"/>
        </w:rPr>
        <w:t>于</w:t>
      </w:r>
      <w:r>
        <w:rPr>
          <w:rFonts w:ascii="Times New Roman" w:hAnsi="Times New Roman" w:cs="Times New Roman"/>
          <w:color w:val="FF0000"/>
          <w:sz w:val="24"/>
        </w:rPr>
        <w:t>20</w:t>
      </w:r>
      <w:r>
        <w:rPr>
          <w:rFonts w:hint="eastAsia" w:ascii="Times New Roman" w:hAnsi="Times New Roman" w:cs="Times New Roman"/>
          <w:color w:val="FF0000"/>
          <w:sz w:val="24"/>
          <w:lang w:val="en-US" w:eastAsia="zh-CN"/>
        </w:rPr>
        <w:t>20</w:t>
      </w:r>
      <w:r>
        <w:rPr>
          <w:rFonts w:ascii="Times New Roman" w:hAnsi="Times New Roman" w:cs="Times New Roman"/>
          <w:color w:val="FF0000"/>
          <w:sz w:val="24"/>
        </w:rPr>
        <w:t>年</w:t>
      </w:r>
      <w:r>
        <w:rPr>
          <w:rFonts w:hint="eastAsia" w:ascii="Times New Roman" w:hAnsi="Times New Roman" w:cs="Times New Roman"/>
          <w:color w:val="FF0000"/>
          <w:sz w:val="24"/>
          <w:lang w:val="en-US" w:eastAsia="zh-CN"/>
        </w:rPr>
        <w:t>4</w:t>
      </w:r>
      <w:r>
        <w:rPr>
          <w:rFonts w:ascii="Times New Roman" w:hAnsi="Times New Roman" w:cs="Times New Roman"/>
          <w:color w:val="FF0000"/>
          <w:sz w:val="24"/>
        </w:rPr>
        <w:t>月</w:t>
      </w:r>
      <w:r>
        <w:rPr>
          <w:rFonts w:hint="eastAsia" w:ascii="Times New Roman" w:hAnsi="Times New Roman" w:cs="Times New Roman"/>
          <w:color w:val="FF0000"/>
          <w:sz w:val="24"/>
          <w:lang w:val="en-US" w:eastAsia="zh-CN"/>
        </w:rPr>
        <w:t>27</w:t>
      </w:r>
      <w:r>
        <w:rPr>
          <w:rFonts w:ascii="Times New Roman" w:hAnsi="Times New Roman" w:cs="Times New Roman"/>
          <w:color w:val="FF0000"/>
          <w:sz w:val="24"/>
        </w:rPr>
        <w:t>日</w:t>
      </w:r>
      <w:r>
        <w:rPr>
          <w:rFonts w:hint="eastAsia" w:ascii="Times New Roman" w:hAnsi="Times New Roman" w:cs="Times New Roman"/>
          <w:color w:val="FF0000"/>
          <w:sz w:val="24"/>
          <w:lang w:val="en-US" w:eastAsia="zh-CN"/>
        </w:rPr>
        <w:t>德宏州生态环境局芒市分局</w:t>
      </w:r>
      <w:r>
        <w:rPr>
          <w:rFonts w:ascii="Times New Roman" w:hAnsi="Times New Roman" w:cs="Times New Roman"/>
          <w:color w:val="FF0000"/>
          <w:sz w:val="24"/>
        </w:rPr>
        <w:t>组织有关专家和相关单位召开了</w:t>
      </w:r>
      <w:r>
        <w:rPr>
          <w:rFonts w:ascii="Times New Roman" w:hAnsi="Times New Roman" w:cs="Times New Roman"/>
          <w:color w:val="FF0000"/>
          <w:sz w:val="24"/>
          <w:lang w:eastAsia="zh-CN"/>
        </w:rPr>
        <w:t>报告</w:t>
      </w:r>
      <w:r>
        <w:rPr>
          <w:rFonts w:hint="eastAsia" w:ascii="Times New Roman" w:hAnsi="Times New Roman" w:cs="Times New Roman"/>
          <w:color w:val="FF0000"/>
          <w:sz w:val="24"/>
          <w:lang w:val="en-US" w:eastAsia="zh-CN"/>
        </w:rPr>
        <w:t>书技术评审会</w:t>
      </w:r>
      <w:r>
        <w:rPr>
          <w:rFonts w:ascii="Times New Roman" w:hAnsi="Times New Roman" w:cs="Times New Roman"/>
          <w:color w:val="FF0000"/>
          <w:sz w:val="24"/>
        </w:rPr>
        <w:t>，之后在专家评审意见的基础之上，修改完善形成了</w:t>
      </w:r>
      <w:r>
        <w:rPr>
          <w:rFonts w:hint="eastAsia" w:ascii="Times New Roman" w:hAnsi="Times New Roman" w:cs="Times New Roman"/>
          <w:color w:val="FF0000"/>
          <w:sz w:val="24"/>
          <w:lang w:eastAsia="zh-CN"/>
        </w:rPr>
        <w:t>《</w:t>
      </w:r>
      <w:r>
        <w:rPr>
          <w:rFonts w:hint="eastAsia"/>
          <w:color w:val="FF0000"/>
        </w:rPr>
        <w:t>云南永利发林业有限公司年产10万立方米全竹、竹木复合地板一厂区改扩建项目</w:t>
      </w:r>
      <w:r>
        <w:rPr>
          <w:color w:val="FF0000"/>
        </w:rPr>
        <w:t>环境影响报告书</w:t>
      </w:r>
      <w:r>
        <w:rPr>
          <w:rFonts w:ascii="Times New Roman" w:hAnsi="Times New Roman" w:cs="Times New Roman"/>
          <w:color w:val="FF0000"/>
          <w:sz w:val="24"/>
        </w:rPr>
        <w:t>（报批稿）</w:t>
      </w:r>
      <w:r>
        <w:rPr>
          <w:rFonts w:ascii="Times New Roman" w:hAnsi="Times New Roman" w:cs="Times New Roman"/>
          <w:color w:val="FF0000"/>
          <w:sz w:val="24"/>
          <w:lang w:eastAsia="zh-CN"/>
        </w:rPr>
        <w:t>》</w:t>
      </w:r>
      <w:r>
        <w:rPr>
          <w:rFonts w:ascii="Times New Roman" w:hAnsi="Times New Roman" w:cs="Times New Roman"/>
          <w:color w:val="FF0000"/>
          <w:sz w:val="24"/>
        </w:rPr>
        <w:t>，以供建设单位上报审批。</w:t>
      </w:r>
    </w:p>
    <w:p w14:paraId="215482FE">
      <w:pPr>
        <w:pStyle w:val="187"/>
        <w:rPr>
          <w:rFonts w:hint="eastAsia" w:ascii="Times New Roman" w:hAnsi="Times New Roman"/>
        </w:rPr>
      </w:pPr>
      <w:bookmarkStart w:id="19" w:name="_Toc28422"/>
      <w:r>
        <w:rPr>
          <w:rFonts w:hint="eastAsia" w:ascii="Times New Roman" w:hAnsi="Times New Roman"/>
        </w:rPr>
        <w:t>1.3建设项目的特点</w:t>
      </w:r>
      <w:bookmarkEnd w:id="19"/>
    </w:p>
    <w:p w14:paraId="5D2E0309">
      <w:pPr>
        <w:pStyle w:val="2"/>
        <w:ind w:firstLine="496"/>
        <w:rPr>
          <w:rFonts w:hint="eastAsia" w:ascii="Times New Roman" w:hAnsi="Times New Roman" w:cs="Times New Roman"/>
          <w:bCs/>
          <w:spacing w:val="4"/>
          <w:sz w:val="24"/>
          <w:szCs w:val="24"/>
        </w:rPr>
      </w:pPr>
      <w:r>
        <w:rPr>
          <w:rFonts w:hint="eastAsia" w:ascii="Times New Roman" w:hAnsi="Times New Roman" w:cs="Times New Roman"/>
          <w:bCs/>
          <w:color w:val="000000"/>
          <w:spacing w:val="4"/>
          <w:sz w:val="24"/>
          <w:szCs w:val="24"/>
        </w:rPr>
        <w:t>项目扩建完成后，</w:t>
      </w:r>
      <w:r>
        <w:rPr>
          <w:rFonts w:hint="eastAsia" w:ascii="Times New Roman" w:hAnsi="Times New Roman" w:cs="Times New Roman"/>
          <w:bCs/>
          <w:color w:val="000000"/>
          <w:spacing w:val="4"/>
          <w:sz w:val="24"/>
          <w:szCs w:val="24"/>
          <w:lang w:val="en-US" w:eastAsia="zh-CN"/>
        </w:rPr>
        <w:t>总用地</w:t>
      </w:r>
      <w:r>
        <w:rPr>
          <w:rFonts w:ascii="Times New Roman" w:hAnsi="Times New Roman" w:cs="Times New Roman"/>
          <w:bCs/>
          <w:color w:val="000000"/>
          <w:spacing w:val="4"/>
          <w:sz w:val="24"/>
          <w:szCs w:val="24"/>
          <w:lang w:val="en-US" w:eastAsia="zh-CN"/>
        </w:rPr>
        <w:t>面积</w:t>
      </w:r>
      <w:r>
        <w:rPr>
          <w:rFonts w:ascii="Times New Roman" w:hAnsi="Times New Roman" w:cs="Times New Roman"/>
          <w:bCs/>
          <w:color w:val="000000"/>
          <w:spacing w:val="4"/>
          <w:sz w:val="24"/>
          <w:szCs w:val="24"/>
        </w:rPr>
        <w:t>77042.6m</w:t>
      </w:r>
      <w:r>
        <w:rPr>
          <w:rFonts w:ascii="Times New Roman" w:hAnsi="Times New Roman" w:cs="Times New Roman"/>
          <w:bCs/>
          <w:color w:val="000000"/>
          <w:spacing w:val="4"/>
          <w:sz w:val="24"/>
          <w:szCs w:val="24"/>
          <w:vertAlign w:val="superscript"/>
        </w:rPr>
        <w:t>2</w:t>
      </w:r>
      <w:r>
        <w:rPr>
          <w:rFonts w:ascii="Times New Roman" w:hAnsi="Times New Roman" w:cs="Times New Roman"/>
          <w:bCs/>
          <w:color w:val="000000"/>
          <w:spacing w:val="4"/>
          <w:sz w:val="24"/>
          <w:szCs w:val="24"/>
        </w:rPr>
        <w:t>，</w:t>
      </w:r>
      <w:r>
        <w:rPr>
          <w:rFonts w:ascii="Times New Roman" w:hAnsi="Times New Roman" w:cs="Times New Roman"/>
          <w:bCs/>
          <w:color w:val="000000"/>
          <w:spacing w:val="4"/>
          <w:sz w:val="24"/>
          <w:szCs w:val="24"/>
          <w:lang w:val="en-US" w:eastAsia="zh-CN"/>
        </w:rPr>
        <w:t>新增用地面积</w:t>
      </w:r>
      <w:r>
        <w:rPr>
          <w:rFonts w:ascii="Times New Roman" w:hAnsi="Times New Roman" w:cs="Times New Roman"/>
          <w:bCs/>
          <w:color w:val="000000"/>
          <w:spacing w:val="4"/>
          <w:sz w:val="24"/>
          <w:szCs w:val="24"/>
        </w:rPr>
        <w:t>1004.1m</w:t>
      </w:r>
      <w:r>
        <w:rPr>
          <w:rFonts w:ascii="Times New Roman" w:hAnsi="Times New Roman" w:cs="Times New Roman"/>
          <w:bCs/>
          <w:color w:val="000000"/>
          <w:spacing w:val="4"/>
          <w:sz w:val="24"/>
          <w:szCs w:val="24"/>
          <w:vertAlign w:val="superscript"/>
        </w:rPr>
        <w:t>2</w:t>
      </w:r>
      <w:r>
        <w:rPr>
          <w:rFonts w:ascii="Times New Roman" w:hAnsi="Times New Roman" w:cs="Times New Roman"/>
          <w:bCs/>
          <w:color w:val="000000"/>
          <w:spacing w:val="4"/>
          <w:sz w:val="24"/>
          <w:szCs w:val="24"/>
          <w:vertAlign w:val="baseline"/>
          <w:lang w:eastAsia="zh-CN"/>
        </w:rPr>
        <w:t>。</w:t>
      </w:r>
      <w:r>
        <w:rPr>
          <w:rFonts w:ascii="Times New Roman" w:hAnsi="Times New Roman" w:cs="Times New Roman"/>
          <w:bCs/>
          <w:color w:val="000000"/>
          <w:spacing w:val="4"/>
          <w:sz w:val="24"/>
          <w:szCs w:val="24"/>
        </w:rPr>
        <w:t>总建筑面积为</w:t>
      </w:r>
      <w:r>
        <w:rPr>
          <w:rFonts w:hint="eastAsia" w:ascii="Times New Roman" w:hAnsi="Times New Roman" w:cs="Times New Roman"/>
          <w:bCs/>
          <w:color w:val="000000"/>
          <w:spacing w:val="4"/>
          <w:sz w:val="24"/>
          <w:szCs w:val="24"/>
          <w:lang w:val="en-US" w:eastAsia="zh-CN"/>
        </w:rPr>
        <w:t>42472.24</w:t>
      </w:r>
      <w:r>
        <w:rPr>
          <w:rFonts w:ascii="Times New Roman" w:hAnsi="Times New Roman" w:cs="Times New Roman"/>
          <w:bCs/>
          <w:color w:val="000000"/>
          <w:spacing w:val="4"/>
          <w:sz w:val="24"/>
          <w:szCs w:val="24"/>
        </w:rPr>
        <w:t>m</w:t>
      </w:r>
      <w:r>
        <w:rPr>
          <w:rFonts w:ascii="Times New Roman" w:hAnsi="Times New Roman" w:cs="Times New Roman"/>
          <w:bCs/>
          <w:color w:val="000000"/>
          <w:spacing w:val="4"/>
          <w:sz w:val="24"/>
          <w:szCs w:val="24"/>
          <w:vertAlign w:val="superscript"/>
        </w:rPr>
        <w:t>2</w:t>
      </w:r>
      <w:r>
        <w:rPr>
          <w:rFonts w:ascii="Times New Roman" w:hAnsi="Times New Roman" w:cs="Times New Roman"/>
          <w:bCs/>
          <w:color w:val="000000"/>
          <w:spacing w:val="4"/>
          <w:sz w:val="24"/>
          <w:szCs w:val="24"/>
        </w:rPr>
        <w:t>，</w:t>
      </w:r>
      <w:r>
        <w:rPr>
          <w:rFonts w:ascii="Times New Roman" w:hAnsi="Times New Roman" w:cs="Times New Roman"/>
          <w:bCs/>
          <w:color w:val="000000"/>
          <w:spacing w:val="4"/>
          <w:sz w:val="24"/>
          <w:szCs w:val="24"/>
          <w:lang w:val="en-US" w:eastAsia="zh-CN"/>
        </w:rPr>
        <w:t>新增建筑面积</w:t>
      </w:r>
      <w:r>
        <w:rPr>
          <w:rFonts w:hint="eastAsia" w:ascii="Times New Roman" w:hAnsi="Times New Roman" w:cs="Times New Roman"/>
          <w:bCs/>
          <w:color w:val="000000"/>
          <w:spacing w:val="4"/>
          <w:sz w:val="24"/>
          <w:szCs w:val="24"/>
          <w:lang w:val="en-US" w:eastAsia="zh-CN"/>
        </w:rPr>
        <w:t>8797.32</w:t>
      </w:r>
      <w:r>
        <w:rPr>
          <w:rFonts w:ascii="Times New Roman" w:hAnsi="Times New Roman" w:cs="Times New Roman"/>
          <w:bCs/>
          <w:color w:val="000000"/>
          <w:spacing w:val="4"/>
          <w:sz w:val="24"/>
          <w:szCs w:val="24"/>
          <w:lang w:val="en-US" w:eastAsia="zh-CN"/>
        </w:rPr>
        <w:t>m</w:t>
      </w:r>
      <w:r>
        <w:rPr>
          <w:rFonts w:ascii="Times New Roman" w:hAnsi="Times New Roman" w:cs="Times New Roman"/>
          <w:bCs/>
          <w:color w:val="000000"/>
          <w:spacing w:val="4"/>
          <w:sz w:val="24"/>
          <w:szCs w:val="24"/>
          <w:vertAlign w:val="superscript"/>
          <w:lang w:val="en-US" w:eastAsia="zh-CN"/>
        </w:rPr>
        <w:t>2</w:t>
      </w:r>
      <w:r>
        <w:rPr>
          <w:rFonts w:ascii="Times New Roman" w:hAnsi="Times New Roman" w:cs="Times New Roman"/>
          <w:bCs/>
          <w:color w:val="000000"/>
          <w:spacing w:val="4"/>
          <w:sz w:val="24"/>
          <w:szCs w:val="24"/>
          <w:lang w:val="en-US" w:eastAsia="zh-CN"/>
        </w:rPr>
        <w:t>，</w:t>
      </w:r>
      <w:r>
        <w:rPr>
          <w:rFonts w:hint="eastAsia" w:ascii="Times New Roman" w:hAnsi="Times New Roman" w:cs="Times New Roman"/>
          <w:bCs/>
          <w:color w:val="000000"/>
          <w:spacing w:val="4"/>
          <w:sz w:val="24"/>
          <w:szCs w:val="24"/>
        </w:rPr>
        <w:t>整个项目由生产区、办公区、生活区等组成</w:t>
      </w:r>
      <w:r>
        <w:rPr>
          <w:rFonts w:hint="eastAsia" w:ascii="Times New Roman" w:hAnsi="Times New Roman" w:cs="Times New Roman"/>
          <w:bCs/>
          <w:color w:val="000000"/>
          <w:spacing w:val="4"/>
          <w:sz w:val="24"/>
          <w:szCs w:val="24"/>
          <w:lang w:eastAsia="zh-CN"/>
        </w:rPr>
        <w:t>。</w:t>
      </w:r>
      <w:r>
        <w:rPr>
          <w:rFonts w:hint="eastAsia" w:ascii="Times New Roman" w:hAnsi="Times New Roman" w:cs="Times New Roman"/>
          <w:bCs/>
          <w:spacing w:val="4"/>
          <w:sz w:val="24"/>
          <w:szCs w:val="24"/>
          <w:lang w:val="en-US" w:eastAsia="zh-CN"/>
        </w:rPr>
        <w:t>在原有项目的基础上，对板材生产工艺进行技改，并</w:t>
      </w:r>
      <w:r>
        <w:rPr>
          <w:rFonts w:hint="eastAsia" w:ascii="Times New Roman" w:hAnsi="Times New Roman" w:cs="Times New Roman"/>
          <w:bCs/>
          <w:spacing w:val="4"/>
          <w:sz w:val="24"/>
          <w:szCs w:val="24"/>
        </w:rPr>
        <w:t>增设制胶生产线1条，改扩建完成后，年产10万立方米全竹、竹木</w:t>
      </w:r>
      <w:r>
        <w:rPr>
          <w:rFonts w:hint="eastAsia" w:ascii="Times New Roman" w:hAnsi="Times New Roman" w:cs="Times New Roman"/>
          <w:bCs/>
          <w:spacing w:val="4"/>
          <w:sz w:val="24"/>
          <w:szCs w:val="24"/>
          <w:lang w:val="en-US" w:eastAsia="zh-CN"/>
        </w:rPr>
        <w:t>复合</w:t>
      </w:r>
      <w:r>
        <w:rPr>
          <w:rFonts w:hint="eastAsia" w:ascii="Times New Roman" w:hAnsi="Times New Roman" w:cs="Times New Roman"/>
          <w:bCs/>
          <w:spacing w:val="4"/>
          <w:sz w:val="24"/>
          <w:szCs w:val="24"/>
        </w:rPr>
        <w:t>地板，年产5000吨胶水。</w:t>
      </w:r>
    </w:p>
    <w:p w14:paraId="154E615F">
      <w:pPr>
        <w:pStyle w:val="187"/>
        <w:rPr>
          <w:rFonts w:hint="eastAsia" w:ascii="Times New Roman" w:hAnsi="Times New Roman"/>
        </w:rPr>
      </w:pPr>
      <w:bookmarkStart w:id="20" w:name="_Toc8910"/>
      <w:r>
        <w:rPr>
          <w:rFonts w:hint="eastAsia" w:ascii="Times New Roman" w:hAnsi="Times New Roman"/>
        </w:rPr>
        <w:t>1.4分析判定相关情况</w:t>
      </w:r>
      <w:bookmarkEnd w:id="20"/>
    </w:p>
    <w:p w14:paraId="72000A75">
      <w:pPr>
        <w:ind w:firstLine="480"/>
        <w:jc w:val="left"/>
        <w:rPr>
          <w:color w:val="000000"/>
        </w:rPr>
      </w:pPr>
      <w:bookmarkStart w:id="21" w:name="_Hlk876095"/>
      <w:bookmarkStart w:id="22" w:name="_Toc471998580"/>
      <w:r>
        <w:rPr>
          <w:rFonts w:hint="eastAsia"/>
          <w:szCs w:val="22"/>
        </w:rPr>
        <w:t>（1）</w:t>
      </w:r>
      <w:r>
        <w:rPr>
          <w:rFonts w:hint="eastAsia" w:ascii="宋体" w:hAnsi="宋体" w:cs="宋体"/>
          <w:color w:val="000000"/>
          <w:szCs w:val="24"/>
          <w:lang w:bidi="ar"/>
        </w:rPr>
        <w:t>项目不属于</w:t>
      </w:r>
      <w:r>
        <w:rPr>
          <w:rFonts w:ascii="Times New Roman" w:hAnsi="Times New Roman" w:eastAsia="宋体" w:cs="Times New Roman"/>
          <w:color w:val="000000"/>
          <w:sz w:val="24"/>
          <w:szCs w:val="24"/>
          <w:highlight w:val="none"/>
        </w:rPr>
        <w:t>《产业结构调整指导目录（201</w:t>
      </w:r>
      <w:r>
        <w:rPr>
          <w:rFonts w:hint="eastAsia" w:ascii="Times New Roman" w:hAnsi="Times New Roman" w:eastAsia="宋体" w:cs="Times New Roman"/>
          <w:color w:val="000000"/>
          <w:sz w:val="24"/>
          <w:szCs w:val="24"/>
          <w:highlight w:val="none"/>
          <w:lang w:val="en-US" w:eastAsia="zh-CN"/>
        </w:rPr>
        <w:t>9</w:t>
      </w:r>
      <w:r>
        <w:rPr>
          <w:rFonts w:ascii="Times New Roman" w:hAnsi="Times New Roman" w:eastAsia="宋体" w:cs="Times New Roman"/>
          <w:color w:val="000000"/>
          <w:sz w:val="24"/>
          <w:szCs w:val="24"/>
          <w:highlight w:val="none"/>
        </w:rPr>
        <w:t>年本）》</w:t>
      </w:r>
      <w:r>
        <w:rPr>
          <w:rFonts w:hint="eastAsia" w:ascii="宋体" w:hAnsi="宋体" w:cs="宋体"/>
          <w:color w:val="000000"/>
          <w:szCs w:val="24"/>
          <w:lang w:bidi="ar"/>
        </w:rPr>
        <w:t>中“限制类” 和“淘汰类”的范围，属于允许建设项目，生产过程中不使用国家明令禁止的淘汰 类或限制类工艺和设备，符合国家的产业政策</w:t>
      </w:r>
    </w:p>
    <w:p w14:paraId="1742C7DF">
      <w:pPr>
        <w:pStyle w:val="219"/>
        <w:spacing w:after="0"/>
        <w:ind w:firstLine="480"/>
        <w:rPr>
          <w:rFonts w:hint="eastAsia"/>
          <w:sz w:val="24"/>
          <w:szCs w:val="22"/>
        </w:rPr>
      </w:pPr>
      <w:r>
        <w:rPr>
          <w:rFonts w:hint="eastAsia"/>
          <w:sz w:val="24"/>
          <w:szCs w:val="22"/>
        </w:rPr>
        <w:t>（2）符合相关规划，选址布局合理，周边环境对项目的影响不大。</w:t>
      </w:r>
    </w:p>
    <w:p w14:paraId="7E29D4FF">
      <w:pPr>
        <w:pStyle w:val="219"/>
        <w:spacing w:after="0"/>
        <w:ind w:firstLine="480"/>
        <w:rPr>
          <w:rFonts w:hint="eastAsia"/>
          <w:sz w:val="24"/>
          <w:szCs w:val="22"/>
        </w:rPr>
      </w:pPr>
      <w:r>
        <w:rPr>
          <w:rFonts w:hint="eastAsia"/>
          <w:sz w:val="24"/>
          <w:szCs w:val="22"/>
        </w:rPr>
        <w:t>（3）项目不涉及国家及地方自然保护区、风景名胜区、生态保护红线、重要文物古迹及森林公园等环境敏感区域，不存在项目建设的重大环境制约因素。</w:t>
      </w:r>
    </w:p>
    <w:bookmarkEnd w:id="21"/>
    <w:p w14:paraId="2016E7CE">
      <w:pPr>
        <w:pStyle w:val="187"/>
        <w:rPr>
          <w:rFonts w:ascii="Times New Roman" w:hAnsi="Times New Roman"/>
        </w:rPr>
      </w:pPr>
      <w:bookmarkStart w:id="23" w:name="_Toc28297"/>
      <w:r>
        <w:rPr>
          <w:rFonts w:hint="eastAsia" w:ascii="Times New Roman" w:hAnsi="Times New Roman"/>
        </w:rPr>
        <w:t>1</w:t>
      </w:r>
      <w:r>
        <w:rPr>
          <w:rFonts w:ascii="Times New Roman" w:hAnsi="Times New Roman"/>
        </w:rPr>
        <w:t>.</w:t>
      </w:r>
      <w:r>
        <w:rPr>
          <w:rFonts w:hint="eastAsia" w:ascii="Times New Roman" w:hAnsi="Times New Roman"/>
        </w:rPr>
        <w:t>5</w:t>
      </w:r>
      <w:r>
        <w:rPr>
          <w:rFonts w:ascii="Times New Roman" w:hAnsi="Times New Roman"/>
        </w:rPr>
        <w:t xml:space="preserve"> </w:t>
      </w:r>
      <w:r>
        <w:rPr>
          <w:rFonts w:hint="eastAsia" w:ascii="Times New Roman" w:hAnsi="Times New Roman"/>
        </w:rPr>
        <w:t>关注的主要环境问题及环境影响</w:t>
      </w:r>
      <w:bookmarkEnd w:id="22"/>
      <w:bookmarkEnd w:id="23"/>
    </w:p>
    <w:p w14:paraId="0C7D7E7A">
      <w:pPr>
        <w:pStyle w:val="219"/>
        <w:keepNext w:val="0"/>
        <w:keepLines w:val="0"/>
        <w:pageBreakBefore w:val="0"/>
        <w:widowControl/>
        <w:spacing w:after="0" w:line="360" w:lineRule="auto"/>
        <w:ind w:left="0" w:right="0"/>
        <w:jc w:val="both"/>
        <w:rPr>
          <w:rFonts w:ascii="Times New Roman" w:hAnsi="Times New Roman" w:eastAsia="宋体" w:cs="Times New Roman"/>
          <w:sz w:val="24"/>
          <w:szCs w:val="22"/>
          <w:lang w:val="en-US" w:eastAsia="zh-CN" w:bidi="ar-SA"/>
        </w:rPr>
      </w:pPr>
      <w:bookmarkStart w:id="24" w:name="_Toc471998581"/>
      <w:r>
        <w:rPr>
          <w:rFonts w:ascii="Times New Roman" w:hAnsi="Times New Roman" w:eastAsia="宋体" w:cs="Times New Roman"/>
          <w:sz w:val="24"/>
          <w:szCs w:val="22"/>
          <w:lang w:val="en-US" w:eastAsia="zh-CN" w:bidi="ar-SA"/>
        </w:rPr>
        <w:t>1、关注的主要环境问题</w:t>
      </w:r>
    </w:p>
    <w:p w14:paraId="7D8C4A6D">
      <w:pPr>
        <w:pStyle w:val="219"/>
        <w:keepNext w:val="0"/>
        <w:keepLines w:val="0"/>
        <w:pageBreakBefore w:val="0"/>
        <w:widowControl/>
        <w:spacing w:after="0" w:line="360" w:lineRule="auto"/>
        <w:ind w:left="0"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根据项目的特点，本次评价主要关注的环境问题包括：</w:t>
      </w:r>
    </w:p>
    <w:p w14:paraId="3BCADA58">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（1）废气方面</w:t>
      </w:r>
    </w:p>
    <w:p w14:paraId="17EAB9BF">
      <w:pPr>
        <w:pStyle w:val="219"/>
        <w:keepNext w:val="0"/>
        <w:keepLines w:val="0"/>
        <w:pageBreakBefore w:val="0"/>
        <w:widowControl/>
        <w:spacing w:after="0" w:line="360" w:lineRule="auto"/>
        <w:ind w:left="0" w:right="0" w:firstLine="48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主要关注项目反应釜废气、板材加工过程中产生的粉尘、热压废气等及生产车间无组织废气。关注废气污染因子、源强及治理措施， 评价污染物排放对区域环境和周围敏感点的影响程度。</w:t>
      </w:r>
    </w:p>
    <w:p w14:paraId="2E35DF5D">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（2）废水方面</w:t>
      </w:r>
    </w:p>
    <w:p w14:paraId="462CE44A">
      <w:pPr>
        <w:pStyle w:val="219"/>
        <w:keepNext w:val="0"/>
        <w:keepLines w:val="0"/>
        <w:pageBreakBefore w:val="0"/>
        <w:widowControl/>
        <w:spacing w:after="0" w:line="360" w:lineRule="auto"/>
        <w:ind w:left="0" w:right="0" w:firstLine="48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主要关注项目废水处理措施和地下水的防渗相关措施，避免废水进入地下水系统。</w:t>
      </w:r>
    </w:p>
    <w:p w14:paraId="1796D55D">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（3）噪声方面</w:t>
      </w:r>
    </w:p>
    <w:p w14:paraId="4052816B">
      <w:pPr>
        <w:pStyle w:val="219"/>
        <w:keepNext w:val="0"/>
        <w:keepLines w:val="0"/>
        <w:pageBreakBefore w:val="0"/>
        <w:widowControl/>
        <w:spacing w:after="0" w:line="360" w:lineRule="auto"/>
        <w:ind w:left="0"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主要关注噪声源强和厂界噪声达标可行性。</w:t>
      </w:r>
    </w:p>
    <w:p w14:paraId="031B2DE0">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（4）固废方面</w:t>
      </w:r>
    </w:p>
    <w:p w14:paraId="2403FBFD">
      <w:pPr>
        <w:pStyle w:val="219"/>
        <w:keepNext w:val="0"/>
        <w:keepLines w:val="0"/>
        <w:pageBreakBefore w:val="0"/>
        <w:widowControl/>
        <w:spacing w:after="0" w:line="360" w:lineRule="auto"/>
        <w:ind w:left="0"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主要关注危险废物的处置措施和暂存区设置。</w:t>
      </w:r>
    </w:p>
    <w:p w14:paraId="2269BBE3">
      <w:pPr>
        <w:pStyle w:val="219"/>
        <w:keepNext w:val="0"/>
        <w:keepLines w:val="0"/>
        <w:pageBreakBefore w:val="0"/>
        <w:widowControl/>
        <w:spacing w:after="0" w:line="360" w:lineRule="auto"/>
        <w:ind w:left="0" w:right="0"/>
        <w:jc w:val="both"/>
        <w:rPr>
          <w:rFonts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zh-CN" w:bidi="ar-SA"/>
        </w:rPr>
        <w:t>2、项目环境影响</w:t>
      </w:r>
    </w:p>
    <w:p w14:paraId="2A0DF80E">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（1）废气</w:t>
      </w:r>
    </w:p>
    <w:p w14:paraId="10CC5902">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制胶废气：</w:t>
      </w:r>
      <w:r>
        <w:rPr>
          <w:rFonts w:ascii="Times New Roman" w:hAnsi="Times New Roman" w:eastAsia="宋体" w:cs="Times New Roman"/>
          <w:color w:val="000000"/>
          <w:sz w:val="24"/>
          <w:szCs w:val="24"/>
          <w:lang w:val="en-US" w:eastAsia="zh-CN"/>
        </w:rPr>
        <w:t>制胶生产线设置有冷凝器，环评要求增设1套</w:t>
      </w:r>
      <w:r>
        <w:rPr>
          <w:rFonts w:ascii="Times New Roman" w:hAnsi="Times New Roman" w:eastAsia="宋体" w:cs="Times New Roman"/>
          <w:bCs w:val="0"/>
          <w:color w:val="000000"/>
          <w:sz w:val="24"/>
          <w:szCs w:val="24"/>
          <w:lang w:val="en-US" w:eastAsia="zh-CN" w:bidi="ar-SA"/>
        </w:rPr>
        <w:t>UV光催化活性炭吸附一体设备收集废气，处理后废气通过1根</w:t>
      </w:r>
      <w:r>
        <w:rPr>
          <w:rFonts w:ascii="Times New Roman" w:hAnsi="Times New Roman" w:eastAsia="宋体" w:cs="Times New Roman"/>
          <w:color w:val="000000"/>
          <w:sz w:val="24"/>
          <w:szCs w:val="24"/>
          <w:lang w:val="en-US" w:eastAsia="zh-CN" w:bidi="ar-SA"/>
        </w:rPr>
        <w:t>15m高排气筒</w:t>
      </w:r>
      <w:r>
        <w:rPr>
          <w:rFonts w:ascii="Times New Roman" w:hAnsi="Times New Roman" w:eastAsia="宋体" w:cs="Times New Roman"/>
          <w:color w:val="000000"/>
          <w:sz w:val="24"/>
          <w:szCs w:val="24"/>
          <w:lang w:val="en-US" w:eastAsia="zh-CN"/>
        </w:rPr>
        <w:t>排放</w:t>
      </w:r>
      <w:r>
        <w:rPr>
          <w:rFonts w:ascii="Times New Roman" w:hAnsi="Times New Roman" w:eastAsia="宋体" w:cs="Times New Roman"/>
          <w:color w:val="FF0000"/>
          <w:sz w:val="24"/>
          <w:szCs w:val="24"/>
          <w:lang w:val="en-US" w:eastAsia="zh-CN"/>
        </w:rPr>
        <w:t>（编号P</w:t>
      </w:r>
      <w:r>
        <w:rPr>
          <w:rFonts w:hint="eastAsia" w:ascii="Times New Roman" w:hAnsi="Times New Roman" w:eastAsia="宋体" w:cs="Times New Roman"/>
          <w:color w:val="FF0000"/>
          <w:sz w:val="24"/>
          <w:szCs w:val="24"/>
          <w:lang w:val="en-US" w:eastAsia="zh-CN"/>
        </w:rPr>
        <w:t>2</w:t>
      </w:r>
      <w:r>
        <w:rPr>
          <w:rFonts w:ascii="Times New Roman" w:hAnsi="Times New Roman" w:eastAsia="宋体" w:cs="Times New Roman"/>
          <w:color w:val="FF0000"/>
          <w:sz w:val="24"/>
          <w:szCs w:val="24"/>
          <w:lang w:val="en-US" w:eastAsia="zh-CN"/>
        </w:rPr>
        <w:t>），</w:t>
      </w:r>
      <w:r>
        <w:rPr>
          <w:rFonts w:ascii="Times New Roman" w:hAnsi="Times New Roman" w:eastAsia="宋体" w:cs="Times New Roman"/>
          <w:color w:val="000000"/>
          <w:sz w:val="24"/>
          <w:szCs w:val="22"/>
          <w:lang w:val="en-US" w:eastAsia="zh-CN" w:bidi="ar-SA"/>
        </w:rPr>
        <w:t>外排废气中甲醛、氨气、酚类、VOCs的排放浓度均能满足《合成树脂工业污染物排放标准》（GB31572-2015）表 5 标准要求；加强管理，异味满足 《恶臭污染物排放标准》（GB14554-93）中表 2 排放限值要求，对周围大气环境质量产生影响很小。</w:t>
      </w:r>
    </w:p>
    <w:p w14:paraId="00BD85D6">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4"/>
          <w:lang w:val="en-US" w:eastAsia="zh-CN" w:bidi="ar-SA"/>
        </w:rPr>
      </w:pPr>
      <w:r>
        <w:rPr>
          <w:rFonts w:ascii="Times New Roman" w:hAnsi="Times New Roman" w:eastAsia="宋体" w:cs="Times New Roman"/>
          <w:color w:val="000000"/>
          <w:sz w:val="24"/>
          <w:szCs w:val="24"/>
          <w:lang w:val="en-US" w:eastAsia="zh-CN" w:bidi="ar-SA"/>
        </w:rPr>
        <w:t>板材加工废气：刨片工序、砂光、锯边、开槽工序分别采用布袋除尘器处理后无组织排放，能够满足《大气污染综合排放标准》（GB16297-1996）表 2 中无组织排放限值；将干燥、筛选、铺装工序粉尘合并处理，在现有的旋风除尘器后端增设1套布袋除尘器，净化处理后通过1根15m高排气筒（P1）排放；</w:t>
      </w:r>
      <w:r>
        <w:rPr>
          <w:rFonts w:ascii="Times New Roman" w:hAnsi="Times New Roman" w:eastAsia="宋体" w:cs="Times New Roman"/>
          <w:color w:val="FF0000"/>
          <w:sz w:val="24"/>
          <w:szCs w:val="24"/>
          <w:lang w:val="en-US" w:eastAsia="zh-CN" w:bidi="ar-SA"/>
        </w:rPr>
        <w:t>热压贴面有机废气</w:t>
      </w:r>
      <w:r>
        <w:rPr>
          <w:rFonts w:hint="eastAsia" w:ascii="Times New Roman" w:hAnsi="Times New Roman" w:eastAsia="宋体" w:cs="Times New Roman"/>
          <w:color w:val="FF0000"/>
          <w:sz w:val="24"/>
          <w:szCs w:val="24"/>
          <w:lang w:val="en-US" w:eastAsia="zh-CN" w:bidi="ar-SA"/>
        </w:rPr>
        <w:t>与制胶废气共用</w:t>
      </w:r>
      <w:r>
        <w:rPr>
          <w:rFonts w:ascii="Times New Roman" w:hAnsi="Times New Roman" w:eastAsia="宋体" w:cs="Times New Roman"/>
          <w:bCs w:val="0"/>
          <w:color w:val="FF0000"/>
          <w:sz w:val="24"/>
          <w:szCs w:val="24"/>
          <w:lang w:val="en-US" w:eastAsia="zh-CN" w:bidi="ar-SA"/>
        </w:rPr>
        <w:t>1套UV光催化活性炭吸附一体设备</w:t>
      </w:r>
      <w:r>
        <w:rPr>
          <w:rFonts w:ascii="Times New Roman" w:hAnsi="Times New Roman" w:eastAsia="宋体" w:cs="Times New Roman"/>
          <w:color w:val="FF0000"/>
          <w:sz w:val="24"/>
          <w:szCs w:val="24"/>
          <w:lang w:val="en-US" w:eastAsia="zh-CN" w:bidi="ar-SA"/>
        </w:rPr>
        <w:t>+15m高排气筒（P</w:t>
      </w:r>
      <w:r>
        <w:rPr>
          <w:rFonts w:hint="eastAsia" w:ascii="Times New Roman" w:hAnsi="Times New Roman" w:eastAsia="宋体" w:cs="Times New Roman"/>
          <w:color w:val="FF0000"/>
          <w:sz w:val="24"/>
          <w:szCs w:val="24"/>
          <w:lang w:val="en-US" w:eastAsia="zh-CN" w:bidi="ar-SA"/>
        </w:rPr>
        <w:t>2</w:t>
      </w:r>
      <w:r>
        <w:rPr>
          <w:rFonts w:ascii="Times New Roman" w:hAnsi="Times New Roman" w:eastAsia="宋体" w:cs="Times New Roman"/>
          <w:color w:val="FF0000"/>
          <w:sz w:val="24"/>
          <w:szCs w:val="24"/>
          <w:lang w:val="en-US" w:eastAsia="zh-CN" w:bidi="ar-SA"/>
        </w:rPr>
        <w:t>），</w:t>
      </w:r>
      <w:r>
        <w:rPr>
          <w:rFonts w:ascii="Times New Roman" w:hAnsi="Times New Roman" w:eastAsia="宋体" w:cs="Times New Roman"/>
          <w:color w:val="000000"/>
          <w:sz w:val="24"/>
          <w:szCs w:val="24"/>
          <w:lang w:val="en-US" w:eastAsia="zh-CN" w:bidi="ar-SA"/>
        </w:rPr>
        <w:t>各污染物排放浓度、排放速率均能满足《大气污染综合排放标准》（GB16297-1996）表 2 中标准限值。</w:t>
      </w:r>
    </w:p>
    <w:p w14:paraId="1205D475">
      <w:pPr>
        <w:keepNext w:val="0"/>
        <w:keepLines w:val="0"/>
        <w:pageBreakBefore w:val="0"/>
        <w:widowControl/>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val="en-US" w:eastAsia="zh-CN" w:bidi="ar-SA"/>
        </w:rPr>
        <w:t>供热系统烟气：</w:t>
      </w:r>
      <w:r>
        <w:rPr>
          <w:rFonts w:ascii="Times New Roman" w:hAnsi="Times New Roman" w:eastAsia="宋体" w:cs="Times New Roman"/>
          <w:color w:val="FF0000"/>
          <w:sz w:val="24"/>
          <w:szCs w:val="24"/>
          <w:lang w:val="en-US" w:eastAsia="zh-CN" w:bidi="ar-SA"/>
        </w:rPr>
        <w:t>增设1套</w:t>
      </w:r>
      <w:r>
        <w:rPr>
          <w:rFonts w:hint="eastAsia" w:ascii="Times New Roman" w:hAnsi="Times New Roman" w:eastAsia="宋体" w:cs="Times New Roman"/>
          <w:color w:val="FF0000"/>
          <w:sz w:val="24"/>
          <w:szCs w:val="24"/>
          <w:lang w:val="en-US" w:eastAsia="zh-CN" w:bidi="ar-SA"/>
        </w:rPr>
        <w:t>电离捕捉器</w:t>
      </w:r>
      <w:r>
        <w:rPr>
          <w:rFonts w:ascii="Times New Roman" w:hAnsi="Times New Roman" w:eastAsia="宋体" w:cs="Times New Roman"/>
          <w:color w:val="FF0000"/>
          <w:sz w:val="24"/>
          <w:szCs w:val="24"/>
          <w:lang w:val="en-US" w:eastAsia="zh-CN" w:bidi="ar-SA"/>
        </w:rPr>
        <w:t>，后期将6t/h锅炉、热载体炉水膜除尘器处理后的烟气引入增设的1套</w:t>
      </w:r>
      <w:r>
        <w:rPr>
          <w:rFonts w:hint="eastAsia" w:ascii="Times New Roman" w:hAnsi="Times New Roman" w:eastAsia="宋体" w:cs="Times New Roman"/>
          <w:color w:val="FF0000"/>
          <w:sz w:val="24"/>
          <w:szCs w:val="24"/>
          <w:lang w:val="en-US" w:eastAsia="zh-CN" w:bidi="ar-SA"/>
        </w:rPr>
        <w:t>电离捕捉器</w:t>
      </w:r>
      <w:r>
        <w:rPr>
          <w:rFonts w:ascii="Times New Roman" w:hAnsi="Times New Roman" w:eastAsia="宋体" w:cs="Times New Roman"/>
          <w:color w:val="FF0000"/>
          <w:sz w:val="24"/>
          <w:szCs w:val="24"/>
          <w:lang w:val="en-US" w:eastAsia="zh-CN" w:bidi="ar-SA"/>
        </w:rPr>
        <w:t>进行集中处理，通过</w:t>
      </w:r>
      <w:r>
        <w:rPr>
          <w:rFonts w:hint="eastAsia" w:ascii="Times New Roman" w:hAnsi="Times New Roman" w:eastAsia="宋体" w:cs="Times New Roman"/>
          <w:color w:val="FF0000"/>
          <w:sz w:val="24"/>
          <w:szCs w:val="24"/>
          <w:lang w:val="en-US" w:eastAsia="zh-CN" w:bidi="ar-SA"/>
        </w:rPr>
        <w:t>25</w:t>
      </w:r>
      <w:r>
        <w:rPr>
          <w:rFonts w:ascii="Times New Roman" w:hAnsi="Times New Roman" w:eastAsia="宋体" w:cs="Times New Roman"/>
          <w:color w:val="FF0000"/>
          <w:sz w:val="24"/>
          <w:szCs w:val="24"/>
          <w:lang w:val="en-US" w:eastAsia="zh-CN" w:bidi="ar-SA"/>
        </w:rPr>
        <w:t>m排气筒集中排放（P</w:t>
      </w:r>
      <w:r>
        <w:rPr>
          <w:rFonts w:hint="eastAsia" w:ascii="Times New Roman" w:hAnsi="Times New Roman" w:eastAsia="宋体" w:cs="Times New Roman"/>
          <w:color w:val="FF0000"/>
          <w:sz w:val="24"/>
          <w:szCs w:val="24"/>
          <w:lang w:val="en-US" w:eastAsia="zh-CN" w:bidi="ar-SA"/>
        </w:rPr>
        <w:t>3</w:t>
      </w:r>
      <w:r>
        <w:rPr>
          <w:rFonts w:ascii="Times New Roman" w:hAnsi="Times New Roman" w:eastAsia="宋体" w:cs="Times New Roman"/>
          <w:color w:val="FF0000"/>
          <w:sz w:val="24"/>
          <w:szCs w:val="24"/>
          <w:lang w:val="en-US" w:eastAsia="zh-CN" w:bidi="ar-SA"/>
        </w:rPr>
        <w:t>），</w:t>
      </w:r>
      <w:r>
        <w:rPr>
          <w:rFonts w:ascii="Times New Roman" w:hAnsi="Times New Roman" w:eastAsia="宋体" w:cs="Times New Roman"/>
          <w:color w:val="000000"/>
          <w:sz w:val="24"/>
          <w:szCs w:val="24"/>
          <w:lang w:val="en-US" w:eastAsia="zh-CN" w:bidi="ar-SA"/>
        </w:rPr>
        <w:t>外排废气能够满足</w:t>
      </w:r>
      <w:r>
        <w:rPr>
          <w:rFonts w:ascii="Times New Roman" w:hAnsi="Times New Roman" w:eastAsia="宋体" w:cs="Times New Roman"/>
          <w:color w:val="000000"/>
          <w:sz w:val="24"/>
          <w:szCs w:val="24"/>
        </w:rPr>
        <w:t>《锅炉大气污染物排放标准》（GB13271－2014）中表2规定的大气污染物排放限值，烟尘排放浓度≤50mg/m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；NO</w:t>
      </w:r>
      <w:r>
        <w:rPr>
          <w:rFonts w:ascii="Times New Roman" w:hAnsi="Times New Roman" w:eastAsia="宋体" w:cs="Times New Roman"/>
          <w:color w:val="000000"/>
          <w:sz w:val="24"/>
          <w:szCs w:val="24"/>
          <w:vertAlign w:val="subscript"/>
        </w:rPr>
        <w:t>X</w:t>
      </w:r>
      <w:r>
        <w:rPr>
          <w:rFonts w:ascii="Times New Roman" w:hAnsi="Times New Roman" w:eastAsia="宋体" w:cs="Times New Roman"/>
          <w:color w:val="000000"/>
          <w:sz w:val="24"/>
          <w:szCs w:val="24"/>
        </w:rPr>
        <w:t>排放浓度≤300mg/m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；SO</w:t>
      </w:r>
      <w:r>
        <w:rPr>
          <w:rFonts w:ascii="Times New Roman" w:hAnsi="Times New Roman" w:eastAsia="宋体" w:cs="Times New Roman"/>
          <w:color w:val="000000"/>
          <w:sz w:val="24"/>
          <w:szCs w:val="24"/>
          <w:vertAlign w:val="subscript"/>
        </w:rPr>
        <w:t>2</w:t>
      </w:r>
      <w:r>
        <w:rPr>
          <w:rFonts w:ascii="Times New Roman" w:hAnsi="Times New Roman" w:eastAsia="宋体" w:cs="Times New Roman"/>
          <w:color w:val="000000"/>
          <w:sz w:val="24"/>
          <w:szCs w:val="24"/>
        </w:rPr>
        <w:t>排放浓度≤300mg/m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w:t>
      </w:r>
    </w:p>
    <w:p w14:paraId="42EA48AF">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（2）废水</w:t>
      </w:r>
    </w:p>
    <w:p w14:paraId="21BDF01F">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4"/>
          <w:lang w:val="en-US" w:eastAsia="zh-CN" w:bidi="ar-SA"/>
        </w:rPr>
      </w:pPr>
      <w:r>
        <w:rPr>
          <w:rFonts w:ascii="Times New Roman" w:hAnsi="Times New Roman" w:eastAsia="宋体" w:cs="Times New Roman"/>
          <w:color w:val="000000"/>
          <w:sz w:val="24"/>
          <w:szCs w:val="24"/>
        </w:rPr>
        <w:t>项目区采用雨污分流系统</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lang w:val="en-US" w:eastAsia="zh-CN"/>
        </w:rPr>
        <w:t>项目设备冷却水循环使用，只补充不排；调胶设备清洗废水及制胶脱水全部收集后回用于制胶用水，不外排；项目软水制备系统硬水作为水膜除尘器用水，无生产废水外排。环评要求在食堂出水口增设1个隔油池进行隔油预处理后，同其他生活污水排入现有的化粪池进行处理后外排进入城市市政污水管网，最终排入芒市污水处理厂处理。</w:t>
      </w:r>
      <w:r>
        <w:rPr>
          <w:rFonts w:ascii="Times New Roman" w:hAnsi="Times New Roman" w:eastAsia="宋体" w:cs="Times New Roman"/>
          <w:color w:val="000000"/>
          <w:sz w:val="24"/>
          <w:szCs w:val="24"/>
          <w:lang w:val="en-US" w:eastAsia="zh-CN" w:bidi="ar-SA"/>
        </w:rPr>
        <w:t>项目对周围水环境影响较小。项目制胶车间、各收集池等均采取了严格的防渗措施，不会对地下水造成不利影响。</w:t>
      </w:r>
    </w:p>
    <w:p w14:paraId="790A5C2C">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（3）噪声</w:t>
      </w:r>
    </w:p>
    <w:p w14:paraId="30EF90AD">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项目主要噪声源为</w:t>
      </w:r>
      <w:r>
        <w:rPr>
          <w:rFonts w:ascii="Times New Roman" w:hAnsi="Times New Roman" w:eastAsia="宋体" w:cs="Times New Roman"/>
          <w:color w:val="000000"/>
          <w:sz w:val="24"/>
          <w:szCs w:val="24"/>
          <w:lang w:val="en-US"/>
        </w:rPr>
        <w:t>机械设备噪声及交通噪声，设备噪声源主要为</w:t>
      </w:r>
      <w:r>
        <w:rPr>
          <w:rFonts w:ascii="Times New Roman" w:hAnsi="Times New Roman" w:eastAsia="宋体" w:cs="Times New Roman"/>
          <w:color w:val="000000"/>
          <w:sz w:val="24"/>
          <w:szCs w:val="24"/>
          <w:lang w:val="en-US" w:eastAsia="zh-CN"/>
        </w:rPr>
        <w:t>板材生产设备、制胶设备</w:t>
      </w:r>
      <w:r>
        <w:rPr>
          <w:rFonts w:ascii="Times New Roman" w:hAnsi="Times New Roman" w:eastAsia="宋体" w:cs="Times New Roman"/>
          <w:color w:val="000000"/>
          <w:sz w:val="24"/>
          <w:szCs w:val="24"/>
          <w:lang w:val="en-US"/>
        </w:rPr>
        <w:t>等。项目生产设备其噪声声级范围为</w:t>
      </w:r>
      <w:r>
        <w:rPr>
          <w:rFonts w:ascii="Times New Roman" w:hAnsi="Times New Roman" w:eastAsia="宋体" w:cs="Times New Roman"/>
          <w:color w:val="000000"/>
          <w:sz w:val="24"/>
          <w:szCs w:val="24"/>
          <w:lang w:val="en-US" w:eastAsia="zh-CN"/>
        </w:rPr>
        <w:t>70</w:t>
      </w:r>
      <w:r>
        <w:rPr>
          <w:rFonts w:ascii="Times New Roman" w:hAnsi="Times New Roman" w:eastAsia="宋体" w:cs="Times New Roman"/>
          <w:bCs/>
          <w:color w:val="000000"/>
          <w:sz w:val="24"/>
          <w:szCs w:val="24"/>
          <w:lang w:val="en-US"/>
        </w:rPr>
        <w:t>～</w:t>
      </w:r>
      <w:r>
        <w:rPr>
          <w:rFonts w:ascii="Times New Roman" w:hAnsi="Times New Roman" w:eastAsia="宋体" w:cs="Times New Roman"/>
          <w:color w:val="000000"/>
          <w:sz w:val="24"/>
          <w:szCs w:val="24"/>
          <w:lang w:val="en-US" w:eastAsia="zh-CN"/>
        </w:rPr>
        <w:t>90</w:t>
      </w:r>
      <w:r>
        <w:rPr>
          <w:rFonts w:ascii="Times New Roman" w:hAnsi="Times New Roman" w:eastAsia="宋体" w:cs="Times New Roman"/>
          <w:color w:val="000000"/>
          <w:sz w:val="24"/>
          <w:szCs w:val="24"/>
          <w:lang w:val="en-US"/>
        </w:rPr>
        <w:t>dB（A）</w:t>
      </w:r>
      <w:r>
        <w:rPr>
          <w:rFonts w:ascii="Times New Roman" w:hAnsi="Times New Roman" w:eastAsia="宋体" w:cs="Times New Roman"/>
          <w:color w:val="000000"/>
          <w:sz w:val="24"/>
          <w:szCs w:val="22"/>
          <w:lang w:val="en-US" w:eastAsia="zh-CN" w:bidi="ar-SA"/>
        </w:rPr>
        <w:t>，采取减震、隔声、消声等降噪措施，厂界噪声能够满足《工业企业厂界环境噪声排放标准》（GB12348-2008）2 类标准。</w:t>
      </w:r>
    </w:p>
    <w:p w14:paraId="6B428F9B">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（4）固废</w:t>
      </w:r>
    </w:p>
    <w:p w14:paraId="4FE05992">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项目全部固体废物均得到有效处置，有效处置率为 100%，对周围环境产生的影响很小，不会对附近环境造成污染影响。</w:t>
      </w:r>
    </w:p>
    <w:p w14:paraId="414AC042">
      <w:pPr>
        <w:pStyle w:val="473"/>
        <w:keepNext w:val="0"/>
        <w:keepLines w:val="0"/>
        <w:pageBreakBefore w:val="0"/>
        <w:widowControl/>
        <w:numPr>
          <w:ilvl w:val="0"/>
          <w:numId w:val="0"/>
        </w:numPr>
        <w:tabs>
          <w:tab w:val="left" w:pos="1219"/>
        </w:tabs>
        <w:spacing w:line="360" w:lineRule="auto"/>
        <w:ind w:right="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（5）环境风险</w:t>
      </w:r>
    </w:p>
    <w:p w14:paraId="0AB6C87D">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项目事故发生后，会对周围环境造成短暂影响，风险处于可接受水平。罐区配有围堰、事故废水有足够的事故池等容纳设施，能确保物料和废水不外排，对周围水环境产生污染的可能性较小。在建设单位严格落实环评提出的各项防范措施和应急预案后，其环境风险可防可控，项目建设是可行的。</w:t>
      </w:r>
    </w:p>
    <w:p w14:paraId="0E7F99B0">
      <w:pPr>
        <w:pStyle w:val="473"/>
        <w:keepNext w:val="0"/>
        <w:keepLines w:val="0"/>
        <w:pageBreakBefore w:val="0"/>
        <w:widowControl/>
        <w:numPr>
          <w:ilvl w:val="0"/>
          <w:numId w:val="0"/>
        </w:numPr>
        <w:tabs>
          <w:tab w:val="left" w:pos="1219"/>
        </w:tabs>
        <w:spacing w:line="360" w:lineRule="auto"/>
        <w:ind w:right="0"/>
        <w:jc w:val="both"/>
        <w:rPr>
          <w:rFonts w:hint="eastAsia" w:ascii="宋体" w:hAnsi="宋体" w:eastAsia="宋体" w:cs="宋体"/>
          <w:color w:val="000000"/>
          <w:sz w:val="24"/>
          <w:szCs w:val="22"/>
          <w:lang w:val="en-US" w:eastAsia="zh-CN" w:bidi="ar-SA"/>
        </w:rPr>
      </w:pPr>
      <w:r>
        <w:rPr>
          <w:rFonts w:hint="eastAsia" w:ascii="宋体" w:hAnsi="宋体" w:eastAsia="宋体" w:cs="宋体"/>
          <w:color w:val="000000"/>
          <w:sz w:val="24"/>
          <w:szCs w:val="22"/>
          <w:lang w:val="en-US" w:eastAsia="zh-CN" w:bidi="ar-SA"/>
        </w:rPr>
        <w:t>（6）防护距离</w:t>
      </w:r>
    </w:p>
    <w:p w14:paraId="7EE6ADB1">
      <w:pPr>
        <w:pStyle w:val="219"/>
        <w:keepNext w:val="0"/>
        <w:keepLines w:val="0"/>
        <w:pageBreakBefore w:val="0"/>
        <w:widowControl/>
        <w:spacing w:after="0" w:line="360" w:lineRule="auto"/>
        <w:ind w:left="0" w:right="0" w:firstLine="480"/>
        <w:jc w:val="both"/>
        <w:rPr>
          <w:rFonts w:hint="eastAsia" w:ascii="宋体" w:hAnsi="宋体" w:eastAsia="宋体" w:cs="宋体"/>
          <w:color w:val="000000"/>
          <w:sz w:val="24"/>
          <w:szCs w:val="22"/>
          <w:lang w:val="en-US" w:eastAsia="zh-CN" w:bidi="ar-SA"/>
        </w:rPr>
      </w:pPr>
      <w:r>
        <w:rPr>
          <w:rFonts w:hint="eastAsia" w:ascii="宋体" w:hAnsi="宋体" w:eastAsia="宋体" w:cs="宋体"/>
          <w:color w:val="000000"/>
          <w:sz w:val="24"/>
          <w:szCs w:val="22"/>
          <w:lang w:val="en-US" w:eastAsia="zh-CN" w:bidi="ar-SA"/>
        </w:rPr>
        <w:t>根据大气环境影响预测结果，本项目不需要设置大气环境防护距离。</w:t>
      </w:r>
    </w:p>
    <w:p w14:paraId="49758222">
      <w:pPr>
        <w:pStyle w:val="187"/>
        <w:rPr>
          <w:rFonts w:ascii="Times New Roman" w:hAnsi="Times New Roman"/>
        </w:rPr>
      </w:pPr>
      <w:bookmarkStart w:id="25" w:name="_Toc25106"/>
      <w:r>
        <w:rPr>
          <w:rFonts w:ascii="Times New Roman" w:hAnsi="Times New Roman"/>
        </w:rPr>
        <w:t>1.</w:t>
      </w:r>
      <w:r>
        <w:rPr>
          <w:rFonts w:hint="eastAsia" w:ascii="Times New Roman" w:hAnsi="Times New Roman"/>
        </w:rPr>
        <w:t>6</w:t>
      </w:r>
      <w:r>
        <w:rPr>
          <w:rFonts w:ascii="Times New Roman" w:hAnsi="Times New Roman"/>
        </w:rPr>
        <w:t xml:space="preserve"> </w:t>
      </w:r>
      <w:r>
        <w:rPr>
          <w:rFonts w:hint="eastAsia" w:ascii="Times New Roman" w:hAnsi="Times New Roman"/>
        </w:rPr>
        <w:t>环境影响评价的主要结论</w:t>
      </w:r>
      <w:bookmarkEnd w:id="24"/>
      <w:bookmarkEnd w:id="25"/>
    </w:p>
    <w:p w14:paraId="131E015D">
      <w:pPr>
        <w:ind w:firstLine="480"/>
        <w:rPr>
          <w:rFonts w:hint="eastAsia"/>
          <w:szCs w:val="22"/>
        </w:rPr>
      </w:pPr>
      <w:bookmarkStart w:id="26" w:name="_Toc418954589"/>
      <w:r>
        <w:rPr>
          <w:rFonts w:hint="eastAsia"/>
          <w:szCs w:val="22"/>
        </w:rPr>
        <w:t>项目的建设符合国家产业政策，符合当地相关规划，符合达标排放、总量控制和不降低当地环境功能的要求，项目选址合理。根据环境影响预测分析结果表明，项目建成后产生的废气、噪声对当地环境质量及关心点环境影响较小，项目废水</w:t>
      </w:r>
      <w:r>
        <w:rPr>
          <w:rFonts w:hint="eastAsia" w:eastAsia="宋体"/>
          <w:szCs w:val="22"/>
          <w:lang w:val="en-US" w:eastAsia="zh-CN"/>
        </w:rPr>
        <w:t>达标排放</w:t>
      </w:r>
      <w:r>
        <w:rPr>
          <w:rFonts w:hint="eastAsia"/>
          <w:szCs w:val="22"/>
        </w:rPr>
        <w:t>，固废处置率 100%。因此，在切实落实项目可研及本评价提出的各项污染防治措施及环境保护“三同时”要求的基础上，严格进行环境管理，确保污染治理设施建设到位并正常运行，污染物达标排放的条件下，从环境保护角度论证，项目是可行的。</w:t>
      </w:r>
    </w:p>
    <w:p w14:paraId="656BFBDF">
      <w:pPr>
        <w:ind w:firstLine="480"/>
        <w:rPr>
          <w:rFonts w:hint="eastAsia"/>
          <w:szCs w:val="22"/>
        </w:rPr>
      </w:pPr>
    </w:p>
    <w:p w14:paraId="7E331318">
      <w:pPr>
        <w:pStyle w:val="219"/>
        <w:spacing w:line="220" w:lineRule="auto"/>
        <w:ind w:left="360" w:right="363" w:firstLine="420"/>
      </w:pPr>
    </w:p>
    <w:p w14:paraId="341F918D">
      <w:pPr>
        <w:pStyle w:val="219"/>
        <w:spacing w:line="220" w:lineRule="auto"/>
        <w:ind w:left="360" w:right="363" w:firstLine="420"/>
      </w:pPr>
    </w:p>
    <w:p w14:paraId="68F7B3D6">
      <w:pPr>
        <w:pStyle w:val="219"/>
        <w:spacing w:line="220" w:lineRule="auto"/>
        <w:ind w:left="360" w:right="363" w:firstLine="420"/>
      </w:pPr>
    </w:p>
    <w:p w14:paraId="20C08FF0">
      <w:pPr>
        <w:pStyle w:val="219"/>
        <w:spacing w:line="220" w:lineRule="auto"/>
        <w:ind w:left="360" w:right="363" w:firstLine="420"/>
      </w:pPr>
    </w:p>
    <w:p w14:paraId="15D5096A">
      <w:pPr>
        <w:pStyle w:val="219"/>
        <w:spacing w:line="220" w:lineRule="auto"/>
        <w:ind w:left="360" w:right="363" w:firstLine="420"/>
      </w:pPr>
    </w:p>
    <w:p w14:paraId="28C3625E">
      <w:pPr>
        <w:pStyle w:val="219"/>
        <w:spacing w:line="220" w:lineRule="auto"/>
        <w:ind w:left="360" w:right="363" w:firstLine="420"/>
      </w:pPr>
    </w:p>
    <w:p w14:paraId="65C18F31">
      <w:pPr>
        <w:pStyle w:val="219"/>
        <w:spacing w:line="220" w:lineRule="auto"/>
        <w:ind w:left="360" w:right="363" w:firstLine="420"/>
      </w:pPr>
    </w:p>
    <w:p w14:paraId="44B0B14D">
      <w:pPr>
        <w:pStyle w:val="219"/>
        <w:spacing w:line="220" w:lineRule="auto"/>
        <w:ind w:left="360" w:right="363" w:firstLine="420"/>
      </w:pPr>
    </w:p>
    <w:p w14:paraId="7384B919">
      <w:pPr>
        <w:pStyle w:val="219"/>
        <w:spacing w:line="220" w:lineRule="auto"/>
        <w:ind w:left="360" w:right="363" w:firstLine="420"/>
      </w:pPr>
    </w:p>
    <w:p w14:paraId="4DB602A0">
      <w:pPr>
        <w:pStyle w:val="219"/>
        <w:spacing w:line="220" w:lineRule="auto"/>
        <w:ind w:left="360" w:right="363" w:firstLine="420"/>
      </w:pPr>
    </w:p>
    <w:p w14:paraId="24D1ED17">
      <w:pPr>
        <w:pStyle w:val="186"/>
        <w:ind w:firstLine="640"/>
      </w:pPr>
      <w:bookmarkStart w:id="27" w:name="_Toc8060"/>
      <w:r>
        <w:rPr>
          <w:rFonts w:hint="eastAsia"/>
        </w:rPr>
        <w:t>第二章  总 则</w:t>
      </w:r>
      <w:bookmarkEnd w:id="26"/>
      <w:bookmarkEnd w:id="27"/>
    </w:p>
    <w:p w14:paraId="24870077">
      <w:pPr>
        <w:pStyle w:val="187"/>
        <w:rPr>
          <w:rFonts w:ascii="Times New Roman" w:hAnsi="Times New Roman"/>
        </w:rPr>
      </w:pPr>
      <w:bookmarkStart w:id="28" w:name="_Toc418954590"/>
      <w:bookmarkStart w:id="29" w:name="_Toc325552812"/>
      <w:bookmarkStart w:id="30" w:name="_Toc332811718"/>
      <w:bookmarkStart w:id="31" w:name="_Toc335320840"/>
      <w:bookmarkStart w:id="32" w:name="_Toc2721"/>
      <w:r>
        <w:rPr>
          <w:rFonts w:hint="eastAsia" w:ascii="Times New Roman" w:hAnsi="Times New Roman"/>
        </w:rPr>
        <w:t>2.1</w:t>
      </w:r>
      <w:r>
        <w:rPr>
          <w:rFonts w:ascii="Times New Roman" w:hAnsi="Times New Roman"/>
        </w:rPr>
        <w:t xml:space="preserve"> </w:t>
      </w:r>
      <w:r>
        <w:rPr>
          <w:rFonts w:hint="eastAsia" w:ascii="Times New Roman" w:hAnsi="Times New Roman"/>
        </w:rPr>
        <w:t>编制依据</w:t>
      </w:r>
      <w:bookmarkEnd w:id="28"/>
      <w:bookmarkEnd w:id="29"/>
      <w:bookmarkEnd w:id="30"/>
      <w:bookmarkEnd w:id="31"/>
      <w:bookmarkEnd w:id="32"/>
    </w:p>
    <w:p w14:paraId="775EB981">
      <w:pPr>
        <w:pStyle w:val="188"/>
        <w:rPr>
          <w:rFonts w:eastAsia="黑体"/>
          <w:lang w:val="en-US" w:eastAsia="zh-CN"/>
        </w:rPr>
      </w:pPr>
      <w:bookmarkStart w:id="33" w:name="_Toc507226226"/>
      <w:r>
        <w:rPr>
          <w:rFonts w:hint="eastAsia"/>
        </w:rPr>
        <w:t>2</w:t>
      </w:r>
      <w:r>
        <w:t>.</w:t>
      </w:r>
      <w:r>
        <w:rPr>
          <w:rFonts w:hint="eastAsia"/>
        </w:rPr>
        <w:t>1</w:t>
      </w:r>
      <w:r>
        <w:t xml:space="preserve">.1 </w:t>
      </w:r>
      <w:r>
        <w:rPr>
          <w:rFonts w:hint="eastAsia"/>
          <w:lang w:val="en-US" w:eastAsia="zh-CN"/>
        </w:rPr>
        <w:t>国家</w:t>
      </w:r>
      <w:r>
        <w:rPr>
          <w:rFonts w:hint="eastAsia"/>
        </w:rPr>
        <w:t>法律、法规</w:t>
      </w:r>
      <w:bookmarkEnd w:id="33"/>
      <w:r>
        <w:rPr>
          <w:rFonts w:hint="eastAsia"/>
          <w:lang w:val="en-US" w:eastAsia="zh-CN"/>
        </w:rPr>
        <w:t>及相关政策</w:t>
      </w:r>
    </w:p>
    <w:p w14:paraId="38852966">
      <w:pPr>
        <w:ind w:firstLine="480"/>
        <w:rPr>
          <w:rFonts w:hint="eastAsia"/>
        </w:rPr>
      </w:pPr>
      <w:r>
        <w:rPr>
          <w:rFonts w:hint="eastAsia"/>
        </w:rPr>
        <w:t>（1）《中华人民共和国环境保护法》(2015年1月1日实施)；</w:t>
      </w:r>
    </w:p>
    <w:p w14:paraId="655BC616">
      <w:pPr>
        <w:ind w:firstLine="480"/>
        <w:rPr>
          <w:rFonts w:hint="eastAsia"/>
        </w:rPr>
      </w:pPr>
      <w:r>
        <w:rPr>
          <w:rFonts w:hint="eastAsia"/>
        </w:rPr>
        <w:t>（2）</w:t>
      </w:r>
      <w:r>
        <w:rPr>
          <w:rFonts w:hint="eastAsia"/>
          <w:lang w:eastAsia="zh-CN"/>
        </w:rPr>
        <w:t>《中华人民共和国环境影响评价法（2018年修正）》</w:t>
      </w:r>
      <w:r>
        <w:rPr>
          <w:rFonts w:hint="eastAsia"/>
        </w:rPr>
        <w:t>（2018年12月29日实施）；</w:t>
      </w:r>
    </w:p>
    <w:p w14:paraId="62FE92BB">
      <w:pPr>
        <w:ind w:firstLine="480"/>
        <w:rPr>
          <w:rFonts w:hint="eastAsia"/>
          <w:lang w:bidi="en-US"/>
        </w:rPr>
      </w:pPr>
      <w:r>
        <w:rPr>
          <w:rFonts w:hint="eastAsia"/>
        </w:rPr>
        <w:t>（3）</w:t>
      </w:r>
      <w:r>
        <w:rPr>
          <w:lang w:bidi="en-US"/>
        </w:rPr>
        <w:t>《中华人民共和国水污染防治法实施细则》（国务院</w:t>
      </w:r>
      <w:r>
        <w:rPr>
          <w:rFonts w:hint="eastAsia"/>
          <w:lang w:bidi="en-US"/>
        </w:rPr>
        <w:t>[</w:t>
      </w:r>
      <w:r>
        <w:rPr>
          <w:lang w:bidi="en-US"/>
        </w:rPr>
        <w:t>2000</w:t>
      </w:r>
      <w:r>
        <w:rPr>
          <w:rFonts w:hint="eastAsia"/>
          <w:lang w:bidi="en-US"/>
        </w:rPr>
        <w:t>]</w:t>
      </w:r>
      <w:r>
        <w:rPr>
          <w:lang w:bidi="en-US"/>
        </w:rPr>
        <w:t xml:space="preserve"> 284号令）；</w:t>
      </w:r>
    </w:p>
    <w:p w14:paraId="38A707F5">
      <w:pPr>
        <w:ind w:firstLine="480"/>
        <w:rPr>
          <w:rFonts w:hint="eastAsia"/>
        </w:rPr>
      </w:pPr>
      <w:r>
        <w:rPr>
          <w:rFonts w:hint="eastAsia"/>
        </w:rPr>
        <w:t>（4）《中华人民共和国水污染防治法》(2018年1月1日实施)；</w:t>
      </w:r>
    </w:p>
    <w:p w14:paraId="04C6D7CE">
      <w:pPr>
        <w:ind w:firstLine="480"/>
        <w:rPr>
          <w:rFonts w:hint="eastAsia"/>
        </w:rPr>
      </w:pPr>
      <w:r>
        <w:rPr>
          <w:rFonts w:hint="eastAsia"/>
        </w:rPr>
        <w:t>（5）《中华人民共和国大气污染防治法（2018修订）》（2018年10月26日实施）；</w:t>
      </w:r>
    </w:p>
    <w:p w14:paraId="6E406865">
      <w:pPr>
        <w:ind w:firstLine="480"/>
        <w:rPr>
          <w:rFonts w:hint="eastAsia"/>
        </w:rPr>
      </w:pPr>
      <w:r>
        <w:rPr>
          <w:rFonts w:hint="eastAsia"/>
        </w:rPr>
        <w:t>（6）《中华人民共和国环境噪声污染防治法（2018修正版）》（2018年12月29日实施）；</w:t>
      </w:r>
    </w:p>
    <w:p w14:paraId="3E03AAC3">
      <w:pPr>
        <w:ind w:firstLine="480"/>
        <w:rPr>
          <w:rFonts w:hint="eastAsia"/>
        </w:rPr>
      </w:pPr>
      <w:r>
        <w:rPr>
          <w:rFonts w:hint="eastAsia"/>
        </w:rPr>
        <w:t>（7）《中华人民共和国固体废物污染环境防治法》（2016年11月7日修订）；</w:t>
      </w:r>
    </w:p>
    <w:p w14:paraId="2337CBCF">
      <w:pPr>
        <w:ind w:firstLine="480"/>
        <w:rPr>
          <w:rFonts w:hint="eastAsia"/>
          <w:lang w:eastAsia="zh-CN"/>
        </w:rPr>
      </w:pPr>
      <w:r>
        <w:rPr>
          <w:rFonts w:hint="eastAsia"/>
        </w:rPr>
        <w:t>（8）</w:t>
      </w:r>
      <w:r>
        <w:rPr>
          <w:rFonts w:hint="eastAsia"/>
          <w:lang w:eastAsia="zh-CN"/>
        </w:rPr>
        <w:t>《</w:t>
      </w:r>
      <w:r>
        <w:rPr>
          <w:rFonts w:hint="eastAsia"/>
          <w:lang w:val="en-US" w:eastAsia="zh-CN"/>
        </w:rPr>
        <w:t>中华人民共和国土壤污染防治法</w:t>
      </w:r>
      <w:r>
        <w:rPr>
          <w:rFonts w:hint="eastAsia"/>
          <w:lang w:eastAsia="zh-CN"/>
        </w:rPr>
        <w:t>》（</w:t>
      </w:r>
      <w:r>
        <w:rPr>
          <w:rFonts w:hint="eastAsia"/>
          <w:lang w:val="en-US" w:eastAsia="zh-CN"/>
        </w:rPr>
        <w:t>2019年1月1日施行</w:t>
      </w:r>
      <w:r>
        <w:rPr>
          <w:rFonts w:hint="eastAsia"/>
          <w:lang w:eastAsia="zh-CN"/>
        </w:rPr>
        <w:t>）；</w:t>
      </w:r>
    </w:p>
    <w:p w14:paraId="60535118">
      <w:pPr>
        <w:ind w:firstLine="480"/>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《中华人民共和国水土保持法》（2011年3月1日实施）</w:t>
      </w:r>
    </w:p>
    <w:p w14:paraId="7A81663E">
      <w:pPr>
        <w:ind w:firstLine="480"/>
        <w:rPr>
          <w:rFonts w:hint="eastAsia"/>
        </w:rPr>
      </w:pPr>
      <w:r>
        <w:rPr>
          <w:rFonts w:hint="eastAsia"/>
          <w:lang w:eastAsia="zh-CN"/>
        </w:rPr>
        <w:t>（</w:t>
      </w:r>
      <w:r>
        <w:rPr>
          <w:rFonts w:hint="eastAsia"/>
          <w:lang w:val="en-US" w:eastAsia="zh-CN"/>
        </w:rPr>
        <w:t>10</w:t>
      </w:r>
      <w:r>
        <w:rPr>
          <w:rFonts w:hint="eastAsia"/>
          <w:lang w:eastAsia="zh-CN"/>
        </w:rPr>
        <w:t>）</w:t>
      </w:r>
      <w:r>
        <w:rPr>
          <w:rFonts w:hint="eastAsia"/>
        </w:rPr>
        <w:t>《中华人民共和国水法》（2016年7月2日修订）；</w:t>
      </w:r>
    </w:p>
    <w:p w14:paraId="561CAAF1">
      <w:pPr>
        <w:ind w:firstLine="480"/>
        <w:rPr>
          <w:rFonts w:hint="eastAsia"/>
        </w:rPr>
      </w:pPr>
      <w:r>
        <w:rPr>
          <w:rFonts w:hint="eastAsia"/>
        </w:rPr>
        <w:t>（</w:t>
      </w:r>
      <w:r>
        <w:rPr>
          <w:rFonts w:hint="eastAsia"/>
          <w:lang w:val="en-US" w:eastAsia="zh-CN"/>
        </w:rPr>
        <w:t>11</w:t>
      </w:r>
      <w:r>
        <w:rPr>
          <w:rFonts w:hint="eastAsia"/>
        </w:rPr>
        <w:t>）《中华人民共和国清洁生产促进法（修订）》（2012年7月1日实施）；</w:t>
      </w:r>
    </w:p>
    <w:p w14:paraId="4F8C1422">
      <w:pPr>
        <w:ind w:firstLine="480"/>
        <w:rPr>
          <w:rFonts w:hint="eastAsia"/>
        </w:rPr>
      </w:pPr>
      <w:r>
        <w:rPr>
          <w:rFonts w:hint="eastAsia"/>
        </w:rPr>
        <w:t>（1</w:t>
      </w:r>
      <w:r>
        <w:rPr>
          <w:rFonts w:hint="eastAsia"/>
          <w:lang w:val="en-US" w:eastAsia="zh-CN"/>
        </w:rPr>
        <w:t>2</w:t>
      </w:r>
      <w:r>
        <w:rPr>
          <w:rFonts w:hint="eastAsia"/>
        </w:rPr>
        <w:t>）《中华人民共和国循环经济促进法》（2009年1月1日实施）；</w:t>
      </w:r>
    </w:p>
    <w:p w14:paraId="011DFD60">
      <w:pPr>
        <w:ind w:firstLine="480"/>
        <w:rPr>
          <w:rFonts w:hint="eastAsia"/>
        </w:rPr>
      </w:pPr>
      <w:r>
        <w:rPr>
          <w:rFonts w:hint="eastAsia"/>
        </w:rPr>
        <w:t>（1</w:t>
      </w:r>
      <w:r>
        <w:rPr>
          <w:rFonts w:hint="eastAsia"/>
          <w:lang w:val="en-US" w:eastAsia="zh-CN"/>
        </w:rPr>
        <w:t>3</w:t>
      </w:r>
      <w:r>
        <w:rPr>
          <w:rFonts w:hint="eastAsia"/>
        </w:rPr>
        <w:t>）《中华人民共和国安全生产法》（2014年12月21日修订实施）；</w:t>
      </w:r>
    </w:p>
    <w:p w14:paraId="5EE8327F">
      <w:pPr>
        <w:ind w:firstLine="480"/>
        <w:rPr>
          <w:rFonts w:hint="eastAsia"/>
        </w:rPr>
      </w:pPr>
      <w:r>
        <w:rPr>
          <w:rFonts w:hint="eastAsia"/>
        </w:rPr>
        <w:t>（1</w:t>
      </w:r>
      <w:r>
        <w:rPr>
          <w:rFonts w:hint="eastAsia"/>
          <w:lang w:val="en-US" w:eastAsia="zh-CN"/>
        </w:rPr>
        <w:t>4</w:t>
      </w:r>
      <w:r>
        <w:rPr>
          <w:rFonts w:hint="eastAsia"/>
        </w:rPr>
        <w:t>）《中华人民共和国水土保持法实施条例》（2011年8月修订）；</w:t>
      </w:r>
    </w:p>
    <w:p w14:paraId="5E9EC221">
      <w:pPr>
        <w:ind w:firstLine="480"/>
        <w:rPr>
          <w:rFonts w:hint="eastAsia"/>
          <w:szCs w:val="24"/>
        </w:rPr>
      </w:pPr>
      <w:r>
        <w:rPr>
          <w:rFonts w:hint="eastAsia"/>
        </w:rPr>
        <w:t>（1</w:t>
      </w:r>
      <w:r>
        <w:rPr>
          <w:rFonts w:hint="eastAsia"/>
          <w:lang w:val="en-US" w:eastAsia="zh-CN"/>
        </w:rPr>
        <w:t>5）</w:t>
      </w:r>
      <w:r>
        <w:rPr>
          <w:rFonts w:hint="eastAsia"/>
          <w:szCs w:val="24"/>
        </w:rPr>
        <w:t>《中华人民共和国森林法》（2009年8月27日修订）；</w:t>
      </w:r>
    </w:p>
    <w:p w14:paraId="2A4B7181">
      <w:pPr>
        <w:ind w:firstLine="480"/>
        <w:rPr>
          <w:rFonts w:hint="eastAsia"/>
        </w:rPr>
      </w:pPr>
      <w:r>
        <w:rPr>
          <w:rFonts w:hint="eastAsia"/>
        </w:rPr>
        <w:t>（1</w:t>
      </w:r>
      <w:r>
        <w:rPr>
          <w:rFonts w:hint="eastAsia"/>
          <w:lang w:val="en-US" w:eastAsia="zh-CN"/>
        </w:rPr>
        <w:t>6</w:t>
      </w:r>
      <w:r>
        <w:rPr>
          <w:rFonts w:hint="eastAsia"/>
        </w:rPr>
        <w:t>）《中华人民共和国土地管理法》（2004年8月</w:t>
      </w:r>
      <w:r>
        <w:rPr>
          <w:rFonts w:hint="eastAsia"/>
          <w:lang w:val="en-US" w:eastAsia="zh-CN"/>
        </w:rPr>
        <w:t>28日</w:t>
      </w:r>
      <w:r>
        <w:rPr>
          <w:rFonts w:hint="eastAsia"/>
        </w:rPr>
        <w:t>修</w:t>
      </w:r>
      <w:r>
        <w:rPr>
          <w:rFonts w:hint="eastAsia"/>
          <w:lang w:val="en-US" w:eastAsia="zh-CN"/>
        </w:rPr>
        <w:t>订</w:t>
      </w:r>
      <w:r>
        <w:rPr>
          <w:rFonts w:hint="eastAsia"/>
        </w:rPr>
        <w:t>）；</w:t>
      </w:r>
    </w:p>
    <w:p w14:paraId="4BE9CFA6">
      <w:pPr>
        <w:ind w:firstLine="480"/>
        <w:rPr>
          <w:rFonts w:hint="eastAsia"/>
          <w:szCs w:val="24"/>
        </w:rPr>
      </w:pPr>
      <w:r>
        <w:rPr>
          <w:rFonts w:hint="eastAsia"/>
          <w:szCs w:val="24"/>
        </w:rPr>
        <w:t>（1</w:t>
      </w:r>
      <w:r>
        <w:rPr>
          <w:rFonts w:hint="eastAsia"/>
          <w:szCs w:val="24"/>
          <w:lang w:val="en-US" w:eastAsia="zh-CN"/>
        </w:rPr>
        <w:t>7</w:t>
      </w:r>
      <w:r>
        <w:rPr>
          <w:rFonts w:hint="eastAsia"/>
          <w:szCs w:val="24"/>
        </w:rPr>
        <w:t>）《中华人民</w:t>
      </w:r>
      <w:r>
        <w:rPr>
          <w:rFonts w:hint="eastAsia"/>
          <w:szCs w:val="24"/>
          <w:shd w:val="clear" w:color="auto" w:fill="FFFFFF"/>
        </w:rPr>
        <w:t>共和国野生动物保护法》（2017年1月1日起施行）</w:t>
      </w:r>
      <w:r>
        <w:rPr>
          <w:rFonts w:hint="eastAsia"/>
          <w:szCs w:val="24"/>
        </w:rPr>
        <w:t>；</w:t>
      </w:r>
    </w:p>
    <w:p w14:paraId="060D6BDF">
      <w:pPr>
        <w:pStyle w:val="221"/>
        <w:widowControl w:val="0"/>
        <w:spacing w:after="0"/>
        <w:ind w:left="0" w:firstLine="480"/>
        <w:rPr>
          <w:rFonts w:hint="eastAsia"/>
          <w:sz w:val="24"/>
          <w:szCs w:val="24"/>
        </w:rPr>
      </w:pPr>
      <w:r>
        <w:rPr>
          <w:rFonts w:hint="eastAsia"/>
          <w:sz w:val="24"/>
          <w:szCs w:val="24"/>
        </w:rPr>
        <w:t>（1</w:t>
      </w:r>
      <w:r>
        <w:rPr>
          <w:rFonts w:hint="eastAsia"/>
          <w:sz w:val="24"/>
          <w:szCs w:val="24"/>
          <w:lang w:val="en-US" w:eastAsia="zh-CN"/>
        </w:rPr>
        <w:t>8</w:t>
      </w:r>
      <w:r>
        <w:rPr>
          <w:rFonts w:hint="eastAsia"/>
          <w:sz w:val="24"/>
          <w:szCs w:val="24"/>
        </w:rPr>
        <w:t>）《中</w:t>
      </w:r>
      <w:r>
        <w:rPr>
          <w:rFonts w:hint="eastAsia"/>
          <w:sz w:val="24"/>
          <w:szCs w:val="24"/>
          <w:shd w:val="clear" w:color="auto" w:fill="FFFFFF"/>
        </w:rPr>
        <w:t>华人民共和国野生植物保护条例》（</w:t>
      </w:r>
      <w:r>
        <w:rPr>
          <w:sz w:val="24"/>
          <w:szCs w:val="24"/>
          <w:shd w:val="clear" w:color="auto" w:fill="FFFFFF"/>
        </w:rPr>
        <w:t>2017年10月7日</w:t>
      </w:r>
      <w:r>
        <w:rPr>
          <w:rFonts w:hint="eastAsia"/>
          <w:sz w:val="24"/>
          <w:szCs w:val="24"/>
          <w:shd w:val="clear" w:color="auto" w:fill="FFFFFF"/>
        </w:rPr>
        <w:t>修改实施）；</w:t>
      </w:r>
    </w:p>
    <w:p w14:paraId="2DE00627">
      <w:pPr>
        <w:ind w:firstLine="480"/>
        <w:rPr>
          <w:rFonts w:hint="eastAsia"/>
          <w:szCs w:val="22"/>
        </w:rPr>
      </w:pPr>
      <w:r>
        <w:rPr>
          <w:rFonts w:hint="eastAsia"/>
          <w:szCs w:val="22"/>
        </w:rPr>
        <w:t>（1</w:t>
      </w:r>
      <w:r>
        <w:rPr>
          <w:rFonts w:hint="eastAsia"/>
          <w:szCs w:val="22"/>
          <w:lang w:val="en-US" w:eastAsia="zh-CN"/>
        </w:rPr>
        <w:t>9</w:t>
      </w:r>
      <w:r>
        <w:rPr>
          <w:rFonts w:hint="eastAsia"/>
          <w:szCs w:val="22"/>
        </w:rPr>
        <w:t>）</w:t>
      </w:r>
      <w:r>
        <w:rPr>
          <w:rFonts w:hint="eastAsia" w:eastAsia="宋体"/>
          <w:szCs w:val="22"/>
          <w:lang w:eastAsia="zh-CN"/>
        </w:rPr>
        <w:t>《</w:t>
      </w:r>
      <w:r>
        <w:rPr>
          <w:rFonts w:hint="eastAsia"/>
          <w:szCs w:val="22"/>
        </w:rPr>
        <w:t>中华人民共和国陆生野生动物保护实施条例</w:t>
      </w:r>
      <w:r>
        <w:rPr>
          <w:rFonts w:hint="eastAsia" w:eastAsia="宋体"/>
          <w:szCs w:val="22"/>
          <w:lang w:eastAsia="zh-CN"/>
        </w:rPr>
        <w:t>》（</w:t>
      </w:r>
      <w:r>
        <w:rPr>
          <w:rFonts w:hint="eastAsia"/>
          <w:szCs w:val="22"/>
        </w:rPr>
        <w:t>2016年2月6日修改实施）；</w:t>
      </w:r>
    </w:p>
    <w:p w14:paraId="602644A5">
      <w:pPr>
        <w:pStyle w:val="221"/>
        <w:widowControl w:val="0"/>
        <w:spacing w:after="0"/>
        <w:ind w:left="0" w:firstLine="480"/>
        <w:rPr>
          <w:rFonts w:hint="eastAsia"/>
          <w:sz w:val="24"/>
          <w:szCs w:val="24"/>
        </w:rPr>
      </w:pPr>
      <w:r>
        <w:rPr>
          <w:rFonts w:hint="eastAsia"/>
          <w:sz w:val="24"/>
          <w:szCs w:val="24"/>
        </w:rPr>
        <w:t>（</w:t>
      </w:r>
      <w:r>
        <w:rPr>
          <w:rFonts w:hint="eastAsia" w:eastAsia="宋体"/>
          <w:sz w:val="24"/>
          <w:szCs w:val="24"/>
          <w:lang w:val="en-US" w:eastAsia="zh-CN"/>
        </w:rPr>
        <w:t>20</w:t>
      </w:r>
      <w:r>
        <w:rPr>
          <w:rFonts w:hint="eastAsia"/>
          <w:sz w:val="24"/>
          <w:szCs w:val="24"/>
        </w:rPr>
        <w:t>）《中华人民共和国水生野生动物保护实施条例》（1993年10月实施）；</w:t>
      </w:r>
    </w:p>
    <w:p w14:paraId="2E903908">
      <w:pPr>
        <w:pStyle w:val="221"/>
        <w:widowControl w:val="0"/>
        <w:spacing w:after="0"/>
        <w:ind w:left="0" w:firstLine="480"/>
        <w:rPr>
          <w:rFonts w:hint="eastAsia"/>
          <w:sz w:val="24"/>
          <w:szCs w:val="24"/>
        </w:rPr>
      </w:pPr>
      <w:r>
        <w:rPr>
          <w:rFonts w:hint="eastAsia"/>
          <w:sz w:val="24"/>
          <w:szCs w:val="24"/>
        </w:rPr>
        <w:t>（2</w:t>
      </w:r>
      <w:r>
        <w:rPr>
          <w:rFonts w:hint="eastAsia" w:eastAsia="宋体"/>
          <w:sz w:val="24"/>
          <w:szCs w:val="24"/>
          <w:lang w:val="en-US" w:eastAsia="zh-CN"/>
        </w:rPr>
        <w:t>1</w:t>
      </w:r>
      <w:r>
        <w:rPr>
          <w:rFonts w:hint="eastAsia"/>
          <w:sz w:val="24"/>
          <w:szCs w:val="24"/>
        </w:rPr>
        <w:t>）《国家重点保护野生植物名录（第一批）》（1999年8月）；</w:t>
      </w:r>
    </w:p>
    <w:p w14:paraId="45B9BCB1">
      <w:pPr>
        <w:pStyle w:val="221"/>
        <w:widowControl w:val="0"/>
        <w:spacing w:after="0"/>
        <w:ind w:left="0" w:firstLine="480"/>
        <w:rPr>
          <w:rFonts w:hint="eastAsia"/>
          <w:sz w:val="24"/>
          <w:szCs w:val="24"/>
        </w:rPr>
      </w:pPr>
      <w:r>
        <w:rPr>
          <w:rFonts w:hint="eastAsia"/>
          <w:sz w:val="24"/>
          <w:szCs w:val="24"/>
        </w:rPr>
        <w:t>（2</w:t>
      </w:r>
      <w:r>
        <w:rPr>
          <w:rFonts w:hint="eastAsia" w:eastAsia="宋体"/>
          <w:sz w:val="24"/>
          <w:szCs w:val="24"/>
          <w:lang w:val="en-US" w:eastAsia="zh-CN"/>
        </w:rPr>
        <w:t>2</w:t>
      </w:r>
      <w:r>
        <w:rPr>
          <w:rFonts w:hint="eastAsia"/>
          <w:sz w:val="24"/>
          <w:szCs w:val="24"/>
        </w:rPr>
        <w:t>）《国家重点保护野生动物名录》（1989年1月）；</w:t>
      </w:r>
    </w:p>
    <w:p w14:paraId="319FE66F">
      <w:pPr>
        <w:ind w:firstLine="480"/>
        <w:rPr>
          <w:rFonts w:hint="eastAsia"/>
        </w:rPr>
      </w:pPr>
      <w:r>
        <w:rPr>
          <w:rFonts w:hint="eastAsia"/>
          <w:sz w:val="24"/>
          <w:szCs w:val="24"/>
        </w:rPr>
        <w:t>（2</w:t>
      </w:r>
      <w:r>
        <w:rPr>
          <w:rFonts w:hint="eastAsia" w:eastAsia="宋体"/>
          <w:sz w:val="24"/>
          <w:szCs w:val="24"/>
          <w:lang w:val="en-US" w:eastAsia="zh-CN"/>
        </w:rPr>
        <w:t>3</w:t>
      </w:r>
      <w:r>
        <w:rPr>
          <w:rFonts w:hint="eastAsia"/>
          <w:sz w:val="24"/>
          <w:szCs w:val="24"/>
        </w:rPr>
        <w:t>）</w:t>
      </w:r>
      <w:r>
        <w:rPr>
          <w:rFonts w:hint="eastAsia"/>
        </w:rPr>
        <w:t>《环境影响评价公众参与办法》（部令第4号，2019年1月1日实施）；</w:t>
      </w:r>
    </w:p>
    <w:p w14:paraId="2FC8FCF5">
      <w:pPr>
        <w:ind w:firstLine="480"/>
        <w:rPr>
          <w:rFonts w:hint="eastAsia"/>
          <w:szCs w:val="22"/>
        </w:rPr>
      </w:pPr>
      <w:r>
        <w:rPr>
          <w:rFonts w:hint="eastAsia"/>
          <w:szCs w:val="22"/>
        </w:rPr>
        <w:t>（2</w:t>
      </w:r>
      <w:r>
        <w:rPr>
          <w:rFonts w:hint="eastAsia"/>
          <w:szCs w:val="22"/>
          <w:lang w:val="en-US" w:eastAsia="zh-CN"/>
        </w:rPr>
        <w:t>4</w:t>
      </w:r>
      <w:r>
        <w:rPr>
          <w:rFonts w:hint="eastAsia"/>
          <w:szCs w:val="22"/>
        </w:rPr>
        <w:t>）《国务院关于严格保珍贵稀有野生动物的通令》（国发[1983]62号，1983年4月）；</w:t>
      </w:r>
    </w:p>
    <w:p w14:paraId="554F692F">
      <w:pPr>
        <w:ind w:firstLine="480"/>
        <w:rPr>
          <w:rFonts w:hint="eastAsia"/>
          <w:szCs w:val="22"/>
        </w:rPr>
      </w:pPr>
      <w:r>
        <w:rPr>
          <w:rFonts w:hint="eastAsia"/>
          <w:szCs w:val="22"/>
        </w:rPr>
        <w:t>（2</w:t>
      </w:r>
      <w:r>
        <w:rPr>
          <w:rFonts w:hint="eastAsia"/>
          <w:szCs w:val="22"/>
          <w:lang w:val="en-US" w:eastAsia="zh-CN"/>
        </w:rPr>
        <w:t>5</w:t>
      </w:r>
      <w:r>
        <w:rPr>
          <w:rFonts w:hint="eastAsia"/>
          <w:szCs w:val="22"/>
        </w:rPr>
        <w:t>）《建设项目环境影响评价分类管理名录》（生态环境部部令第1号修改单，2018年4月28日实施）；</w:t>
      </w:r>
    </w:p>
    <w:p w14:paraId="406F3C60">
      <w:pPr>
        <w:ind w:firstLine="480"/>
        <w:rPr>
          <w:rFonts w:hint="eastAsia"/>
          <w:szCs w:val="22"/>
        </w:rPr>
      </w:pPr>
      <w:r>
        <w:rPr>
          <w:rFonts w:hint="eastAsia"/>
          <w:szCs w:val="22"/>
        </w:rPr>
        <w:t>（2</w:t>
      </w:r>
      <w:r>
        <w:rPr>
          <w:rFonts w:hint="eastAsia"/>
          <w:szCs w:val="22"/>
          <w:lang w:val="en-US" w:eastAsia="zh-CN"/>
        </w:rPr>
        <w:t>6</w:t>
      </w:r>
      <w:r>
        <w:rPr>
          <w:rFonts w:hint="eastAsia"/>
          <w:szCs w:val="22"/>
        </w:rPr>
        <w:t>）《关于修改&lt;建设项目环境保护管理条例&gt;部分内容的决定》(生态环境部令部令第1号，2018年4月28日修订)；</w:t>
      </w:r>
    </w:p>
    <w:p w14:paraId="482852FA">
      <w:pPr>
        <w:ind w:firstLine="480"/>
        <w:rPr>
          <w:rFonts w:hint="eastAsia"/>
          <w:szCs w:val="22"/>
        </w:rPr>
      </w:pPr>
      <w:r>
        <w:rPr>
          <w:rFonts w:hint="eastAsia"/>
          <w:szCs w:val="22"/>
        </w:rPr>
        <w:t>（2</w:t>
      </w:r>
      <w:r>
        <w:rPr>
          <w:rFonts w:hint="eastAsia"/>
          <w:szCs w:val="22"/>
          <w:lang w:val="en-US" w:eastAsia="zh-CN"/>
        </w:rPr>
        <w:t>7</w:t>
      </w:r>
      <w:r>
        <w:rPr>
          <w:rFonts w:hint="eastAsia"/>
          <w:szCs w:val="22"/>
        </w:rPr>
        <w:t>）《国务院关于加强环境保护重点工作的意见》（国发〔2011〕35 号）；</w:t>
      </w:r>
    </w:p>
    <w:p w14:paraId="77C354D5">
      <w:pPr>
        <w:ind w:firstLine="480"/>
        <w:rPr>
          <w:rFonts w:hint="eastAsia"/>
          <w:szCs w:val="22"/>
        </w:rPr>
      </w:pPr>
      <w:r>
        <w:rPr>
          <w:rFonts w:hint="eastAsia"/>
          <w:szCs w:val="22"/>
        </w:rPr>
        <w:t>（2</w:t>
      </w:r>
      <w:r>
        <w:rPr>
          <w:rFonts w:hint="eastAsia"/>
          <w:szCs w:val="22"/>
          <w:lang w:val="en-US" w:eastAsia="zh-CN"/>
        </w:rPr>
        <w:t>8</w:t>
      </w:r>
      <w:r>
        <w:rPr>
          <w:rFonts w:hint="eastAsia"/>
          <w:szCs w:val="22"/>
        </w:rPr>
        <w:t>）《国务院关于落实科学发展观加强环境保护的决定》（国发〔2005〕39 号）；</w:t>
      </w:r>
    </w:p>
    <w:p w14:paraId="0AEF526A">
      <w:pPr>
        <w:ind w:firstLine="480"/>
        <w:rPr>
          <w:rFonts w:hint="eastAsia"/>
          <w:sz w:val="24"/>
          <w:szCs w:val="24"/>
        </w:rPr>
      </w:pPr>
      <w:r>
        <w:rPr>
          <w:rFonts w:hint="eastAsia"/>
          <w:szCs w:val="22"/>
        </w:rPr>
        <w:t>（2</w:t>
      </w:r>
      <w:r>
        <w:rPr>
          <w:rFonts w:hint="eastAsia"/>
          <w:szCs w:val="22"/>
          <w:lang w:val="en-US" w:eastAsia="zh-CN"/>
        </w:rPr>
        <w:t>9</w:t>
      </w:r>
      <w:r>
        <w:rPr>
          <w:rFonts w:hint="eastAsia"/>
          <w:szCs w:val="22"/>
        </w:rPr>
        <w:t>）《全国生态保护</w:t>
      </w:r>
      <w:r>
        <w:rPr>
          <w:sz w:val="24"/>
          <w:szCs w:val="24"/>
        </w:rPr>
        <w:t>"十三五"规划纲要》</w:t>
      </w:r>
      <w:r>
        <w:rPr>
          <w:rFonts w:hint="eastAsia"/>
          <w:sz w:val="24"/>
          <w:szCs w:val="24"/>
        </w:rPr>
        <w:t>（环生态[2016]151号）；</w:t>
      </w:r>
    </w:p>
    <w:p w14:paraId="1C1FACD1">
      <w:pPr>
        <w:pStyle w:val="221"/>
        <w:widowControl w:val="0"/>
        <w:spacing w:after="0"/>
        <w:ind w:left="0" w:firstLine="480"/>
        <w:rPr>
          <w:rFonts w:hint="eastAsia"/>
          <w:sz w:val="24"/>
          <w:szCs w:val="24"/>
        </w:rPr>
      </w:pPr>
      <w:r>
        <w:rPr>
          <w:rFonts w:hint="eastAsia"/>
          <w:sz w:val="24"/>
          <w:szCs w:val="24"/>
        </w:rPr>
        <w:t>（</w:t>
      </w:r>
      <w:r>
        <w:rPr>
          <w:rFonts w:hint="eastAsia" w:eastAsia="宋体"/>
          <w:sz w:val="24"/>
          <w:szCs w:val="24"/>
          <w:lang w:val="en-US" w:eastAsia="zh-CN"/>
        </w:rPr>
        <w:t>30</w:t>
      </w:r>
      <w:r>
        <w:rPr>
          <w:rFonts w:hint="eastAsia"/>
          <w:sz w:val="24"/>
          <w:szCs w:val="24"/>
        </w:rPr>
        <w:t>）《“十三五”生态环境保护规划》（国发[2016]65号，2016年11月24日）</w:t>
      </w:r>
    </w:p>
    <w:p w14:paraId="06F98C9E">
      <w:pPr>
        <w:ind w:firstLine="480"/>
        <w:rPr>
          <w:rFonts w:hint="eastAsia"/>
          <w:szCs w:val="22"/>
        </w:rPr>
      </w:pPr>
      <w:r>
        <w:rPr>
          <w:rFonts w:hint="eastAsia"/>
          <w:sz w:val="24"/>
          <w:szCs w:val="24"/>
        </w:rPr>
        <w:t>（</w:t>
      </w:r>
      <w:r>
        <w:rPr>
          <w:rFonts w:hint="eastAsia" w:eastAsia="宋体"/>
          <w:sz w:val="24"/>
          <w:szCs w:val="24"/>
          <w:lang w:val="en-US" w:eastAsia="zh-CN"/>
        </w:rPr>
        <w:t>31</w:t>
      </w:r>
      <w:r>
        <w:rPr>
          <w:rFonts w:hint="eastAsia"/>
          <w:sz w:val="24"/>
          <w:szCs w:val="24"/>
        </w:rPr>
        <w:t>）《关于强化建设项目环境影响评价事中事后监管的实施意见》（环环评〔2018〕</w:t>
      </w:r>
      <w:r>
        <w:rPr>
          <w:rFonts w:hint="eastAsia"/>
          <w:szCs w:val="22"/>
        </w:rPr>
        <w:t>11 号，2018年1月25日）；</w:t>
      </w:r>
    </w:p>
    <w:p w14:paraId="0F56CCF3">
      <w:pPr>
        <w:ind w:firstLine="480"/>
        <w:rPr>
          <w:rFonts w:hint="eastAsia"/>
          <w:szCs w:val="22"/>
        </w:rPr>
      </w:pPr>
      <w:r>
        <w:rPr>
          <w:rFonts w:hint="eastAsia"/>
          <w:szCs w:val="22"/>
        </w:rPr>
        <w:t>（3</w:t>
      </w:r>
      <w:r>
        <w:rPr>
          <w:rFonts w:hint="eastAsia"/>
          <w:szCs w:val="22"/>
          <w:lang w:val="en-US" w:eastAsia="zh-CN"/>
        </w:rPr>
        <w:t>2</w:t>
      </w:r>
      <w:r>
        <w:rPr>
          <w:rFonts w:hint="eastAsia"/>
          <w:szCs w:val="22"/>
        </w:rPr>
        <w:t>）《关于建设项目“未批先建”违法行为法律适用问题的意见》(环政法函[2018]31号，2018年2月22日)；</w:t>
      </w:r>
    </w:p>
    <w:p w14:paraId="136E71F7">
      <w:pPr>
        <w:ind w:firstLine="480"/>
        <w:rPr>
          <w:rFonts w:hint="eastAsia"/>
          <w:szCs w:val="22"/>
        </w:rPr>
      </w:pPr>
      <w:r>
        <w:rPr>
          <w:rFonts w:hint="eastAsia"/>
          <w:szCs w:val="22"/>
        </w:rPr>
        <w:t>（3</w:t>
      </w:r>
      <w:r>
        <w:rPr>
          <w:rFonts w:hint="eastAsia"/>
          <w:szCs w:val="22"/>
          <w:lang w:val="en-US" w:eastAsia="zh-CN"/>
        </w:rPr>
        <w:t>3</w:t>
      </w:r>
      <w:r>
        <w:rPr>
          <w:rFonts w:hint="eastAsia"/>
          <w:szCs w:val="22"/>
        </w:rPr>
        <w:t>）《生态保护红线、环境质量底线、资源利用上线和环境准入负面清单编制技术指南》(环办环评[2017]99号，2017年12月1日)；</w:t>
      </w:r>
    </w:p>
    <w:p w14:paraId="688E1D79">
      <w:pPr>
        <w:ind w:firstLine="480"/>
        <w:rPr>
          <w:rFonts w:hint="eastAsia"/>
          <w:szCs w:val="22"/>
        </w:rPr>
      </w:pPr>
      <w:r>
        <w:rPr>
          <w:rFonts w:hint="eastAsia"/>
          <w:szCs w:val="22"/>
        </w:rPr>
        <w:t>（3</w:t>
      </w:r>
      <w:r>
        <w:rPr>
          <w:rFonts w:hint="eastAsia"/>
          <w:szCs w:val="22"/>
          <w:lang w:val="en-US" w:eastAsia="zh-CN"/>
        </w:rPr>
        <w:t>4</w:t>
      </w:r>
      <w:r>
        <w:rPr>
          <w:rFonts w:hint="eastAsia"/>
          <w:szCs w:val="22"/>
        </w:rPr>
        <w:t>）关于印发《“十三五”环境影响评价改革实施方案》的通知（环环评[2016]95号，2016年7月15日）；</w:t>
      </w:r>
    </w:p>
    <w:p w14:paraId="16B31E88">
      <w:pPr>
        <w:ind w:firstLine="480"/>
        <w:rPr>
          <w:rFonts w:hint="eastAsia"/>
          <w:szCs w:val="22"/>
        </w:rPr>
      </w:pPr>
      <w:r>
        <w:rPr>
          <w:rFonts w:hint="eastAsia"/>
          <w:szCs w:val="22"/>
        </w:rPr>
        <w:t>（3</w:t>
      </w:r>
      <w:r>
        <w:rPr>
          <w:rFonts w:hint="eastAsia"/>
          <w:szCs w:val="22"/>
          <w:lang w:val="en-US" w:eastAsia="zh-CN"/>
        </w:rPr>
        <w:t>5</w:t>
      </w:r>
      <w:r>
        <w:rPr>
          <w:rFonts w:hint="eastAsia"/>
          <w:szCs w:val="22"/>
        </w:rPr>
        <w:t>）关于发布《环境影响评价公众参与办法》配套文件的公告（公告2018年第48号，2019年1月1日）。</w:t>
      </w:r>
    </w:p>
    <w:p w14:paraId="25EE6D08">
      <w:pPr>
        <w:ind w:firstLine="480"/>
        <w:rPr>
          <w:rFonts w:hint="eastAsia"/>
          <w:color w:val="FF0000"/>
          <w:szCs w:val="22"/>
        </w:rPr>
      </w:pPr>
      <w:r>
        <w:rPr>
          <w:rFonts w:hint="eastAsia"/>
          <w:color w:val="FF0000"/>
          <w:szCs w:val="22"/>
          <w:lang w:eastAsia="zh-CN"/>
        </w:rPr>
        <w:t>（</w:t>
      </w:r>
      <w:r>
        <w:rPr>
          <w:rFonts w:hint="eastAsia"/>
          <w:color w:val="FF0000"/>
          <w:szCs w:val="22"/>
          <w:lang w:val="en-US" w:eastAsia="zh-CN"/>
        </w:rPr>
        <w:t>36</w:t>
      </w:r>
      <w:r>
        <w:rPr>
          <w:rFonts w:hint="eastAsia"/>
          <w:color w:val="FF0000"/>
          <w:szCs w:val="22"/>
          <w:lang w:eastAsia="zh-CN"/>
        </w:rPr>
        <w:t>）</w:t>
      </w:r>
      <w:r>
        <w:rPr>
          <w:rFonts w:hint="eastAsia"/>
          <w:color w:val="FF0000"/>
          <w:szCs w:val="22"/>
        </w:rPr>
        <w:t>《</w:t>
      </w:r>
      <w:r>
        <w:rPr>
          <w:rFonts w:hint="eastAsia"/>
          <w:color w:val="FF0000"/>
          <w:szCs w:val="22"/>
          <w:lang w:val="en-US" w:eastAsia="zh-CN"/>
        </w:rPr>
        <w:t>国务院关于印发打赢蓝天保卫战三年行动计划的通知</w:t>
      </w:r>
      <w:r>
        <w:rPr>
          <w:rFonts w:hint="eastAsia"/>
          <w:color w:val="FF0000"/>
          <w:szCs w:val="22"/>
        </w:rPr>
        <w:t>》</w:t>
      </w:r>
      <w:r>
        <w:rPr>
          <w:rFonts w:hint="eastAsia" w:eastAsia="宋体"/>
          <w:color w:val="FF0000"/>
          <w:szCs w:val="22"/>
          <w:lang w:eastAsia="zh-CN"/>
        </w:rPr>
        <w:t>（</w:t>
      </w:r>
      <w:r>
        <w:rPr>
          <w:rFonts w:hint="eastAsia" w:eastAsia="宋体"/>
          <w:color w:val="FF0000"/>
          <w:szCs w:val="22"/>
          <w:lang w:val="en-US" w:eastAsia="zh-CN"/>
        </w:rPr>
        <w:t>国发（2018）22号</w:t>
      </w:r>
      <w:r>
        <w:rPr>
          <w:rFonts w:hint="eastAsia" w:eastAsia="宋体"/>
          <w:color w:val="FF0000"/>
          <w:szCs w:val="22"/>
          <w:lang w:eastAsia="zh-CN"/>
        </w:rPr>
        <w:t>）</w:t>
      </w:r>
      <w:r>
        <w:rPr>
          <w:rFonts w:hint="eastAsia"/>
          <w:color w:val="FF0000"/>
          <w:szCs w:val="22"/>
        </w:rPr>
        <w:t>；</w:t>
      </w:r>
    </w:p>
    <w:p w14:paraId="5AEE52A0">
      <w:pPr>
        <w:ind w:firstLine="480"/>
        <w:rPr>
          <w:rFonts w:hint="eastAsia"/>
          <w:szCs w:val="22"/>
        </w:rPr>
      </w:pPr>
      <w:r>
        <w:rPr>
          <w:rFonts w:hint="eastAsia"/>
          <w:szCs w:val="22"/>
        </w:rPr>
        <w:t>（</w:t>
      </w:r>
      <w:r>
        <w:rPr>
          <w:rFonts w:hint="eastAsia"/>
          <w:szCs w:val="22"/>
          <w:lang w:val="en-US" w:eastAsia="zh-CN"/>
        </w:rPr>
        <w:t>37</w:t>
      </w:r>
      <w:r>
        <w:rPr>
          <w:rFonts w:hint="eastAsia"/>
          <w:szCs w:val="22"/>
        </w:rPr>
        <w:t>）《国务院关于印发水污染防治行动计划的通知》（国发〔2015〕17 号）；</w:t>
      </w:r>
    </w:p>
    <w:p w14:paraId="5D982EC7">
      <w:pPr>
        <w:ind w:firstLine="480"/>
        <w:rPr>
          <w:rFonts w:hint="eastAsia"/>
          <w:szCs w:val="22"/>
        </w:rPr>
      </w:pPr>
      <w:r>
        <w:rPr>
          <w:rFonts w:hint="eastAsia"/>
          <w:szCs w:val="22"/>
        </w:rPr>
        <w:t>（</w:t>
      </w:r>
      <w:r>
        <w:rPr>
          <w:rFonts w:hint="eastAsia"/>
          <w:szCs w:val="22"/>
          <w:lang w:val="en-US" w:eastAsia="zh-CN"/>
        </w:rPr>
        <w:t>38</w:t>
      </w:r>
      <w:r>
        <w:rPr>
          <w:rFonts w:hint="eastAsia"/>
          <w:szCs w:val="22"/>
        </w:rPr>
        <w:t>）《国务院关于印发土壤污染防治行动计划的通知》（国发〔2016〕31 号）；</w:t>
      </w:r>
    </w:p>
    <w:p w14:paraId="1D202CB0">
      <w:pPr>
        <w:ind w:firstLine="480"/>
        <w:rPr>
          <w:rFonts w:hint="eastAsia"/>
          <w:color w:val="FF0000"/>
          <w:lang w:bidi="en-US"/>
        </w:rPr>
      </w:pPr>
      <w:r>
        <w:rPr>
          <w:rFonts w:hint="eastAsia"/>
          <w:color w:val="FF0000"/>
          <w:szCs w:val="22"/>
        </w:rPr>
        <w:t>（</w:t>
      </w:r>
      <w:r>
        <w:rPr>
          <w:rFonts w:hint="eastAsia"/>
          <w:color w:val="FF0000"/>
          <w:szCs w:val="22"/>
          <w:lang w:val="en-US" w:eastAsia="zh-CN"/>
        </w:rPr>
        <w:t>39</w:t>
      </w:r>
      <w:r>
        <w:rPr>
          <w:rFonts w:hint="eastAsia"/>
          <w:color w:val="FF0000"/>
          <w:szCs w:val="22"/>
        </w:rPr>
        <w:t>）</w:t>
      </w:r>
      <w:r>
        <w:rPr>
          <w:rFonts w:hint="eastAsia" w:ascii="Times New Roman" w:hAnsi="Times New Roman" w:eastAsia="宋体" w:cs="Times New Roman"/>
          <w:color w:val="FF0000"/>
          <w:sz w:val="24"/>
          <w:szCs w:val="24"/>
          <w:highlight w:val="none"/>
          <w:lang w:val="en-US" w:eastAsia="zh-CN"/>
        </w:rPr>
        <w:t>中华人民共和国</w:t>
      </w:r>
      <w:r>
        <w:rPr>
          <w:rFonts w:ascii="Times New Roman" w:hAnsi="Times New Roman" w:eastAsia="宋体" w:cs="Times New Roman"/>
          <w:color w:val="FF0000"/>
          <w:sz w:val="24"/>
          <w:szCs w:val="24"/>
          <w:highlight w:val="none"/>
        </w:rPr>
        <w:t>国家发展</w:t>
      </w:r>
      <w:r>
        <w:rPr>
          <w:rFonts w:hint="eastAsia" w:ascii="Times New Roman" w:hAnsi="Times New Roman" w:eastAsia="宋体" w:cs="Times New Roman"/>
          <w:color w:val="FF0000"/>
          <w:sz w:val="24"/>
          <w:szCs w:val="24"/>
          <w:highlight w:val="none"/>
          <w:lang w:val="en-US" w:eastAsia="zh-CN"/>
        </w:rPr>
        <w:t>和</w:t>
      </w:r>
      <w:r>
        <w:rPr>
          <w:rFonts w:ascii="Times New Roman" w:hAnsi="Times New Roman" w:eastAsia="宋体" w:cs="Times New Roman"/>
          <w:color w:val="FF0000"/>
          <w:sz w:val="24"/>
          <w:szCs w:val="24"/>
          <w:highlight w:val="none"/>
        </w:rPr>
        <w:t>改革委员会</w:t>
      </w:r>
      <w:r>
        <w:rPr>
          <w:rFonts w:hint="eastAsia" w:ascii="Times New Roman" w:hAnsi="Times New Roman" w:eastAsia="宋体" w:cs="Times New Roman"/>
          <w:color w:val="FF0000"/>
          <w:sz w:val="24"/>
          <w:szCs w:val="24"/>
          <w:highlight w:val="none"/>
          <w:lang w:val="en-US" w:eastAsia="zh-CN"/>
        </w:rPr>
        <w:t>令第29</w:t>
      </w:r>
      <w:r>
        <w:rPr>
          <w:rFonts w:ascii="Times New Roman" w:hAnsi="Times New Roman" w:eastAsia="宋体" w:cs="Times New Roman"/>
          <w:color w:val="FF0000"/>
          <w:sz w:val="24"/>
          <w:szCs w:val="24"/>
          <w:highlight w:val="none"/>
        </w:rPr>
        <w:t>号颁布的《产业结构调整指导目录（201</w:t>
      </w:r>
      <w:r>
        <w:rPr>
          <w:rFonts w:hint="eastAsia" w:ascii="Times New Roman" w:hAnsi="Times New Roman" w:eastAsia="宋体" w:cs="Times New Roman"/>
          <w:color w:val="FF0000"/>
          <w:sz w:val="24"/>
          <w:szCs w:val="24"/>
          <w:highlight w:val="none"/>
          <w:lang w:val="en-US" w:eastAsia="zh-CN"/>
        </w:rPr>
        <w:t>9</w:t>
      </w:r>
      <w:r>
        <w:rPr>
          <w:rFonts w:ascii="Times New Roman" w:hAnsi="Times New Roman" w:eastAsia="宋体" w:cs="Times New Roman"/>
          <w:color w:val="FF0000"/>
          <w:sz w:val="24"/>
          <w:szCs w:val="24"/>
          <w:highlight w:val="none"/>
        </w:rPr>
        <w:t>年本）》</w:t>
      </w:r>
      <w:r>
        <w:rPr>
          <w:rFonts w:hint="eastAsia"/>
          <w:color w:val="FF0000"/>
          <w:lang w:bidi="en-US"/>
        </w:rPr>
        <w:t>；</w:t>
      </w:r>
    </w:p>
    <w:p w14:paraId="6F85C399">
      <w:pPr>
        <w:ind w:firstLine="480"/>
        <w:rPr>
          <w:rFonts w:hint="eastAsia" w:eastAsia="宋体"/>
          <w:szCs w:val="22"/>
          <w:lang w:eastAsia="zh-CN" w:bidi="en-US"/>
        </w:rPr>
      </w:pPr>
      <w:r>
        <w:rPr>
          <w:rFonts w:hint="eastAsia" w:eastAsia="宋体"/>
          <w:szCs w:val="22"/>
          <w:lang w:eastAsia="zh-CN" w:bidi="en-US"/>
        </w:rPr>
        <w:t>（</w:t>
      </w:r>
      <w:r>
        <w:rPr>
          <w:rFonts w:hint="eastAsia" w:eastAsia="宋体"/>
          <w:szCs w:val="22"/>
          <w:lang w:val="en-US" w:eastAsia="zh-CN" w:bidi="en-US"/>
        </w:rPr>
        <w:t>40</w:t>
      </w:r>
      <w:r>
        <w:rPr>
          <w:rFonts w:hint="eastAsia" w:eastAsia="宋体"/>
          <w:szCs w:val="22"/>
          <w:lang w:eastAsia="zh-CN" w:bidi="en-US"/>
        </w:rPr>
        <w:t>）</w:t>
      </w:r>
      <w:r>
        <w:rPr>
          <w:rFonts w:hint="eastAsia"/>
          <w:szCs w:val="22"/>
          <w:lang w:bidi="en-US"/>
        </w:rPr>
        <w:t>《关于取消建设项目环境影响评价资质行政许可事项后续相关工作要求的公告（暂行）》（公告2019年第2号，2019年1月21日）</w:t>
      </w:r>
      <w:r>
        <w:rPr>
          <w:rFonts w:hint="eastAsia" w:eastAsia="宋体"/>
          <w:szCs w:val="22"/>
          <w:lang w:eastAsia="zh-CN" w:bidi="en-US"/>
        </w:rPr>
        <w:t>；</w:t>
      </w:r>
    </w:p>
    <w:p w14:paraId="0D60EB6A">
      <w:pPr>
        <w:ind w:firstLine="480"/>
        <w:rPr>
          <w:rFonts w:hint="eastAsia" w:eastAsia="宋体"/>
          <w:szCs w:val="22"/>
          <w:lang w:eastAsia="zh-CN" w:bidi="en-US"/>
        </w:rPr>
      </w:pPr>
      <w:r>
        <w:rPr>
          <w:rFonts w:hint="eastAsia"/>
          <w:szCs w:val="22"/>
          <w:lang w:bidi="en-US"/>
        </w:rPr>
        <w:t>（</w:t>
      </w:r>
      <w:r>
        <w:rPr>
          <w:rFonts w:hint="eastAsia" w:eastAsia="宋体"/>
          <w:szCs w:val="22"/>
          <w:lang w:val="en-US" w:eastAsia="zh-CN" w:bidi="en-US"/>
        </w:rPr>
        <w:t>41</w:t>
      </w:r>
      <w:r>
        <w:rPr>
          <w:rFonts w:hint="eastAsia"/>
          <w:szCs w:val="22"/>
          <w:lang w:bidi="en-US"/>
        </w:rPr>
        <w:t>）《关于以改善环境质量为核心加强环境影响评价管理的通知》（环环评[2016]150 号，2016.10.26）</w:t>
      </w:r>
      <w:r>
        <w:rPr>
          <w:rFonts w:hint="eastAsia" w:eastAsia="宋体"/>
          <w:szCs w:val="22"/>
          <w:lang w:eastAsia="zh-CN" w:bidi="en-US"/>
        </w:rPr>
        <w:t>；</w:t>
      </w:r>
    </w:p>
    <w:p w14:paraId="62AAC595">
      <w:pPr>
        <w:ind w:firstLine="480"/>
        <w:rPr>
          <w:rFonts w:hint="eastAsia"/>
          <w:szCs w:val="22"/>
          <w:lang w:bidi="en-US"/>
        </w:rPr>
      </w:pPr>
      <w:r>
        <w:rPr>
          <w:rFonts w:hint="eastAsia"/>
          <w:szCs w:val="22"/>
          <w:lang w:eastAsia="zh-CN" w:bidi="en-US"/>
        </w:rPr>
        <w:t>（</w:t>
      </w:r>
      <w:r>
        <w:rPr>
          <w:rFonts w:hint="eastAsia"/>
          <w:szCs w:val="22"/>
          <w:lang w:val="en-US" w:eastAsia="zh-CN" w:bidi="en-US"/>
        </w:rPr>
        <w:t>42</w:t>
      </w:r>
      <w:r>
        <w:rPr>
          <w:rFonts w:hint="eastAsia"/>
          <w:szCs w:val="22"/>
          <w:lang w:eastAsia="zh-CN" w:bidi="en-US"/>
        </w:rPr>
        <w:t>）</w:t>
      </w:r>
      <w:r>
        <w:rPr>
          <w:rFonts w:hint="eastAsia"/>
          <w:szCs w:val="22"/>
          <w:lang w:bidi="en-US"/>
        </w:rPr>
        <w:t>《建设项目竣工环境保护验收暂行办法》（国环规环评[2017]4 号，</w:t>
      </w:r>
    </w:p>
    <w:p w14:paraId="5CB9AC43">
      <w:pPr>
        <w:ind w:firstLine="480"/>
        <w:rPr>
          <w:rFonts w:hint="eastAsia"/>
          <w:szCs w:val="22"/>
          <w:lang w:bidi="en-US"/>
        </w:rPr>
      </w:pPr>
      <w:r>
        <w:rPr>
          <w:rFonts w:hint="eastAsia"/>
          <w:szCs w:val="22"/>
          <w:lang w:bidi="en-US"/>
        </w:rPr>
        <w:t>2017</w:t>
      </w:r>
      <w:r>
        <w:rPr>
          <w:rFonts w:hint="eastAsia" w:eastAsia="宋体"/>
          <w:szCs w:val="22"/>
          <w:lang w:val="en-US" w:eastAsia="zh-CN" w:bidi="en-US"/>
        </w:rPr>
        <w:t>年</w:t>
      </w:r>
      <w:r>
        <w:rPr>
          <w:rFonts w:hint="eastAsia"/>
          <w:szCs w:val="22"/>
          <w:lang w:bidi="en-US"/>
        </w:rPr>
        <w:t>11</w:t>
      </w:r>
      <w:r>
        <w:rPr>
          <w:rFonts w:hint="eastAsia" w:eastAsia="宋体"/>
          <w:szCs w:val="22"/>
          <w:lang w:val="en-US" w:eastAsia="zh-CN" w:bidi="en-US"/>
        </w:rPr>
        <w:t>月</w:t>
      </w:r>
      <w:r>
        <w:rPr>
          <w:rFonts w:hint="eastAsia"/>
          <w:szCs w:val="22"/>
          <w:lang w:bidi="en-US"/>
        </w:rPr>
        <w:t>20</w:t>
      </w:r>
      <w:r>
        <w:rPr>
          <w:rFonts w:hint="eastAsia" w:eastAsia="宋体"/>
          <w:szCs w:val="22"/>
          <w:lang w:val="en-US" w:eastAsia="zh-CN" w:bidi="en-US"/>
        </w:rPr>
        <w:t>日</w:t>
      </w:r>
      <w:r>
        <w:rPr>
          <w:rFonts w:hint="eastAsia"/>
          <w:szCs w:val="22"/>
          <w:lang w:bidi="en-US"/>
        </w:rPr>
        <w:t>）；</w:t>
      </w:r>
    </w:p>
    <w:p w14:paraId="63E154DD">
      <w:pPr>
        <w:ind w:firstLine="480"/>
        <w:rPr>
          <w:rFonts w:hint="eastAsia" w:eastAsia="宋体"/>
          <w:szCs w:val="22"/>
          <w:lang w:eastAsia="zh-CN" w:bidi="en-US"/>
        </w:rPr>
      </w:pPr>
      <w:r>
        <w:rPr>
          <w:rFonts w:hint="eastAsia"/>
          <w:szCs w:val="22"/>
          <w:lang w:eastAsia="zh-CN" w:bidi="en-US"/>
        </w:rPr>
        <w:t>（</w:t>
      </w:r>
      <w:r>
        <w:rPr>
          <w:rFonts w:hint="eastAsia"/>
          <w:szCs w:val="22"/>
          <w:lang w:val="en-US" w:eastAsia="zh-CN" w:bidi="en-US"/>
        </w:rPr>
        <w:t>43</w:t>
      </w:r>
      <w:r>
        <w:rPr>
          <w:rFonts w:hint="eastAsia"/>
          <w:szCs w:val="22"/>
          <w:lang w:eastAsia="zh-CN" w:bidi="en-US"/>
        </w:rPr>
        <w:t>）</w:t>
      </w:r>
      <w:r>
        <w:rPr>
          <w:rFonts w:hint="eastAsia"/>
          <w:szCs w:val="22"/>
          <w:lang w:bidi="en-US"/>
        </w:rPr>
        <w:t>《排污许可管理办法（试行）》（环境保护部令第 48 号，2018</w:t>
      </w:r>
      <w:r>
        <w:rPr>
          <w:rFonts w:hint="eastAsia" w:eastAsia="宋体"/>
          <w:szCs w:val="22"/>
          <w:lang w:val="en-US" w:eastAsia="zh-CN" w:bidi="en-US"/>
        </w:rPr>
        <w:t>年</w:t>
      </w:r>
      <w:r>
        <w:rPr>
          <w:rFonts w:hint="eastAsia"/>
          <w:szCs w:val="22"/>
          <w:lang w:bidi="en-US"/>
        </w:rPr>
        <w:t>1</w:t>
      </w:r>
      <w:r>
        <w:rPr>
          <w:rFonts w:hint="eastAsia" w:eastAsia="宋体"/>
          <w:szCs w:val="22"/>
          <w:lang w:val="en-US" w:eastAsia="zh-CN" w:bidi="en-US"/>
        </w:rPr>
        <w:t>月</w:t>
      </w:r>
      <w:r>
        <w:rPr>
          <w:rFonts w:hint="eastAsia"/>
          <w:szCs w:val="22"/>
          <w:lang w:bidi="en-US"/>
        </w:rPr>
        <w:t>10</w:t>
      </w:r>
      <w:r>
        <w:rPr>
          <w:rFonts w:hint="eastAsia" w:eastAsia="宋体"/>
          <w:szCs w:val="22"/>
          <w:lang w:val="en-US" w:eastAsia="zh-CN" w:bidi="en-US"/>
        </w:rPr>
        <w:t>日</w:t>
      </w:r>
      <w:r>
        <w:rPr>
          <w:rFonts w:hint="eastAsia"/>
          <w:szCs w:val="22"/>
          <w:lang w:bidi="en-US"/>
        </w:rPr>
        <w:t>）</w:t>
      </w:r>
      <w:r>
        <w:rPr>
          <w:rFonts w:hint="eastAsia" w:eastAsia="宋体"/>
          <w:szCs w:val="22"/>
          <w:lang w:eastAsia="zh-CN" w:bidi="en-US"/>
        </w:rPr>
        <w:t>；</w:t>
      </w:r>
    </w:p>
    <w:p w14:paraId="048428A5">
      <w:pPr>
        <w:ind w:firstLine="480"/>
        <w:rPr>
          <w:rFonts w:hint="eastAsia"/>
          <w:szCs w:val="22"/>
          <w:lang w:bidi="en-US"/>
        </w:rPr>
      </w:pPr>
      <w:r>
        <w:rPr>
          <w:rFonts w:hint="eastAsia" w:eastAsia="宋体"/>
          <w:szCs w:val="22"/>
          <w:lang w:eastAsia="zh-CN" w:bidi="en-US"/>
        </w:rPr>
        <w:t>（</w:t>
      </w:r>
      <w:r>
        <w:rPr>
          <w:rFonts w:hint="eastAsia" w:eastAsia="宋体"/>
          <w:szCs w:val="22"/>
          <w:lang w:val="en-US" w:eastAsia="zh-CN" w:bidi="en-US"/>
        </w:rPr>
        <w:t>44</w:t>
      </w:r>
      <w:r>
        <w:rPr>
          <w:rFonts w:hint="eastAsia" w:eastAsia="宋体"/>
          <w:szCs w:val="22"/>
          <w:lang w:eastAsia="zh-CN" w:bidi="en-US"/>
        </w:rPr>
        <w:t>）</w:t>
      </w:r>
      <w:r>
        <w:rPr>
          <w:rFonts w:hint="eastAsia"/>
          <w:szCs w:val="22"/>
          <w:lang w:bidi="en-US"/>
        </w:rPr>
        <w:t>《突发环境事件信息报告办法》（2011</w:t>
      </w:r>
      <w:r>
        <w:rPr>
          <w:rFonts w:hint="eastAsia" w:eastAsia="宋体"/>
          <w:szCs w:val="22"/>
          <w:lang w:val="en-US" w:eastAsia="zh-CN" w:bidi="en-US"/>
        </w:rPr>
        <w:t>年</w:t>
      </w:r>
      <w:r>
        <w:rPr>
          <w:rFonts w:hint="eastAsia"/>
          <w:szCs w:val="22"/>
          <w:lang w:bidi="en-US"/>
        </w:rPr>
        <w:t>4</w:t>
      </w:r>
      <w:r>
        <w:rPr>
          <w:rFonts w:hint="eastAsia" w:eastAsia="宋体"/>
          <w:szCs w:val="22"/>
          <w:lang w:val="en-US" w:eastAsia="zh-CN" w:bidi="en-US"/>
        </w:rPr>
        <w:t>月</w:t>
      </w:r>
      <w:r>
        <w:rPr>
          <w:rFonts w:hint="eastAsia"/>
          <w:szCs w:val="22"/>
          <w:lang w:bidi="en-US"/>
        </w:rPr>
        <w:t>18</w:t>
      </w:r>
      <w:r>
        <w:rPr>
          <w:rFonts w:hint="eastAsia" w:eastAsia="宋体"/>
          <w:szCs w:val="22"/>
          <w:lang w:val="en-US" w:eastAsia="zh-CN" w:bidi="en-US"/>
        </w:rPr>
        <w:t>日</w:t>
      </w:r>
      <w:r>
        <w:rPr>
          <w:rFonts w:hint="eastAsia"/>
          <w:szCs w:val="22"/>
          <w:lang w:bidi="en-US"/>
        </w:rPr>
        <w:t>）；</w:t>
      </w:r>
    </w:p>
    <w:p w14:paraId="417E2306">
      <w:pPr>
        <w:ind w:firstLine="480"/>
        <w:rPr>
          <w:rFonts w:hint="eastAsia"/>
          <w:szCs w:val="22"/>
          <w:lang w:bidi="en-US"/>
        </w:rPr>
      </w:pPr>
      <w:r>
        <w:rPr>
          <w:rFonts w:hint="eastAsia"/>
          <w:szCs w:val="22"/>
          <w:lang w:bidi="en-US"/>
        </w:rPr>
        <w:t>（</w:t>
      </w:r>
      <w:r>
        <w:rPr>
          <w:rFonts w:hint="eastAsia" w:eastAsia="宋体"/>
          <w:szCs w:val="22"/>
          <w:lang w:val="en-US" w:eastAsia="zh-CN" w:bidi="en-US"/>
        </w:rPr>
        <w:t>45</w:t>
      </w:r>
      <w:r>
        <w:rPr>
          <w:rFonts w:hint="eastAsia"/>
          <w:szCs w:val="22"/>
          <w:lang w:bidi="en-US"/>
        </w:rPr>
        <w:t>）《国家突发环境事件应急预案》（国办函[2014]119 号，2014</w:t>
      </w:r>
      <w:r>
        <w:rPr>
          <w:rFonts w:hint="eastAsia" w:eastAsia="宋体"/>
          <w:szCs w:val="22"/>
          <w:lang w:val="en-US" w:eastAsia="zh-CN" w:bidi="en-US"/>
        </w:rPr>
        <w:t>年</w:t>
      </w:r>
      <w:r>
        <w:rPr>
          <w:rFonts w:hint="eastAsia"/>
          <w:szCs w:val="22"/>
          <w:lang w:bidi="en-US"/>
        </w:rPr>
        <w:t>12</w:t>
      </w:r>
      <w:r>
        <w:rPr>
          <w:rFonts w:hint="eastAsia" w:eastAsia="宋体"/>
          <w:szCs w:val="22"/>
          <w:lang w:val="en-US" w:eastAsia="zh-CN" w:bidi="en-US"/>
        </w:rPr>
        <w:t>月</w:t>
      </w:r>
      <w:r>
        <w:rPr>
          <w:rFonts w:hint="eastAsia"/>
          <w:szCs w:val="22"/>
          <w:lang w:bidi="en-US"/>
        </w:rPr>
        <w:t>29</w:t>
      </w:r>
      <w:r>
        <w:rPr>
          <w:rFonts w:hint="eastAsia" w:eastAsia="宋体"/>
          <w:szCs w:val="22"/>
          <w:lang w:val="en-US" w:eastAsia="zh-CN" w:bidi="en-US"/>
        </w:rPr>
        <w:t>日</w:t>
      </w:r>
      <w:r>
        <w:rPr>
          <w:rFonts w:hint="eastAsia"/>
          <w:szCs w:val="22"/>
          <w:lang w:bidi="en-US"/>
        </w:rPr>
        <w:t>）；</w:t>
      </w:r>
    </w:p>
    <w:p w14:paraId="289C3B74">
      <w:pPr>
        <w:ind w:firstLine="480"/>
        <w:rPr>
          <w:rFonts w:hint="eastAsia" w:eastAsia="宋体"/>
          <w:szCs w:val="22"/>
          <w:lang w:eastAsia="zh-CN" w:bidi="en-US"/>
        </w:rPr>
      </w:pPr>
      <w:r>
        <w:rPr>
          <w:rFonts w:hint="eastAsia"/>
          <w:szCs w:val="22"/>
          <w:lang w:bidi="en-US"/>
        </w:rPr>
        <w:t>（</w:t>
      </w:r>
      <w:r>
        <w:rPr>
          <w:rFonts w:hint="eastAsia" w:eastAsia="宋体"/>
          <w:szCs w:val="22"/>
          <w:lang w:val="en-US" w:eastAsia="zh-CN" w:bidi="en-US"/>
        </w:rPr>
        <w:t>46</w:t>
      </w:r>
      <w:r>
        <w:rPr>
          <w:rFonts w:hint="eastAsia"/>
          <w:szCs w:val="22"/>
          <w:lang w:bidi="en-US"/>
        </w:rPr>
        <w:t>）《突发环境事件应急管理办法》（2015</w:t>
      </w:r>
      <w:r>
        <w:rPr>
          <w:rFonts w:hint="eastAsia" w:eastAsia="宋体"/>
          <w:szCs w:val="22"/>
          <w:lang w:val="en-US" w:eastAsia="zh-CN" w:bidi="en-US"/>
        </w:rPr>
        <w:t>年</w:t>
      </w:r>
      <w:r>
        <w:rPr>
          <w:rFonts w:hint="eastAsia"/>
          <w:szCs w:val="22"/>
          <w:lang w:bidi="en-US"/>
        </w:rPr>
        <w:t>6</w:t>
      </w:r>
      <w:r>
        <w:rPr>
          <w:rFonts w:hint="eastAsia" w:eastAsia="宋体"/>
          <w:szCs w:val="22"/>
          <w:lang w:val="en-US" w:eastAsia="zh-CN" w:bidi="en-US"/>
        </w:rPr>
        <w:t>月</w:t>
      </w:r>
      <w:r>
        <w:rPr>
          <w:rFonts w:hint="eastAsia"/>
          <w:szCs w:val="22"/>
          <w:lang w:bidi="en-US"/>
        </w:rPr>
        <w:t>5</w:t>
      </w:r>
      <w:r>
        <w:rPr>
          <w:rFonts w:hint="eastAsia" w:eastAsia="宋体"/>
          <w:szCs w:val="22"/>
          <w:lang w:val="en-US" w:eastAsia="zh-CN" w:bidi="en-US"/>
        </w:rPr>
        <w:t>日</w:t>
      </w:r>
      <w:r>
        <w:rPr>
          <w:rFonts w:hint="eastAsia"/>
          <w:szCs w:val="22"/>
          <w:lang w:bidi="en-US"/>
        </w:rPr>
        <w:t>）</w:t>
      </w:r>
      <w:r>
        <w:rPr>
          <w:rFonts w:hint="eastAsia" w:eastAsia="宋体"/>
          <w:szCs w:val="22"/>
          <w:lang w:eastAsia="zh-CN" w:bidi="en-US"/>
        </w:rPr>
        <w:t>；</w:t>
      </w:r>
    </w:p>
    <w:p w14:paraId="22C6E2CE">
      <w:pPr>
        <w:ind w:firstLine="480"/>
        <w:rPr>
          <w:rFonts w:hint="eastAsia"/>
          <w:szCs w:val="22"/>
          <w:lang w:val="en-US" w:eastAsia="zh-CN" w:bidi="en-US"/>
        </w:rPr>
      </w:pPr>
      <w:r>
        <w:rPr>
          <w:rFonts w:hint="eastAsia"/>
          <w:szCs w:val="22"/>
          <w:lang w:eastAsia="zh-CN" w:bidi="en-US"/>
        </w:rPr>
        <w:t>（</w:t>
      </w:r>
      <w:r>
        <w:rPr>
          <w:rFonts w:hint="eastAsia"/>
          <w:szCs w:val="22"/>
          <w:lang w:val="en-US" w:eastAsia="zh-CN" w:bidi="en-US"/>
        </w:rPr>
        <w:t>47</w:t>
      </w:r>
      <w:r>
        <w:rPr>
          <w:rFonts w:hint="eastAsia"/>
          <w:szCs w:val="22"/>
          <w:lang w:eastAsia="zh-CN" w:bidi="en-US"/>
        </w:rPr>
        <w:t>）</w:t>
      </w:r>
      <w:r>
        <w:rPr>
          <w:rFonts w:hint="eastAsia"/>
          <w:szCs w:val="22"/>
          <w:lang w:bidi="en-US"/>
        </w:rPr>
        <w:t>《危险化学品安全管理条例》（国务院令第 645 号，2013</w:t>
      </w:r>
      <w:r>
        <w:rPr>
          <w:rFonts w:hint="eastAsia"/>
          <w:szCs w:val="22"/>
          <w:lang w:val="en-US" w:eastAsia="zh-CN" w:bidi="en-US"/>
        </w:rPr>
        <w:t>年</w:t>
      </w:r>
      <w:r>
        <w:rPr>
          <w:rFonts w:hint="eastAsia"/>
          <w:szCs w:val="22"/>
          <w:lang w:bidi="en-US"/>
        </w:rPr>
        <w:t>12</w:t>
      </w:r>
      <w:r>
        <w:rPr>
          <w:rFonts w:hint="eastAsia"/>
          <w:szCs w:val="22"/>
          <w:lang w:val="en-US" w:eastAsia="zh-CN" w:bidi="en-US"/>
        </w:rPr>
        <w:t>月</w:t>
      </w:r>
      <w:r>
        <w:rPr>
          <w:rFonts w:hint="eastAsia"/>
          <w:szCs w:val="22"/>
          <w:lang w:bidi="en-US"/>
        </w:rPr>
        <w:t>7</w:t>
      </w:r>
      <w:r>
        <w:rPr>
          <w:rFonts w:hint="eastAsia"/>
          <w:szCs w:val="22"/>
          <w:lang w:val="en-US" w:eastAsia="zh-CN" w:bidi="en-US"/>
        </w:rPr>
        <w:t>日）；</w:t>
      </w:r>
    </w:p>
    <w:p w14:paraId="7F093847">
      <w:pPr>
        <w:ind w:firstLine="480"/>
        <w:rPr>
          <w:rFonts w:hint="eastAsia"/>
          <w:szCs w:val="22"/>
          <w:lang w:val="en-US" w:eastAsia="zh-CN" w:bidi="en-US"/>
        </w:rPr>
      </w:pPr>
      <w:r>
        <w:rPr>
          <w:rFonts w:hint="eastAsia"/>
          <w:szCs w:val="22"/>
          <w:lang w:eastAsia="zh-CN" w:bidi="en-US"/>
        </w:rPr>
        <w:t>（</w:t>
      </w:r>
      <w:r>
        <w:rPr>
          <w:rFonts w:hint="eastAsia"/>
          <w:szCs w:val="22"/>
          <w:lang w:val="en-US" w:eastAsia="zh-CN" w:bidi="en-US"/>
        </w:rPr>
        <w:t>48</w:t>
      </w:r>
      <w:r>
        <w:rPr>
          <w:rFonts w:hint="eastAsia"/>
          <w:szCs w:val="22"/>
          <w:lang w:eastAsia="zh-CN" w:bidi="en-US"/>
        </w:rPr>
        <w:t>）原国家环境保护总局令第 5 号《危险废物转移联单管理办法》（1999</w:t>
      </w:r>
      <w:r>
        <w:rPr>
          <w:rFonts w:hint="eastAsia"/>
          <w:szCs w:val="22"/>
          <w:lang w:val="en-US" w:eastAsia="zh-CN" w:bidi="en-US"/>
        </w:rPr>
        <w:t>年</w:t>
      </w:r>
      <w:r>
        <w:rPr>
          <w:rFonts w:hint="eastAsia"/>
          <w:szCs w:val="22"/>
          <w:lang w:eastAsia="zh-CN" w:bidi="en-US"/>
        </w:rPr>
        <w:t>10</w:t>
      </w:r>
      <w:r>
        <w:rPr>
          <w:rFonts w:hint="eastAsia"/>
          <w:szCs w:val="22"/>
          <w:lang w:val="en-US" w:eastAsia="zh-CN" w:bidi="en-US"/>
        </w:rPr>
        <w:t>月</w:t>
      </w:r>
      <w:r>
        <w:rPr>
          <w:rFonts w:hint="eastAsia"/>
          <w:szCs w:val="22"/>
          <w:lang w:eastAsia="zh-CN" w:bidi="en-US"/>
        </w:rPr>
        <w:t>1</w:t>
      </w:r>
      <w:r>
        <w:rPr>
          <w:rFonts w:hint="eastAsia"/>
          <w:szCs w:val="22"/>
          <w:lang w:val="en-US" w:eastAsia="zh-CN" w:bidi="en-US"/>
        </w:rPr>
        <w:t>日</w:t>
      </w:r>
      <w:r>
        <w:rPr>
          <w:rFonts w:hint="eastAsia"/>
          <w:szCs w:val="22"/>
          <w:lang w:eastAsia="zh-CN" w:bidi="en-US"/>
        </w:rPr>
        <w:t>）</w:t>
      </w:r>
      <w:r>
        <w:rPr>
          <w:rFonts w:hint="eastAsia"/>
          <w:szCs w:val="22"/>
          <w:lang w:val="en-US" w:eastAsia="zh-CN" w:bidi="en-US"/>
        </w:rPr>
        <w:t>；</w:t>
      </w:r>
    </w:p>
    <w:p w14:paraId="7380200A">
      <w:pPr>
        <w:ind w:firstLine="480"/>
        <w:rPr>
          <w:rFonts w:hint="eastAsia"/>
          <w:szCs w:val="22"/>
          <w:lang w:eastAsia="zh-CN" w:bidi="en-US"/>
        </w:rPr>
      </w:pPr>
      <w:r>
        <w:rPr>
          <w:rFonts w:hint="eastAsia" w:eastAsia="宋体"/>
          <w:szCs w:val="22"/>
          <w:lang w:eastAsia="zh-CN" w:bidi="en-US"/>
        </w:rPr>
        <w:t>（</w:t>
      </w:r>
      <w:r>
        <w:rPr>
          <w:rFonts w:hint="eastAsia" w:eastAsia="宋体"/>
          <w:szCs w:val="22"/>
          <w:lang w:val="en-US" w:eastAsia="zh-CN" w:bidi="en-US"/>
        </w:rPr>
        <w:t>49</w:t>
      </w:r>
      <w:r>
        <w:rPr>
          <w:rFonts w:hint="eastAsia" w:eastAsia="宋体"/>
          <w:szCs w:val="22"/>
          <w:lang w:eastAsia="zh-CN" w:bidi="en-US"/>
        </w:rPr>
        <w:t>）</w:t>
      </w:r>
      <w:r>
        <w:rPr>
          <w:rFonts w:hint="eastAsia"/>
          <w:szCs w:val="22"/>
          <w:lang w:bidi="en-US"/>
        </w:rPr>
        <w:t>《关于进一步加强环境影响评价管理防范环境风险的通知》，（环发[2012]77号，2012年7月3日）</w:t>
      </w:r>
      <w:r>
        <w:rPr>
          <w:rFonts w:hint="eastAsia"/>
          <w:szCs w:val="22"/>
          <w:lang w:eastAsia="zh-CN" w:bidi="en-US"/>
        </w:rPr>
        <w:t>。</w:t>
      </w:r>
    </w:p>
    <w:p w14:paraId="048BF796">
      <w:pPr>
        <w:ind w:firstLine="480"/>
        <w:rPr>
          <w:rFonts w:hint="eastAsia"/>
          <w:szCs w:val="22"/>
          <w:lang w:val="en-US" w:eastAsia="zh-CN" w:bidi="en-US"/>
        </w:rPr>
      </w:pPr>
      <w:r>
        <w:rPr>
          <w:rFonts w:hint="eastAsia" w:eastAsia="宋体"/>
          <w:szCs w:val="22"/>
          <w:lang w:eastAsia="zh-CN" w:bidi="en-US"/>
        </w:rPr>
        <w:t>（</w:t>
      </w:r>
      <w:r>
        <w:rPr>
          <w:rFonts w:hint="eastAsia" w:eastAsia="宋体"/>
          <w:szCs w:val="22"/>
          <w:lang w:val="en-US" w:eastAsia="zh-CN" w:bidi="en-US"/>
        </w:rPr>
        <w:t>50</w:t>
      </w:r>
      <w:r>
        <w:rPr>
          <w:rFonts w:hint="eastAsia" w:eastAsia="宋体"/>
          <w:szCs w:val="22"/>
          <w:lang w:eastAsia="zh-CN" w:bidi="en-US"/>
        </w:rPr>
        <w:t>）</w:t>
      </w:r>
      <w:r>
        <w:rPr>
          <w:rFonts w:hint="eastAsia"/>
          <w:szCs w:val="22"/>
          <w:lang w:bidi="en-US"/>
        </w:rPr>
        <w:t>《国家危险废物名录》（</w:t>
      </w:r>
      <w:r>
        <w:rPr>
          <w:rFonts w:hint="eastAsia"/>
          <w:szCs w:val="22"/>
          <w:lang w:val="en-US" w:eastAsia="zh-CN" w:bidi="en-US"/>
        </w:rPr>
        <w:t>环境保护部令[2016]第39号）；</w:t>
      </w:r>
    </w:p>
    <w:p w14:paraId="3EB0E56B">
      <w:pPr>
        <w:pStyle w:val="2"/>
        <w:rPr>
          <w:rFonts w:hint="eastAsia" w:ascii="Times New Roman" w:hAnsi="Times New Roman" w:cs="Times New Roman"/>
          <w:sz w:val="24"/>
          <w:szCs w:val="22"/>
          <w:lang w:val="en-US" w:eastAsia="zh-CN" w:bidi="en-US"/>
        </w:rPr>
      </w:pPr>
      <w:r>
        <w:rPr>
          <w:rFonts w:hint="eastAsia" w:ascii="Times New Roman" w:hAnsi="Times New Roman" w:cs="Times New Roman"/>
          <w:sz w:val="24"/>
          <w:szCs w:val="22"/>
          <w:lang w:val="en-US" w:eastAsia="zh-CN" w:bidi="en-US"/>
        </w:rPr>
        <w:t>（51）环境保护部办公厅关于印发《“十三五”挥发性有机物污染防治工作方案》的通知（环大气[2017]121号）；</w:t>
      </w:r>
    </w:p>
    <w:p w14:paraId="23B6585C">
      <w:pPr>
        <w:pStyle w:val="2"/>
        <w:rPr>
          <w:rFonts w:ascii="Times New Roman" w:hAnsi="Times New Roman" w:cs="Times New Roman"/>
          <w:sz w:val="24"/>
          <w:szCs w:val="22"/>
          <w:lang w:val="en-US" w:eastAsia="zh-CN" w:bidi="en-US"/>
        </w:rPr>
      </w:pPr>
      <w:r>
        <w:rPr>
          <w:rFonts w:hint="eastAsia" w:ascii="Times New Roman" w:hAnsi="Times New Roman" w:cs="Times New Roman"/>
          <w:sz w:val="24"/>
          <w:szCs w:val="22"/>
          <w:lang w:val="en-US" w:eastAsia="zh-CN" w:bidi="en-US"/>
        </w:rPr>
        <w:t>（52）《挥发性有机物（VOCs）污染防治技术政策》（环境保护部公告（2013）第31号）。</w:t>
      </w:r>
    </w:p>
    <w:p w14:paraId="02D5A62E">
      <w:pPr>
        <w:pStyle w:val="188"/>
      </w:pPr>
      <w:r>
        <w:rPr>
          <w:rFonts w:hint="eastAsia"/>
        </w:rPr>
        <w:t>2.1.2</w:t>
      </w:r>
      <w:r>
        <w:t xml:space="preserve"> </w:t>
      </w:r>
      <w:r>
        <w:rPr>
          <w:rFonts w:hint="eastAsia"/>
          <w:lang w:val="en-US" w:eastAsia="zh-CN"/>
        </w:rPr>
        <w:t>地方法律、法规及</w:t>
      </w:r>
      <w:r>
        <w:t>相关政策</w:t>
      </w:r>
    </w:p>
    <w:p w14:paraId="6E303C1A">
      <w:pPr>
        <w:ind w:firstLine="480"/>
        <w:rPr>
          <w:rFonts w:hint="eastAsia" w:eastAsia="宋体"/>
          <w:szCs w:val="22"/>
          <w:lang w:eastAsia="zh-CN" w:bidi="en-US"/>
        </w:rPr>
      </w:pPr>
      <w:bookmarkStart w:id="34" w:name="_Toc207277001"/>
      <w:r>
        <w:rPr>
          <w:rFonts w:hint="eastAsia"/>
          <w:szCs w:val="22"/>
          <w:lang w:bidi="en-US"/>
        </w:rPr>
        <w:t>（1）《云南省人民政府关于发布云南省生态保护红线的通知》（云政发〔2018〕32号，2018年6月29日）</w:t>
      </w:r>
      <w:r>
        <w:rPr>
          <w:rFonts w:hint="eastAsia" w:eastAsia="宋体"/>
          <w:szCs w:val="22"/>
          <w:lang w:eastAsia="zh-CN" w:bidi="en-US"/>
        </w:rPr>
        <w:t>；</w:t>
      </w:r>
    </w:p>
    <w:p w14:paraId="67B32169">
      <w:pPr>
        <w:ind w:firstLine="480"/>
        <w:rPr>
          <w:lang w:val="en-US"/>
        </w:rPr>
      </w:pPr>
      <w:r>
        <w:rPr>
          <w:rFonts w:hint="eastAsia"/>
          <w:szCs w:val="22"/>
          <w:lang w:bidi="en-US"/>
        </w:rPr>
        <w:t>（2）</w:t>
      </w:r>
      <w:r>
        <w:rPr>
          <w:rFonts w:hint="eastAsia" w:ascii="宋体" w:hAnsi="宋体" w:eastAsia="宋体" w:cs="宋体"/>
          <w:color w:val="000000"/>
          <w:sz w:val="24"/>
          <w:szCs w:val="24"/>
          <w:lang w:val="en-US" w:eastAsia="zh-CN" w:bidi="ar"/>
        </w:rPr>
        <w:t>《云南省人民政府关于印发</w:t>
      </w:r>
      <w:r>
        <w:rPr>
          <w:rFonts w:ascii="Times New Roman" w:hAnsi="Times New Roman" w:eastAsia="宋体" w:cs="Times New Roman"/>
          <w:color w:val="000000"/>
          <w:sz w:val="24"/>
          <w:szCs w:val="24"/>
          <w:lang w:val="en-US" w:eastAsia="zh-CN" w:bidi="ar"/>
        </w:rPr>
        <w:t>&lt;</w:t>
      </w:r>
      <w:r>
        <w:rPr>
          <w:rFonts w:hint="eastAsia" w:ascii="宋体" w:hAnsi="宋体" w:eastAsia="宋体" w:cs="宋体"/>
          <w:color w:val="000000"/>
          <w:sz w:val="24"/>
          <w:szCs w:val="24"/>
          <w:lang w:val="en-US" w:eastAsia="zh-CN" w:bidi="ar"/>
        </w:rPr>
        <w:t>云南省主体功能区规划</w:t>
      </w:r>
      <w:r>
        <w:rPr>
          <w:rFonts w:ascii="Times New Roman" w:hAnsi="Times New Roman" w:eastAsia="宋体" w:cs="Times New Roman"/>
          <w:color w:val="000000"/>
          <w:sz w:val="24"/>
          <w:szCs w:val="24"/>
          <w:lang w:val="en-US" w:eastAsia="zh-CN" w:bidi="ar"/>
        </w:rPr>
        <w:t>&gt;</w:t>
      </w:r>
      <w:r>
        <w:rPr>
          <w:rFonts w:hint="eastAsia" w:ascii="宋体" w:hAnsi="宋体" w:eastAsia="宋体" w:cs="宋体"/>
          <w:color w:val="000000"/>
          <w:sz w:val="24"/>
          <w:szCs w:val="24"/>
          <w:lang w:val="en-US" w:eastAsia="zh-CN" w:bidi="ar"/>
        </w:rPr>
        <w:t>的通知》（云政发</w:t>
      </w:r>
      <w:r>
        <w:rPr>
          <w:rFonts w:ascii="Times New Roman" w:hAnsi="Times New Roman" w:eastAsia="宋体" w:cs="Times New Roman"/>
          <w:color w:val="000000"/>
          <w:sz w:val="24"/>
          <w:szCs w:val="24"/>
          <w:lang w:val="en-US" w:eastAsia="zh-CN" w:bidi="ar"/>
        </w:rPr>
        <w:t xml:space="preserve">[2014]1 </w:t>
      </w:r>
      <w:r>
        <w:rPr>
          <w:rFonts w:hint="eastAsia" w:ascii="宋体" w:hAnsi="宋体" w:eastAsia="宋体" w:cs="宋体"/>
          <w:color w:val="000000"/>
          <w:sz w:val="24"/>
          <w:szCs w:val="24"/>
          <w:lang w:val="en-US" w:eastAsia="zh-CN" w:bidi="ar"/>
        </w:rPr>
        <w:t>号，</w:t>
      </w:r>
      <w:r>
        <w:rPr>
          <w:rFonts w:ascii="Times New Roman" w:hAnsi="Times New Roman" w:eastAsia="宋体" w:cs="Times New Roman"/>
          <w:color w:val="000000"/>
          <w:sz w:val="24"/>
          <w:szCs w:val="24"/>
          <w:lang w:val="en-US" w:eastAsia="zh-CN" w:bidi="ar"/>
        </w:rPr>
        <w:t>2014</w:t>
      </w:r>
      <w:r>
        <w:rPr>
          <w:rFonts w:hint="eastAsia" w:ascii="Times New Roman" w:hAnsi="Times New Roman" w:eastAsia="宋体" w:cs="Times New Roman"/>
          <w:color w:val="000000"/>
          <w:sz w:val="24"/>
          <w:szCs w:val="24"/>
          <w:lang w:val="en-US" w:eastAsia="zh-CN" w:bidi="ar"/>
        </w:rPr>
        <w:t>年1月6日实施）</w:t>
      </w:r>
    </w:p>
    <w:p w14:paraId="1D5491E2">
      <w:pPr>
        <w:ind w:firstLine="480"/>
        <w:rPr>
          <w:rFonts w:hint="eastAsia"/>
          <w:color w:val="000000"/>
          <w:szCs w:val="22"/>
          <w:lang w:val="en-US" w:eastAsia="zh-CN" w:bidi="en-US"/>
        </w:rPr>
      </w:pPr>
      <w:r>
        <w:rPr>
          <w:rFonts w:hint="eastAsia"/>
          <w:color w:val="000000"/>
          <w:szCs w:val="22"/>
          <w:lang w:val="en-US" w:eastAsia="zh-CN" w:bidi="en-US"/>
        </w:rPr>
        <w:t>（3）《云南省生态功能区划》（2009年9月7日实施）；</w:t>
      </w:r>
    </w:p>
    <w:p w14:paraId="009910DD">
      <w:pPr>
        <w:ind w:firstLine="480"/>
        <w:rPr>
          <w:rFonts w:hint="eastAsia"/>
          <w:szCs w:val="22"/>
          <w:lang w:val="en-US" w:eastAsia="zh-CN" w:bidi="en-US"/>
        </w:rPr>
      </w:pPr>
      <w:r>
        <w:rPr>
          <w:rFonts w:hint="eastAsia"/>
          <w:szCs w:val="22"/>
          <w:lang w:val="en-US" w:eastAsia="zh-CN" w:bidi="en-US"/>
        </w:rPr>
        <w:t>（4）</w:t>
      </w:r>
      <w:r>
        <w:rPr>
          <w:rFonts w:hint="eastAsia"/>
          <w:color w:val="FF0000"/>
          <w:szCs w:val="22"/>
          <w:lang w:val="en-US" w:eastAsia="zh-CN" w:bidi="en-US"/>
        </w:rPr>
        <w:t>《云南省声环境功能区划分》（2019-2029）；</w:t>
      </w:r>
    </w:p>
    <w:p w14:paraId="2C1500DD">
      <w:pPr>
        <w:keepNext w:val="0"/>
        <w:keepLines w:val="0"/>
        <w:pageBreakBefore w:val="0"/>
        <w:widowControl/>
        <w:ind w:left="0" w:firstLine="480"/>
        <w:jc w:val="left"/>
        <w:rPr>
          <w:rFonts w:hint="eastAsia"/>
          <w:szCs w:val="22"/>
          <w:lang w:val="en-US" w:eastAsia="zh-CN" w:bidi="en-US"/>
        </w:rPr>
      </w:pPr>
      <w:r>
        <w:rPr>
          <w:rFonts w:hint="eastAsia"/>
          <w:szCs w:val="22"/>
          <w:lang w:val="en-US" w:eastAsia="zh-CN" w:bidi="en-US"/>
        </w:rPr>
        <w:t>（5）《关于发布</w:t>
      </w:r>
      <w:r>
        <w:rPr>
          <w:szCs w:val="22"/>
          <w:lang w:val="en-US" w:eastAsia="zh-CN" w:bidi="en-US"/>
        </w:rPr>
        <w:t>&lt;</w:t>
      </w:r>
      <w:r>
        <w:rPr>
          <w:rFonts w:hint="eastAsia"/>
          <w:szCs w:val="22"/>
          <w:lang w:val="en-US" w:eastAsia="zh-CN" w:bidi="en-US"/>
        </w:rPr>
        <w:t>云南省环境保护厅审批环境影响评价文件的建设项目目录（</w:t>
      </w:r>
      <w:r>
        <w:rPr>
          <w:szCs w:val="22"/>
          <w:lang w:val="en-US" w:eastAsia="zh-CN" w:bidi="en-US"/>
        </w:rPr>
        <w:t xml:space="preserve">2015 </w:t>
      </w:r>
      <w:r>
        <w:rPr>
          <w:rFonts w:hint="eastAsia"/>
          <w:szCs w:val="22"/>
          <w:lang w:val="en-US" w:eastAsia="zh-CN" w:bidi="en-US"/>
        </w:rPr>
        <w:t>年本）</w:t>
      </w:r>
      <w:r>
        <w:rPr>
          <w:szCs w:val="22"/>
          <w:lang w:val="en-US" w:eastAsia="zh-CN" w:bidi="en-US"/>
        </w:rPr>
        <w:t>&gt;</w:t>
      </w:r>
      <w:r>
        <w:rPr>
          <w:rFonts w:hint="eastAsia"/>
          <w:szCs w:val="22"/>
          <w:lang w:val="en-US" w:eastAsia="zh-CN" w:bidi="en-US"/>
        </w:rPr>
        <w:t>的通知》（云环发</w:t>
      </w:r>
      <w:r>
        <w:rPr>
          <w:szCs w:val="22"/>
          <w:lang w:val="en-US" w:eastAsia="zh-CN" w:bidi="en-US"/>
        </w:rPr>
        <w:t xml:space="preserve">[2015]66 </w:t>
      </w:r>
      <w:r>
        <w:rPr>
          <w:rFonts w:hint="eastAsia"/>
          <w:szCs w:val="22"/>
          <w:lang w:val="en-US" w:eastAsia="zh-CN" w:bidi="en-US"/>
        </w:rPr>
        <w:t>号）；</w:t>
      </w:r>
    </w:p>
    <w:p w14:paraId="0FB5037D">
      <w:pPr>
        <w:keepNext w:val="0"/>
        <w:keepLines w:val="0"/>
        <w:pageBreakBefore w:val="0"/>
        <w:widowControl/>
        <w:ind w:left="0" w:firstLine="480"/>
        <w:jc w:val="left"/>
        <w:rPr>
          <w:rFonts w:hint="eastAsia"/>
          <w:szCs w:val="22"/>
          <w:lang w:val="en-US" w:eastAsia="zh-CN" w:bidi="en-US"/>
        </w:rPr>
      </w:pPr>
      <w:r>
        <w:rPr>
          <w:rFonts w:hint="eastAsia"/>
          <w:szCs w:val="22"/>
          <w:lang w:val="en-US" w:eastAsia="zh-CN" w:bidi="en-US"/>
        </w:rPr>
        <w:t>（6）《云南省环境空气质量功能区划》，</w:t>
      </w:r>
      <w:r>
        <w:rPr>
          <w:szCs w:val="22"/>
          <w:lang w:val="en-US" w:eastAsia="zh-CN" w:bidi="en-US"/>
        </w:rPr>
        <w:t xml:space="preserve">2005 </w:t>
      </w:r>
      <w:r>
        <w:rPr>
          <w:rFonts w:hint="eastAsia"/>
          <w:szCs w:val="22"/>
          <w:lang w:val="en-US" w:eastAsia="zh-CN" w:bidi="en-US"/>
        </w:rPr>
        <w:t>年</w:t>
      </w:r>
      <w:r>
        <w:rPr>
          <w:szCs w:val="22"/>
          <w:lang w:val="en-US" w:eastAsia="zh-CN" w:bidi="en-US"/>
        </w:rPr>
        <w:t>10</w:t>
      </w:r>
      <w:r>
        <w:rPr>
          <w:rFonts w:hint="eastAsia"/>
          <w:szCs w:val="22"/>
          <w:lang w:val="en-US" w:eastAsia="zh-CN" w:bidi="en-US"/>
        </w:rPr>
        <w:t>月</w:t>
      </w:r>
      <w:r>
        <w:rPr>
          <w:szCs w:val="22"/>
          <w:lang w:val="en-US" w:eastAsia="zh-CN" w:bidi="en-US"/>
        </w:rPr>
        <w:t>12</w:t>
      </w:r>
      <w:r>
        <w:rPr>
          <w:rFonts w:hint="eastAsia"/>
          <w:szCs w:val="22"/>
          <w:lang w:val="en-US" w:eastAsia="zh-CN" w:bidi="en-US"/>
        </w:rPr>
        <w:t>日；</w:t>
      </w:r>
    </w:p>
    <w:p w14:paraId="4E84E5FA">
      <w:pPr>
        <w:keepNext w:val="0"/>
        <w:keepLines w:val="0"/>
        <w:pageBreakBefore w:val="0"/>
        <w:widowControl/>
        <w:ind w:left="0" w:firstLine="480"/>
        <w:jc w:val="left"/>
        <w:rPr>
          <w:rFonts w:hint="eastAsia"/>
          <w:szCs w:val="22"/>
          <w:lang w:val="en-US" w:eastAsia="zh-CN" w:bidi="en-US"/>
        </w:rPr>
      </w:pPr>
      <w:r>
        <w:rPr>
          <w:rFonts w:hint="eastAsia"/>
          <w:color w:val="FF0000"/>
          <w:szCs w:val="22"/>
          <w:lang w:val="en-US" w:eastAsia="zh-CN" w:bidi="en-US"/>
        </w:rPr>
        <w:t>（7）《云南省打赢蓝天保卫战三年计划实施方案》（</w:t>
      </w:r>
      <w:r>
        <w:rPr>
          <w:color w:val="FF0000"/>
          <w:szCs w:val="22"/>
          <w:lang w:val="en-US" w:eastAsia="zh-CN" w:bidi="en-US"/>
        </w:rPr>
        <w:t>201</w:t>
      </w:r>
      <w:r>
        <w:rPr>
          <w:rFonts w:hint="eastAsia"/>
          <w:color w:val="FF0000"/>
          <w:szCs w:val="22"/>
          <w:lang w:val="en-US" w:eastAsia="zh-CN" w:bidi="en-US"/>
        </w:rPr>
        <w:t>8年9月11日）</w:t>
      </w:r>
      <w:r>
        <w:rPr>
          <w:rFonts w:hint="eastAsia"/>
          <w:szCs w:val="22"/>
          <w:lang w:val="en-US" w:eastAsia="zh-CN" w:bidi="en-US"/>
        </w:rPr>
        <w:t>；</w:t>
      </w:r>
    </w:p>
    <w:p w14:paraId="35E07A36">
      <w:pPr>
        <w:keepNext w:val="0"/>
        <w:keepLines w:val="0"/>
        <w:pageBreakBefore w:val="0"/>
        <w:widowControl/>
        <w:ind w:left="0" w:firstLine="480"/>
        <w:jc w:val="left"/>
        <w:rPr>
          <w:rFonts w:hint="eastAsia"/>
          <w:szCs w:val="22"/>
          <w:lang w:val="en-US" w:eastAsia="zh-CN" w:bidi="en-US"/>
        </w:rPr>
      </w:pPr>
      <w:r>
        <w:rPr>
          <w:rFonts w:hint="eastAsia"/>
          <w:szCs w:val="22"/>
          <w:lang w:val="en-US" w:eastAsia="zh-CN" w:bidi="en-US"/>
        </w:rPr>
        <w:t>（8）《云南省人民政府关于印发云南省水污染防治工作方案的通知》（云南省人民政府，云政发</w:t>
      </w:r>
      <w:r>
        <w:rPr>
          <w:szCs w:val="22"/>
          <w:lang w:val="en-US" w:eastAsia="zh-CN" w:bidi="en-US"/>
        </w:rPr>
        <w:t xml:space="preserve">[2016]3 </w:t>
      </w:r>
      <w:r>
        <w:rPr>
          <w:rFonts w:hint="eastAsia"/>
          <w:szCs w:val="22"/>
          <w:lang w:val="en-US" w:eastAsia="zh-CN" w:bidi="en-US"/>
        </w:rPr>
        <w:t>号，</w:t>
      </w:r>
      <w:r>
        <w:rPr>
          <w:szCs w:val="22"/>
          <w:lang w:val="en-US" w:eastAsia="zh-CN" w:bidi="en-US"/>
        </w:rPr>
        <w:t xml:space="preserve">2016 </w:t>
      </w:r>
      <w:r>
        <w:rPr>
          <w:rFonts w:hint="eastAsia"/>
          <w:szCs w:val="22"/>
          <w:lang w:val="en-US" w:eastAsia="zh-CN" w:bidi="en-US"/>
        </w:rPr>
        <w:t>年</w:t>
      </w:r>
      <w:r>
        <w:rPr>
          <w:szCs w:val="22"/>
          <w:lang w:val="en-US" w:eastAsia="zh-CN" w:bidi="en-US"/>
        </w:rPr>
        <w:t>1</w:t>
      </w:r>
      <w:r>
        <w:rPr>
          <w:rFonts w:hint="eastAsia"/>
          <w:szCs w:val="22"/>
          <w:lang w:val="en-US" w:eastAsia="zh-CN" w:bidi="en-US"/>
        </w:rPr>
        <w:t>月</w:t>
      </w:r>
      <w:r>
        <w:rPr>
          <w:szCs w:val="22"/>
          <w:lang w:val="en-US" w:eastAsia="zh-CN" w:bidi="en-US"/>
        </w:rPr>
        <w:t>10</w:t>
      </w:r>
      <w:r>
        <w:rPr>
          <w:rFonts w:hint="eastAsia"/>
          <w:szCs w:val="22"/>
          <w:lang w:val="en-US" w:eastAsia="zh-CN" w:bidi="en-US"/>
        </w:rPr>
        <w:t>号）；</w:t>
      </w:r>
    </w:p>
    <w:p w14:paraId="68F2B1FB">
      <w:pPr>
        <w:keepNext w:val="0"/>
        <w:keepLines w:val="0"/>
        <w:pageBreakBefore w:val="0"/>
        <w:widowControl/>
        <w:ind w:left="0" w:firstLine="480"/>
        <w:jc w:val="left"/>
        <w:rPr>
          <w:rFonts w:hint="eastAsia"/>
          <w:szCs w:val="22"/>
          <w:lang w:val="en-US" w:eastAsia="zh-CN" w:bidi="en-US"/>
        </w:rPr>
      </w:pPr>
      <w:r>
        <w:rPr>
          <w:rFonts w:hint="eastAsia"/>
          <w:szCs w:val="22"/>
          <w:lang w:val="en-US" w:eastAsia="zh-CN" w:bidi="en-US"/>
        </w:rPr>
        <w:t>（9）《云南省人民政府关于印发云南省土壤污染防治工作方案的通知》（云南省人民政府，云政发</w:t>
      </w:r>
      <w:r>
        <w:rPr>
          <w:szCs w:val="22"/>
          <w:lang w:val="en-US" w:eastAsia="zh-CN" w:bidi="en-US"/>
        </w:rPr>
        <w:t xml:space="preserve">[2017]8 </w:t>
      </w:r>
      <w:r>
        <w:rPr>
          <w:rFonts w:hint="eastAsia"/>
          <w:szCs w:val="22"/>
          <w:lang w:val="en-US" w:eastAsia="zh-CN" w:bidi="en-US"/>
        </w:rPr>
        <w:t>号，</w:t>
      </w:r>
      <w:r>
        <w:rPr>
          <w:szCs w:val="22"/>
          <w:lang w:val="en-US" w:eastAsia="zh-CN" w:bidi="en-US"/>
        </w:rPr>
        <w:t xml:space="preserve">2017 </w:t>
      </w:r>
      <w:r>
        <w:rPr>
          <w:rFonts w:hint="eastAsia"/>
          <w:szCs w:val="22"/>
          <w:lang w:val="en-US" w:eastAsia="zh-CN" w:bidi="en-US"/>
        </w:rPr>
        <w:t>年</w:t>
      </w:r>
      <w:r>
        <w:rPr>
          <w:szCs w:val="22"/>
          <w:lang w:val="en-US" w:eastAsia="zh-CN" w:bidi="en-US"/>
        </w:rPr>
        <w:t>2</w:t>
      </w:r>
      <w:r>
        <w:rPr>
          <w:rFonts w:hint="eastAsia"/>
          <w:szCs w:val="22"/>
          <w:lang w:val="en-US" w:eastAsia="zh-CN" w:bidi="en-US"/>
        </w:rPr>
        <w:t>月</w:t>
      </w:r>
      <w:r>
        <w:rPr>
          <w:szCs w:val="22"/>
          <w:lang w:val="en-US" w:eastAsia="zh-CN" w:bidi="en-US"/>
        </w:rPr>
        <w:t>19</w:t>
      </w:r>
      <w:r>
        <w:rPr>
          <w:rFonts w:hint="eastAsia"/>
          <w:szCs w:val="22"/>
          <w:lang w:val="en-US" w:eastAsia="zh-CN" w:bidi="en-US"/>
        </w:rPr>
        <w:t>日）；</w:t>
      </w:r>
    </w:p>
    <w:p w14:paraId="40937E54">
      <w:pPr>
        <w:keepNext w:val="0"/>
        <w:keepLines w:val="0"/>
        <w:pageBreakBefore w:val="0"/>
        <w:widowControl/>
        <w:ind w:left="0" w:firstLine="480"/>
        <w:jc w:val="left"/>
        <w:rPr>
          <w:rFonts w:hint="eastAsia"/>
          <w:szCs w:val="22"/>
          <w:lang w:val="en-US" w:eastAsia="zh-CN" w:bidi="en-US"/>
        </w:rPr>
      </w:pPr>
      <w:r>
        <w:rPr>
          <w:rFonts w:hint="eastAsia"/>
          <w:szCs w:val="22"/>
          <w:lang w:val="en-US" w:eastAsia="zh-CN" w:bidi="en-US"/>
        </w:rPr>
        <w:t>（10）《云南省人民政府七彩云南保护行动》（</w:t>
      </w:r>
      <w:r>
        <w:rPr>
          <w:szCs w:val="22"/>
          <w:lang w:val="en-US" w:eastAsia="zh-CN" w:bidi="en-US"/>
        </w:rPr>
        <w:t xml:space="preserve">2007 </w:t>
      </w:r>
      <w:r>
        <w:rPr>
          <w:rFonts w:hint="eastAsia"/>
          <w:szCs w:val="22"/>
          <w:lang w:val="en-US" w:eastAsia="zh-CN" w:bidi="en-US"/>
        </w:rPr>
        <w:t xml:space="preserve">年1月17日）； </w:t>
      </w:r>
    </w:p>
    <w:p w14:paraId="5787D2B7">
      <w:pPr>
        <w:keepNext w:val="0"/>
        <w:keepLines w:val="0"/>
        <w:pageBreakBefore w:val="0"/>
        <w:widowControl/>
        <w:ind w:left="0" w:firstLine="480"/>
        <w:jc w:val="left"/>
        <w:rPr>
          <w:rFonts w:hint="eastAsia"/>
          <w:szCs w:val="22"/>
          <w:lang w:val="en-US" w:eastAsia="zh-CN" w:bidi="en-US"/>
        </w:rPr>
      </w:pPr>
      <w:r>
        <w:rPr>
          <w:rFonts w:hint="eastAsia"/>
          <w:szCs w:val="22"/>
          <w:lang w:val="en-US" w:eastAsia="zh-CN" w:bidi="en-US"/>
        </w:rPr>
        <w:t>（</w:t>
      </w:r>
      <w:r>
        <w:rPr>
          <w:szCs w:val="22"/>
          <w:lang w:val="en-US" w:eastAsia="zh-CN" w:bidi="en-US"/>
        </w:rPr>
        <w:t>1</w:t>
      </w:r>
      <w:r>
        <w:rPr>
          <w:rFonts w:hint="eastAsia"/>
          <w:szCs w:val="22"/>
          <w:lang w:val="en-US" w:eastAsia="zh-CN" w:bidi="en-US"/>
        </w:rPr>
        <w:t>1）《云南省环境保护厅关于印发</w:t>
      </w:r>
      <w:r>
        <w:rPr>
          <w:szCs w:val="22"/>
          <w:lang w:val="en-US" w:eastAsia="zh-CN" w:bidi="en-US"/>
        </w:rPr>
        <w:t>&lt;</w:t>
      </w:r>
      <w:r>
        <w:rPr>
          <w:rFonts w:hint="eastAsia"/>
          <w:szCs w:val="22"/>
          <w:lang w:val="en-US" w:eastAsia="zh-CN" w:bidi="en-US"/>
        </w:rPr>
        <w:t>云南省环境保护“十三五”规划纲要</w:t>
      </w:r>
      <w:r>
        <w:rPr>
          <w:szCs w:val="22"/>
          <w:lang w:val="en-US" w:eastAsia="zh-CN" w:bidi="en-US"/>
        </w:rPr>
        <w:t xml:space="preserve">&gt; </w:t>
      </w:r>
      <w:r>
        <w:rPr>
          <w:rFonts w:hint="eastAsia"/>
          <w:szCs w:val="22"/>
          <w:lang w:val="en-US" w:eastAsia="zh-CN" w:bidi="en-US"/>
        </w:rPr>
        <w:t>的通知》（云环发</w:t>
      </w:r>
      <w:r>
        <w:rPr>
          <w:szCs w:val="22"/>
          <w:lang w:val="en-US" w:eastAsia="zh-CN" w:bidi="en-US"/>
        </w:rPr>
        <w:t xml:space="preserve">[2016]68 </w:t>
      </w:r>
      <w:r>
        <w:rPr>
          <w:rFonts w:hint="eastAsia"/>
          <w:szCs w:val="22"/>
          <w:lang w:val="en-US" w:eastAsia="zh-CN" w:bidi="en-US"/>
        </w:rPr>
        <w:t xml:space="preserve">号）； </w:t>
      </w:r>
    </w:p>
    <w:p w14:paraId="3AA56E5F">
      <w:pPr>
        <w:ind w:firstLine="480"/>
        <w:rPr>
          <w:rFonts w:hint="eastAsia"/>
          <w:szCs w:val="22"/>
          <w:lang w:val="en-US" w:eastAsia="zh-CN" w:bidi="en-US"/>
        </w:rPr>
      </w:pPr>
      <w:r>
        <w:rPr>
          <w:rFonts w:hint="eastAsia"/>
          <w:szCs w:val="22"/>
          <w:lang w:val="en-US" w:eastAsia="zh-CN" w:bidi="en-US"/>
        </w:rPr>
        <w:t>（</w:t>
      </w:r>
      <w:r>
        <w:rPr>
          <w:szCs w:val="22"/>
          <w:lang w:val="en-US" w:eastAsia="zh-CN" w:bidi="en-US"/>
        </w:rPr>
        <w:t>1</w:t>
      </w:r>
      <w:r>
        <w:rPr>
          <w:rFonts w:hint="eastAsia"/>
          <w:szCs w:val="22"/>
          <w:lang w:val="en-US" w:eastAsia="zh-CN" w:bidi="en-US"/>
        </w:rPr>
        <w:t xml:space="preserve">2）《云南省人民政府关于云南省节能减排综合性工作方案和云南省节能 </w:t>
      </w:r>
    </w:p>
    <w:p w14:paraId="07C2E7BD">
      <w:pPr>
        <w:ind w:left="0" w:firstLine="0"/>
        <w:rPr>
          <w:rFonts w:hint="eastAsia"/>
          <w:szCs w:val="22"/>
          <w:lang w:val="en-US" w:eastAsia="zh-CN" w:bidi="en-US"/>
        </w:rPr>
      </w:pPr>
      <w:r>
        <w:rPr>
          <w:rFonts w:hint="eastAsia"/>
          <w:szCs w:val="22"/>
          <w:lang w:val="en-US" w:eastAsia="zh-CN" w:bidi="en-US"/>
        </w:rPr>
        <w:t>减排工作任务分解方案的通知》（云政发</w:t>
      </w:r>
      <w:r>
        <w:rPr>
          <w:szCs w:val="22"/>
          <w:lang w:val="en-US" w:eastAsia="zh-CN" w:bidi="en-US"/>
        </w:rPr>
        <w:t xml:space="preserve">[2007]113 </w:t>
      </w:r>
      <w:r>
        <w:rPr>
          <w:rFonts w:hint="eastAsia"/>
          <w:szCs w:val="22"/>
          <w:lang w:val="en-US" w:eastAsia="zh-CN" w:bidi="en-US"/>
        </w:rPr>
        <w:t>号，</w:t>
      </w:r>
      <w:r>
        <w:rPr>
          <w:szCs w:val="22"/>
          <w:lang w:val="en-US" w:eastAsia="zh-CN" w:bidi="en-US"/>
        </w:rPr>
        <w:t xml:space="preserve">2007 </w:t>
      </w:r>
      <w:r>
        <w:rPr>
          <w:rFonts w:hint="eastAsia"/>
          <w:szCs w:val="22"/>
          <w:lang w:val="en-US" w:eastAsia="zh-CN" w:bidi="en-US"/>
        </w:rPr>
        <w:t>年7</w:t>
      </w:r>
      <w:r>
        <w:rPr>
          <w:szCs w:val="22"/>
          <w:lang w:val="en-US" w:eastAsia="zh-CN" w:bidi="en-US"/>
        </w:rPr>
        <w:t xml:space="preserve"> </w:t>
      </w:r>
      <w:r>
        <w:rPr>
          <w:rFonts w:hint="eastAsia"/>
          <w:szCs w:val="22"/>
          <w:lang w:val="en-US" w:eastAsia="zh-CN" w:bidi="en-US"/>
        </w:rPr>
        <w:t>月9</w:t>
      </w:r>
      <w:r>
        <w:rPr>
          <w:szCs w:val="22"/>
          <w:lang w:val="en-US" w:eastAsia="zh-CN" w:bidi="en-US"/>
        </w:rPr>
        <w:t xml:space="preserve"> </w:t>
      </w:r>
      <w:r>
        <w:rPr>
          <w:rFonts w:hint="eastAsia"/>
          <w:szCs w:val="22"/>
          <w:lang w:val="en-US" w:eastAsia="zh-CN" w:bidi="en-US"/>
        </w:rPr>
        <w:t>日）；</w:t>
      </w:r>
    </w:p>
    <w:p w14:paraId="6F122B97">
      <w:pPr>
        <w:ind w:firstLine="480"/>
        <w:rPr>
          <w:rFonts w:hint="eastAsia"/>
          <w:szCs w:val="22"/>
          <w:lang w:val="en-US" w:eastAsia="zh-CN" w:bidi="en-US"/>
        </w:rPr>
      </w:pPr>
      <w:r>
        <w:rPr>
          <w:rFonts w:hint="eastAsia"/>
          <w:szCs w:val="22"/>
          <w:lang w:val="en-US" w:eastAsia="zh-CN" w:bidi="en-US"/>
        </w:rPr>
        <w:t>（13）《云南省土地管理条例》（云南省第九届人代会常务委员会公告第31号，1999.9）；</w:t>
      </w:r>
    </w:p>
    <w:p w14:paraId="62F85919">
      <w:pPr>
        <w:ind w:firstLine="480"/>
        <w:rPr>
          <w:rFonts w:hint="eastAsia"/>
          <w:szCs w:val="22"/>
          <w:lang w:bidi="en-US"/>
        </w:rPr>
      </w:pPr>
      <w:r>
        <w:rPr>
          <w:rFonts w:hint="eastAsia"/>
          <w:szCs w:val="22"/>
          <w:lang w:bidi="en-US"/>
        </w:rPr>
        <w:t>（</w:t>
      </w:r>
      <w:r>
        <w:rPr>
          <w:rFonts w:hint="eastAsia"/>
          <w:szCs w:val="22"/>
          <w:lang w:val="en-US" w:eastAsia="zh-CN" w:bidi="en-US"/>
        </w:rPr>
        <w:t>14</w:t>
      </w:r>
      <w:r>
        <w:rPr>
          <w:rFonts w:hint="eastAsia"/>
          <w:szCs w:val="22"/>
          <w:lang w:bidi="en-US"/>
        </w:rPr>
        <w:t>）</w:t>
      </w:r>
      <w:bookmarkStart w:id="35" w:name="_Toc249808953"/>
      <w:r>
        <w:rPr>
          <w:rFonts w:hint="eastAsia"/>
          <w:szCs w:val="22"/>
          <w:lang w:bidi="en-US"/>
        </w:rPr>
        <w:t>《云南省实施〈中华人民共和国水土保持法〉办法》（1994）</w:t>
      </w:r>
      <w:bookmarkEnd w:id="34"/>
      <w:r>
        <w:rPr>
          <w:rFonts w:hint="eastAsia"/>
          <w:szCs w:val="22"/>
          <w:lang w:bidi="en-US"/>
        </w:rPr>
        <w:t>；</w:t>
      </w:r>
    </w:p>
    <w:p w14:paraId="59609568">
      <w:pPr>
        <w:ind w:firstLine="480"/>
        <w:rPr>
          <w:rFonts w:hint="eastAsia"/>
          <w:szCs w:val="22"/>
          <w:lang w:bidi="en-US"/>
        </w:rPr>
      </w:pPr>
      <w:r>
        <w:rPr>
          <w:rFonts w:hint="eastAsia"/>
          <w:szCs w:val="22"/>
          <w:lang w:bidi="en-US"/>
        </w:rPr>
        <w:t>（</w:t>
      </w:r>
      <w:r>
        <w:rPr>
          <w:rFonts w:hint="eastAsia" w:eastAsia="宋体"/>
          <w:szCs w:val="22"/>
          <w:lang w:val="en-US" w:eastAsia="zh-CN" w:bidi="en-US"/>
        </w:rPr>
        <w:t>15</w:t>
      </w:r>
      <w:r>
        <w:rPr>
          <w:rFonts w:hint="eastAsia"/>
          <w:szCs w:val="22"/>
          <w:lang w:bidi="en-US"/>
        </w:rPr>
        <w:t>）</w:t>
      </w:r>
      <w:bookmarkEnd w:id="35"/>
      <w:r>
        <w:rPr>
          <w:rFonts w:hint="eastAsia"/>
          <w:szCs w:val="22"/>
          <w:lang w:bidi="en-US"/>
        </w:rPr>
        <w:t>《云南省人民政府关于划分水土流失重点防治区的公告》（2007[165]号文）；</w:t>
      </w:r>
    </w:p>
    <w:p w14:paraId="14EEF7A8">
      <w:pPr>
        <w:ind w:firstLine="480"/>
        <w:rPr>
          <w:rFonts w:hint="eastAsia"/>
          <w:szCs w:val="22"/>
          <w:lang w:bidi="en-US"/>
        </w:rPr>
      </w:pPr>
      <w:r>
        <w:rPr>
          <w:rFonts w:hint="eastAsia"/>
          <w:szCs w:val="22"/>
          <w:lang w:bidi="en-US"/>
        </w:rPr>
        <w:t>（</w:t>
      </w:r>
      <w:r>
        <w:rPr>
          <w:rFonts w:hint="eastAsia" w:eastAsia="宋体"/>
          <w:szCs w:val="22"/>
          <w:lang w:val="en-US" w:eastAsia="zh-CN" w:bidi="en-US"/>
        </w:rPr>
        <w:t>16</w:t>
      </w:r>
      <w:r>
        <w:rPr>
          <w:rFonts w:hint="eastAsia"/>
          <w:szCs w:val="22"/>
          <w:lang w:bidi="en-US"/>
        </w:rPr>
        <w:t>）《云南省第一批省级重点保护野生植物名录修订》（2010年）；</w:t>
      </w:r>
    </w:p>
    <w:p w14:paraId="1E79462A">
      <w:pPr>
        <w:ind w:firstLine="480"/>
        <w:rPr>
          <w:rFonts w:hint="eastAsia"/>
          <w:szCs w:val="22"/>
          <w:lang w:bidi="en-US"/>
        </w:rPr>
      </w:pPr>
      <w:r>
        <w:rPr>
          <w:rFonts w:hint="eastAsia"/>
          <w:szCs w:val="22"/>
          <w:lang w:bidi="en-US"/>
        </w:rPr>
        <w:t>（</w:t>
      </w:r>
      <w:r>
        <w:rPr>
          <w:rFonts w:hint="eastAsia" w:eastAsia="宋体"/>
          <w:szCs w:val="22"/>
          <w:lang w:val="en-US" w:eastAsia="zh-CN" w:bidi="en-US"/>
        </w:rPr>
        <w:t>17</w:t>
      </w:r>
      <w:r>
        <w:rPr>
          <w:rFonts w:hint="eastAsia"/>
          <w:szCs w:val="22"/>
          <w:lang w:bidi="en-US"/>
        </w:rPr>
        <w:t xml:space="preserve">）《云南省环境保护条例》（2004年6月29日）； </w:t>
      </w:r>
    </w:p>
    <w:p w14:paraId="43E81426">
      <w:pPr>
        <w:ind w:firstLine="480"/>
        <w:rPr>
          <w:rFonts w:hint="eastAsia"/>
          <w:szCs w:val="22"/>
          <w:lang w:bidi="en-US"/>
        </w:rPr>
      </w:pPr>
      <w:r>
        <w:rPr>
          <w:rFonts w:hint="eastAsia"/>
          <w:szCs w:val="22"/>
          <w:lang w:bidi="en-US"/>
        </w:rPr>
        <w:t>（</w:t>
      </w:r>
      <w:r>
        <w:rPr>
          <w:rFonts w:hint="eastAsia" w:eastAsia="宋体"/>
          <w:szCs w:val="22"/>
          <w:lang w:val="en-US" w:eastAsia="zh-CN" w:bidi="en-US"/>
        </w:rPr>
        <w:t>18</w:t>
      </w:r>
      <w:r>
        <w:rPr>
          <w:rFonts w:hint="eastAsia"/>
          <w:szCs w:val="22"/>
          <w:lang w:bidi="en-US"/>
        </w:rPr>
        <w:t>）《云南省森林条例》（2003年2月实施）；</w:t>
      </w:r>
    </w:p>
    <w:p w14:paraId="67331B99">
      <w:pPr>
        <w:ind w:firstLine="480"/>
        <w:rPr>
          <w:rFonts w:hint="eastAsia"/>
          <w:szCs w:val="22"/>
          <w:lang w:bidi="en-US"/>
        </w:rPr>
      </w:pPr>
      <w:r>
        <w:rPr>
          <w:rFonts w:hint="eastAsia"/>
          <w:szCs w:val="22"/>
          <w:lang w:bidi="en-US"/>
        </w:rPr>
        <w:t>（</w:t>
      </w:r>
      <w:r>
        <w:rPr>
          <w:rFonts w:hint="eastAsia" w:eastAsia="宋体"/>
          <w:szCs w:val="22"/>
          <w:lang w:val="en-US" w:eastAsia="zh-CN" w:bidi="en-US"/>
        </w:rPr>
        <w:t>19</w:t>
      </w:r>
      <w:r>
        <w:rPr>
          <w:rFonts w:hint="eastAsia"/>
          <w:szCs w:val="22"/>
          <w:lang w:bidi="en-US"/>
        </w:rPr>
        <w:t>）《云南省基本农田保护条例</w:t>
      </w:r>
      <w:r>
        <w:rPr>
          <w:rFonts w:hint="eastAsia"/>
          <w:szCs w:val="22"/>
          <w:lang w:eastAsia="zh-CN" w:bidi="en-US"/>
        </w:rPr>
        <w:t>（</w:t>
      </w:r>
      <w:r>
        <w:rPr>
          <w:rFonts w:hint="eastAsia"/>
          <w:szCs w:val="22"/>
          <w:lang w:val="en-US" w:eastAsia="zh-CN" w:bidi="en-US"/>
        </w:rPr>
        <w:t>2015年修订</w:t>
      </w:r>
      <w:r>
        <w:rPr>
          <w:rFonts w:hint="eastAsia"/>
          <w:szCs w:val="22"/>
          <w:lang w:eastAsia="zh-CN" w:bidi="en-US"/>
        </w:rPr>
        <w:t>）</w:t>
      </w:r>
      <w:r>
        <w:rPr>
          <w:rFonts w:hint="eastAsia"/>
          <w:szCs w:val="22"/>
          <w:lang w:bidi="en-US"/>
        </w:rPr>
        <w:t>》（200</w:t>
      </w:r>
      <w:r>
        <w:rPr>
          <w:rFonts w:hint="eastAsia"/>
          <w:szCs w:val="22"/>
          <w:lang w:val="en-US" w:eastAsia="zh-CN" w:bidi="en-US"/>
        </w:rPr>
        <w:t>5</w:t>
      </w:r>
      <w:r>
        <w:rPr>
          <w:rFonts w:hint="eastAsia"/>
          <w:szCs w:val="22"/>
          <w:lang w:bidi="en-US"/>
        </w:rPr>
        <w:t>年</w:t>
      </w:r>
      <w:r>
        <w:rPr>
          <w:rFonts w:hint="eastAsia"/>
          <w:szCs w:val="22"/>
          <w:lang w:val="en-US" w:eastAsia="zh-CN" w:bidi="en-US"/>
        </w:rPr>
        <w:t>9</w:t>
      </w:r>
      <w:r>
        <w:rPr>
          <w:rFonts w:hint="eastAsia"/>
          <w:szCs w:val="22"/>
          <w:lang w:bidi="en-US"/>
        </w:rPr>
        <w:t>月</w:t>
      </w:r>
      <w:r>
        <w:rPr>
          <w:rFonts w:hint="eastAsia"/>
          <w:szCs w:val="22"/>
          <w:lang w:val="en-US" w:eastAsia="zh-CN" w:bidi="en-US"/>
        </w:rPr>
        <w:t>25</w:t>
      </w:r>
      <w:r>
        <w:rPr>
          <w:rFonts w:hint="eastAsia"/>
          <w:szCs w:val="22"/>
          <w:lang w:bidi="en-US"/>
        </w:rPr>
        <w:t>日</w:t>
      </w:r>
      <w:r>
        <w:rPr>
          <w:rFonts w:hint="eastAsia"/>
          <w:szCs w:val="22"/>
          <w:lang w:val="en-US" w:eastAsia="zh-CN" w:bidi="en-US"/>
        </w:rPr>
        <w:t>实施</w:t>
      </w:r>
      <w:r>
        <w:rPr>
          <w:rFonts w:hint="eastAsia"/>
          <w:szCs w:val="22"/>
          <w:lang w:bidi="en-US"/>
        </w:rPr>
        <w:t>）；</w:t>
      </w:r>
    </w:p>
    <w:p w14:paraId="0A526A08">
      <w:pPr>
        <w:ind w:firstLine="480"/>
        <w:rPr>
          <w:rFonts w:hint="eastAsia"/>
        </w:rPr>
      </w:pPr>
      <w:r>
        <w:rPr>
          <w:rFonts w:hint="eastAsia"/>
          <w:szCs w:val="22"/>
          <w:lang w:bidi="en-US"/>
        </w:rPr>
        <w:t>（</w:t>
      </w:r>
      <w:r>
        <w:rPr>
          <w:rFonts w:hint="eastAsia" w:eastAsia="宋体"/>
          <w:szCs w:val="22"/>
          <w:lang w:val="en-US" w:eastAsia="zh-CN" w:bidi="en-US"/>
        </w:rPr>
        <w:t>20</w:t>
      </w:r>
      <w:r>
        <w:rPr>
          <w:rFonts w:hint="eastAsia"/>
          <w:szCs w:val="22"/>
          <w:lang w:bidi="en-US"/>
        </w:rPr>
        <w:t>）《</w:t>
      </w:r>
      <w:r>
        <w:rPr>
          <w:rFonts w:hint="eastAsia"/>
        </w:rPr>
        <w:t>云南省农业环境保护条例》（1997</w:t>
      </w:r>
      <w:r>
        <w:t>年</w:t>
      </w:r>
      <w:r>
        <w:rPr>
          <w:rFonts w:hint="eastAsia"/>
        </w:rPr>
        <w:t>6月）；</w:t>
      </w:r>
    </w:p>
    <w:p w14:paraId="4CC02068">
      <w:pPr>
        <w:ind w:firstLine="480"/>
        <w:rPr>
          <w:rFonts w:hint="eastAsia"/>
        </w:rPr>
      </w:pPr>
      <w:r>
        <w:rPr>
          <w:rFonts w:hint="eastAsia"/>
          <w:lang w:bidi="en-US"/>
        </w:rPr>
        <w:t>（</w:t>
      </w:r>
      <w:r>
        <w:rPr>
          <w:rFonts w:hint="eastAsia"/>
          <w:lang w:val="en-US" w:eastAsia="zh-CN" w:bidi="en-US"/>
        </w:rPr>
        <w:t>21</w:t>
      </w:r>
      <w:r>
        <w:rPr>
          <w:rFonts w:hint="eastAsia"/>
          <w:lang w:bidi="en-US"/>
        </w:rPr>
        <w:t>）</w:t>
      </w:r>
      <w:r>
        <w:rPr>
          <w:rFonts w:hint="eastAsia"/>
        </w:rPr>
        <w:t>《云南省珍贵树种保护条例》（1995</w:t>
      </w:r>
      <w:r>
        <w:t>年</w:t>
      </w:r>
      <w:r>
        <w:rPr>
          <w:rFonts w:hint="eastAsia"/>
        </w:rPr>
        <w:t>12月）；</w:t>
      </w:r>
    </w:p>
    <w:p w14:paraId="7DAE40F8">
      <w:pPr>
        <w:ind w:firstLine="480"/>
        <w:rPr>
          <w:rFonts w:hint="eastAsia"/>
          <w:szCs w:val="22"/>
          <w:lang w:bidi="en-US"/>
        </w:rPr>
      </w:pPr>
      <w:r>
        <w:rPr>
          <w:rFonts w:hint="eastAsia"/>
          <w:szCs w:val="22"/>
          <w:lang w:bidi="en-US"/>
        </w:rPr>
        <w:t>（</w:t>
      </w:r>
      <w:r>
        <w:rPr>
          <w:rFonts w:hint="eastAsia"/>
          <w:szCs w:val="22"/>
          <w:lang w:val="en-US" w:eastAsia="zh-CN" w:bidi="en-US"/>
        </w:rPr>
        <w:t>22</w:t>
      </w:r>
      <w:r>
        <w:rPr>
          <w:rFonts w:hint="eastAsia"/>
          <w:szCs w:val="22"/>
          <w:lang w:bidi="en-US"/>
        </w:rPr>
        <w:t>）《云南省陆生野生动物保护条例》（1997年1月）。</w:t>
      </w:r>
    </w:p>
    <w:p w14:paraId="460158AE">
      <w:pPr>
        <w:ind w:firstLine="480"/>
        <w:rPr>
          <w:rFonts w:hint="eastAsia"/>
          <w:szCs w:val="22"/>
          <w:lang w:bidi="en-US"/>
        </w:rPr>
      </w:pPr>
      <w:r>
        <w:rPr>
          <w:rFonts w:hint="eastAsia"/>
          <w:szCs w:val="22"/>
          <w:lang w:bidi="en-US"/>
        </w:rPr>
        <w:t>（</w:t>
      </w:r>
      <w:r>
        <w:rPr>
          <w:rFonts w:hint="eastAsia"/>
          <w:szCs w:val="22"/>
          <w:lang w:val="en-US" w:eastAsia="zh-CN" w:bidi="en-US"/>
        </w:rPr>
        <w:t>23</w:t>
      </w:r>
      <w:r>
        <w:rPr>
          <w:rFonts w:hint="eastAsia"/>
          <w:szCs w:val="22"/>
          <w:lang w:bidi="en-US"/>
        </w:rPr>
        <w:t>）《云南省第一批省级重点保护野生植物名录修订》（2010年）；</w:t>
      </w:r>
    </w:p>
    <w:p w14:paraId="5A25814F">
      <w:pPr>
        <w:ind w:firstLine="480"/>
        <w:rPr>
          <w:rFonts w:hint="eastAsia"/>
          <w:szCs w:val="22"/>
          <w:lang w:bidi="en-US"/>
        </w:rPr>
      </w:pPr>
      <w:r>
        <w:rPr>
          <w:rFonts w:hint="eastAsia"/>
          <w:szCs w:val="22"/>
          <w:lang w:eastAsia="zh-CN" w:bidi="en-US"/>
        </w:rPr>
        <w:t>（</w:t>
      </w:r>
      <w:r>
        <w:rPr>
          <w:rFonts w:hint="eastAsia"/>
          <w:szCs w:val="22"/>
          <w:lang w:val="en-US" w:eastAsia="zh-CN" w:bidi="en-US"/>
        </w:rPr>
        <w:t>24</w:t>
      </w:r>
      <w:r>
        <w:rPr>
          <w:rFonts w:hint="eastAsia"/>
          <w:szCs w:val="22"/>
          <w:lang w:eastAsia="zh-CN" w:bidi="en-US"/>
        </w:rPr>
        <w:t>）</w:t>
      </w:r>
      <w:r>
        <w:rPr>
          <w:rFonts w:hint="eastAsia"/>
          <w:szCs w:val="22"/>
          <w:lang w:bidi="en-US"/>
        </w:rPr>
        <w:t>云南省人民政府办公厅关于进一步加强环境影响评价管理工作的通知（云政办发〔2007〕160 号）；</w:t>
      </w:r>
    </w:p>
    <w:p w14:paraId="1F49D246">
      <w:pPr>
        <w:ind w:firstLine="480"/>
        <w:rPr>
          <w:rFonts w:hint="eastAsia"/>
          <w:szCs w:val="22"/>
          <w:lang w:bidi="en-US"/>
        </w:rPr>
      </w:pPr>
      <w:r>
        <w:rPr>
          <w:rFonts w:hint="eastAsia"/>
          <w:szCs w:val="22"/>
          <w:lang w:bidi="en-US"/>
        </w:rPr>
        <w:t>（</w:t>
      </w:r>
      <w:r>
        <w:rPr>
          <w:rFonts w:hint="eastAsia"/>
          <w:szCs w:val="22"/>
          <w:lang w:val="en-US" w:eastAsia="zh-CN" w:bidi="en-US"/>
        </w:rPr>
        <w:t>25</w:t>
      </w:r>
      <w:r>
        <w:rPr>
          <w:rFonts w:hint="eastAsia"/>
          <w:szCs w:val="22"/>
          <w:lang w:bidi="en-US"/>
        </w:rPr>
        <w:t>）《云南省地表水水环境功能区划（2010-2020）》，云南省环保厅云环发〔2014〕34 号，2014</w:t>
      </w:r>
      <w:r>
        <w:rPr>
          <w:rFonts w:hint="eastAsia"/>
          <w:szCs w:val="22"/>
          <w:lang w:val="en-US" w:eastAsia="zh-CN" w:bidi="en-US"/>
        </w:rPr>
        <w:t>年</w:t>
      </w:r>
      <w:r>
        <w:rPr>
          <w:rFonts w:hint="eastAsia"/>
          <w:szCs w:val="22"/>
          <w:lang w:bidi="en-US"/>
        </w:rPr>
        <w:t>3</w:t>
      </w:r>
      <w:r>
        <w:rPr>
          <w:rFonts w:hint="eastAsia"/>
          <w:szCs w:val="22"/>
          <w:lang w:val="en-US" w:eastAsia="zh-CN" w:bidi="en-US"/>
        </w:rPr>
        <w:t>月</w:t>
      </w:r>
      <w:r>
        <w:rPr>
          <w:rFonts w:hint="eastAsia"/>
          <w:szCs w:val="22"/>
          <w:lang w:bidi="en-US"/>
        </w:rPr>
        <w:t>31</w:t>
      </w:r>
      <w:r>
        <w:rPr>
          <w:rFonts w:hint="eastAsia"/>
          <w:szCs w:val="22"/>
          <w:lang w:val="en-US" w:eastAsia="zh-CN" w:bidi="en-US"/>
        </w:rPr>
        <w:t>日</w:t>
      </w:r>
      <w:r>
        <w:rPr>
          <w:rFonts w:hint="eastAsia"/>
          <w:szCs w:val="22"/>
          <w:lang w:bidi="en-US"/>
        </w:rPr>
        <w:t>；</w:t>
      </w:r>
    </w:p>
    <w:p w14:paraId="3DB02605">
      <w:pPr>
        <w:ind w:firstLine="480"/>
        <w:rPr>
          <w:rFonts w:hint="eastAsia"/>
          <w:szCs w:val="22"/>
          <w:lang w:eastAsia="zh-CN" w:bidi="en-US"/>
        </w:rPr>
      </w:pPr>
      <w:r>
        <w:rPr>
          <w:rFonts w:hint="eastAsia"/>
          <w:szCs w:val="22"/>
          <w:lang w:bidi="en-US"/>
        </w:rPr>
        <w:t>（</w:t>
      </w:r>
      <w:r>
        <w:rPr>
          <w:rFonts w:hint="eastAsia"/>
          <w:szCs w:val="22"/>
          <w:lang w:val="en-US" w:eastAsia="zh-CN" w:bidi="en-US"/>
        </w:rPr>
        <w:t>26</w:t>
      </w:r>
      <w:r>
        <w:rPr>
          <w:rFonts w:hint="eastAsia"/>
          <w:szCs w:val="22"/>
          <w:lang w:bidi="en-US"/>
        </w:rPr>
        <w:t>）</w:t>
      </w:r>
      <w:r>
        <w:rPr>
          <w:rFonts w:hint="eastAsia"/>
          <w:szCs w:val="22"/>
          <w:lang w:eastAsia="zh-CN" w:bidi="en-US"/>
        </w:rPr>
        <w:t>《</w:t>
      </w:r>
      <w:r>
        <w:rPr>
          <w:rFonts w:hint="eastAsia"/>
          <w:szCs w:val="22"/>
          <w:lang w:val="en-US" w:eastAsia="zh-CN" w:bidi="en-US"/>
        </w:rPr>
        <w:t>云南省环境保护厅关于进一步加强危险废物规范化管理工作的通知</w:t>
      </w:r>
      <w:r>
        <w:rPr>
          <w:rFonts w:hint="eastAsia"/>
          <w:szCs w:val="22"/>
          <w:lang w:eastAsia="zh-CN" w:bidi="en-US"/>
        </w:rPr>
        <w:t>》（</w:t>
      </w:r>
      <w:r>
        <w:rPr>
          <w:rFonts w:hint="eastAsia"/>
          <w:szCs w:val="22"/>
          <w:lang w:val="en-US" w:eastAsia="zh-CN" w:bidi="en-US"/>
        </w:rPr>
        <w:t>云环通[2015]244号</w:t>
      </w:r>
      <w:r>
        <w:rPr>
          <w:rFonts w:hint="eastAsia"/>
          <w:szCs w:val="22"/>
          <w:lang w:eastAsia="zh-CN" w:bidi="en-US"/>
        </w:rPr>
        <w:t>）；</w:t>
      </w:r>
    </w:p>
    <w:p w14:paraId="328DD277">
      <w:pPr>
        <w:ind w:firstLine="480"/>
        <w:rPr>
          <w:rFonts w:hint="eastAsia"/>
          <w:szCs w:val="22"/>
          <w:lang w:val="en-US" w:eastAsia="zh-CN" w:bidi="en-US"/>
        </w:rPr>
      </w:pPr>
      <w:r>
        <w:rPr>
          <w:rFonts w:hint="eastAsia"/>
          <w:szCs w:val="22"/>
          <w:lang w:val="en-US" w:eastAsia="zh-CN" w:bidi="en-US"/>
        </w:rPr>
        <w:t>（27）《云南省环保厅转发环保部关于进一步加强危险废物管理防范事故风险的紧急通知》（云环通[2009]53号）；</w:t>
      </w:r>
    </w:p>
    <w:p w14:paraId="6A9C2D6D">
      <w:pPr>
        <w:ind w:firstLine="480"/>
        <w:rPr>
          <w:rFonts w:hint="eastAsia"/>
          <w:szCs w:val="22"/>
          <w:lang w:val="en-US" w:eastAsia="zh-CN" w:bidi="en-US"/>
        </w:rPr>
      </w:pPr>
      <w:r>
        <w:rPr>
          <w:rFonts w:hint="eastAsia"/>
          <w:szCs w:val="22"/>
          <w:lang w:eastAsia="zh-CN" w:bidi="en-US"/>
        </w:rPr>
        <w:t>（</w:t>
      </w:r>
      <w:r>
        <w:rPr>
          <w:rFonts w:hint="eastAsia"/>
          <w:szCs w:val="22"/>
          <w:lang w:val="en-US" w:eastAsia="zh-CN" w:bidi="en-US"/>
        </w:rPr>
        <w:t>2</w:t>
      </w:r>
      <w:r>
        <w:rPr>
          <w:rFonts w:hint="eastAsia"/>
          <w:color w:val="FF0000"/>
          <w:szCs w:val="22"/>
          <w:lang w:val="en-US" w:eastAsia="zh-CN" w:bidi="en-US"/>
        </w:rPr>
        <w:t>8</w:t>
      </w:r>
      <w:r>
        <w:rPr>
          <w:rFonts w:hint="eastAsia"/>
          <w:color w:val="FF0000"/>
          <w:szCs w:val="22"/>
          <w:lang w:eastAsia="zh-CN" w:bidi="en-US"/>
        </w:rPr>
        <w:t>）《</w:t>
      </w:r>
      <w:r>
        <w:rPr>
          <w:rFonts w:hint="eastAsia"/>
          <w:color w:val="FF0000"/>
          <w:szCs w:val="22"/>
          <w:lang w:val="en-US" w:eastAsia="zh-CN" w:bidi="en-US"/>
        </w:rPr>
        <w:t>云环发〔2020〕4号 关于印发云南省地下水污染防治实施方案的通知</w:t>
      </w:r>
      <w:r>
        <w:rPr>
          <w:rFonts w:hint="eastAsia"/>
          <w:color w:val="FF0000"/>
          <w:szCs w:val="22"/>
          <w:lang w:eastAsia="zh-CN" w:bidi="en-US"/>
        </w:rPr>
        <w:t>》</w:t>
      </w:r>
      <w:r>
        <w:rPr>
          <w:rFonts w:hint="eastAsia"/>
          <w:color w:val="FF0000"/>
          <w:szCs w:val="22"/>
          <w:lang w:val="en-US" w:eastAsia="zh-CN" w:bidi="en-US"/>
        </w:rPr>
        <w:t>（2020年3月25日）；</w:t>
      </w:r>
    </w:p>
    <w:p w14:paraId="53C7FD8C">
      <w:pPr>
        <w:ind w:firstLine="480"/>
        <w:rPr>
          <w:rFonts w:hint="eastAsia"/>
          <w:color w:val="FF0000"/>
          <w:szCs w:val="22"/>
          <w:lang w:val="en-US" w:eastAsia="zh-CN" w:bidi="en-US"/>
        </w:rPr>
      </w:pPr>
      <w:r>
        <w:rPr>
          <w:rFonts w:hint="eastAsia"/>
          <w:color w:val="FF0000"/>
          <w:szCs w:val="22"/>
          <w:lang w:val="en-US" w:eastAsia="zh-CN" w:bidi="en-US"/>
        </w:rPr>
        <w:t>（29）《</w:t>
      </w:r>
      <w:r>
        <w:rPr>
          <w:rFonts w:hint="eastAsia" w:ascii="宋体" w:hAnsi="宋体" w:eastAsia="宋体" w:cs="宋体"/>
          <w:i w:val="0"/>
          <w:caps w:val="0"/>
          <w:color w:val="FF0000"/>
          <w:spacing w:val="0"/>
          <w:sz w:val="24"/>
          <w:szCs w:val="24"/>
        </w:rPr>
        <w:t>云南省人民政府关于印发云南省地方级自然保护区调整管理规定的通知</w:t>
      </w:r>
      <w:r>
        <w:rPr>
          <w:rFonts w:hint="eastAsia"/>
          <w:color w:val="FF0000"/>
          <w:szCs w:val="22"/>
          <w:lang w:val="en-US" w:eastAsia="zh-CN" w:bidi="en-US"/>
        </w:rPr>
        <w:t>》</w:t>
      </w:r>
      <w:r>
        <w:rPr>
          <w:rFonts w:hint="eastAsia" w:ascii="宋体" w:hAnsi="宋体" w:eastAsia="宋体" w:cs="宋体"/>
          <w:i w:val="0"/>
          <w:caps w:val="0"/>
          <w:color w:val="FF0000"/>
          <w:spacing w:val="0"/>
          <w:sz w:val="24"/>
          <w:szCs w:val="24"/>
          <w:lang w:eastAsia="zh-CN"/>
        </w:rPr>
        <w:t>（</w:t>
      </w:r>
      <w:r>
        <w:rPr>
          <w:rFonts w:hint="eastAsia" w:ascii="宋体" w:hAnsi="宋体" w:eastAsia="宋体" w:cs="宋体"/>
          <w:i w:val="0"/>
          <w:caps w:val="0"/>
          <w:color w:val="FF0000"/>
          <w:spacing w:val="0"/>
          <w:sz w:val="24"/>
          <w:szCs w:val="24"/>
        </w:rPr>
        <w:t>云政规〔2018〕1号</w:t>
      </w:r>
      <w:r>
        <w:rPr>
          <w:rFonts w:hint="eastAsia" w:ascii="宋体" w:hAnsi="宋体" w:eastAsia="宋体" w:cs="宋体"/>
          <w:i w:val="0"/>
          <w:caps w:val="0"/>
          <w:color w:val="FF0000"/>
          <w:spacing w:val="0"/>
          <w:sz w:val="24"/>
          <w:szCs w:val="24"/>
          <w:lang w:eastAsia="zh-CN"/>
        </w:rPr>
        <w:t>）</w:t>
      </w:r>
      <w:r>
        <w:rPr>
          <w:rFonts w:hint="eastAsia"/>
          <w:color w:val="FF0000"/>
          <w:szCs w:val="22"/>
          <w:lang w:val="en-US" w:eastAsia="zh-CN" w:bidi="en-US"/>
        </w:rPr>
        <w:t>；</w:t>
      </w:r>
    </w:p>
    <w:p w14:paraId="386BE446">
      <w:pPr>
        <w:ind w:firstLine="480"/>
        <w:rPr>
          <w:rFonts w:hint="eastAsia"/>
          <w:szCs w:val="22"/>
          <w:lang w:val="en-US" w:eastAsia="zh-CN" w:bidi="en-US"/>
        </w:rPr>
      </w:pPr>
      <w:r>
        <w:rPr>
          <w:rFonts w:hint="eastAsia"/>
          <w:szCs w:val="22"/>
          <w:lang w:val="en-US" w:eastAsia="zh-CN" w:bidi="en-US"/>
        </w:rPr>
        <w:t>（30）《云南省大气污染防治条例（2018）》（2018年11月29日施行）；</w:t>
      </w:r>
    </w:p>
    <w:p w14:paraId="25C07157">
      <w:pPr>
        <w:ind w:firstLine="480"/>
        <w:rPr>
          <w:rFonts w:hint="eastAsia"/>
          <w:szCs w:val="22"/>
          <w:lang w:val="en-US" w:eastAsia="zh-CN" w:bidi="en-US"/>
        </w:rPr>
      </w:pPr>
      <w:r>
        <w:rPr>
          <w:rFonts w:hint="eastAsia"/>
          <w:szCs w:val="22"/>
          <w:lang w:val="en-US" w:eastAsia="zh-CN" w:bidi="en-US"/>
        </w:rPr>
        <w:t>（31）《云南省建设项目环境保护管理规定》（云南省人民政府令第105号，2002年1月1日施行）。</w:t>
      </w:r>
    </w:p>
    <w:p w14:paraId="1B78AF91">
      <w:pPr>
        <w:pStyle w:val="188"/>
      </w:pPr>
      <w:r>
        <w:rPr>
          <w:rFonts w:hint="eastAsia"/>
        </w:rPr>
        <w:t>2.1</w:t>
      </w:r>
      <w:r>
        <w:t xml:space="preserve">.3 </w:t>
      </w:r>
      <w:r>
        <w:rPr>
          <w:rFonts w:hint="eastAsia"/>
        </w:rPr>
        <w:t>相关技术规范与文件</w:t>
      </w:r>
    </w:p>
    <w:p w14:paraId="4C495923">
      <w:pPr>
        <w:ind w:firstLine="480"/>
      </w:pPr>
      <w:bookmarkStart w:id="36" w:name="_Toc207277031"/>
      <w:r>
        <w:rPr>
          <w:rFonts w:hint="eastAsia"/>
        </w:rPr>
        <w:t>（1）《环境影响评价技术导则 总纲》（</w:t>
      </w:r>
      <w:r>
        <w:t>HJ2.1-</w:t>
      </w:r>
      <w:r>
        <w:rPr>
          <w:rFonts w:hint="eastAsia"/>
        </w:rPr>
        <w:t>2016）；</w:t>
      </w:r>
    </w:p>
    <w:p w14:paraId="67938C1C">
      <w:pPr>
        <w:ind w:firstLine="480"/>
      </w:pPr>
      <w:r>
        <w:rPr>
          <w:rFonts w:hint="eastAsia"/>
        </w:rPr>
        <w:t>（2）《环境影响评价技术导则 大气环境》（</w:t>
      </w:r>
      <w:r>
        <w:t>HJ2.2-20</w:t>
      </w:r>
      <w:r>
        <w:rPr>
          <w:rFonts w:hint="eastAsia"/>
        </w:rPr>
        <w:t>1</w:t>
      </w:r>
      <w:r>
        <w:t>8</w:t>
      </w:r>
      <w:r>
        <w:rPr>
          <w:rFonts w:hint="eastAsia"/>
        </w:rPr>
        <w:t>）；</w:t>
      </w:r>
    </w:p>
    <w:p w14:paraId="50CB5C85">
      <w:pPr>
        <w:ind w:firstLine="480"/>
      </w:pPr>
      <w:r>
        <w:rPr>
          <w:rFonts w:hint="eastAsia"/>
        </w:rPr>
        <w:t>（3）《环境影响评价技术导则 地表水环境》（HJ2.3-2018）；</w:t>
      </w:r>
    </w:p>
    <w:p w14:paraId="575408CE">
      <w:pPr>
        <w:ind w:firstLine="480"/>
      </w:pPr>
      <w:r>
        <w:rPr>
          <w:rFonts w:hint="eastAsia"/>
        </w:rPr>
        <w:t>（4）《环境影响评价技术导则 地下水环境》（</w:t>
      </w:r>
      <w:r>
        <w:t>HJ</w:t>
      </w:r>
      <w:r>
        <w:rPr>
          <w:rFonts w:hint="eastAsia"/>
        </w:rPr>
        <w:t>610</w:t>
      </w:r>
      <w:r>
        <w:t>-</w:t>
      </w:r>
      <w:r>
        <w:rPr>
          <w:rFonts w:hint="eastAsia"/>
        </w:rPr>
        <w:t>2016）；</w:t>
      </w:r>
    </w:p>
    <w:p w14:paraId="104DBEAD">
      <w:pPr>
        <w:ind w:firstLine="480"/>
        <w:rPr>
          <w:rFonts w:hint="eastAsia"/>
          <w:szCs w:val="22"/>
        </w:rPr>
      </w:pPr>
      <w:r>
        <w:rPr>
          <w:rFonts w:hint="eastAsia"/>
        </w:rPr>
        <w:t>（5</w:t>
      </w:r>
      <w:r>
        <w:rPr>
          <w:rFonts w:hint="eastAsia"/>
          <w:szCs w:val="22"/>
        </w:rPr>
        <w:t>）《环境影响评价技术导则 声环境》（HJ2.4-2009）；</w:t>
      </w:r>
    </w:p>
    <w:p w14:paraId="2C31B946">
      <w:pPr>
        <w:ind w:firstLine="480"/>
        <w:rPr>
          <w:rFonts w:hint="eastAsia"/>
          <w:szCs w:val="22"/>
        </w:rPr>
      </w:pPr>
      <w:r>
        <w:rPr>
          <w:rFonts w:hint="eastAsia"/>
          <w:szCs w:val="22"/>
        </w:rPr>
        <w:t>（6）《环境影响评价技术导则 生态影响》（HJ19-2011）；</w:t>
      </w:r>
    </w:p>
    <w:p w14:paraId="0AF374B4">
      <w:pPr>
        <w:ind w:firstLine="480"/>
        <w:rPr>
          <w:rFonts w:hint="eastAsia"/>
          <w:szCs w:val="22"/>
        </w:rPr>
      </w:pPr>
      <w:r>
        <w:rPr>
          <w:rFonts w:hint="eastAsia"/>
          <w:szCs w:val="22"/>
        </w:rPr>
        <w:t>（7）《建设项目环境风险评价技术导则》（HJ169-2018）；</w:t>
      </w:r>
    </w:p>
    <w:p w14:paraId="15DC1F1C">
      <w:pPr>
        <w:ind w:firstLine="480"/>
        <w:rPr>
          <w:rFonts w:hint="eastAsia"/>
          <w:szCs w:val="22"/>
          <w:lang w:eastAsia="zh-CN"/>
        </w:rPr>
      </w:pPr>
      <w:r>
        <w:rPr>
          <w:rFonts w:hint="eastAsia"/>
          <w:szCs w:val="22"/>
        </w:rPr>
        <w:t>（8）</w:t>
      </w:r>
      <w:r>
        <w:rPr>
          <w:rFonts w:hint="eastAsia"/>
          <w:szCs w:val="22"/>
          <w:lang w:eastAsia="zh-CN"/>
        </w:rPr>
        <w:t>《</w:t>
      </w:r>
      <w:r>
        <w:rPr>
          <w:rFonts w:hint="eastAsia"/>
          <w:szCs w:val="22"/>
          <w:lang w:val="en-US" w:eastAsia="zh-CN"/>
        </w:rPr>
        <w:t>环境影响评价导则 土壤环境（试行）</w:t>
      </w:r>
      <w:r>
        <w:rPr>
          <w:rFonts w:hint="eastAsia"/>
          <w:szCs w:val="22"/>
          <w:lang w:eastAsia="zh-CN"/>
        </w:rPr>
        <w:t>》</w:t>
      </w:r>
      <w:r>
        <w:rPr>
          <w:rFonts w:hint="eastAsia"/>
          <w:szCs w:val="22"/>
        </w:rPr>
        <w:t>（HJ9</w:t>
      </w:r>
      <w:r>
        <w:rPr>
          <w:rFonts w:hint="eastAsia"/>
          <w:szCs w:val="22"/>
          <w:lang w:val="en-US" w:eastAsia="zh-CN"/>
        </w:rPr>
        <w:t>64</w:t>
      </w:r>
      <w:r>
        <w:rPr>
          <w:rFonts w:hint="eastAsia"/>
          <w:szCs w:val="22"/>
        </w:rPr>
        <w:t>-2018）</w:t>
      </w:r>
    </w:p>
    <w:p w14:paraId="6B09D01D">
      <w:pPr>
        <w:ind w:firstLine="480"/>
        <w:rPr>
          <w:rFonts w:hint="eastAsia"/>
          <w:szCs w:val="22"/>
        </w:rPr>
      </w:pPr>
      <w:r>
        <w:rPr>
          <w:rFonts w:hint="eastAsia"/>
          <w:szCs w:val="22"/>
          <w:lang w:eastAsia="zh-CN"/>
        </w:rPr>
        <w:t>（</w:t>
      </w:r>
      <w:r>
        <w:rPr>
          <w:rFonts w:hint="eastAsia"/>
          <w:szCs w:val="22"/>
          <w:lang w:val="en-US" w:eastAsia="zh-CN"/>
        </w:rPr>
        <w:t>9</w:t>
      </w:r>
      <w:r>
        <w:rPr>
          <w:rFonts w:hint="eastAsia"/>
          <w:szCs w:val="22"/>
          <w:lang w:eastAsia="zh-CN"/>
        </w:rPr>
        <w:t>）</w:t>
      </w:r>
      <w:r>
        <w:rPr>
          <w:rFonts w:hint="eastAsia"/>
          <w:szCs w:val="22"/>
        </w:rPr>
        <w:t>《空气和废气监测分析方法》（第四版增补版）；</w:t>
      </w:r>
    </w:p>
    <w:p w14:paraId="72A3665D">
      <w:pPr>
        <w:ind w:firstLine="480"/>
        <w:rPr>
          <w:rFonts w:hint="eastAsia"/>
          <w:szCs w:val="22"/>
        </w:rPr>
      </w:pPr>
      <w:r>
        <w:rPr>
          <w:rFonts w:hint="eastAsia"/>
          <w:szCs w:val="22"/>
          <w:lang w:eastAsia="zh-CN"/>
        </w:rPr>
        <w:t>（</w:t>
      </w:r>
      <w:r>
        <w:rPr>
          <w:rFonts w:hint="eastAsia"/>
          <w:szCs w:val="22"/>
          <w:lang w:val="en-US" w:eastAsia="zh-CN"/>
        </w:rPr>
        <w:t>10</w:t>
      </w:r>
      <w:r>
        <w:rPr>
          <w:rFonts w:hint="eastAsia"/>
          <w:szCs w:val="22"/>
          <w:lang w:eastAsia="zh-CN"/>
        </w:rPr>
        <w:t>）</w:t>
      </w:r>
      <w:r>
        <w:rPr>
          <w:rFonts w:hint="eastAsia"/>
          <w:szCs w:val="22"/>
        </w:rPr>
        <w:t>《水和废水监测分析方法》（第四版增补版）；</w:t>
      </w:r>
    </w:p>
    <w:p w14:paraId="445D805B">
      <w:pPr>
        <w:ind w:firstLine="480"/>
        <w:rPr>
          <w:rFonts w:hint="eastAsia"/>
          <w:szCs w:val="22"/>
        </w:rPr>
      </w:pPr>
      <w:r>
        <w:rPr>
          <w:rFonts w:hint="eastAsia"/>
          <w:szCs w:val="22"/>
          <w:lang w:eastAsia="zh-CN"/>
        </w:rPr>
        <w:t>（</w:t>
      </w:r>
      <w:r>
        <w:rPr>
          <w:rFonts w:hint="eastAsia"/>
          <w:szCs w:val="22"/>
          <w:lang w:val="en-US" w:eastAsia="zh-CN"/>
        </w:rPr>
        <w:t>11</w:t>
      </w:r>
      <w:r>
        <w:rPr>
          <w:rFonts w:hint="eastAsia"/>
          <w:szCs w:val="22"/>
          <w:lang w:eastAsia="zh-CN"/>
        </w:rPr>
        <w:t>）</w:t>
      </w:r>
      <w:r>
        <w:rPr>
          <w:rFonts w:hint="eastAsia"/>
          <w:szCs w:val="22"/>
        </w:rPr>
        <w:t>《地表水和污水监测技术规范》（HJ/T91-2002）；</w:t>
      </w:r>
    </w:p>
    <w:p w14:paraId="06B3099B">
      <w:pPr>
        <w:ind w:firstLine="480"/>
        <w:rPr>
          <w:rFonts w:hint="eastAsia"/>
          <w:szCs w:val="22"/>
        </w:rPr>
      </w:pPr>
      <w:r>
        <w:rPr>
          <w:rFonts w:hint="eastAsia"/>
          <w:szCs w:val="22"/>
          <w:lang w:eastAsia="zh-CN"/>
        </w:rPr>
        <w:t>（</w:t>
      </w:r>
      <w:r>
        <w:rPr>
          <w:rFonts w:hint="eastAsia"/>
          <w:szCs w:val="22"/>
          <w:lang w:val="en-US" w:eastAsia="zh-CN"/>
        </w:rPr>
        <w:t>12</w:t>
      </w:r>
      <w:r>
        <w:rPr>
          <w:rFonts w:hint="eastAsia"/>
          <w:szCs w:val="22"/>
          <w:lang w:eastAsia="zh-CN"/>
        </w:rPr>
        <w:t>）</w:t>
      </w:r>
      <w:r>
        <w:rPr>
          <w:rFonts w:hint="eastAsia"/>
          <w:szCs w:val="22"/>
        </w:rPr>
        <w:t>《地下水环境监测技术规范》（HJ/T164-2004）；</w:t>
      </w:r>
    </w:p>
    <w:p w14:paraId="00D54050">
      <w:pPr>
        <w:ind w:firstLine="480"/>
        <w:rPr>
          <w:rFonts w:hint="eastAsia"/>
          <w:szCs w:val="22"/>
        </w:rPr>
      </w:pPr>
      <w:r>
        <w:rPr>
          <w:rFonts w:hint="eastAsia"/>
          <w:szCs w:val="22"/>
          <w:lang w:eastAsia="zh-CN"/>
        </w:rPr>
        <w:t>（</w:t>
      </w:r>
      <w:r>
        <w:rPr>
          <w:rFonts w:hint="eastAsia"/>
          <w:szCs w:val="22"/>
          <w:lang w:val="en-US" w:eastAsia="zh-CN"/>
        </w:rPr>
        <w:t>13</w:t>
      </w:r>
      <w:r>
        <w:rPr>
          <w:rFonts w:hint="eastAsia"/>
          <w:szCs w:val="22"/>
          <w:lang w:eastAsia="zh-CN"/>
        </w:rPr>
        <w:t>）</w:t>
      </w:r>
      <w:r>
        <w:rPr>
          <w:rFonts w:hint="eastAsia"/>
          <w:szCs w:val="22"/>
        </w:rPr>
        <w:t>《大气污染物无组织排放监测技术导则》（HJ/T55-2000）；</w:t>
      </w:r>
    </w:p>
    <w:p w14:paraId="38FC8E8B">
      <w:pPr>
        <w:ind w:firstLine="480"/>
        <w:rPr>
          <w:rFonts w:hint="eastAsia"/>
          <w:szCs w:val="22"/>
        </w:rPr>
      </w:pPr>
      <w:r>
        <w:rPr>
          <w:rFonts w:hint="eastAsia"/>
          <w:szCs w:val="22"/>
          <w:lang w:eastAsia="zh-CN"/>
        </w:rPr>
        <w:t>（</w:t>
      </w:r>
      <w:r>
        <w:rPr>
          <w:rFonts w:hint="eastAsia"/>
          <w:szCs w:val="22"/>
          <w:lang w:val="en-US" w:eastAsia="zh-CN"/>
        </w:rPr>
        <w:t>14</w:t>
      </w:r>
      <w:r>
        <w:rPr>
          <w:rFonts w:hint="eastAsia"/>
          <w:szCs w:val="22"/>
          <w:lang w:eastAsia="zh-CN"/>
        </w:rPr>
        <w:t>）</w:t>
      </w:r>
      <w:r>
        <w:rPr>
          <w:rFonts w:hint="eastAsia"/>
          <w:szCs w:val="22"/>
        </w:rPr>
        <w:t>《固定污染源废气监测技术规范》（HJ/T397-2007）；</w:t>
      </w:r>
    </w:p>
    <w:p w14:paraId="29DCA083">
      <w:pPr>
        <w:ind w:firstLine="480"/>
        <w:rPr>
          <w:rFonts w:hint="eastAsia"/>
          <w:szCs w:val="22"/>
        </w:rPr>
      </w:pPr>
      <w:r>
        <w:rPr>
          <w:rFonts w:hint="eastAsia"/>
          <w:szCs w:val="22"/>
          <w:lang w:eastAsia="zh-CN"/>
        </w:rPr>
        <w:t>（</w:t>
      </w:r>
      <w:r>
        <w:rPr>
          <w:rFonts w:hint="eastAsia"/>
          <w:szCs w:val="22"/>
          <w:lang w:val="en-US" w:eastAsia="zh-CN"/>
        </w:rPr>
        <w:t>15</w:t>
      </w:r>
      <w:r>
        <w:rPr>
          <w:rFonts w:hint="eastAsia"/>
          <w:szCs w:val="22"/>
          <w:lang w:eastAsia="zh-CN"/>
        </w:rPr>
        <w:t>）</w:t>
      </w:r>
      <w:r>
        <w:rPr>
          <w:rFonts w:hint="eastAsia"/>
          <w:szCs w:val="22"/>
        </w:rPr>
        <w:t>《建设项目危险废物环境影响评价指南》（2017</w:t>
      </w:r>
      <w:r>
        <w:rPr>
          <w:rFonts w:hint="eastAsia"/>
          <w:szCs w:val="22"/>
          <w:lang w:val="en-US" w:eastAsia="zh-CN"/>
        </w:rPr>
        <w:t>年</w:t>
      </w:r>
      <w:r>
        <w:rPr>
          <w:rFonts w:hint="eastAsia"/>
          <w:szCs w:val="22"/>
        </w:rPr>
        <w:t>8</w:t>
      </w:r>
      <w:r>
        <w:rPr>
          <w:rFonts w:hint="eastAsia"/>
          <w:szCs w:val="22"/>
          <w:lang w:val="en-US" w:eastAsia="zh-CN"/>
        </w:rPr>
        <w:t>月</w:t>
      </w:r>
      <w:r>
        <w:rPr>
          <w:rFonts w:hint="eastAsia"/>
          <w:szCs w:val="22"/>
        </w:rPr>
        <w:t>29</w:t>
      </w:r>
      <w:r>
        <w:rPr>
          <w:rFonts w:hint="eastAsia"/>
          <w:szCs w:val="22"/>
          <w:lang w:val="en-US" w:eastAsia="zh-CN"/>
        </w:rPr>
        <w:t>日</w:t>
      </w:r>
      <w:r>
        <w:rPr>
          <w:rFonts w:hint="eastAsia"/>
          <w:szCs w:val="22"/>
        </w:rPr>
        <w:t>）；</w:t>
      </w:r>
    </w:p>
    <w:p w14:paraId="27E24BC4">
      <w:pPr>
        <w:ind w:firstLine="480"/>
        <w:rPr>
          <w:rFonts w:hint="eastAsia"/>
          <w:szCs w:val="22"/>
        </w:rPr>
      </w:pPr>
      <w:r>
        <w:rPr>
          <w:rFonts w:hint="eastAsia"/>
          <w:szCs w:val="22"/>
          <w:lang w:eastAsia="zh-CN"/>
        </w:rPr>
        <w:t>（</w:t>
      </w:r>
      <w:r>
        <w:rPr>
          <w:rFonts w:hint="eastAsia"/>
          <w:szCs w:val="22"/>
          <w:lang w:val="en-US" w:eastAsia="zh-CN"/>
        </w:rPr>
        <w:t>16</w:t>
      </w:r>
      <w:r>
        <w:rPr>
          <w:rFonts w:hint="eastAsia"/>
          <w:szCs w:val="22"/>
          <w:lang w:eastAsia="zh-CN"/>
        </w:rPr>
        <w:t>）</w:t>
      </w:r>
      <w:r>
        <w:rPr>
          <w:rFonts w:hint="eastAsia"/>
          <w:szCs w:val="22"/>
        </w:rPr>
        <w:t>《排污单位自行监测技术指南 总则》（HJ819-2017）；</w:t>
      </w:r>
    </w:p>
    <w:p w14:paraId="58F669CA">
      <w:pPr>
        <w:ind w:firstLine="480"/>
        <w:rPr>
          <w:rFonts w:hint="eastAsia"/>
          <w:szCs w:val="22"/>
        </w:rPr>
      </w:pPr>
      <w:r>
        <w:rPr>
          <w:rFonts w:hint="eastAsia"/>
          <w:szCs w:val="22"/>
          <w:lang w:eastAsia="zh-CN"/>
        </w:rPr>
        <w:t>（</w:t>
      </w:r>
      <w:r>
        <w:rPr>
          <w:rFonts w:hint="eastAsia"/>
          <w:szCs w:val="22"/>
          <w:lang w:val="en-US" w:eastAsia="zh-CN"/>
        </w:rPr>
        <w:t>17</w:t>
      </w:r>
      <w:r>
        <w:rPr>
          <w:rFonts w:hint="eastAsia"/>
          <w:szCs w:val="22"/>
          <w:lang w:eastAsia="zh-CN"/>
        </w:rPr>
        <w:t>）</w:t>
      </w:r>
      <w:r>
        <w:rPr>
          <w:rFonts w:hint="eastAsia"/>
          <w:szCs w:val="22"/>
        </w:rPr>
        <w:t xml:space="preserve">《排污许可证申请与核发技术规范 </w:t>
      </w:r>
      <w:r>
        <w:rPr>
          <w:rFonts w:hint="eastAsia"/>
          <w:szCs w:val="22"/>
          <w:lang w:val="en-US" w:eastAsia="zh-CN"/>
        </w:rPr>
        <w:t>锅炉</w:t>
      </w:r>
      <w:r>
        <w:rPr>
          <w:rFonts w:hint="eastAsia"/>
          <w:szCs w:val="22"/>
        </w:rPr>
        <w:t>》（HJ</w:t>
      </w:r>
      <w:r>
        <w:rPr>
          <w:rFonts w:hint="eastAsia"/>
          <w:szCs w:val="22"/>
          <w:lang w:val="en-US" w:eastAsia="zh-CN"/>
        </w:rPr>
        <w:t>953</w:t>
      </w:r>
      <w:r>
        <w:rPr>
          <w:rFonts w:hint="eastAsia"/>
          <w:szCs w:val="22"/>
        </w:rPr>
        <w:t>-201</w:t>
      </w:r>
      <w:r>
        <w:rPr>
          <w:rFonts w:hint="eastAsia"/>
          <w:szCs w:val="22"/>
          <w:lang w:val="en-US" w:eastAsia="zh-CN"/>
        </w:rPr>
        <w:t>8</w:t>
      </w:r>
      <w:r>
        <w:rPr>
          <w:rFonts w:hint="eastAsia"/>
          <w:szCs w:val="22"/>
        </w:rPr>
        <w:t>）</w:t>
      </w:r>
    </w:p>
    <w:p w14:paraId="52FFA707">
      <w:pPr>
        <w:ind w:firstLine="480"/>
        <w:rPr>
          <w:rFonts w:hint="eastAsia"/>
          <w:szCs w:val="22"/>
        </w:rPr>
      </w:pPr>
      <w:r>
        <w:rPr>
          <w:rFonts w:hint="eastAsia"/>
          <w:szCs w:val="22"/>
          <w:lang w:eastAsia="zh-CN"/>
        </w:rPr>
        <w:t>（</w:t>
      </w:r>
      <w:r>
        <w:rPr>
          <w:rFonts w:hint="eastAsia"/>
          <w:szCs w:val="22"/>
          <w:lang w:val="en-US" w:eastAsia="zh-CN"/>
        </w:rPr>
        <w:t>18</w:t>
      </w:r>
      <w:r>
        <w:rPr>
          <w:rFonts w:hint="eastAsia"/>
          <w:szCs w:val="22"/>
          <w:lang w:eastAsia="zh-CN"/>
        </w:rPr>
        <w:t>）</w:t>
      </w:r>
      <w:r>
        <w:rPr>
          <w:rFonts w:hint="eastAsia"/>
          <w:szCs w:val="22"/>
        </w:rPr>
        <w:t xml:space="preserve">《排污许可证申请与核发技术规范 </w:t>
      </w:r>
      <w:r>
        <w:rPr>
          <w:rFonts w:hint="eastAsia"/>
          <w:szCs w:val="22"/>
          <w:lang w:val="en-US" w:eastAsia="zh-CN"/>
        </w:rPr>
        <w:t>人造板工业</w:t>
      </w:r>
      <w:r>
        <w:rPr>
          <w:rFonts w:hint="eastAsia"/>
          <w:szCs w:val="22"/>
        </w:rPr>
        <w:t>》（HJ</w:t>
      </w:r>
      <w:r>
        <w:rPr>
          <w:rFonts w:hint="eastAsia"/>
          <w:szCs w:val="22"/>
          <w:lang w:val="en-US" w:eastAsia="zh-CN"/>
        </w:rPr>
        <w:t>1032</w:t>
      </w:r>
      <w:r>
        <w:rPr>
          <w:rFonts w:hint="eastAsia"/>
          <w:szCs w:val="22"/>
        </w:rPr>
        <w:t>-201</w:t>
      </w:r>
      <w:r>
        <w:rPr>
          <w:rFonts w:hint="eastAsia"/>
          <w:szCs w:val="22"/>
          <w:lang w:val="en-US" w:eastAsia="zh-CN"/>
        </w:rPr>
        <w:t>9</w:t>
      </w:r>
      <w:r>
        <w:rPr>
          <w:rFonts w:hint="eastAsia"/>
          <w:szCs w:val="22"/>
        </w:rPr>
        <w:t>）。</w:t>
      </w:r>
    </w:p>
    <w:p w14:paraId="3EA82B4D">
      <w:pPr>
        <w:ind w:firstLine="480"/>
        <w:rPr>
          <w:rFonts w:hint="eastAsia"/>
          <w:szCs w:val="22"/>
        </w:rPr>
      </w:pPr>
      <w:r>
        <w:rPr>
          <w:rFonts w:hint="eastAsia"/>
          <w:szCs w:val="22"/>
          <w:lang w:eastAsia="zh-CN"/>
        </w:rPr>
        <w:t>（</w:t>
      </w:r>
      <w:r>
        <w:rPr>
          <w:rFonts w:hint="eastAsia"/>
          <w:szCs w:val="22"/>
          <w:lang w:val="en-US" w:eastAsia="zh-CN"/>
        </w:rPr>
        <w:t>19</w:t>
      </w:r>
      <w:r>
        <w:rPr>
          <w:rFonts w:hint="eastAsia"/>
          <w:szCs w:val="22"/>
          <w:lang w:eastAsia="zh-CN"/>
        </w:rPr>
        <w:t>）</w:t>
      </w:r>
      <w:r>
        <w:rPr>
          <w:rFonts w:hint="eastAsia"/>
          <w:szCs w:val="22"/>
        </w:rPr>
        <w:t>《大气污染治理工程技术导则》(HJ2000-2010)；</w:t>
      </w:r>
    </w:p>
    <w:p w14:paraId="5FE0A079">
      <w:pPr>
        <w:ind w:firstLine="480"/>
        <w:rPr>
          <w:rFonts w:hint="eastAsia"/>
          <w:szCs w:val="22"/>
        </w:rPr>
      </w:pPr>
      <w:r>
        <w:rPr>
          <w:rFonts w:hint="eastAsia"/>
          <w:szCs w:val="22"/>
          <w:lang w:eastAsia="zh-CN"/>
        </w:rPr>
        <w:t>（</w:t>
      </w:r>
      <w:r>
        <w:rPr>
          <w:rFonts w:hint="eastAsia"/>
          <w:szCs w:val="22"/>
          <w:lang w:val="en-US" w:eastAsia="zh-CN"/>
        </w:rPr>
        <w:t>20</w:t>
      </w:r>
      <w:r>
        <w:rPr>
          <w:rFonts w:hint="eastAsia"/>
          <w:szCs w:val="22"/>
          <w:lang w:eastAsia="zh-CN"/>
        </w:rPr>
        <w:t>）</w:t>
      </w:r>
      <w:r>
        <w:rPr>
          <w:rFonts w:hint="eastAsia"/>
          <w:szCs w:val="22"/>
        </w:rPr>
        <w:t>《水污染治理工程技术导则》(HJ 2015-2012)；</w:t>
      </w:r>
    </w:p>
    <w:p w14:paraId="39304930">
      <w:pPr>
        <w:ind w:firstLine="480"/>
        <w:rPr>
          <w:rFonts w:hint="eastAsia"/>
          <w:szCs w:val="22"/>
        </w:rPr>
      </w:pPr>
      <w:r>
        <w:rPr>
          <w:rFonts w:hint="eastAsia"/>
          <w:szCs w:val="22"/>
          <w:lang w:eastAsia="zh-CN"/>
        </w:rPr>
        <w:t>（</w:t>
      </w:r>
      <w:r>
        <w:rPr>
          <w:rFonts w:hint="eastAsia"/>
          <w:szCs w:val="22"/>
          <w:lang w:val="en-US" w:eastAsia="zh-CN"/>
        </w:rPr>
        <w:t>21</w:t>
      </w:r>
      <w:r>
        <w:rPr>
          <w:rFonts w:hint="eastAsia"/>
          <w:szCs w:val="22"/>
          <w:lang w:eastAsia="zh-CN"/>
        </w:rPr>
        <w:t>）</w:t>
      </w:r>
      <w:r>
        <w:rPr>
          <w:rFonts w:hint="eastAsia"/>
          <w:szCs w:val="22"/>
        </w:rPr>
        <w:t>《固体废物处理处置工程技术导则》（HJ2035-2013）；</w:t>
      </w:r>
    </w:p>
    <w:p w14:paraId="0644450D">
      <w:pPr>
        <w:ind w:firstLine="480"/>
        <w:rPr>
          <w:rFonts w:hint="eastAsia"/>
          <w:szCs w:val="22"/>
          <w:lang w:val="en-US" w:eastAsia="zh-CN"/>
        </w:rPr>
      </w:pPr>
      <w:r>
        <w:rPr>
          <w:rFonts w:hint="eastAsia"/>
          <w:szCs w:val="22"/>
          <w:lang w:val="en-US" w:eastAsia="zh-CN"/>
        </w:rPr>
        <w:t>（22）《危险废物鉴别技术规范》（HJ/T298-2007）；</w:t>
      </w:r>
    </w:p>
    <w:p w14:paraId="2844E569">
      <w:pPr>
        <w:ind w:firstLine="480"/>
        <w:rPr>
          <w:rFonts w:hint="eastAsia"/>
          <w:szCs w:val="22"/>
        </w:rPr>
      </w:pPr>
      <w:r>
        <w:rPr>
          <w:rFonts w:hint="eastAsia"/>
          <w:szCs w:val="22"/>
          <w:lang w:eastAsia="zh-CN"/>
        </w:rPr>
        <w:t>（</w:t>
      </w:r>
      <w:r>
        <w:rPr>
          <w:rFonts w:hint="eastAsia"/>
          <w:szCs w:val="22"/>
          <w:lang w:val="en-US" w:eastAsia="zh-CN"/>
        </w:rPr>
        <w:t>23</w:t>
      </w:r>
      <w:r>
        <w:rPr>
          <w:rFonts w:hint="eastAsia"/>
          <w:szCs w:val="22"/>
          <w:lang w:eastAsia="zh-CN"/>
        </w:rPr>
        <w:t>）</w:t>
      </w:r>
      <w:r>
        <w:rPr>
          <w:rFonts w:hint="eastAsia"/>
          <w:szCs w:val="22"/>
        </w:rPr>
        <w:t>《危险化学品重大危险源辨别》（GB18218-20</w:t>
      </w:r>
      <w:r>
        <w:rPr>
          <w:rFonts w:hint="eastAsia"/>
          <w:szCs w:val="22"/>
          <w:lang w:val="en-US" w:eastAsia="zh-CN"/>
        </w:rPr>
        <w:t>18</w:t>
      </w:r>
      <w:r>
        <w:rPr>
          <w:rFonts w:hint="eastAsia"/>
          <w:szCs w:val="22"/>
        </w:rPr>
        <w:t>）；</w:t>
      </w:r>
    </w:p>
    <w:p w14:paraId="3C31B54A">
      <w:pPr>
        <w:ind w:firstLine="480"/>
        <w:rPr>
          <w:rFonts w:hint="eastAsia"/>
          <w:szCs w:val="22"/>
        </w:rPr>
      </w:pPr>
      <w:r>
        <w:rPr>
          <w:rFonts w:hint="eastAsia"/>
          <w:szCs w:val="22"/>
          <w:lang w:eastAsia="zh-CN"/>
        </w:rPr>
        <w:t>（</w:t>
      </w:r>
      <w:r>
        <w:rPr>
          <w:rFonts w:hint="eastAsia"/>
          <w:szCs w:val="22"/>
          <w:lang w:val="en-US" w:eastAsia="zh-CN"/>
        </w:rPr>
        <w:t>24</w:t>
      </w:r>
      <w:r>
        <w:rPr>
          <w:rFonts w:hint="eastAsia"/>
          <w:szCs w:val="22"/>
          <w:lang w:eastAsia="zh-CN"/>
        </w:rPr>
        <w:t>）</w:t>
      </w:r>
      <w:r>
        <w:rPr>
          <w:rFonts w:hint="eastAsia"/>
          <w:szCs w:val="22"/>
        </w:rPr>
        <w:t>《排污单位环境管理台账及排污许可证执行报告技术规范 总则（试行）》（HJ944-2018）；</w:t>
      </w:r>
    </w:p>
    <w:p w14:paraId="4AEAA7D0">
      <w:pPr>
        <w:ind w:firstLine="480"/>
        <w:rPr>
          <w:rFonts w:hint="eastAsia"/>
          <w:szCs w:val="22"/>
        </w:rPr>
      </w:pPr>
      <w:r>
        <w:rPr>
          <w:rFonts w:hint="eastAsia"/>
          <w:szCs w:val="22"/>
          <w:lang w:eastAsia="zh-CN"/>
        </w:rPr>
        <w:t>（</w:t>
      </w:r>
      <w:r>
        <w:rPr>
          <w:rFonts w:hint="eastAsia"/>
          <w:szCs w:val="22"/>
          <w:lang w:val="en-US" w:eastAsia="zh-CN"/>
        </w:rPr>
        <w:t>25</w:t>
      </w:r>
      <w:r>
        <w:rPr>
          <w:rFonts w:hint="eastAsia"/>
          <w:szCs w:val="22"/>
          <w:lang w:eastAsia="zh-CN"/>
        </w:rPr>
        <w:t>）</w:t>
      </w:r>
      <w:r>
        <w:rPr>
          <w:rFonts w:hint="eastAsia"/>
          <w:szCs w:val="22"/>
        </w:rPr>
        <w:t>《污染源源强核算技术指南 准则》（HJ884-2018）；</w:t>
      </w:r>
    </w:p>
    <w:p w14:paraId="2BEB66E6">
      <w:pPr>
        <w:ind w:firstLine="480"/>
        <w:rPr>
          <w:rFonts w:hint="eastAsia"/>
          <w:szCs w:val="22"/>
        </w:rPr>
      </w:pPr>
      <w:r>
        <w:rPr>
          <w:rFonts w:hint="eastAsia"/>
          <w:szCs w:val="22"/>
          <w:lang w:eastAsia="zh-CN"/>
        </w:rPr>
        <w:t>（</w:t>
      </w:r>
      <w:r>
        <w:rPr>
          <w:rFonts w:hint="eastAsia"/>
          <w:szCs w:val="22"/>
          <w:lang w:val="en-US" w:eastAsia="zh-CN"/>
        </w:rPr>
        <w:t>26</w:t>
      </w:r>
      <w:r>
        <w:rPr>
          <w:rFonts w:hint="eastAsia"/>
          <w:szCs w:val="22"/>
          <w:lang w:eastAsia="zh-CN"/>
        </w:rPr>
        <w:t>）</w:t>
      </w:r>
      <w:r>
        <w:rPr>
          <w:rFonts w:hint="eastAsia"/>
          <w:szCs w:val="22"/>
        </w:rPr>
        <w:t>《突发环境事件应急监测技术规范》（HJ589-2010）；</w:t>
      </w:r>
    </w:p>
    <w:p w14:paraId="343FC6E0">
      <w:pPr>
        <w:ind w:firstLine="480"/>
        <w:rPr>
          <w:rFonts w:hint="eastAsia"/>
          <w:szCs w:val="22"/>
        </w:rPr>
      </w:pPr>
      <w:r>
        <w:rPr>
          <w:rFonts w:hint="eastAsia"/>
          <w:szCs w:val="22"/>
          <w:lang w:eastAsia="zh-CN"/>
        </w:rPr>
        <w:t>（</w:t>
      </w:r>
      <w:r>
        <w:rPr>
          <w:rFonts w:hint="eastAsia"/>
          <w:szCs w:val="22"/>
          <w:lang w:val="en-US" w:eastAsia="zh-CN"/>
        </w:rPr>
        <w:t>27</w:t>
      </w:r>
      <w:r>
        <w:rPr>
          <w:rFonts w:hint="eastAsia"/>
          <w:szCs w:val="22"/>
          <w:lang w:eastAsia="zh-CN"/>
        </w:rPr>
        <w:t>）</w:t>
      </w:r>
      <w:r>
        <w:rPr>
          <w:rFonts w:hint="eastAsia"/>
          <w:szCs w:val="22"/>
        </w:rPr>
        <w:t>《石油化工工程防渗技术规范》（GB/T 50934-2013）；</w:t>
      </w:r>
    </w:p>
    <w:p w14:paraId="71A661B3">
      <w:pPr>
        <w:ind w:firstLine="480"/>
        <w:rPr>
          <w:rFonts w:hint="eastAsia"/>
          <w:szCs w:val="22"/>
        </w:rPr>
      </w:pPr>
      <w:r>
        <w:rPr>
          <w:rFonts w:hint="eastAsia"/>
          <w:szCs w:val="22"/>
          <w:lang w:eastAsia="zh-CN"/>
        </w:rPr>
        <w:t>（</w:t>
      </w:r>
      <w:r>
        <w:rPr>
          <w:rFonts w:hint="eastAsia"/>
          <w:szCs w:val="22"/>
          <w:lang w:val="en-US" w:eastAsia="zh-CN"/>
        </w:rPr>
        <w:t>28</w:t>
      </w:r>
      <w:r>
        <w:rPr>
          <w:rFonts w:hint="eastAsia"/>
          <w:szCs w:val="22"/>
          <w:lang w:eastAsia="zh-CN"/>
        </w:rPr>
        <w:t>）</w:t>
      </w:r>
      <w:r>
        <w:rPr>
          <w:rFonts w:hint="eastAsia"/>
          <w:szCs w:val="22"/>
        </w:rPr>
        <w:t>《危险废物收集贮存运输技术规范》（HJ2025-2012）；</w:t>
      </w:r>
    </w:p>
    <w:p w14:paraId="63775600">
      <w:pPr>
        <w:ind w:firstLine="480"/>
        <w:rPr>
          <w:rFonts w:hint="eastAsia"/>
          <w:szCs w:val="22"/>
        </w:rPr>
      </w:pPr>
      <w:r>
        <w:rPr>
          <w:rFonts w:hint="eastAsia"/>
          <w:szCs w:val="22"/>
          <w:lang w:eastAsia="zh-CN"/>
        </w:rPr>
        <w:t>（</w:t>
      </w:r>
      <w:r>
        <w:rPr>
          <w:rFonts w:hint="eastAsia"/>
          <w:szCs w:val="22"/>
          <w:lang w:val="en-US" w:eastAsia="zh-CN"/>
        </w:rPr>
        <w:t>29</w:t>
      </w:r>
      <w:r>
        <w:rPr>
          <w:rFonts w:hint="eastAsia"/>
          <w:szCs w:val="22"/>
          <w:lang w:eastAsia="zh-CN"/>
        </w:rPr>
        <w:t>）</w:t>
      </w:r>
      <w:r>
        <w:rPr>
          <w:rFonts w:hint="eastAsia"/>
          <w:szCs w:val="22"/>
        </w:rPr>
        <w:t>《危险废物贮存污染控制标准》（GB18597-2001）；</w:t>
      </w:r>
    </w:p>
    <w:p w14:paraId="599942B3">
      <w:pPr>
        <w:ind w:firstLine="480"/>
        <w:rPr>
          <w:rFonts w:hint="eastAsia" w:eastAsia="宋体"/>
          <w:szCs w:val="22"/>
          <w:lang w:eastAsia="zh-CN"/>
        </w:rPr>
      </w:pPr>
      <w:r>
        <w:rPr>
          <w:rFonts w:hint="eastAsia"/>
          <w:szCs w:val="22"/>
          <w:lang w:eastAsia="zh-CN"/>
        </w:rPr>
        <w:t>（</w:t>
      </w:r>
      <w:r>
        <w:rPr>
          <w:rFonts w:hint="eastAsia"/>
          <w:szCs w:val="22"/>
          <w:lang w:val="en-US" w:eastAsia="zh-CN"/>
        </w:rPr>
        <w:t>30</w:t>
      </w:r>
      <w:r>
        <w:rPr>
          <w:rFonts w:hint="eastAsia"/>
          <w:szCs w:val="22"/>
          <w:lang w:eastAsia="zh-CN"/>
        </w:rPr>
        <w:t>）</w:t>
      </w:r>
      <w:r>
        <w:rPr>
          <w:rFonts w:hint="eastAsia"/>
          <w:szCs w:val="22"/>
        </w:rPr>
        <w:t>《吸附法工业有机废气治理工程技术规范》（ HJ 2026-2013）</w:t>
      </w:r>
      <w:r>
        <w:rPr>
          <w:rFonts w:hint="eastAsia" w:eastAsia="宋体"/>
          <w:szCs w:val="22"/>
          <w:lang w:eastAsia="zh-CN"/>
        </w:rPr>
        <w:t>；</w:t>
      </w:r>
    </w:p>
    <w:p w14:paraId="69D633A1">
      <w:pPr>
        <w:ind w:firstLine="480"/>
        <w:rPr>
          <w:rFonts w:hint="eastAsia"/>
          <w:szCs w:val="22"/>
          <w:lang w:eastAsia="zh-CN"/>
        </w:rPr>
      </w:pP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31</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《排污许可证申请与核发技术规范 石化工业》</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HJ853-2017</w:t>
      </w:r>
      <w:r>
        <w:rPr>
          <w:rFonts w:hint="eastAsia" w:ascii="Times New Roman" w:hAnsi="Times New Roman" w:eastAsia="宋体" w:cs="Times New Roman"/>
          <w:szCs w:val="22"/>
          <w:lang w:val="zh-CN" w:eastAsia="zh-CN"/>
        </w:rPr>
        <w:t>）</w:t>
      </w:r>
      <w:r>
        <w:rPr>
          <w:rFonts w:hint="eastAsia"/>
          <w:szCs w:val="22"/>
          <w:lang w:eastAsia="zh-CN"/>
        </w:rPr>
        <w:t>。</w:t>
      </w:r>
      <w:bookmarkEnd w:id="36"/>
    </w:p>
    <w:p w14:paraId="66CC0DA3">
      <w:pPr>
        <w:pStyle w:val="188"/>
        <w:rPr>
          <w:rFonts w:hint="eastAsia"/>
        </w:rPr>
      </w:pPr>
      <w:r>
        <w:rPr>
          <w:rFonts w:hint="eastAsia"/>
        </w:rPr>
        <w:t>2.1.4 相关规划及编制依据</w:t>
      </w:r>
    </w:p>
    <w:p w14:paraId="7D086519">
      <w:pPr>
        <w:ind w:firstLine="480"/>
        <w:rPr>
          <w:rFonts w:hint="eastAsia"/>
          <w:szCs w:val="24"/>
          <w:lang w:val="en-US" w:eastAsia="zh-CN" w:bidi="en-US"/>
        </w:rPr>
      </w:pPr>
      <w:r>
        <w:rPr>
          <w:rFonts w:hint="eastAsia"/>
          <w:szCs w:val="24"/>
          <w:lang w:val="en-US" w:eastAsia="zh-CN" w:bidi="en-US"/>
        </w:rPr>
        <w:t xml:space="preserve">（1）《德宏州域城镇体系规划》； </w:t>
      </w:r>
    </w:p>
    <w:p w14:paraId="45152B7D">
      <w:pPr>
        <w:ind w:firstLine="480"/>
        <w:rPr>
          <w:rFonts w:hint="eastAsia"/>
          <w:szCs w:val="24"/>
          <w:lang w:val="en-US" w:eastAsia="zh-CN" w:bidi="en-US"/>
        </w:rPr>
      </w:pPr>
      <w:r>
        <w:rPr>
          <w:rFonts w:hint="eastAsia"/>
          <w:szCs w:val="24"/>
          <w:lang w:val="en-US" w:eastAsia="zh-CN" w:bidi="en-US"/>
        </w:rPr>
        <w:t>（2）《德宏生态州建设规划》（</w:t>
      </w:r>
      <w:r>
        <w:rPr>
          <w:szCs w:val="24"/>
          <w:lang w:val="en-US" w:eastAsia="zh-CN" w:bidi="en-US"/>
        </w:rPr>
        <w:t xml:space="preserve">2011-2020 </w:t>
      </w:r>
      <w:r>
        <w:rPr>
          <w:rFonts w:hint="eastAsia"/>
          <w:szCs w:val="24"/>
          <w:lang w:val="en-US" w:eastAsia="zh-CN" w:bidi="en-US"/>
        </w:rPr>
        <w:t xml:space="preserve">年）； </w:t>
      </w:r>
    </w:p>
    <w:p w14:paraId="0C48A2D3">
      <w:pPr>
        <w:ind w:firstLine="480"/>
        <w:rPr>
          <w:rFonts w:hint="eastAsia"/>
          <w:szCs w:val="24"/>
          <w:lang w:val="en-US" w:eastAsia="zh-CN" w:bidi="en-US"/>
        </w:rPr>
      </w:pPr>
      <w:r>
        <w:rPr>
          <w:rFonts w:hint="eastAsia"/>
          <w:szCs w:val="24"/>
          <w:lang w:val="en-US" w:eastAsia="zh-CN" w:bidi="en-US"/>
        </w:rPr>
        <w:t>（3）《德宏州国民经济和社会发展第十三个五年规划纲要（</w:t>
      </w:r>
      <w:r>
        <w:rPr>
          <w:szCs w:val="24"/>
          <w:lang w:val="en-US" w:eastAsia="zh-CN" w:bidi="en-US"/>
        </w:rPr>
        <w:t>2016-2020</w:t>
      </w:r>
      <w:r>
        <w:rPr>
          <w:rFonts w:hint="eastAsia"/>
          <w:szCs w:val="24"/>
          <w:lang w:val="en-US" w:eastAsia="zh-CN" w:bidi="en-US"/>
        </w:rPr>
        <w:t xml:space="preserve">）》； </w:t>
      </w:r>
    </w:p>
    <w:p w14:paraId="41C08EF2">
      <w:pPr>
        <w:ind w:firstLine="480"/>
        <w:rPr>
          <w:rFonts w:hint="eastAsia"/>
          <w:szCs w:val="24"/>
          <w:lang w:val="en-US" w:eastAsia="zh-CN" w:bidi="en-US"/>
        </w:rPr>
      </w:pPr>
      <w:r>
        <w:rPr>
          <w:rFonts w:hint="eastAsia"/>
          <w:szCs w:val="24"/>
          <w:lang w:val="en-US" w:eastAsia="zh-CN" w:bidi="en-US"/>
        </w:rPr>
        <w:t xml:space="preserve">（4）《德宏州大气污染防治规划》； </w:t>
      </w:r>
    </w:p>
    <w:p w14:paraId="4C7F35CB">
      <w:pPr>
        <w:ind w:firstLine="480"/>
        <w:rPr>
          <w:rFonts w:hint="eastAsia"/>
          <w:color w:val="FF0000"/>
          <w:szCs w:val="24"/>
          <w:lang w:val="en-US" w:eastAsia="zh-CN" w:bidi="en-US"/>
        </w:rPr>
      </w:pPr>
      <w:r>
        <w:rPr>
          <w:rFonts w:hint="eastAsia"/>
          <w:color w:val="FF0000"/>
          <w:szCs w:val="24"/>
          <w:lang w:val="en-US" w:eastAsia="zh-CN" w:bidi="en-US"/>
        </w:rPr>
        <w:t>（5）《德宏州人民政府关于印发德宏州打赢蓝天保卫战（2018—2020年）三年行动实施方案的通知》；</w:t>
      </w:r>
    </w:p>
    <w:p w14:paraId="529E4143">
      <w:pPr>
        <w:ind w:firstLine="480"/>
        <w:rPr>
          <w:rFonts w:hint="eastAsia"/>
          <w:szCs w:val="24"/>
          <w:lang w:val="en-US" w:eastAsia="zh-CN" w:bidi="en-US"/>
        </w:rPr>
      </w:pPr>
      <w:r>
        <w:rPr>
          <w:rFonts w:hint="eastAsia"/>
          <w:szCs w:val="24"/>
          <w:lang w:val="en-US" w:eastAsia="zh-CN" w:bidi="en-US"/>
        </w:rPr>
        <w:t xml:space="preserve">（6）《德宏州水污染防治行动实施方案》； </w:t>
      </w:r>
    </w:p>
    <w:p w14:paraId="515A94BF">
      <w:pPr>
        <w:ind w:firstLine="480"/>
        <w:rPr>
          <w:rFonts w:hint="eastAsia"/>
          <w:szCs w:val="24"/>
          <w:lang w:val="en-US" w:eastAsia="zh-CN" w:bidi="en-US"/>
        </w:rPr>
      </w:pPr>
      <w:r>
        <w:rPr>
          <w:rFonts w:hint="eastAsia"/>
          <w:szCs w:val="24"/>
          <w:lang w:val="en-US" w:eastAsia="zh-CN" w:bidi="en-US"/>
        </w:rPr>
        <w:t xml:space="preserve">（7）《德宏州近期土壤环境保护和综合治理方案》； </w:t>
      </w:r>
    </w:p>
    <w:p w14:paraId="1DB6054A">
      <w:pPr>
        <w:ind w:firstLine="480"/>
        <w:rPr>
          <w:rFonts w:hint="eastAsia"/>
          <w:szCs w:val="24"/>
          <w:lang w:val="en-US" w:eastAsia="zh-CN" w:bidi="en-US"/>
        </w:rPr>
      </w:pPr>
      <w:r>
        <w:rPr>
          <w:rFonts w:hint="eastAsia"/>
          <w:szCs w:val="24"/>
          <w:lang w:val="en-US" w:eastAsia="zh-CN" w:bidi="en-US"/>
        </w:rPr>
        <w:t>（8）《芒市城市总体规划（</w:t>
      </w:r>
      <w:r>
        <w:rPr>
          <w:szCs w:val="24"/>
          <w:lang w:val="en-US" w:eastAsia="zh-CN" w:bidi="en-US"/>
        </w:rPr>
        <w:t xml:space="preserve">2017-2035 </w:t>
      </w:r>
      <w:r>
        <w:rPr>
          <w:rFonts w:hint="eastAsia"/>
          <w:szCs w:val="24"/>
          <w:lang w:val="en-US" w:eastAsia="zh-CN" w:bidi="en-US"/>
        </w:rPr>
        <w:t xml:space="preserve">年）》； </w:t>
      </w:r>
    </w:p>
    <w:p w14:paraId="163CC2D2">
      <w:pPr>
        <w:ind w:firstLine="480"/>
        <w:rPr>
          <w:rFonts w:hint="eastAsia"/>
          <w:szCs w:val="24"/>
          <w:lang w:val="en-US" w:eastAsia="zh-CN" w:bidi="en-US"/>
        </w:rPr>
      </w:pPr>
      <w:r>
        <w:rPr>
          <w:rFonts w:hint="eastAsia"/>
          <w:szCs w:val="24"/>
          <w:lang w:val="en-US" w:eastAsia="zh-CN" w:bidi="en-US"/>
        </w:rPr>
        <w:t>（9）《芒市主城区环境卫生专业规划》（</w:t>
      </w:r>
      <w:r>
        <w:rPr>
          <w:szCs w:val="24"/>
          <w:lang w:val="en-US" w:eastAsia="zh-CN" w:bidi="en-US"/>
        </w:rPr>
        <w:t>2011-2020</w:t>
      </w:r>
      <w:r>
        <w:rPr>
          <w:rFonts w:hint="eastAsia"/>
          <w:szCs w:val="24"/>
          <w:lang w:val="en-US" w:eastAsia="zh-CN" w:bidi="en-US"/>
        </w:rPr>
        <w:t xml:space="preserve">）； </w:t>
      </w:r>
    </w:p>
    <w:p w14:paraId="516935EB">
      <w:pPr>
        <w:ind w:firstLine="480"/>
        <w:rPr>
          <w:rFonts w:hint="eastAsia"/>
          <w:szCs w:val="24"/>
          <w:lang w:val="en-US" w:eastAsia="zh-CN" w:bidi="en-US"/>
        </w:rPr>
      </w:pPr>
      <w:r>
        <w:rPr>
          <w:rFonts w:hint="eastAsia"/>
          <w:szCs w:val="24"/>
          <w:lang w:val="en-US" w:eastAsia="zh-CN" w:bidi="en-US"/>
        </w:rPr>
        <w:t>（10）《云南德宏州芒市声环境功能区划分（</w:t>
      </w:r>
      <w:r>
        <w:rPr>
          <w:szCs w:val="24"/>
          <w:lang w:val="en-US" w:eastAsia="zh-CN" w:bidi="en-US"/>
        </w:rPr>
        <w:t>2019</w:t>
      </w:r>
      <w:r>
        <w:rPr>
          <w:rFonts w:hint="eastAsia"/>
          <w:szCs w:val="24"/>
          <w:lang w:val="en-US" w:eastAsia="zh-CN" w:bidi="en-US"/>
        </w:rPr>
        <w:t>～</w:t>
      </w:r>
      <w:r>
        <w:rPr>
          <w:szCs w:val="24"/>
          <w:lang w:val="en-US" w:eastAsia="zh-CN" w:bidi="en-US"/>
        </w:rPr>
        <w:t>2029</w:t>
      </w:r>
      <w:r>
        <w:rPr>
          <w:rFonts w:hint="eastAsia"/>
          <w:szCs w:val="24"/>
          <w:lang w:val="en-US" w:eastAsia="zh-CN" w:bidi="en-US"/>
        </w:rPr>
        <w:t>）》。</w:t>
      </w:r>
    </w:p>
    <w:p w14:paraId="2C572032">
      <w:pPr>
        <w:ind w:firstLine="480"/>
        <w:rPr>
          <w:rFonts w:hint="eastAsia"/>
          <w:szCs w:val="24"/>
          <w:lang w:val="en-US" w:eastAsia="zh-CN" w:bidi="en-US"/>
        </w:rPr>
      </w:pPr>
      <w:r>
        <w:rPr>
          <w:rFonts w:hint="eastAsia"/>
          <w:szCs w:val="24"/>
          <w:lang w:val="en-US" w:eastAsia="zh-CN" w:bidi="en-US"/>
        </w:rPr>
        <w:t>（11）《云南永利发林业有限公司年产10万立方米全竹、竹木复合地板一厂区建设项目环境影响报告表》；</w:t>
      </w:r>
    </w:p>
    <w:p w14:paraId="4B7F11FD">
      <w:pPr>
        <w:ind w:firstLine="480"/>
        <w:rPr>
          <w:rFonts w:hint="eastAsia"/>
          <w:szCs w:val="24"/>
          <w:lang w:val="en-US" w:eastAsia="zh-CN" w:bidi="en-US"/>
        </w:rPr>
      </w:pPr>
      <w:r>
        <w:rPr>
          <w:rFonts w:hint="eastAsia"/>
          <w:szCs w:val="24"/>
          <w:lang w:val="en-US" w:eastAsia="zh-CN" w:bidi="en-US"/>
        </w:rPr>
        <w:t>（12）德宏州环境保护局准予行政许可决定书，文号：德环许准（2006）1号；</w:t>
      </w:r>
    </w:p>
    <w:p w14:paraId="5D7ECA29">
      <w:pPr>
        <w:ind w:firstLine="480"/>
        <w:rPr>
          <w:szCs w:val="24"/>
          <w:lang w:val="en-US" w:eastAsia="zh-CN" w:bidi="en-US"/>
        </w:rPr>
      </w:pPr>
      <w:r>
        <w:rPr>
          <w:rFonts w:hint="eastAsia"/>
          <w:szCs w:val="24"/>
          <w:lang w:val="en-US" w:eastAsia="zh-CN" w:bidi="en-US"/>
        </w:rPr>
        <w:t>（13）德宏州环境监测站编制的《云南永利发林业有限公司年产10万立方米全竹、竹木复合地板一厂区工程环境保护竣工验收监测报告》（德环监字[2010]135号）；</w:t>
      </w:r>
    </w:p>
    <w:p w14:paraId="247962A7">
      <w:pPr>
        <w:ind w:firstLine="480"/>
        <w:rPr>
          <w:rFonts w:hint="eastAsia"/>
          <w:szCs w:val="24"/>
          <w:lang w:val="en-US" w:eastAsia="zh-CN" w:bidi="en-US"/>
        </w:rPr>
      </w:pPr>
      <w:r>
        <w:rPr>
          <w:rFonts w:hint="eastAsia"/>
          <w:szCs w:val="24"/>
          <w:lang w:val="en-US" w:eastAsia="zh-CN" w:bidi="en-US"/>
        </w:rPr>
        <w:t>（14）德宏州环境保护局关于云南永利发林业有限公司年产10万立方米全竹、竹木复合地板一厂区工程环境保护竣工验收的批复，文号：德环审[2010]35号；</w:t>
      </w:r>
    </w:p>
    <w:p w14:paraId="0D88D41E">
      <w:pPr>
        <w:ind w:firstLine="480"/>
        <w:rPr>
          <w:rFonts w:hint="eastAsia"/>
          <w:szCs w:val="24"/>
          <w:lang w:val="en-US" w:eastAsia="zh-CN" w:bidi="en-US"/>
        </w:rPr>
      </w:pPr>
      <w:r>
        <w:rPr>
          <w:rFonts w:hint="eastAsia"/>
          <w:szCs w:val="24"/>
          <w:lang w:val="en-US" w:eastAsia="zh-CN" w:bidi="en-US"/>
        </w:rPr>
        <w:t>（15）芒市发展和改革局出具的投资项目备案证，文号：芒发改备案[2019]232号；</w:t>
      </w:r>
    </w:p>
    <w:p w14:paraId="2882DC31">
      <w:pPr>
        <w:ind w:firstLine="480"/>
        <w:rPr>
          <w:rFonts w:hint="eastAsia"/>
          <w:color w:val="FF0000"/>
        </w:rPr>
      </w:pPr>
      <w:r>
        <w:rPr>
          <w:rFonts w:hint="eastAsia"/>
          <w:szCs w:val="24"/>
          <w:lang w:eastAsia="zh-CN"/>
        </w:rPr>
        <w:t>（</w:t>
      </w:r>
      <w:r>
        <w:rPr>
          <w:rFonts w:hint="eastAsia"/>
          <w:szCs w:val="24"/>
          <w:lang w:val="en-US" w:eastAsia="zh-CN"/>
        </w:rPr>
        <w:t>16</w:t>
      </w:r>
      <w:r>
        <w:rPr>
          <w:rFonts w:hint="eastAsia"/>
          <w:szCs w:val="24"/>
          <w:lang w:eastAsia="zh-CN"/>
        </w:rPr>
        <w:t>）</w:t>
      </w:r>
      <w:r>
        <w:rPr>
          <w:rFonts w:hint="eastAsia"/>
          <w:szCs w:val="24"/>
        </w:rPr>
        <w:t>不动产权证书；</w:t>
      </w:r>
    </w:p>
    <w:p w14:paraId="2BCFCB8A">
      <w:pPr>
        <w:ind w:firstLine="480"/>
        <w:rPr>
          <w:rFonts w:hint="eastAsia"/>
          <w:szCs w:val="24"/>
          <w:lang w:bidi="en-US"/>
        </w:rPr>
      </w:pPr>
      <w:r>
        <w:rPr>
          <w:rFonts w:hint="eastAsia"/>
          <w:szCs w:val="24"/>
          <w:lang w:bidi="en-US"/>
        </w:rPr>
        <w:t>（1</w:t>
      </w:r>
      <w:r>
        <w:rPr>
          <w:rFonts w:hint="eastAsia"/>
          <w:szCs w:val="24"/>
          <w:lang w:val="en-US" w:eastAsia="zh-CN" w:bidi="en-US"/>
        </w:rPr>
        <w:t>7</w:t>
      </w:r>
      <w:r>
        <w:rPr>
          <w:rFonts w:hint="eastAsia"/>
          <w:szCs w:val="24"/>
          <w:lang w:bidi="en-US"/>
        </w:rPr>
        <w:t>）</w:t>
      </w:r>
      <w:r>
        <w:rPr>
          <w:rFonts w:hint="eastAsia"/>
          <w:szCs w:val="24"/>
        </w:rPr>
        <w:t>项目</w:t>
      </w:r>
      <w:r>
        <w:rPr>
          <w:rFonts w:hint="eastAsia"/>
          <w:szCs w:val="24"/>
          <w:lang w:val="en-US" w:eastAsia="zh-CN"/>
        </w:rPr>
        <w:t>相关</w:t>
      </w:r>
      <w:r>
        <w:rPr>
          <w:rFonts w:hint="eastAsia"/>
          <w:szCs w:val="24"/>
        </w:rPr>
        <w:t>检测报告；</w:t>
      </w:r>
    </w:p>
    <w:p w14:paraId="56A6B179">
      <w:pPr>
        <w:ind w:firstLine="480"/>
        <w:rPr>
          <w:lang w:bidi="en-US"/>
        </w:rPr>
      </w:pPr>
      <w:r>
        <w:rPr>
          <w:rFonts w:hint="eastAsia"/>
          <w:lang w:bidi="en-US"/>
        </w:rPr>
        <w:t>（1</w:t>
      </w:r>
      <w:r>
        <w:rPr>
          <w:rFonts w:hint="eastAsia"/>
          <w:lang w:val="en-US" w:eastAsia="zh-CN" w:bidi="en-US"/>
        </w:rPr>
        <w:t>8</w:t>
      </w:r>
      <w:r>
        <w:rPr>
          <w:rFonts w:hint="eastAsia"/>
          <w:lang w:bidi="en-US"/>
        </w:rPr>
        <w:t>）本项目</w:t>
      </w:r>
      <w:r>
        <w:rPr>
          <w:lang w:bidi="en-US"/>
        </w:rPr>
        <w:t>的</w:t>
      </w:r>
      <w:r>
        <w:rPr>
          <w:rFonts w:hint="eastAsia"/>
          <w:lang w:bidi="en-US"/>
        </w:rPr>
        <w:t>环境影响评价委托书；</w:t>
      </w:r>
    </w:p>
    <w:p w14:paraId="00BDCDBF">
      <w:pPr>
        <w:ind w:firstLine="480"/>
        <w:rPr>
          <w:lang w:bidi="en-US"/>
        </w:rPr>
      </w:pPr>
      <w:r>
        <w:rPr>
          <w:rFonts w:hint="eastAsia"/>
          <w:lang w:bidi="en-US"/>
        </w:rPr>
        <w:t>（1</w:t>
      </w:r>
      <w:r>
        <w:rPr>
          <w:rFonts w:hint="eastAsia"/>
          <w:lang w:val="en-US" w:eastAsia="zh-CN" w:bidi="en-US"/>
        </w:rPr>
        <w:t>9</w:t>
      </w:r>
      <w:r>
        <w:rPr>
          <w:rFonts w:hint="eastAsia"/>
          <w:lang w:bidi="en-US"/>
        </w:rPr>
        <w:t>）建设单位提供的其他相关资料。</w:t>
      </w:r>
    </w:p>
    <w:p w14:paraId="33829DFB">
      <w:pPr>
        <w:pStyle w:val="187"/>
        <w:rPr>
          <w:rFonts w:hint="eastAsia" w:ascii="Times New Roman" w:hAnsi="Times New Roman"/>
        </w:rPr>
      </w:pPr>
      <w:bookmarkStart w:id="37" w:name="_Toc23735"/>
      <w:bookmarkStart w:id="38" w:name="_Toc335320841"/>
      <w:bookmarkStart w:id="39" w:name="_Toc332811719"/>
      <w:bookmarkStart w:id="40" w:name="_Toc325552813"/>
      <w:bookmarkStart w:id="41" w:name="_Toc418954591"/>
      <w:r>
        <w:rPr>
          <w:rFonts w:hint="eastAsia" w:ascii="Times New Roman" w:hAnsi="Times New Roman"/>
        </w:rPr>
        <w:t>2.2</w:t>
      </w:r>
      <w:r>
        <w:rPr>
          <w:rFonts w:ascii="Times New Roman" w:hAnsi="Times New Roman"/>
        </w:rPr>
        <w:t xml:space="preserve"> </w:t>
      </w:r>
      <w:r>
        <w:rPr>
          <w:rFonts w:hint="eastAsia" w:ascii="Times New Roman" w:hAnsi="Times New Roman"/>
        </w:rPr>
        <w:t>环境影响识别与评价因子筛选</w:t>
      </w:r>
      <w:bookmarkEnd w:id="37"/>
    </w:p>
    <w:p w14:paraId="277EF806">
      <w:pPr>
        <w:pStyle w:val="188"/>
        <w:rPr>
          <w:color w:val="FF0000"/>
        </w:rPr>
      </w:pPr>
      <w:r>
        <w:rPr>
          <w:rFonts w:hint="eastAsia"/>
        </w:rPr>
        <w:t>2</w:t>
      </w:r>
      <w:r>
        <w:rPr>
          <w:rFonts w:hint="eastAsia"/>
          <w:color w:val="000000"/>
        </w:rPr>
        <w:t>.2.1</w:t>
      </w:r>
      <w:r>
        <w:rPr>
          <w:color w:val="000000"/>
        </w:rPr>
        <w:t xml:space="preserve"> </w:t>
      </w:r>
      <w:r>
        <w:rPr>
          <w:rFonts w:hint="eastAsia"/>
          <w:color w:val="000000"/>
        </w:rPr>
        <w:t>环境影响因素识别</w:t>
      </w:r>
    </w:p>
    <w:p w14:paraId="63CCD3DA">
      <w:pPr>
        <w:keepNext w:val="0"/>
        <w:keepLines w:val="0"/>
        <w:widowControl/>
        <w:suppressLineNumbers w:val="0"/>
        <w:jc w:val="left"/>
      </w:pPr>
      <w:r>
        <w:rPr>
          <w:rFonts w:hint="eastAsia" w:ascii="宋体" w:hAnsi="宋体" w:eastAsia="宋体" w:cs="宋体"/>
          <w:color w:val="000000"/>
          <w:sz w:val="24"/>
          <w:szCs w:val="24"/>
          <w:lang w:val="en-US" w:eastAsia="zh-CN" w:bidi="ar"/>
        </w:rPr>
        <w:t>本项目施工期已结束，主要影响在运行期，根据项目改扩建完成后生产工艺的排污特点，</w:t>
      </w:r>
      <w:r>
        <w:rPr>
          <w:rFonts w:hAnsi="宋体"/>
          <w:color w:val="000000"/>
        </w:rPr>
        <w:t>结合项目区的社会、经济和环境现状，对</w:t>
      </w:r>
      <w:r>
        <w:rPr>
          <w:rFonts w:hint="eastAsia" w:ascii="宋体" w:hAnsi="宋体" w:eastAsia="宋体" w:cs="宋体"/>
          <w:color w:val="000000"/>
          <w:sz w:val="24"/>
          <w:szCs w:val="24"/>
          <w:lang w:val="en-US" w:eastAsia="zh-CN" w:bidi="ar"/>
        </w:rPr>
        <w:t>项目营运期可能对环境产生的影响及程度进行分析，</w:t>
      </w:r>
      <w:r>
        <w:rPr>
          <w:rFonts w:hAnsi="宋体"/>
          <w:color w:val="000000"/>
        </w:rPr>
        <w:t>采用矩阵筛选法识别</w:t>
      </w:r>
      <w:r>
        <w:rPr>
          <w:rFonts w:hint="eastAsia" w:hAnsi="宋体"/>
          <w:color w:val="000000"/>
          <w:lang w:eastAsia="zh-CN"/>
        </w:rPr>
        <w:t>，</w:t>
      </w:r>
      <w:r>
        <w:rPr>
          <w:rFonts w:hint="eastAsia" w:ascii="宋体" w:hAnsi="宋体" w:eastAsia="宋体" w:cs="宋体"/>
          <w:color w:val="000000"/>
          <w:sz w:val="24"/>
          <w:szCs w:val="24"/>
          <w:lang w:val="en-US" w:eastAsia="zh-CN" w:bidi="ar"/>
        </w:rPr>
        <w:t xml:space="preserve">结果列于表 </w:t>
      </w:r>
      <w:r>
        <w:rPr>
          <w:rFonts w:hint="eastAsia" w:ascii="Times New Roman" w:hAnsi="Times New Roman" w:eastAsia="宋体" w:cs="Times New Roman"/>
          <w:color w:val="000000"/>
          <w:sz w:val="24"/>
          <w:szCs w:val="24"/>
          <w:lang w:val="en-US" w:eastAsia="zh-CN" w:bidi="ar"/>
        </w:rPr>
        <w:t>2.2-1</w:t>
      </w:r>
      <w:r>
        <w:rPr>
          <w:rFonts w:hint="eastAsia" w:ascii="宋体" w:hAnsi="宋体" w:eastAsia="宋体" w:cs="宋体"/>
          <w:color w:val="000000"/>
          <w:sz w:val="24"/>
          <w:szCs w:val="24"/>
          <w:lang w:val="en-US" w:eastAsia="zh-CN" w:bidi="ar"/>
        </w:rPr>
        <w:t xml:space="preserve">。 </w:t>
      </w:r>
    </w:p>
    <w:p w14:paraId="47D1CCEF">
      <w:pPr>
        <w:pStyle w:val="336"/>
        <w:ind w:firstLine="482"/>
        <w:rPr>
          <w:rFonts w:ascii="Times New Roman" w:hAnsi="Times New Roman" w:eastAsia="宋体" w:cs="Times New Roman"/>
          <w:color w:val="000000"/>
        </w:rPr>
      </w:pPr>
      <w:r>
        <w:rPr>
          <w:rFonts w:hint="eastAsia"/>
          <w:color w:val="000000"/>
        </w:rPr>
        <w:t xml:space="preserve">                </w:t>
      </w:r>
      <w:r>
        <w:rPr>
          <w:rFonts w:ascii="Times New Roman" w:hAnsi="Times New Roman" w:eastAsia="宋体" w:cs="Times New Roman"/>
          <w:color w:val="000000"/>
        </w:rPr>
        <w:t>表2</w:t>
      </w:r>
      <w:r>
        <w:rPr>
          <w:rFonts w:ascii="Times New Roman" w:hAnsi="Times New Roman" w:eastAsia="宋体" w:cs="Times New Roman"/>
          <w:color w:val="000000"/>
          <w:lang w:val="en-US" w:eastAsia="zh-CN"/>
        </w:rPr>
        <w:t>.2</w:t>
      </w:r>
      <w:r>
        <w:rPr>
          <w:rFonts w:ascii="Times New Roman" w:hAnsi="Times New Roman" w:eastAsia="宋体" w:cs="Times New Roman"/>
          <w:color w:val="000000"/>
        </w:rPr>
        <w:t>-1环境影响的矩阵筛选</w:t>
      </w:r>
    </w:p>
    <w:tbl>
      <w:tblPr>
        <w:tblStyle w:val="32"/>
        <w:tblW w:w="7901" w:type="dxa"/>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350"/>
        <w:gridCol w:w="972"/>
        <w:gridCol w:w="961"/>
        <w:gridCol w:w="912"/>
        <w:gridCol w:w="802"/>
        <w:gridCol w:w="1029"/>
      </w:tblGrid>
      <w:tr w14:paraId="3AA151A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3225" w:type="dxa"/>
            <w:gridSpan w:val="2"/>
            <w:vMerge w:val="restart"/>
            <w:noWrap w:val="0"/>
            <w:vAlign w:val="top"/>
          </w:tcPr>
          <w:p w14:paraId="2455337F">
            <w:pPr>
              <w:pStyle w:val="219"/>
              <w:spacing w:after="0" w:line="240" w:lineRule="auto"/>
              <w:ind w:firstLine="0"/>
              <w:jc w:val="center"/>
              <w:rPr>
                <w:rFonts w:hint="eastAsia" w:hAnsi="宋体"/>
                <w:szCs w:val="21"/>
              </w:rPr>
            </w:pPr>
          </w:p>
          <w:p w14:paraId="13E66A4A">
            <w:pPr>
              <w:pStyle w:val="219"/>
              <w:spacing w:after="0" w:line="240" w:lineRule="auto"/>
              <w:ind w:firstLine="0"/>
              <w:jc w:val="center"/>
              <w:rPr>
                <w:rFonts w:hint="eastAsia" w:hAnsi="宋体"/>
                <w:szCs w:val="21"/>
              </w:rPr>
            </w:pPr>
          </w:p>
          <w:p w14:paraId="3104E596">
            <w:pPr>
              <w:pStyle w:val="219"/>
              <w:spacing w:after="0" w:line="240" w:lineRule="auto"/>
              <w:ind w:firstLine="210"/>
              <w:jc w:val="center"/>
              <w:rPr>
                <w:rFonts w:hint="eastAsia" w:hAnsi="宋体"/>
                <w:szCs w:val="21"/>
              </w:rPr>
            </w:pPr>
            <w:r>
              <w:rPr>
                <w:rFonts w:hint="eastAsia" w:hAnsi="宋体"/>
                <w:szCs w:val="21"/>
              </w:rPr>
              <w:t>环境因素</w:t>
            </w:r>
          </w:p>
          <w:p w14:paraId="12601E1A">
            <w:pPr>
              <w:pStyle w:val="219"/>
              <w:spacing w:after="0"/>
              <w:ind w:firstLine="0"/>
              <w:jc w:val="center"/>
              <w:rPr>
                <w:rFonts w:hint="eastAsia" w:hAnsi="宋体"/>
                <w:szCs w:val="21"/>
              </w:rPr>
            </w:pPr>
          </w:p>
        </w:tc>
        <w:tc>
          <w:tcPr>
            <w:tcW w:w="4676" w:type="dxa"/>
            <w:gridSpan w:val="5"/>
            <w:noWrap w:val="0"/>
            <w:vAlign w:val="top"/>
          </w:tcPr>
          <w:p w14:paraId="48E293B6">
            <w:pPr>
              <w:pStyle w:val="219"/>
              <w:spacing w:after="0"/>
              <w:ind w:firstLine="0"/>
              <w:jc w:val="center"/>
              <w:rPr>
                <w:rFonts w:hint="eastAsia" w:hAnsi="宋体"/>
                <w:szCs w:val="21"/>
              </w:rPr>
            </w:pPr>
            <w:r>
              <w:rPr>
                <w:rFonts w:hint="eastAsia" w:hAnsi="宋体"/>
                <w:szCs w:val="21"/>
              </w:rPr>
              <w:t>运营期</w:t>
            </w:r>
          </w:p>
        </w:tc>
      </w:tr>
      <w:tr w14:paraId="26BD4688">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3225" w:type="dxa"/>
            <w:gridSpan w:val="2"/>
            <w:vMerge w:val="continue"/>
            <w:noWrap w:val="0"/>
            <w:vAlign w:val="top"/>
          </w:tcPr>
          <w:p w14:paraId="0CB0A673">
            <w:pPr>
              <w:pStyle w:val="219"/>
              <w:spacing w:after="0"/>
              <w:ind w:firstLine="0"/>
              <w:jc w:val="center"/>
              <w:rPr>
                <w:rFonts w:hint="eastAsia" w:hAnsi="宋体"/>
                <w:szCs w:val="21"/>
              </w:rPr>
            </w:pPr>
          </w:p>
        </w:tc>
        <w:tc>
          <w:tcPr>
            <w:tcW w:w="972" w:type="dxa"/>
            <w:noWrap w:val="0"/>
            <w:vAlign w:val="center"/>
          </w:tcPr>
          <w:p w14:paraId="3D232FFD">
            <w:pPr>
              <w:pStyle w:val="219"/>
              <w:spacing w:after="0"/>
              <w:ind w:firstLine="0"/>
              <w:jc w:val="center"/>
              <w:rPr>
                <w:rFonts w:hint="eastAsia" w:hAnsi="宋体"/>
                <w:szCs w:val="21"/>
              </w:rPr>
            </w:pPr>
            <w:r>
              <w:rPr>
                <w:rFonts w:hint="eastAsia" w:hAnsi="宋体"/>
                <w:szCs w:val="21"/>
              </w:rPr>
              <w:t>废气</w:t>
            </w:r>
          </w:p>
        </w:tc>
        <w:tc>
          <w:tcPr>
            <w:tcW w:w="961" w:type="dxa"/>
            <w:noWrap w:val="0"/>
            <w:vAlign w:val="center"/>
          </w:tcPr>
          <w:p w14:paraId="1B647A09">
            <w:pPr>
              <w:pStyle w:val="219"/>
              <w:spacing w:after="0"/>
              <w:ind w:firstLine="0"/>
              <w:jc w:val="center"/>
              <w:rPr>
                <w:rFonts w:hint="eastAsia" w:hAnsi="宋体"/>
                <w:szCs w:val="21"/>
              </w:rPr>
            </w:pPr>
            <w:r>
              <w:rPr>
                <w:rFonts w:hint="eastAsia" w:hAnsi="宋体"/>
                <w:szCs w:val="21"/>
              </w:rPr>
              <w:t>废水</w:t>
            </w:r>
          </w:p>
        </w:tc>
        <w:tc>
          <w:tcPr>
            <w:tcW w:w="912" w:type="dxa"/>
            <w:noWrap w:val="0"/>
            <w:vAlign w:val="center"/>
          </w:tcPr>
          <w:p w14:paraId="77605EC7">
            <w:pPr>
              <w:pStyle w:val="219"/>
              <w:spacing w:after="0"/>
              <w:ind w:firstLine="0"/>
              <w:jc w:val="center"/>
              <w:rPr>
                <w:rFonts w:hint="eastAsia" w:hAnsi="宋体" w:eastAsia="宋体"/>
                <w:szCs w:val="21"/>
                <w:lang w:eastAsia="zh-CN"/>
              </w:rPr>
            </w:pPr>
            <w:r>
              <w:rPr>
                <w:rFonts w:hint="eastAsia" w:hAnsi="宋体" w:eastAsia="宋体"/>
                <w:szCs w:val="21"/>
                <w:lang w:val="en-US" w:eastAsia="zh-CN"/>
              </w:rPr>
              <w:t>固废</w:t>
            </w:r>
          </w:p>
        </w:tc>
        <w:tc>
          <w:tcPr>
            <w:tcW w:w="802" w:type="dxa"/>
            <w:noWrap w:val="0"/>
            <w:vAlign w:val="center"/>
          </w:tcPr>
          <w:p w14:paraId="1C412196">
            <w:pPr>
              <w:pStyle w:val="219"/>
              <w:spacing w:after="0"/>
              <w:ind w:firstLine="0"/>
              <w:jc w:val="center"/>
              <w:rPr>
                <w:rFonts w:hint="eastAsia" w:hAnsi="宋体"/>
                <w:szCs w:val="21"/>
              </w:rPr>
            </w:pPr>
            <w:r>
              <w:rPr>
                <w:rFonts w:hint="eastAsia" w:hAnsi="宋体"/>
                <w:szCs w:val="21"/>
              </w:rPr>
              <w:t>噪声</w:t>
            </w:r>
          </w:p>
        </w:tc>
        <w:tc>
          <w:tcPr>
            <w:tcW w:w="1029" w:type="dxa"/>
            <w:noWrap w:val="0"/>
            <w:vAlign w:val="center"/>
          </w:tcPr>
          <w:p w14:paraId="0D3EAEEF">
            <w:pPr>
              <w:pStyle w:val="219"/>
              <w:spacing w:after="0"/>
              <w:ind w:firstLine="0"/>
              <w:jc w:val="center"/>
              <w:rPr>
                <w:rFonts w:hint="eastAsia" w:hAnsi="宋体"/>
                <w:szCs w:val="21"/>
              </w:rPr>
            </w:pPr>
            <w:r>
              <w:rPr>
                <w:rFonts w:hint="eastAsia" w:hAnsi="宋体"/>
                <w:szCs w:val="21"/>
              </w:rPr>
              <w:t>生产经营</w:t>
            </w:r>
          </w:p>
        </w:tc>
      </w:tr>
      <w:tr w14:paraId="1BE1804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restart"/>
            <w:noWrap w:val="0"/>
            <w:vAlign w:val="center"/>
          </w:tcPr>
          <w:p w14:paraId="197A8EF1">
            <w:pPr>
              <w:pStyle w:val="219"/>
              <w:spacing w:after="0"/>
              <w:ind w:firstLine="0"/>
              <w:jc w:val="center"/>
              <w:rPr>
                <w:rFonts w:hint="eastAsia" w:hAnsi="宋体"/>
                <w:szCs w:val="21"/>
              </w:rPr>
            </w:pPr>
          </w:p>
          <w:p w14:paraId="4CC9515A">
            <w:pPr>
              <w:pStyle w:val="219"/>
              <w:spacing w:after="0"/>
              <w:ind w:firstLine="0"/>
              <w:jc w:val="center"/>
              <w:rPr>
                <w:rFonts w:hint="eastAsia" w:hAnsi="宋体"/>
                <w:szCs w:val="21"/>
              </w:rPr>
            </w:pPr>
            <w:r>
              <w:rPr>
                <w:rFonts w:hint="eastAsia" w:hAnsi="宋体"/>
                <w:szCs w:val="21"/>
              </w:rPr>
              <w:t>自然环境</w:t>
            </w:r>
          </w:p>
        </w:tc>
        <w:tc>
          <w:tcPr>
            <w:tcW w:w="2350" w:type="dxa"/>
            <w:noWrap w:val="0"/>
            <w:vAlign w:val="center"/>
          </w:tcPr>
          <w:p w14:paraId="483DE386">
            <w:pPr>
              <w:pStyle w:val="219"/>
              <w:spacing w:after="0"/>
              <w:ind w:firstLine="0"/>
              <w:jc w:val="center"/>
              <w:rPr>
                <w:rFonts w:hint="eastAsia" w:hAnsi="宋体"/>
                <w:szCs w:val="21"/>
              </w:rPr>
            </w:pPr>
            <w:r>
              <w:rPr>
                <w:rFonts w:hint="eastAsia" w:hAnsi="宋体"/>
                <w:szCs w:val="21"/>
              </w:rPr>
              <w:t>土壤环境</w:t>
            </w:r>
          </w:p>
        </w:tc>
        <w:tc>
          <w:tcPr>
            <w:tcW w:w="972" w:type="dxa"/>
            <w:noWrap w:val="0"/>
            <w:vAlign w:val="top"/>
          </w:tcPr>
          <w:p w14:paraId="104D8A1E">
            <w:pPr>
              <w:pStyle w:val="219"/>
              <w:spacing w:after="0"/>
              <w:ind w:firstLine="0"/>
              <w:jc w:val="center"/>
              <w:rPr>
                <w:rFonts w:hint="eastAsia" w:hAnsi="宋体"/>
                <w:szCs w:val="21"/>
              </w:rPr>
            </w:pPr>
          </w:p>
        </w:tc>
        <w:tc>
          <w:tcPr>
            <w:tcW w:w="961" w:type="dxa"/>
            <w:noWrap w:val="0"/>
            <w:vAlign w:val="top"/>
          </w:tcPr>
          <w:p w14:paraId="38DC6C79">
            <w:pPr>
              <w:pStyle w:val="219"/>
              <w:spacing w:after="0"/>
              <w:ind w:firstLine="0"/>
              <w:jc w:val="center"/>
              <w:rPr>
                <w:rFonts w:hint="eastAsia" w:hAnsi="宋体"/>
                <w:szCs w:val="21"/>
              </w:rPr>
            </w:pPr>
          </w:p>
        </w:tc>
        <w:tc>
          <w:tcPr>
            <w:tcW w:w="912" w:type="dxa"/>
            <w:noWrap w:val="0"/>
            <w:vAlign w:val="top"/>
          </w:tcPr>
          <w:p w14:paraId="33A59A82">
            <w:pPr>
              <w:pStyle w:val="219"/>
              <w:spacing w:after="0"/>
              <w:ind w:firstLine="0"/>
              <w:jc w:val="center"/>
              <w:rPr>
                <w:rFonts w:hint="eastAsia" w:hAnsi="宋体"/>
                <w:szCs w:val="21"/>
              </w:rPr>
            </w:pPr>
            <w:r>
              <w:rPr>
                <w:rFonts w:eastAsia="Times New Roman"/>
                <w:b/>
                <w:bCs/>
                <w:szCs w:val="21"/>
              </w:rPr>
              <w:t>●</w:t>
            </w:r>
          </w:p>
        </w:tc>
        <w:tc>
          <w:tcPr>
            <w:tcW w:w="802" w:type="dxa"/>
            <w:noWrap w:val="0"/>
            <w:vAlign w:val="top"/>
          </w:tcPr>
          <w:p w14:paraId="2632E3B4">
            <w:pPr>
              <w:pStyle w:val="219"/>
              <w:spacing w:after="0"/>
              <w:ind w:firstLine="0"/>
              <w:jc w:val="center"/>
              <w:rPr>
                <w:rFonts w:hint="eastAsia" w:hAnsi="宋体"/>
                <w:szCs w:val="21"/>
              </w:rPr>
            </w:pPr>
          </w:p>
        </w:tc>
        <w:tc>
          <w:tcPr>
            <w:tcW w:w="1029" w:type="dxa"/>
            <w:noWrap w:val="0"/>
            <w:vAlign w:val="top"/>
          </w:tcPr>
          <w:p w14:paraId="01741ABC">
            <w:pPr>
              <w:pStyle w:val="219"/>
              <w:spacing w:after="0"/>
              <w:ind w:firstLine="0"/>
              <w:jc w:val="center"/>
              <w:rPr>
                <w:rFonts w:hint="eastAsia" w:hAnsi="宋体"/>
                <w:szCs w:val="21"/>
              </w:rPr>
            </w:pPr>
          </w:p>
        </w:tc>
      </w:tr>
      <w:tr w14:paraId="70A1EE8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continue"/>
            <w:noWrap w:val="0"/>
            <w:vAlign w:val="center"/>
          </w:tcPr>
          <w:p w14:paraId="2F285AD2">
            <w:pPr>
              <w:pStyle w:val="219"/>
              <w:spacing w:after="0"/>
              <w:ind w:firstLine="0"/>
              <w:jc w:val="center"/>
              <w:rPr>
                <w:rFonts w:hint="eastAsia" w:hAnsi="宋体"/>
                <w:szCs w:val="21"/>
              </w:rPr>
            </w:pPr>
          </w:p>
        </w:tc>
        <w:tc>
          <w:tcPr>
            <w:tcW w:w="2350" w:type="dxa"/>
            <w:noWrap w:val="0"/>
            <w:vAlign w:val="center"/>
          </w:tcPr>
          <w:p w14:paraId="009D6378">
            <w:pPr>
              <w:pStyle w:val="219"/>
              <w:spacing w:after="0"/>
              <w:ind w:firstLine="0"/>
              <w:jc w:val="center"/>
              <w:rPr>
                <w:rFonts w:hint="eastAsia" w:hAnsi="宋体"/>
                <w:szCs w:val="21"/>
              </w:rPr>
            </w:pPr>
            <w:r>
              <w:rPr>
                <w:rFonts w:hint="eastAsia" w:hAnsi="宋体"/>
                <w:szCs w:val="21"/>
              </w:rPr>
              <w:t>空气质量</w:t>
            </w:r>
          </w:p>
        </w:tc>
        <w:tc>
          <w:tcPr>
            <w:tcW w:w="972" w:type="dxa"/>
            <w:noWrap w:val="0"/>
            <w:vAlign w:val="top"/>
          </w:tcPr>
          <w:p w14:paraId="653CC8B7">
            <w:pPr>
              <w:pStyle w:val="219"/>
              <w:spacing w:after="0"/>
              <w:ind w:firstLine="0"/>
              <w:jc w:val="center"/>
              <w:rPr>
                <w:rFonts w:hint="eastAsia" w:hAnsi="宋体"/>
                <w:szCs w:val="21"/>
              </w:rPr>
            </w:pPr>
            <w:r>
              <w:rPr>
                <w:rFonts w:hint="eastAsia" w:hAnsi="宋体"/>
                <w:szCs w:val="21"/>
              </w:rPr>
              <w:t>◆</w:t>
            </w:r>
          </w:p>
        </w:tc>
        <w:tc>
          <w:tcPr>
            <w:tcW w:w="961" w:type="dxa"/>
            <w:noWrap w:val="0"/>
            <w:vAlign w:val="top"/>
          </w:tcPr>
          <w:p w14:paraId="3198E4D6">
            <w:pPr>
              <w:pStyle w:val="219"/>
              <w:spacing w:after="0"/>
              <w:ind w:firstLine="0"/>
              <w:jc w:val="center"/>
              <w:rPr>
                <w:rFonts w:hint="eastAsia" w:hAnsi="宋体"/>
                <w:szCs w:val="21"/>
              </w:rPr>
            </w:pPr>
          </w:p>
        </w:tc>
        <w:tc>
          <w:tcPr>
            <w:tcW w:w="912" w:type="dxa"/>
            <w:noWrap w:val="0"/>
            <w:vAlign w:val="top"/>
          </w:tcPr>
          <w:p w14:paraId="0828CC6A">
            <w:pPr>
              <w:pStyle w:val="219"/>
              <w:spacing w:after="0"/>
              <w:ind w:firstLine="0"/>
              <w:jc w:val="center"/>
              <w:rPr>
                <w:rFonts w:hint="eastAsia" w:hAnsi="宋体"/>
                <w:szCs w:val="21"/>
              </w:rPr>
            </w:pPr>
          </w:p>
        </w:tc>
        <w:tc>
          <w:tcPr>
            <w:tcW w:w="802" w:type="dxa"/>
            <w:noWrap w:val="0"/>
            <w:vAlign w:val="top"/>
          </w:tcPr>
          <w:p w14:paraId="7AFF6DB8">
            <w:pPr>
              <w:pStyle w:val="219"/>
              <w:spacing w:after="0"/>
              <w:ind w:firstLine="0"/>
              <w:jc w:val="center"/>
              <w:rPr>
                <w:rFonts w:hint="eastAsia" w:hAnsi="宋体"/>
                <w:szCs w:val="21"/>
              </w:rPr>
            </w:pPr>
          </w:p>
        </w:tc>
        <w:tc>
          <w:tcPr>
            <w:tcW w:w="1029" w:type="dxa"/>
            <w:noWrap w:val="0"/>
            <w:vAlign w:val="top"/>
          </w:tcPr>
          <w:p w14:paraId="1F309373">
            <w:pPr>
              <w:pStyle w:val="219"/>
              <w:spacing w:after="0"/>
              <w:ind w:firstLine="0"/>
              <w:jc w:val="center"/>
              <w:rPr>
                <w:rFonts w:hint="eastAsia" w:hAnsi="宋体"/>
                <w:szCs w:val="21"/>
              </w:rPr>
            </w:pPr>
          </w:p>
        </w:tc>
      </w:tr>
      <w:tr w14:paraId="51EE0E4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continue"/>
            <w:noWrap w:val="0"/>
            <w:vAlign w:val="center"/>
          </w:tcPr>
          <w:p w14:paraId="7F65BA53">
            <w:pPr>
              <w:pStyle w:val="219"/>
              <w:spacing w:after="0"/>
              <w:ind w:firstLine="0"/>
              <w:jc w:val="center"/>
              <w:rPr>
                <w:rFonts w:hint="eastAsia" w:hAnsi="宋体"/>
                <w:szCs w:val="21"/>
              </w:rPr>
            </w:pPr>
          </w:p>
        </w:tc>
        <w:tc>
          <w:tcPr>
            <w:tcW w:w="2350" w:type="dxa"/>
            <w:noWrap w:val="0"/>
            <w:vAlign w:val="center"/>
          </w:tcPr>
          <w:p w14:paraId="45E1787C">
            <w:pPr>
              <w:pStyle w:val="219"/>
              <w:spacing w:after="0"/>
              <w:ind w:firstLine="0"/>
              <w:jc w:val="center"/>
              <w:rPr>
                <w:rFonts w:hint="eastAsia" w:hAnsi="宋体"/>
                <w:szCs w:val="21"/>
              </w:rPr>
            </w:pPr>
            <w:r>
              <w:rPr>
                <w:rFonts w:hint="eastAsia" w:hAnsi="宋体"/>
                <w:szCs w:val="21"/>
              </w:rPr>
              <w:t>地表水水质</w:t>
            </w:r>
          </w:p>
        </w:tc>
        <w:tc>
          <w:tcPr>
            <w:tcW w:w="972" w:type="dxa"/>
            <w:noWrap w:val="0"/>
            <w:vAlign w:val="top"/>
          </w:tcPr>
          <w:p w14:paraId="4C55C4DA">
            <w:pPr>
              <w:pStyle w:val="219"/>
              <w:spacing w:after="0"/>
              <w:ind w:firstLine="0"/>
              <w:jc w:val="center"/>
              <w:rPr>
                <w:rFonts w:hint="eastAsia" w:hAnsi="宋体"/>
                <w:szCs w:val="21"/>
              </w:rPr>
            </w:pPr>
          </w:p>
        </w:tc>
        <w:tc>
          <w:tcPr>
            <w:tcW w:w="961" w:type="dxa"/>
            <w:noWrap w:val="0"/>
            <w:vAlign w:val="top"/>
          </w:tcPr>
          <w:p w14:paraId="73925AEC">
            <w:pPr>
              <w:pStyle w:val="219"/>
              <w:spacing w:after="0"/>
              <w:ind w:firstLine="0"/>
              <w:jc w:val="center"/>
              <w:rPr>
                <w:rFonts w:hint="eastAsia" w:hAnsi="宋体"/>
                <w:szCs w:val="21"/>
              </w:rPr>
            </w:pPr>
            <w:r>
              <w:rPr>
                <w:rFonts w:hint="eastAsia" w:hAnsi="宋体"/>
                <w:szCs w:val="21"/>
              </w:rPr>
              <w:t>◆</w:t>
            </w:r>
          </w:p>
        </w:tc>
        <w:tc>
          <w:tcPr>
            <w:tcW w:w="912" w:type="dxa"/>
            <w:noWrap w:val="0"/>
            <w:vAlign w:val="top"/>
          </w:tcPr>
          <w:p w14:paraId="63C1A814">
            <w:pPr>
              <w:pStyle w:val="219"/>
              <w:spacing w:after="0"/>
              <w:ind w:firstLine="0"/>
              <w:jc w:val="center"/>
              <w:rPr>
                <w:rFonts w:hint="eastAsia" w:hAnsi="宋体"/>
                <w:szCs w:val="21"/>
              </w:rPr>
            </w:pPr>
          </w:p>
        </w:tc>
        <w:tc>
          <w:tcPr>
            <w:tcW w:w="802" w:type="dxa"/>
            <w:noWrap w:val="0"/>
            <w:vAlign w:val="top"/>
          </w:tcPr>
          <w:p w14:paraId="2CF56A5E">
            <w:pPr>
              <w:pStyle w:val="219"/>
              <w:spacing w:after="0"/>
              <w:ind w:firstLine="0"/>
              <w:jc w:val="center"/>
              <w:rPr>
                <w:rFonts w:hint="eastAsia" w:hAnsi="宋体"/>
                <w:szCs w:val="21"/>
              </w:rPr>
            </w:pPr>
          </w:p>
        </w:tc>
        <w:tc>
          <w:tcPr>
            <w:tcW w:w="1029" w:type="dxa"/>
            <w:noWrap w:val="0"/>
            <w:vAlign w:val="top"/>
          </w:tcPr>
          <w:p w14:paraId="380205DA">
            <w:pPr>
              <w:pStyle w:val="219"/>
              <w:spacing w:after="0"/>
              <w:ind w:firstLine="0"/>
              <w:jc w:val="center"/>
              <w:rPr>
                <w:rFonts w:hint="eastAsia" w:hAnsi="宋体"/>
                <w:szCs w:val="21"/>
              </w:rPr>
            </w:pPr>
          </w:p>
        </w:tc>
      </w:tr>
      <w:tr w14:paraId="71A2D5B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continue"/>
            <w:noWrap w:val="0"/>
            <w:vAlign w:val="center"/>
          </w:tcPr>
          <w:p w14:paraId="37FAB363">
            <w:pPr>
              <w:pStyle w:val="219"/>
              <w:spacing w:after="0"/>
              <w:ind w:firstLine="0"/>
              <w:jc w:val="center"/>
              <w:rPr>
                <w:rFonts w:hint="eastAsia" w:hAnsi="宋体"/>
                <w:szCs w:val="21"/>
              </w:rPr>
            </w:pPr>
          </w:p>
        </w:tc>
        <w:tc>
          <w:tcPr>
            <w:tcW w:w="2350" w:type="dxa"/>
            <w:noWrap w:val="0"/>
            <w:vAlign w:val="center"/>
          </w:tcPr>
          <w:p w14:paraId="580A94E5">
            <w:pPr>
              <w:pStyle w:val="219"/>
              <w:spacing w:after="0"/>
              <w:ind w:firstLine="0"/>
              <w:jc w:val="center"/>
              <w:rPr>
                <w:rFonts w:hint="eastAsia" w:hAnsi="宋体"/>
                <w:szCs w:val="21"/>
              </w:rPr>
            </w:pPr>
            <w:r>
              <w:rPr>
                <w:rFonts w:hint="eastAsia" w:hAnsi="宋体"/>
                <w:szCs w:val="21"/>
              </w:rPr>
              <w:t>地下水水质</w:t>
            </w:r>
          </w:p>
        </w:tc>
        <w:tc>
          <w:tcPr>
            <w:tcW w:w="972" w:type="dxa"/>
            <w:noWrap w:val="0"/>
            <w:vAlign w:val="top"/>
          </w:tcPr>
          <w:p w14:paraId="0379167F">
            <w:pPr>
              <w:pStyle w:val="219"/>
              <w:spacing w:after="0"/>
              <w:ind w:firstLine="0"/>
              <w:jc w:val="center"/>
              <w:rPr>
                <w:rFonts w:hint="eastAsia" w:hAnsi="宋体"/>
                <w:szCs w:val="21"/>
              </w:rPr>
            </w:pPr>
          </w:p>
        </w:tc>
        <w:tc>
          <w:tcPr>
            <w:tcW w:w="961" w:type="dxa"/>
            <w:noWrap w:val="0"/>
            <w:vAlign w:val="top"/>
          </w:tcPr>
          <w:p w14:paraId="363C1120">
            <w:pPr>
              <w:pStyle w:val="219"/>
              <w:spacing w:after="0"/>
              <w:ind w:firstLine="0"/>
              <w:jc w:val="center"/>
              <w:rPr>
                <w:rFonts w:hint="eastAsia" w:hAnsi="宋体"/>
                <w:szCs w:val="21"/>
              </w:rPr>
            </w:pPr>
            <w:r>
              <w:rPr>
                <w:rFonts w:hint="eastAsia" w:hAnsi="宋体"/>
                <w:szCs w:val="21"/>
              </w:rPr>
              <w:t>◆</w:t>
            </w:r>
          </w:p>
        </w:tc>
        <w:tc>
          <w:tcPr>
            <w:tcW w:w="912" w:type="dxa"/>
            <w:noWrap w:val="0"/>
            <w:vAlign w:val="top"/>
          </w:tcPr>
          <w:p w14:paraId="70A0A093">
            <w:pPr>
              <w:pStyle w:val="219"/>
              <w:spacing w:after="0"/>
              <w:ind w:firstLine="0"/>
              <w:jc w:val="center"/>
              <w:rPr>
                <w:rFonts w:hint="eastAsia" w:hAnsi="宋体"/>
                <w:szCs w:val="21"/>
              </w:rPr>
            </w:pPr>
            <w:r>
              <w:rPr>
                <w:rFonts w:eastAsia="Times New Roman"/>
                <w:b/>
                <w:bCs/>
                <w:szCs w:val="21"/>
              </w:rPr>
              <w:t>●</w:t>
            </w:r>
          </w:p>
        </w:tc>
        <w:tc>
          <w:tcPr>
            <w:tcW w:w="802" w:type="dxa"/>
            <w:noWrap w:val="0"/>
            <w:vAlign w:val="top"/>
          </w:tcPr>
          <w:p w14:paraId="190327AE">
            <w:pPr>
              <w:pStyle w:val="219"/>
              <w:spacing w:after="0"/>
              <w:ind w:firstLine="0"/>
              <w:jc w:val="center"/>
              <w:rPr>
                <w:rFonts w:hint="eastAsia" w:hAnsi="宋体"/>
                <w:szCs w:val="21"/>
              </w:rPr>
            </w:pPr>
          </w:p>
        </w:tc>
        <w:tc>
          <w:tcPr>
            <w:tcW w:w="1029" w:type="dxa"/>
            <w:noWrap w:val="0"/>
            <w:vAlign w:val="top"/>
          </w:tcPr>
          <w:p w14:paraId="5958D90C">
            <w:pPr>
              <w:pStyle w:val="219"/>
              <w:spacing w:after="0"/>
              <w:ind w:firstLine="0"/>
              <w:jc w:val="center"/>
              <w:rPr>
                <w:rFonts w:hint="eastAsia" w:hAnsi="宋体"/>
                <w:szCs w:val="21"/>
              </w:rPr>
            </w:pPr>
          </w:p>
        </w:tc>
      </w:tr>
      <w:tr w14:paraId="061DE2B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continue"/>
            <w:noWrap w:val="0"/>
            <w:vAlign w:val="center"/>
          </w:tcPr>
          <w:p w14:paraId="73627A51">
            <w:pPr>
              <w:pStyle w:val="219"/>
              <w:spacing w:after="0"/>
              <w:ind w:firstLine="0"/>
              <w:jc w:val="center"/>
              <w:rPr>
                <w:rFonts w:hint="eastAsia" w:hAnsi="宋体"/>
                <w:szCs w:val="21"/>
              </w:rPr>
            </w:pPr>
          </w:p>
        </w:tc>
        <w:tc>
          <w:tcPr>
            <w:tcW w:w="2350" w:type="dxa"/>
            <w:noWrap w:val="0"/>
            <w:vAlign w:val="center"/>
          </w:tcPr>
          <w:p w14:paraId="31E4F864">
            <w:pPr>
              <w:pStyle w:val="219"/>
              <w:spacing w:after="0"/>
              <w:ind w:firstLine="0"/>
              <w:jc w:val="center"/>
              <w:rPr>
                <w:rFonts w:hint="eastAsia" w:hAnsi="宋体"/>
                <w:szCs w:val="21"/>
              </w:rPr>
            </w:pPr>
            <w:r>
              <w:rPr>
                <w:rFonts w:hint="eastAsia" w:hAnsi="宋体"/>
                <w:szCs w:val="21"/>
              </w:rPr>
              <w:t>声环境质量</w:t>
            </w:r>
          </w:p>
        </w:tc>
        <w:tc>
          <w:tcPr>
            <w:tcW w:w="972" w:type="dxa"/>
            <w:noWrap w:val="0"/>
            <w:vAlign w:val="top"/>
          </w:tcPr>
          <w:p w14:paraId="3B086890">
            <w:pPr>
              <w:pStyle w:val="219"/>
              <w:spacing w:after="0"/>
              <w:ind w:firstLine="0"/>
              <w:jc w:val="center"/>
              <w:rPr>
                <w:rFonts w:hint="eastAsia" w:hAnsi="宋体"/>
                <w:szCs w:val="21"/>
              </w:rPr>
            </w:pPr>
          </w:p>
        </w:tc>
        <w:tc>
          <w:tcPr>
            <w:tcW w:w="961" w:type="dxa"/>
            <w:noWrap w:val="0"/>
            <w:vAlign w:val="top"/>
          </w:tcPr>
          <w:p w14:paraId="4F023796">
            <w:pPr>
              <w:pStyle w:val="219"/>
              <w:spacing w:after="0"/>
              <w:ind w:firstLine="0"/>
              <w:jc w:val="center"/>
              <w:rPr>
                <w:rFonts w:hint="eastAsia" w:hAnsi="宋体"/>
                <w:szCs w:val="21"/>
              </w:rPr>
            </w:pPr>
          </w:p>
        </w:tc>
        <w:tc>
          <w:tcPr>
            <w:tcW w:w="912" w:type="dxa"/>
            <w:noWrap w:val="0"/>
            <w:vAlign w:val="top"/>
          </w:tcPr>
          <w:p w14:paraId="76A883CF">
            <w:pPr>
              <w:pStyle w:val="219"/>
              <w:spacing w:after="0"/>
              <w:ind w:firstLine="0"/>
              <w:jc w:val="center"/>
              <w:rPr>
                <w:rFonts w:hint="eastAsia" w:hAnsi="宋体"/>
                <w:szCs w:val="21"/>
              </w:rPr>
            </w:pPr>
          </w:p>
        </w:tc>
        <w:tc>
          <w:tcPr>
            <w:tcW w:w="802" w:type="dxa"/>
            <w:noWrap w:val="0"/>
            <w:vAlign w:val="top"/>
          </w:tcPr>
          <w:p w14:paraId="7A2BD8AA">
            <w:pPr>
              <w:pStyle w:val="219"/>
              <w:spacing w:after="0"/>
              <w:ind w:firstLine="0"/>
              <w:jc w:val="center"/>
              <w:rPr>
                <w:rFonts w:hint="eastAsia" w:hAnsi="宋体"/>
                <w:szCs w:val="21"/>
              </w:rPr>
            </w:pPr>
            <w:r>
              <w:rPr>
                <w:rFonts w:hint="eastAsia" w:hAnsi="宋体"/>
                <w:szCs w:val="21"/>
              </w:rPr>
              <w:t>◆</w:t>
            </w:r>
          </w:p>
        </w:tc>
        <w:tc>
          <w:tcPr>
            <w:tcW w:w="1029" w:type="dxa"/>
            <w:noWrap w:val="0"/>
            <w:vAlign w:val="top"/>
          </w:tcPr>
          <w:p w14:paraId="2BF2B285">
            <w:pPr>
              <w:pStyle w:val="219"/>
              <w:spacing w:after="0"/>
              <w:ind w:firstLine="0"/>
              <w:jc w:val="center"/>
              <w:rPr>
                <w:rFonts w:hint="eastAsia" w:hAnsi="宋体"/>
                <w:szCs w:val="21"/>
              </w:rPr>
            </w:pPr>
          </w:p>
        </w:tc>
      </w:tr>
      <w:tr w14:paraId="1DF2D0D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continue"/>
            <w:noWrap w:val="0"/>
            <w:vAlign w:val="center"/>
          </w:tcPr>
          <w:p w14:paraId="0CDFABD7">
            <w:pPr>
              <w:pStyle w:val="219"/>
              <w:spacing w:after="0"/>
              <w:ind w:firstLine="0"/>
              <w:jc w:val="center"/>
              <w:rPr>
                <w:rFonts w:hint="eastAsia" w:hAnsi="宋体"/>
                <w:szCs w:val="21"/>
              </w:rPr>
            </w:pPr>
          </w:p>
        </w:tc>
        <w:tc>
          <w:tcPr>
            <w:tcW w:w="2350" w:type="dxa"/>
            <w:noWrap w:val="0"/>
            <w:vAlign w:val="center"/>
          </w:tcPr>
          <w:p w14:paraId="27AE7033">
            <w:pPr>
              <w:pStyle w:val="219"/>
              <w:spacing w:after="0"/>
              <w:ind w:firstLine="0"/>
              <w:jc w:val="center"/>
              <w:rPr>
                <w:rFonts w:hint="eastAsia" w:hAnsi="宋体"/>
                <w:szCs w:val="21"/>
              </w:rPr>
            </w:pPr>
            <w:r>
              <w:rPr>
                <w:rFonts w:hint="eastAsia" w:hAnsi="宋体"/>
                <w:szCs w:val="21"/>
              </w:rPr>
              <w:t>植被</w:t>
            </w:r>
          </w:p>
        </w:tc>
        <w:tc>
          <w:tcPr>
            <w:tcW w:w="972" w:type="dxa"/>
            <w:noWrap w:val="0"/>
            <w:vAlign w:val="top"/>
          </w:tcPr>
          <w:p w14:paraId="2D419FDA">
            <w:pPr>
              <w:pStyle w:val="219"/>
              <w:spacing w:after="0"/>
              <w:ind w:firstLine="0"/>
              <w:jc w:val="center"/>
              <w:rPr>
                <w:rFonts w:hint="eastAsia" w:hAnsi="宋体"/>
                <w:szCs w:val="21"/>
              </w:rPr>
            </w:pPr>
            <w:r>
              <w:rPr>
                <w:rFonts w:hint="eastAsia" w:hAnsi="宋体"/>
                <w:szCs w:val="21"/>
              </w:rPr>
              <w:t>◆</w:t>
            </w:r>
          </w:p>
        </w:tc>
        <w:tc>
          <w:tcPr>
            <w:tcW w:w="961" w:type="dxa"/>
            <w:noWrap w:val="0"/>
            <w:vAlign w:val="top"/>
          </w:tcPr>
          <w:p w14:paraId="4E7A48FF">
            <w:pPr>
              <w:pStyle w:val="219"/>
              <w:spacing w:after="0"/>
              <w:ind w:firstLine="0"/>
              <w:jc w:val="center"/>
              <w:rPr>
                <w:rFonts w:hint="eastAsia" w:hAnsi="宋体"/>
                <w:szCs w:val="21"/>
              </w:rPr>
            </w:pPr>
          </w:p>
        </w:tc>
        <w:tc>
          <w:tcPr>
            <w:tcW w:w="912" w:type="dxa"/>
            <w:noWrap w:val="0"/>
            <w:vAlign w:val="top"/>
          </w:tcPr>
          <w:p w14:paraId="117519FA">
            <w:pPr>
              <w:pStyle w:val="219"/>
              <w:spacing w:after="0"/>
              <w:ind w:firstLine="0"/>
              <w:jc w:val="center"/>
              <w:rPr>
                <w:rFonts w:hint="eastAsia" w:hAnsi="宋体"/>
                <w:szCs w:val="21"/>
              </w:rPr>
            </w:pPr>
          </w:p>
        </w:tc>
        <w:tc>
          <w:tcPr>
            <w:tcW w:w="802" w:type="dxa"/>
            <w:noWrap w:val="0"/>
            <w:vAlign w:val="top"/>
          </w:tcPr>
          <w:p w14:paraId="1A839C76">
            <w:pPr>
              <w:pStyle w:val="219"/>
              <w:spacing w:after="0"/>
              <w:ind w:firstLine="0"/>
              <w:jc w:val="center"/>
              <w:rPr>
                <w:rFonts w:hint="eastAsia" w:hAnsi="宋体"/>
                <w:szCs w:val="21"/>
              </w:rPr>
            </w:pPr>
          </w:p>
        </w:tc>
        <w:tc>
          <w:tcPr>
            <w:tcW w:w="1029" w:type="dxa"/>
            <w:noWrap w:val="0"/>
            <w:vAlign w:val="top"/>
          </w:tcPr>
          <w:p w14:paraId="4C817EA7">
            <w:pPr>
              <w:pStyle w:val="219"/>
              <w:spacing w:after="0"/>
              <w:ind w:firstLine="0"/>
              <w:jc w:val="center"/>
              <w:rPr>
                <w:rFonts w:hint="eastAsia" w:hAnsi="宋体"/>
                <w:szCs w:val="21"/>
              </w:rPr>
            </w:pPr>
          </w:p>
        </w:tc>
      </w:tr>
      <w:tr w14:paraId="505FF2E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restart"/>
            <w:noWrap w:val="0"/>
            <w:vAlign w:val="top"/>
          </w:tcPr>
          <w:p w14:paraId="10D6DD46">
            <w:pPr>
              <w:pStyle w:val="219"/>
              <w:spacing w:after="0"/>
              <w:ind w:firstLine="0"/>
              <w:jc w:val="center"/>
              <w:rPr>
                <w:rFonts w:hint="eastAsia" w:hAnsi="宋体"/>
                <w:szCs w:val="21"/>
              </w:rPr>
            </w:pPr>
            <w:r>
              <w:rPr>
                <w:rFonts w:hint="eastAsia" w:hAnsi="宋体"/>
                <w:szCs w:val="21"/>
              </w:rPr>
              <w:t>社会环境</w:t>
            </w:r>
          </w:p>
        </w:tc>
        <w:tc>
          <w:tcPr>
            <w:tcW w:w="2350" w:type="dxa"/>
            <w:noWrap w:val="0"/>
            <w:vAlign w:val="top"/>
          </w:tcPr>
          <w:p w14:paraId="628CD8B0">
            <w:pPr>
              <w:pStyle w:val="219"/>
              <w:spacing w:after="0"/>
              <w:ind w:firstLine="0"/>
              <w:jc w:val="center"/>
              <w:rPr>
                <w:rFonts w:hint="eastAsia" w:hAnsi="宋体"/>
                <w:szCs w:val="21"/>
              </w:rPr>
            </w:pPr>
            <w:r>
              <w:rPr>
                <w:rFonts w:hint="eastAsia" w:hAnsi="宋体"/>
                <w:szCs w:val="21"/>
              </w:rPr>
              <w:t>区域经济</w:t>
            </w:r>
          </w:p>
        </w:tc>
        <w:tc>
          <w:tcPr>
            <w:tcW w:w="972" w:type="dxa"/>
            <w:noWrap w:val="0"/>
            <w:vAlign w:val="top"/>
          </w:tcPr>
          <w:p w14:paraId="437DF026">
            <w:pPr>
              <w:pStyle w:val="219"/>
              <w:spacing w:after="0"/>
              <w:ind w:firstLine="0"/>
              <w:jc w:val="center"/>
              <w:rPr>
                <w:rFonts w:hint="eastAsia" w:hAnsi="宋体"/>
                <w:szCs w:val="21"/>
              </w:rPr>
            </w:pPr>
          </w:p>
        </w:tc>
        <w:tc>
          <w:tcPr>
            <w:tcW w:w="961" w:type="dxa"/>
            <w:noWrap w:val="0"/>
            <w:vAlign w:val="top"/>
          </w:tcPr>
          <w:p w14:paraId="63D102E7">
            <w:pPr>
              <w:pStyle w:val="219"/>
              <w:spacing w:after="0"/>
              <w:ind w:firstLine="0"/>
              <w:jc w:val="center"/>
              <w:rPr>
                <w:rFonts w:hint="eastAsia" w:hAnsi="宋体"/>
                <w:szCs w:val="21"/>
              </w:rPr>
            </w:pPr>
          </w:p>
        </w:tc>
        <w:tc>
          <w:tcPr>
            <w:tcW w:w="912" w:type="dxa"/>
            <w:noWrap w:val="0"/>
            <w:vAlign w:val="top"/>
          </w:tcPr>
          <w:p w14:paraId="434E6820">
            <w:pPr>
              <w:pStyle w:val="219"/>
              <w:spacing w:after="0"/>
              <w:ind w:firstLine="0"/>
              <w:jc w:val="center"/>
              <w:rPr>
                <w:rFonts w:hint="eastAsia" w:hAnsi="宋体"/>
                <w:szCs w:val="21"/>
              </w:rPr>
            </w:pPr>
          </w:p>
        </w:tc>
        <w:tc>
          <w:tcPr>
            <w:tcW w:w="802" w:type="dxa"/>
            <w:noWrap w:val="0"/>
            <w:vAlign w:val="top"/>
          </w:tcPr>
          <w:p w14:paraId="3C5F2348">
            <w:pPr>
              <w:pStyle w:val="219"/>
              <w:spacing w:after="0"/>
              <w:ind w:firstLine="0"/>
              <w:jc w:val="center"/>
              <w:rPr>
                <w:rFonts w:hint="eastAsia" w:hAnsi="宋体"/>
                <w:szCs w:val="21"/>
              </w:rPr>
            </w:pPr>
          </w:p>
        </w:tc>
        <w:tc>
          <w:tcPr>
            <w:tcW w:w="1029" w:type="dxa"/>
            <w:noWrap w:val="0"/>
            <w:vAlign w:val="top"/>
          </w:tcPr>
          <w:p w14:paraId="0CF60A4E">
            <w:pPr>
              <w:pStyle w:val="219"/>
              <w:spacing w:after="0"/>
              <w:ind w:firstLine="0"/>
              <w:jc w:val="center"/>
              <w:rPr>
                <w:rFonts w:hint="eastAsia" w:hAnsi="宋体"/>
                <w:szCs w:val="21"/>
              </w:rPr>
            </w:pPr>
            <w:r>
              <w:rPr>
                <w:rFonts w:hint="eastAsia" w:hAnsi="宋体"/>
                <w:szCs w:val="21"/>
              </w:rPr>
              <w:t>◇</w:t>
            </w:r>
          </w:p>
        </w:tc>
      </w:tr>
      <w:tr w14:paraId="07FD03F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75" w:type="dxa"/>
            <w:vMerge w:val="continue"/>
            <w:noWrap w:val="0"/>
            <w:vAlign w:val="top"/>
          </w:tcPr>
          <w:p w14:paraId="522A9B51">
            <w:pPr>
              <w:pStyle w:val="219"/>
              <w:spacing w:after="0"/>
              <w:ind w:firstLine="0"/>
              <w:jc w:val="center"/>
              <w:rPr>
                <w:rFonts w:hint="eastAsia" w:hAnsi="宋体"/>
                <w:szCs w:val="21"/>
              </w:rPr>
            </w:pPr>
          </w:p>
        </w:tc>
        <w:tc>
          <w:tcPr>
            <w:tcW w:w="2350" w:type="dxa"/>
            <w:noWrap w:val="0"/>
            <w:vAlign w:val="top"/>
          </w:tcPr>
          <w:p w14:paraId="5EB700F2">
            <w:pPr>
              <w:pStyle w:val="219"/>
              <w:spacing w:after="0"/>
              <w:ind w:firstLine="0"/>
              <w:jc w:val="center"/>
              <w:rPr>
                <w:rFonts w:hint="eastAsia" w:hAnsi="宋体"/>
                <w:szCs w:val="21"/>
              </w:rPr>
            </w:pPr>
            <w:r>
              <w:rPr>
                <w:rFonts w:hint="eastAsia" w:hAnsi="宋体"/>
                <w:szCs w:val="21"/>
              </w:rPr>
              <w:t>人群健康</w:t>
            </w:r>
          </w:p>
        </w:tc>
        <w:tc>
          <w:tcPr>
            <w:tcW w:w="972" w:type="dxa"/>
            <w:noWrap w:val="0"/>
            <w:vAlign w:val="top"/>
          </w:tcPr>
          <w:p w14:paraId="4B6559FB">
            <w:pPr>
              <w:pStyle w:val="219"/>
              <w:spacing w:after="0"/>
              <w:ind w:firstLine="0"/>
              <w:jc w:val="center"/>
              <w:rPr>
                <w:rFonts w:hint="eastAsia" w:hAnsi="宋体"/>
                <w:szCs w:val="21"/>
              </w:rPr>
            </w:pPr>
            <w:r>
              <w:rPr>
                <w:rFonts w:hint="eastAsia" w:hAnsi="宋体"/>
                <w:szCs w:val="21"/>
              </w:rPr>
              <w:t>◆</w:t>
            </w:r>
          </w:p>
        </w:tc>
        <w:tc>
          <w:tcPr>
            <w:tcW w:w="961" w:type="dxa"/>
            <w:noWrap w:val="0"/>
            <w:vAlign w:val="top"/>
          </w:tcPr>
          <w:p w14:paraId="3EBE33FC">
            <w:pPr>
              <w:pStyle w:val="219"/>
              <w:spacing w:after="0"/>
              <w:ind w:firstLine="0"/>
              <w:jc w:val="center"/>
              <w:rPr>
                <w:rFonts w:hint="eastAsia" w:hAnsi="宋体"/>
                <w:szCs w:val="21"/>
              </w:rPr>
            </w:pPr>
          </w:p>
        </w:tc>
        <w:tc>
          <w:tcPr>
            <w:tcW w:w="912" w:type="dxa"/>
            <w:noWrap w:val="0"/>
            <w:vAlign w:val="top"/>
          </w:tcPr>
          <w:p w14:paraId="6F1F467F">
            <w:pPr>
              <w:pStyle w:val="219"/>
              <w:spacing w:after="0"/>
              <w:ind w:firstLine="0"/>
              <w:jc w:val="center"/>
              <w:rPr>
                <w:rFonts w:hint="eastAsia" w:hAnsi="宋体"/>
                <w:szCs w:val="21"/>
              </w:rPr>
            </w:pPr>
          </w:p>
        </w:tc>
        <w:tc>
          <w:tcPr>
            <w:tcW w:w="802" w:type="dxa"/>
            <w:noWrap w:val="0"/>
            <w:vAlign w:val="top"/>
          </w:tcPr>
          <w:p w14:paraId="7164D9B8">
            <w:pPr>
              <w:pStyle w:val="219"/>
              <w:spacing w:after="0"/>
              <w:ind w:firstLine="0"/>
              <w:jc w:val="center"/>
              <w:rPr>
                <w:rFonts w:hint="eastAsia" w:hAnsi="宋体"/>
                <w:szCs w:val="21"/>
              </w:rPr>
            </w:pPr>
          </w:p>
        </w:tc>
        <w:tc>
          <w:tcPr>
            <w:tcW w:w="1029" w:type="dxa"/>
            <w:noWrap w:val="0"/>
            <w:vAlign w:val="top"/>
          </w:tcPr>
          <w:p w14:paraId="3AB85E0B">
            <w:pPr>
              <w:pStyle w:val="219"/>
              <w:spacing w:after="0"/>
              <w:ind w:firstLine="0"/>
              <w:jc w:val="center"/>
              <w:rPr>
                <w:rFonts w:hint="eastAsia" w:hAnsi="宋体"/>
                <w:szCs w:val="21"/>
              </w:rPr>
            </w:pPr>
          </w:p>
        </w:tc>
      </w:tr>
      <w:tr w14:paraId="0DEC1C61">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875" w:type="dxa"/>
            <w:vMerge w:val="continue"/>
            <w:noWrap w:val="0"/>
            <w:vAlign w:val="top"/>
          </w:tcPr>
          <w:p w14:paraId="6F27F011">
            <w:pPr>
              <w:pStyle w:val="219"/>
              <w:spacing w:after="0"/>
              <w:ind w:firstLine="0"/>
              <w:jc w:val="center"/>
              <w:rPr>
                <w:rFonts w:hint="eastAsia" w:hAnsi="宋体"/>
                <w:szCs w:val="21"/>
              </w:rPr>
            </w:pPr>
          </w:p>
        </w:tc>
        <w:tc>
          <w:tcPr>
            <w:tcW w:w="2350" w:type="dxa"/>
            <w:noWrap w:val="0"/>
            <w:vAlign w:val="top"/>
          </w:tcPr>
          <w:p w14:paraId="2BD3CE81">
            <w:pPr>
              <w:pStyle w:val="219"/>
              <w:spacing w:after="0"/>
              <w:ind w:firstLine="0"/>
              <w:jc w:val="center"/>
              <w:rPr>
                <w:rFonts w:hint="eastAsia" w:hAnsi="宋体"/>
                <w:szCs w:val="21"/>
              </w:rPr>
            </w:pPr>
            <w:r>
              <w:rPr>
                <w:rFonts w:hint="eastAsia" w:hAnsi="宋体"/>
                <w:szCs w:val="21"/>
              </w:rPr>
              <w:t>景观</w:t>
            </w:r>
          </w:p>
        </w:tc>
        <w:tc>
          <w:tcPr>
            <w:tcW w:w="972" w:type="dxa"/>
            <w:noWrap w:val="0"/>
            <w:vAlign w:val="top"/>
          </w:tcPr>
          <w:p w14:paraId="20D5ECE1">
            <w:pPr>
              <w:pStyle w:val="219"/>
              <w:spacing w:after="0"/>
              <w:ind w:firstLine="0"/>
              <w:jc w:val="center"/>
              <w:rPr>
                <w:rFonts w:hint="eastAsia" w:hAnsi="宋体"/>
                <w:szCs w:val="21"/>
              </w:rPr>
            </w:pPr>
          </w:p>
        </w:tc>
        <w:tc>
          <w:tcPr>
            <w:tcW w:w="961" w:type="dxa"/>
            <w:noWrap w:val="0"/>
            <w:vAlign w:val="top"/>
          </w:tcPr>
          <w:p w14:paraId="55768863">
            <w:pPr>
              <w:pStyle w:val="219"/>
              <w:spacing w:after="0"/>
              <w:ind w:firstLine="0"/>
              <w:jc w:val="center"/>
              <w:rPr>
                <w:rFonts w:hint="eastAsia" w:hAnsi="宋体"/>
                <w:szCs w:val="21"/>
              </w:rPr>
            </w:pPr>
          </w:p>
        </w:tc>
        <w:tc>
          <w:tcPr>
            <w:tcW w:w="912" w:type="dxa"/>
            <w:noWrap w:val="0"/>
            <w:vAlign w:val="top"/>
          </w:tcPr>
          <w:p w14:paraId="3325CB1E">
            <w:pPr>
              <w:pStyle w:val="219"/>
              <w:spacing w:after="0"/>
              <w:ind w:firstLine="0"/>
              <w:jc w:val="center"/>
              <w:rPr>
                <w:rFonts w:hint="eastAsia" w:hAnsi="宋体"/>
                <w:szCs w:val="21"/>
              </w:rPr>
            </w:pPr>
            <w:r>
              <w:rPr>
                <w:rFonts w:eastAsia="Times New Roman"/>
                <w:b/>
                <w:bCs/>
                <w:szCs w:val="21"/>
              </w:rPr>
              <w:t>●</w:t>
            </w:r>
          </w:p>
        </w:tc>
        <w:tc>
          <w:tcPr>
            <w:tcW w:w="802" w:type="dxa"/>
            <w:noWrap w:val="0"/>
            <w:vAlign w:val="top"/>
          </w:tcPr>
          <w:p w14:paraId="6B522554">
            <w:pPr>
              <w:pStyle w:val="219"/>
              <w:spacing w:after="0"/>
              <w:ind w:firstLine="0"/>
              <w:jc w:val="center"/>
              <w:rPr>
                <w:rFonts w:hint="eastAsia" w:hAnsi="宋体"/>
                <w:szCs w:val="21"/>
              </w:rPr>
            </w:pPr>
          </w:p>
        </w:tc>
        <w:tc>
          <w:tcPr>
            <w:tcW w:w="1029" w:type="dxa"/>
            <w:noWrap w:val="0"/>
            <w:vAlign w:val="top"/>
          </w:tcPr>
          <w:p w14:paraId="735B8B84">
            <w:pPr>
              <w:pStyle w:val="219"/>
              <w:spacing w:after="0"/>
              <w:ind w:firstLine="0"/>
              <w:jc w:val="center"/>
              <w:rPr>
                <w:rFonts w:hint="eastAsia" w:hAnsi="宋体"/>
                <w:szCs w:val="21"/>
              </w:rPr>
            </w:pPr>
          </w:p>
        </w:tc>
      </w:tr>
    </w:tbl>
    <w:p w14:paraId="6CC636C1">
      <w:pPr>
        <w:pStyle w:val="219"/>
        <w:tabs>
          <w:tab w:val="left" w:pos="4920"/>
        </w:tabs>
        <w:spacing w:line="390" w:lineRule="exact"/>
        <w:ind w:left="840" w:hanging="422"/>
        <w:rPr>
          <w:b/>
          <w:bCs/>
          <w:szCs w:val="21"/>
        </w:rPr>
      </w:pPr>
      <w:r>
        <w:rPr>
          <w:b/>
          <w:bCs/>
          <w:szCs w:val="21"/>
        </w:rPr>
        <w:t>注：◇：长期或中等有利影响；</w:t>
      </w:r>
      <w:r>
        <w:rPr>
          <w:rFonts w:eastAsia="Times New Roman"/>
          <w:b/>
          <w:bCs/>
          <w:szCs w:val="21"/>
        </w:rPr>
        <w:t>○</w:t>
      </w:r>
      <w:r>
        <w:rPr>
          <w:b/>
          <w:bCs/>
          <w:szCs w:val="21"/>
        </w:rPr>
        <w:t>：短期或轻微有利影响；</w:t>
      </w:r>
      <w:r>
        <w:rPr>
          <w:rFonts w:hint="eastAsia" w:hAnsi="宋体"/>
          <w:b/>
          <w:bCs/>
          <w:szCs w:val="21"/>
        </w:rPr>
        <w:t>◆</w:t>
      </w:r>
      <w:r>
        <w:rPr>
          <w:b/>
          <w:bCs/>
          <w:szCs w:val="21"/>
        </w:rPr>
        <w:t>：长期或中期的不利影响；</w:t>
      </w:r>
      <w:r>
        <w:rPr>
          <w:rFonts w:eastAsia="Times New Roman"/>
          <w:b/>
          <w:bCs/>
          <w:szCs w:val="21"/>
        </w:rPr>
        <w:t>●</w:t>
      </w:r>
      <w:r>
        <w:rPr>
          <w:b/>
          <w:bCs/>
          <w:szCs w:val="21"/>
        </w:rPr>
        <w:t>：短期</w:t>
      </w:r>
      <w:r>
        <w:rPr>
          <w:b/>
          <w:bCs/>
          <w:spacing w:val="-3"/>
          <w:szCs w:val="21"/>
        </w:rPr>
        <w:t>或</w:t>
      </w:r>
      <w:r>
        <w:rPr>
          <w:b/>
          <w:bCs/>
          <w:szCs w:val="21"/>
        </w:rPr>
        <w:t>轻微的不利影响； 空白：无相互作用或该工程行为影响可忽略</w:t>
      </w:r>
    </w:p>
    <w:p w14:paraId="33C107C2">
      <w:pPr>
        <w:ind w:firstLine="480"/>
        <w:rPr>
          <w:rFonts w:hAnsi="宋体"/>
          <w:szCs w:val="22"/>
        </w:rPr>
      </w:pPr>
      <w:r>
        <w:rPr>
          <w:rFonts w:hAnsi="宋体"/>
          <w:szCs w:val="22"/>
        </w:rPr>
        <w:t>从表 2</w:t>
      </w:r>
      <w:r>
        <w:rPr>
          <w:rFonts w:hint="eastAsia" w:hAnsi="宋体" w:eastAsia="宋体"/>
          <w:szCs w:val="22"/>
          <w:lang w:val="en-US" w:eastAsia="zh-CN"/>
        </w:rPr>
        <w:t>.2</w:t>
      </w:r>
      <w:r>
        <w:rPr>
          <w:rFonts w:hAnsi="宋体"/>
          <w:szCs w:val="22"/>
        </w:rPr>
        <w:t>-1可以看出，项目</w:t>
      </w:r>
      <w:r>
        <w:rPr>
          <w:rFonts w:hint="eastAsia" w:hAnsi="宋体" w:eastAsia="宋体"/>
          <w:szCs w:val="22"/>
          <w:lang w:val="en-US" w:eastAsia="zh-CN"/>
        </w:rPr>
        <w:t>改扩建后</w:t>
      </w:r>
      <w:r>
        <w:rPr>
          <w:rFonts w:hAnsi="宋体"/>
          <w:szCs w:val="22"/>
        </w:rPr>
        <w:t>运营期，对环境空气质量和声环境的影响将是长期的。</w:t>
      </w:r>
    </w:p>
    <w:p w14:paraId="53B1568A">
      <w:pPr>
        <w:pStyle w:val="188"/>
      </w:pPr>
      <w:r>
        <w:rPr>
          <w:rFonts w:hint="eastAsia"/>
        </w:rPr>
        <w:t>2.2.2</w:t>
      </w:r>
      <w:r>
        <w:t xml:space="preserve"> </w:t>
      </w:r>
      <w:r>
        <w:rPr>
          <w:rFonts w:hint="eastAsia"/>
        </w:rPr>
        <w:t>评价因子筛选</w:t>
      </w:r>
    </w:p>
    <w:p w14:paraId="6049F2A5">
      <w:pPr>
        <w:keepNext w:val="0"/>
        <w:keepLines w:val="0"/>
        <w:widowControl/>
        <w:suppressLineNumbers w:val="0"/>
        <w:jc w:val="left"/>
      </w:pPr>
      <w:r>
        <w:rPr>
          <w:rFonts w:hint="eastAsia" w:ascii="宋体" w:hAnsi="宋体" w:eastAsia="宋体" w:cs="宋体"/>
          <w:color w:val="000000"/>
          <w:sz w:val="24"/>
          <w:szCs w:val="24"/>
          <w:lang w:val="en-US" w:eastAsia="zh-CN" w:bidi="ar"/>
        </w:rPr>
        <w:t>本项目属工业污染类项目，施工期已结束。该项目对环境的影响主要是运营期。</w:t>
      </w:r>
    </w:p>
    <w:p w14:paraId="4E6D05A8">
      <w:pPr>
        <w:ind w:firstLine="480"/>
        <w:rPr>
          <w:rFonts w:hint="eastAsia"/>
          <w:color w:val="000000"/>
        </w:rPr>
      </w:pPr>
      <w:r>
        <w:rPr>
          <w:rFonts w:hint="eastAsia"/>
          <w:color w:val="000000"/>
        </w:rPr>
        <w:t>根据环境影响因素的识别结果，</w:t>
      </w:r>
      <w:r>
        <w:rPr>
          <w:color w:val="000000"/>
        </w:rPr>
        <w:t>本次评价选择环境空气、水环境、声环境</w:t>
      </w:r>
      <w:r>
        <w:rPr>
          <w:rFonts w:hint="eastAsia"/>
          <w:color w:val="000000"/>
        </w:rPr>
        <w:t>、</w:t>
      </w:r>
      <w:r>
        <w:rPr>
          <w:color w:val="000000"/>
        </w:rPr>
        <w:t>社会环境、生态环境为主要环境因素，对环境有长期不利影响的做详细评价，对环境只有短期影响的做简单评述，评价因子的初步选取结果详见表</w:t>
      </w:r>
      <w:r>
        <w:rPr>
          <w:rFonts w:hint="eastAsia"/>
          <w:color w:val="000000"/>
        </w:rPr>
        <w:t>2</w:t>
      </w:r>
      <w:r>
        <w:rPr>
          <w:rFonts w:hint="eastAsia"/>
          <w:color w:val="000000"/>
          <w:lang w:val="en-US" w:eastAsia="zh-CN"/>
        </w:rPr>
        <w:t>.2</w:t>
      </w:r>
      <w:r>
        <w:rPr>
          <w:rFonts w:hint="eastAsia"/>
          <w:color w:val="000000"/>
        </w:rPr>
        <w:t>-2</w:t>
      </w:r>
      <w:r>
        <w:rPr>
          <w:color w:val="000000"/>
        </w:rPr>
        <w:t>。</w:t>
      </w:r>
    </w:p>
    <w:p w14:paraId="475BC1B2">
      <w:pPr>
        <w:pStyle w:val="336"/>
        <w:ind w:firstLine="482"/>
        <w:rPr>
          <w:rFonts w:hint="eastAsia"/>
          <w:color w:val="000000"/>
        </w:rPr>
      </w:pPr>
      <w:r>
        <w:rPr>
          <w:rFonts w:hint="eastAsia"/>
          <w:color w:val="000000"/>
        </w:rPr>
        <w:t xml:space="preserve">                  </w:t>
      </w:r>
      <w:r>
        <w:rPr>
          <w:color w:val="000000"/>
        </w:rPr>
        <w:t>表</w:t>
      </w:r>
      <w:r>
        <w:rPr>
          <w:rFonts w:hint="eastAsia"/>
          <w:color w:val="000000"/>
        </w:rPr>
        <w:t>2</w:t>
      </w:r>
      <w:r>
        <w:rPr>
          <w:rFonts w:hint="eastAsia"/>
          <w:color w:val="000000"/>
          <w:lang w:val="en-US" w:eastAsia="zh-CN"/>
        </w:rPr>
        <w:t>.2</w:t>
      </w:r>
      <w:r>
        <w:rPr>
          <w:rFonts w:hint="eastAsia"/>
          <w:color w:val="000000"/>
        </w:rPr>
        <w:t>-2</w:t>
      </w:r>
      <w:r>
        <w:rPr>
          <w:color w:val="000000"/>
        </w:rPr>
        <w:t>评价因子选取表</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Layout w:type="fixed"/>
        <w:tblCellMar>
          <w:top w:w="57" w:type="dxa"/>
          <w:left w:w="108" w:type="dxa"/>
          <w:bottom w:w="57" w:type="dxa"/>
          <w:right w:w="108" w:type="dxa"/>
        </w:tblCellMar>
      </w:tblPr>
      <w:tblGrid>
        <w:gridCol w:w="1669"/>
        <w:gridCol w:w="3245"/>
        <w:gridCol w:w="3608"/>
      </w:tblGrid>
      <w:tr w14:paraId="74BEE13B">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224" w:hRule="atLeast"/>
          <w:tblHeader/>
          <w:jc w:val="center"/>
        </w:trPr>
        <w:tc>
          <w:tcPr>
            <w:tcW w:w="1669" w:type="dxa"/>
            <w:vMerge w:val="restart"/>
            <w:noWrap w:val="0"/>
            <w:vAlign w:val="center"/>
          </w:tcPr>
          <w:p w14:paraId="185601A8">
            <w:pPr>
              <w:spacing w:line="240" w:lineRule="auto"/>
              <w:ind w:firstLine="0"/>
              <w:jc w:val="center"/>
              <w:rPr>
                <w:bCs/>
                <w:color w:val="000000"/>
                <w:sz w:val="21"/>
                <w:szCs w:val="32"/>
              </w:rPr>
            </w:pPr>
            <w:r>
              <w:rPr>
                <w:rFonts w:hint="eastAsia"/>
                <w:bCs/>
                <w:color w:val="000000"/>
                <w:sz w:val="21"/>
                <w:szCs w:val="32"/>
              </w:rPr>
              <w:t>环境因素</w:t>
            </w:r>
          </w:p>
        </w:tc>
        <w:tc>
          <w:tcPr>
            <w:tcW w:w="6853" w:type="dxa"/>
            <w:gridSpan w:val="2"/>
            <w:noWrap w:val="0"/>
            <w:vAlign w:val="center"/>
          </w:tcPr>
          <w:p w14:paraId="1AB2826D">
            <w:pPr>
              <w:spacing w:line="240" w:lineRule="auto"/>
              <w:ind w:firstLine="0"/>
              <w:jc w:val="center"/>
              <w:rPr>
                <w:bCs/>
                <w:color w:val="000000"/>
                <w:sz w:val="21"/>
                <w:szCs w:val="32"/>
              </w:rPr>
            </w:pPr>
            <w:r>
              <w:rPr>
                <w:bCs/>
                <w:color w:val="000000"/>
                <w:sz w:val="21"/>
                <w:szCs w:val="32"/>
              </w:rPr>
              <w:t>评价因子</w:t>
            </w:r>
          </w:p>
        </w:tc>
      </w:tr>
      <w:tr w14:paraId="62906297">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224" w:hRule="atLeast"/>
          <w:tblHeader/>
          <w:jc w:val="center"/>
        </w:trPr>
        <w:tc>
          <w:tcPr>
            <w:tcW w:w="1669" w:type="dxa"/>
            <w:vMerge w:val="continue"/>
            <w:noWrap w:val="0"/>
            <w:vAlign w:val="center"/>
          </w:tcPr>
          <w:p w14:paraId="57B8610E">
            <w:pPr>
              <w:spacing w:line="240" w:lineRule="auto"/>
              <w:ind w:firstLine="0"/>
              <w:jc w:val="center"/>
              <w:rPr>
                <w:bCs/>
                <w:color w:val="000000"/>
                <w:sz w:val="21"/>
                <w:szCs w:val="32"/>
              </w:rPr>
            </w:pPr>
          </w:p>
        </w:tc>
        <w:tc>
          <w:tcPr>
            <w:tcW w:w="3245" w:type="dxa"/>
            <w:noWrap w:val="0"/>
            <w:vAlign w:val="center"/>
          </w:tcPr>
          <w:p w14:paraId="6DA4D5A8">
            <w:pPr>
              <w:spacing w:line="240" w:lineRule="auto"/>
              <w:ind w:firstLine="0"/>
              <w:jc w:val="center"/>
              <w:rPr>
                <w:bCs/>
                <w:color w:val="000000"/>
                <w:sz w:val="21"/>
                <w:szCs w:val="32"/>
              </w:rPr>
            </w:pPr>
            <w:r>
              <w:rPr>
                <w:rFonts w:hint="eastAsia"/>
                <w:bCs/>
                <w:color w:val="000000"/>
                <w:sz w:val="21"/>
                <w:szCs w:val="32"/>
              </w:rPr>
              <w:t>现状评价因子</w:t>
            </w:r>
          </w:p>
        </w:tc>
        <w:tc>
          <w:tcPr>
            <w:tcW w:w="3608" w:type="dxa"/>
            <w:noWrap w:val="0"/>
            <w:vAlign w:val="center"/>
          </w:tcPr>
          <w:p w14:paraId="38FC8093">
            <w:pPr>
              <w:spacing w:line="240" w:lineRule="auto"/>
              <w:ind w:firstLine="0"/>
              <w:jc w:val="center"/>
              <w:rPr>
                <w:bCs/>
                <w:color w:val="000000"/>
                <w:sz w:val="21"/>
                <w:szCs w:val="32"/>
              </w:rPr>
            </w:pPr>
            <w:r>
              <w:rPr>
                <w:rFonts w:hint="eastAsia"/>
                <w:bCs/>
                <w:color w:val="000000"/>
                <w:sz w:val="21"/>
                <w:szCs w:val="32"/>
              </w:rPr>
              <w:t>影响评价因子</w:t>
            </w:r>
          </w:p>
        </w:tc>
      </w:tr>
      <w:tr w14:paraId="15F01AD7">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224" w:hRule="atLeast"/>
          <w:tblHeader/>
          <w:jc w:val="center"/>
        </w:trPr>
        <w:tc>
          <w:tcPr>
            <w:tcW w:w="1669" w:type="dxa"/>
            <w:noWrap w:val="0"/>
            <w:vAlign w:val="center"/>
          </w:tcPr>
          <w:p w14:paraId="1A80C460">
            <w:pPr>
              <w:spacing w:line="240" w:lineRule="auto"/>
              <w:ind w:firstLine="0"/>
              <w:jc w:val="center"/>
              <w:rPr>
                <w:bCs/>
                <w:color w:val="000000"/>
                <w:sz w:val="21"/>
                <w:szCs w:val="32"/>
              </w:rPr>
            </w:pPr>
            <w:r>
              <w:rPr>
                <w:bCs/>
                <w:color w:val="000000"/>
                <w:sz w:val="21"/>
                <w:szCs w:val="32"/>
              </w:rPr>
              <w:t>环境</w:t>
            </w:r>
            <w:r>
              <w:rPr>
                <w:rFonts w:hint="eastAsia"/>
                <w:bCs/>
                <w:color w:val="000000"/>
                <w:sz w:val="21"/>
                <w:szCs w:val="32"/>
              </w:rPr>
              <w:t>空气</w:t>
            </w:r>
          </w:p>
        </w:tc>
        <w:tc>
          <w:tcPr>
            <w:tcW w:w="3245" w:type="dxa"/>
            <w:noWrap w:val="0"/>
            <w:vAlign w:val="center"/>
          </w:tcPr>
          <w:p w14:paraId="5917400E">
            <w:pPr>
              <w:spacing w:line="240" w:lineRule="auto"/>
              <w:ind w:firstLine="0"/>
              <w:jc w:val="center"/>
              <w:rPr>
                <w:rFonts w:hint="eastAsia" w:ascii="Times New Roman" w:hAnsi="Times New Roman" w:eastAsia="宋体" w:cs="Times New Roman"/>
                <w:color w:val="000000"/>
                <w:sz w:val="21"/>
                <w:szCs w:val="21"/>
                <w:vertAlign w:val="baseline"/>
              </w:rPr>
            </w:pPr>
            <w:r>
              <w:rPr>
                <w:rFonts w:ascii="Times New Roman" w:hAnsi="Times New Roman" w:eastAsia="宋体" w:cs="Times New Roman"/>
                <w:color w:val="000000"/>
                <w:sz w:val="21"/>
                <w:szCs w:val="21"/>
                <w:vertAlign w:val="baseline"/>
              </w:rPr>
              <w:t>TSP、PM</w:t>
            </w:r>
            <w:r>
              <w:rPr>
                <w:rFonts w:ascii="Times New Roman" w:hAnsi="Times New Roman" w:eastAsia="宋体" w:cs="Times New Roman"/>
                <w:color w:val="000000"/>
                <w:sz w:val="21"/>
                <w:szCs w:val="21"/>
                <w:vertAlign w:val="subscript"/>
              </w:rPr>
              <w:t>10</w:t>
            </w:r>
            <w:r>
              <w:rPr>
                <w:rFonts w:ascii="Times New Roman" w:hAnsi="Times New Roman" w:eastAsia="宋体" w:cs="Times New Roman"/>
                <w:color w:val="000000"/>
                <w:sz w:val="21"/>
                <w:szCs w:val="21"/>
                <w:vertAlign w:val="baseline"/>
              </w:rPr>
              <w:t>、NO</w:t>
            </w:r>
            <w:r>
              <w:rPr>
                <w:rFonts w:hint="eastAsia" w:ascii="Times New Roman" w:hAnsi="Times New Roman" w:eastAsia="宋体" w:cs="Times New Roman"/>
                <w:color w:val="000000"/>
                <w:sz w:val="21"/>
                <w:szCs w:val="21"/>
                <w:vertAlign w:val="subscript"/>
                <w:lang w:val="en-US" w:eastAsia="zh-CN"/>
              </w:rPr>
              <w:t>2</w:t>
            </w:r>
            <w:r>
              <w:rPr>
                <w:rFonts w:ascii="Times New Roman" w:hAnsi="Times New Roman" w:eastAsia="宋体" w:cs="Times New Roman"/>
                <w:color w:val="000000"/>
                <w:sz w:val="21"/>
                <w:szCs w:val="21"/>
                <w:vertAlign w:val="baseline"/>
              </w:rPr>
              <w:t>、SO</w:t>
            </w:r>
            <w:r>
              <w:rPr>
                <w:rFonts w:ascii="Times New Roman" w:hAnsi="Times New Roman" w:eastAsia="宋体" w:cs="Times New Roman"/>
                <w:color w:val="000000"/>
                <w:sz w:val="21"/>
                <w:szCs w:val="21"/>
                <w:vertAlign w:val="subscript"/>
              </w:rPr>
              <w:t>2</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氨、非甲烷总烃、甲醛</w:t>
            </w:r>
          </w:p>
        </w:tc>
        <w:tc>
          <w:tcPr>
            <w:tcW w:w="3608" w:type="dxa"/>
            <w:noWrap w:val="0"/>
            <w:vAlign w:val="center"/>
          </w:tcPr>
          <w:p w14:paraId="7AE4ECAC">
            <w:pPr>
              <w:spacing w:line="240" w:lineRule="auto"/>
              <w:ind w:firstLine="0"/>
              <w:jc w:val="center"/>
              <w:rPr>
                <w:rFonts w:ascii="Times New Roman" w:hAnsi="Times New Roman" w:eastAsia="宋体" w:cs="Times New Roman"/>
                <w:color w:val="000000"/>
                <w:sz w:val="21"/>
                <w:szCs w:val="21"/>
                <w:vertAlign w:val="baseline"/>
                <w:lang w:val="en-US" w:eastAsia="zh-CN"/>
              </w:rPr>
            </w:pPr>
            <w:r>
              <w:rPr>
                <w:rFonts w:ascii="Times New Roman" w:hAnsi="Times New Roman" w:eastAsia="宋体" w:cs="Times New Roman"/>
                <w:color w:val="000000"/>
                <w:sz w:val="21"/>
                <w:szCs w:val="21"/>
                <w:vertAlign w:val="baseline"/>
              </w:rPr>
              <w:t>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vertAlign w:val="baseline"/>
              </w:rPr>
              <w:t>、恶臭、</w:t>
            </w:r>
            <w:r>
              <w:rPr>
                <w:rFonts w:hint="eastAsia" w:ascii="Times New Roman" w:hAnsi="Times New Roman" w:eastAsia="宋体" w:cs="Times New Roman"/>
                <w:color w:val="000000"/>
                <w:sz w:val="21"/>
                <w:szCs w:val="21"/>
                <w:vertAlign w:val="baseline"/>
                <w:lang w:val="en-US" w:eastAsia="zh-CN"/>
              </w:rPr>
              <w:t>颗粒物</w:t>
            </w:r>
            <w:r>
              <w:rPr>
                <w:rFonts w:ascii="Times New Roman" w:hAnsi="Times New Roman" w:eastAsia="宋体" w:cs="Times New Roman"/>
                <w:color w:val="000000"/>
                <w:sz w:val="21"/>
                <w:szCs w:val="21"/>
                <w:vertAlign w:val="baseline"/>
              </w:rPr>
              <w:t>、二氧化氮、二氧化硫</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甲醛、酚类、VOCs</w:t>
            </w:r>
          </w:p>
        </w:tc>
      </w:tr>
      <w:tr w14:paraId="0C64E15A">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233" w:hRule="atLeast"/>
          <w:tblHeader/>
          <w:jc w:val="center"/>
        </w:trPr>
        <w:tc>
          <w:tcPr>
            <w:tcW w:w="1669" w:type="dxa"/>
            <w:noWrap w:val="0"/>
            <w:vAlign w:val="center"/>
          </w:tcPr>
          <w:p w14:paraId="49925293">
            <w:pPr>
              <w:spacing w:line="240" w:lineRule="auto"/>
              <w:ind w:firstLine="0"/>
              <w:jc w:val="center"/>
              <w:rPr>
                <w:bCs/>
                <w:color w:val="000000"/>
                <w:sz w:val="21"/>
                <w:szCs w:val="32"/>
              </w:rPr>
            </w:pPr>
            <w:r>
              <w:rPr>
                <w:bCs/>
                <w:color w:val="000000"/>
                <w:sz w:val="21"/>
                <w:szCs w:val="32"/>
              </w:rPr>
              <w:t>地表水环境</w:t>
            </w:r>
          </w:p>
        </w:tc>
        <w:tc>
          <w:tcPr>
            <w:tcW w:w="3245" w:type="dxa"/>
            <w:noWrap w:val="0"/>
            <w:vAlign w:val="center"/>
          </w:tcPr>
          <w:p w14:paraId="0556F818">
            <w:pPr>
              <w:spacing w:line="240" w:lineRule="auto"/>
              <w:ind w:firstLine="0"/>
              <w:jc w:val="center"/>
              <w:rPr>
                <w:rFonts w:hint="eastAsia" w:ascii="Times New Roman" w:hAnsi="Times New Roman" w:eastAsia="宋体" w:cs="Times New Roman"/>
                <w:color w:val="000000"/>
                <w:sz w:val="21"/>
                <w:szCs w:val="21"/>
                <w:vertAlign w:val="baseline"/>
              </w:rPr>
            </w:pPr>
            <w:r>
              <w:rPr>
                <w:rFonts w:ascii="Times New Roman" w:hAnsi="Times New Roman" w:eastAsia="宋体" w:cs="Times New Roman"/>
                <w:color w:val="000000"/>
                <w:sz w:val="21"/>
                <w:szCs w:val="21"/>
                <w:vertAlign w:val="baseline"/>
              </w:rPr>
              <w:t>pH</w:t>
            </w:r>
            <w:r>
              <w:rPr>
                <w:rFonts w:hint="eastAsia" w:ascii="Times New Roman" w:hAnsi="Times New Roman" w:eastAsia="宋体" w:cs="Times New Roman"/>
                <w:color w:val="000000"/>
                <w:sz w:val="21"/>
                <w:szCs w:val="21"/>
                <w:vertAlign w:val="baseline"/>
              </w:rPr>
              <w:t>值、悬浮物、溶解氧、化学需氧量、五日生化需氧量、氨氮、总磷、粪大肠菌群、甲醛、砷、铅、汞、镉、铬（六价）、镍、挥发酚、石油类</w:t>
            </w:r>
          </w:p>
        </w:tc>
        <w:tc>
          <w:tcPr>
            <w:tcW w:w="3608" w:type="dxa"/>
            <w:noWrap w:val="0"/>
            <w:vAlign w:val="center"/>
          </w:tcPr>
          <w:p w14:paraId="7B973EDB">
            <w:pPr>
              <w:spacing w:line="240" w:lineRule="auto"/>
              <w:ind w:firstLine="0"/>
              <w:jc w:val="center"/>
              <w:rPr>
                <w:rFonts w:ascii="Times New Roman" w:hAnsi="Times New Roman" w:eastAsia="宋体" w:cs="Times New Roman"/>
                <w:color w:val="000000"/>
                <w:sz w:val="21"/>
                <w:szCs w:val="21"/>
                <w:vertAlign w:val="baseline"/>
              </w:rPr>
            </w:pPr>
            <w:r>
              <w:rPr>
                <w:rFonts w:ascii="Times New Roman" w:hAnsi="Times New Roman" w:eastAsia="宋体" w:cs="Times New Roman"/>
                <w:color w:val="000000"/>
                <w:sz w:val="21"/>
                <w:szCs w:val="21"/>
                <w:vertAlign w:val="baseline"/>
              </w:rPr>
              <w:t>CODcr</w:t>
            </w:r>
            <w:r>
              <w:rPr>
                <w:rFonts w:hint="eastAsia" w:ascii="Times New Roman" w:hAnsi="Times New Roman" w:eastAsia="宋体" w:cs="Times New Roman"/>
                <w:color w:val="000000"/>
                <w:sz w:val="21"/>
                <w:szCs w:val="21"/>
                <w:vertAlign w:val="baseline"/>
              </w:rPr>
              <w:t>、</w:t>
            </w:r>
            <w:r>
              <w:rPr>
                <w:rFonts w:ascii="Times New Roman" w:hAnsi="Times New Roman" w:eastAsia="宋体" w:cs="Times New Roman"/>
                <w:color w:val="000000"/>
                <w:sz w:val="21"/>
                <w:szCs w:val="21"/>
                <w:vertAlign w:val="baseline"/>
              </w:rPr>
              <w:t>BOD</w:t>
            </w:r>
            <w:r>
              <w:rPr>
                <w:rFonts w:ascii="Times New Roman" w:hAnsi="Times New Roman" w:eastAsia="宋体" w:cs="Times New Roman"/>
                <w:color w:val="000000"/>
                <w:sz w:val="21"/>
                <w:szCs w:val="21"/>
                <w:vertAlign w:val="subscript"/>
              </w:rPr>
              <w:t>5</w:t>
            </w:r>
            <w:r>
              <w:rPr>
                <w:rFonts w:hint="eastAsia" w:ascii="Times New Roman" w:hAnsi="Times New Roman" w:eastAsia="宋体" w:cs="Times New Roman"/>
                <w:color w:val="000000"/>
                <w:sz w:val="21"/>
                <w:szCs w:val="21"/>
                <w:vertAlign w:val="baseline"/>
              </w:rPr>
              <w:t>、</w:t>
            </w:r>
            <w:r>
              <w:rPr>
                <w:rFonts w:ascii="Times New Roman" w:hAnsi="Times New Roman" w:eastAsia="宋体" w:cs="Times New Roman"/>
                <w:color w:val="000000"/>
                <w:sz w:val="21"/>
                <w:szCs w:val="21"/>
                <w:vertAlign w:val="baseline"/>
              </w:rPr>
              <w:t>SS</w:t>
            </w:r>
            <w:r>
              <w:rPr>
                <w:rFonts w:hint="eastAsia" w:ascii="Times New Roman" w:hAnsi="Times New Roman" w:eastAsia="宋体" w:cs="Times New Roman"/>
                <w:color w:val="000000"/>
                <w:sz w:val="21"/>
                <w:szCs w:val="21"/>
                <w:vertAlign w:val="baseline"/>
              </w:rPr>
              <w:t>、</w:t>
            </w:r>
            <w:r>
              <w:rPr>
                <w:rFonts w:ascii="Times New Roman" w:hAnsi="Times New Roman" w:eastAsia="宋体" w:cs="Times New Roman"/>
                <w:color w:val="000000"/>
                <w:sz w:val="21"/>
                <w:szCs w:val="21"/>
                <w:vertAlign w:val="baseline"/>
              </w:rPr>
              <w:t>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vertAlign w:val="baseline"/>
              </w:rPr>
              <w:t>-N</w:t>
            </w:r>
          </w:p>
        </w:tc>
      </w:tr>
      <w:tr w14:paraId="7C3490A4">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1477" w:hRule="atLeast"/>
          <w:tblHeader/>
          <w:jc w:val="center"/>
        </w:trPr>
        <w:tc>
          <w:tcPr>
            <w:tcW w:w="1669" w:type="dxa"/>
            <w:noWrap w:val="0"/>
            <w:vAlign w:val="center"/>
          </w:tcPr>
          <w:p w14:paraId="31FF8638">
            <w:pPr>
              <w:spacing w:line="240" w:lineRule="auto"/>
              <w:ind w:firstLine="0"/>
              <w:jc w:val="center"/>
              <w:rPr>
                <w:rFonts w:eastAsia="宋体"/>
                <w:bCs/>
                <w:color w:val="000000"/>
                <w:sz w:val="21"/>
                <w:szCs w:val="32"/>
                <w:lang w:val="en-US" w:eastAsia="zh-CN"/>
              </w:rPr>
            </w:pPr>
            <w:r>
              <w:rPr>
                <w:rFonts w:hint="eastAsia" w:eastAsia="宋体"/>
                <w:bCs/>
                <w:color w:val="000000"/>
                <w:sz w:val="21"/>
                <w:szCs w:val="32"/>
                <w:lang w:val="en-US" w:eastAsia="zh-CN"/>
              </w:rPr>
              <w:t>地下水环境</w:t>
            </w:r>
          </w:p>
        </w:tc>
        <w:tc>
          <w:tcPr>
            <w:tcW w:w="3245" w:type="dxa"/>
            <w:noWrap w:val="0"/>
            <w:vAlign w:val="center"/>
          </w:tcPr>
          <w:p w14:paraId="34B0231A">
            <w:pPr>
              <w:spacing w:line="240" w:lineRule="auto"/>
              <w:ind w:firstLine="0"/>
              <w:jc w:val="center"/>
              <w:rPr>
                <w:rFonts w:hint="eastAsia" w:ascii="Times New Roman" w:hAnsi="Times New Roman" w:eastAsia="宋体" w:cs="Times New Roman"/>
                <w:color w:val="000000"/>
                <w:sz w:val="21"/>
                <w:szCs w:val="21"/>
                <w:vertAlign w:val="baseline"/>
              </w:rPr>
            </w:pPr>
            <w:r>
              <w:rPr>
                <w:rFonts w:ascii="Times New Roman" w:hAnsi="Times New Roman" w:eastAsia="宋体" w:cs="Times New Roman"/>
                <w:color w:val="000000"/>
                <w:sz w:val="21"/>
                <w:szCs w:val="21"/>
                <w:vertAlign w:val="baseline"/>
              </w:rPr>
              <w:t>pH、高锰酸盐指数、总硬度、溶解性固体、氨氮、硝酸盐、硫酸盐、氟化物、氯化物、铁、锰、镉、砷、汞、铬（六价）、总大肠菌群</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eastAsia="宋体" w:cs="Times New Roman"/>
                <w:color w:val="000000"/>
                <w:sz w:val="21"/>
                <w:szCs w:val="21"/>
                <w:vertAlign w:val="baseline"/>
                <w:lang w:val="en-US" w:eastAsia="zh-CN"/>
              </w:rPr>
              <w:t>甲醛</w:t>
            </w:r>
          </w:p>
        </w:tc>
        <w:tc>
          <w:tcPr>
            <w:tcW w:w="3608" w:type="dxa"/>
            <w:noWrap w:val="0"/>
            <w:vAlign w:val="center"/>
          </w:tcPr>
          <w:p w14:paraId="6696F851">
            <w:pPr>
              <w:spacing w:line="240" w:lineRule="auto"/>
              <w:ind w:firstLine="0"/>
              <w:jc w:val="center"/>
              <w:rPr>
                <w:rFonts w:ascii="Times New Roman" w:hAnsi="Times New Roman" w:eastAsia="宋体" w:cs="Times New Roman"/>
                <w:color w:val="000000"/>
                <w:sz w:val="21"/>
                <w:szCs w:val="21"/>
                <w:vertAlign w:val="baseline"/>
              </w:rPr>
            </w:pPr>
          </w:p>
          <w:p w14:paraId="75B3CBAE">
            <w:pPr>
              <w:spacing w:line="240" w:lineRule="auto"/>
              <w:ind w:firstLine="0"/>
              <w:jc w:val="center"/>
              <w:rPr>
                <w:rFonts w:hint="eastAsia" w:ascii="Times New Roman" w:hAnsi="Times New Roman" w:eastAsia="宋体" w:cs="Times New Roman"/>
                <w:color w:val="000000"/>
                <w:sz w:val="21"/>
                <w:szCs w:val="21"/>
                <w:vertAlign w:val="baseline"/>
                <w:lang w:eastAsia="zh-CN"/>
              </w:rPr>
            </w:pPr>
            <w:r>
              <w:rPr>
                <w:rFonts w:hint="eastAsia" w:ascii="Times New Roman" w:hAnsi="Times New Roman" w:eastAsia="宋体" w:cs="Times New Roman"/>
                <w:color w:val="000000"/>
                <w:sz w:val="21"/>
                <w:szCs w:val="21"/>
                <w:vertAlign w:val="baseline"/>
                <w:lang w:val="en-US" w:eastAsia="zh-CN"/>
              </w:rPr>
              <w:t>甲醛</w:t>
            </w:r>
          </w:p>
        </w:tc>
      </w:tr>
      <w:tr w14:paraId="6DDC70FE">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308" w:hRule="atLeast"/>
          <w:tblHeader/>
          <w:jc w:val="center"/>
        </w:trPr>
        <w:tc>
          <w:tcPr>
            <w:tcW w:w="1669" w:type="dxa"/>
            <w:noWrap w:val="0"/>
            <w:vAlign w:val="center"/>
          </w:tcPr>
          <w:p w14:paraId="46AFBF92">
            <w:pPr>
              <w:spacing w:line="240" w:lineRule="auto"/>
              <w:ind w:firstLine="0"/>
              <w:jc w:val="center"/>
              <w:rPr>
                <w:bCs/>
                <w:color w:val="000000"/>
                <w:sz w:val="21"/>
                <w:szCs w:val="32"/>
              </w:rPr>
            </w:pPr>
            <w:r>
              <w:rPr>
                <w:bCs/>
                <w:color w:val="000000"/>
                <w:sz w:val="21"/>
                <w:szCs w:val="32"/>
              </w:rPr>
              <w:t>声环境</w:t>
            </w:r>
          </w:p>
        </w:tc>
        <w:tc>
          <w:tcPr>
            <w:tcW w:w="3245" w:type="dxa"/>
            <w:noWrap w:val="0"/>
            <w:vAlign w:val="center"/>
          </w:tcPr>
          <w:p w14:paraId="40438AAD">
            <w:pPr>
              <w:spacing w:line="240" w:lineRule="auto"/>
              <w:ind w:firstLine="0"/>
              <w:jc w:val="center"/>
              <w:rPr>
                <w:rFonts w:ascii="Times New Roman" w:hAnsi="Times New Roman" w:eastAsia="宋体" w:cs="Times New Roman"/>
                <w:color w:val="000000"/>
                <w:sz w:val="21"/>
                <w:szCs w:val="21"/>
                <w:vertAlign w:val="baseline"/>
              </w:rPr>
            </w:pPr>
            <w:r>
              <w:rPr>
                <w:rFonts w:ascii="Times New Roman" w:hAnsi="Times New Roman" w:eastAsia="宋体" w:cs="Times New Roman"/>
                <w:color w:val="000000"/>
                <w:sz w:val="21"/>
                <w:szCs w:val="21"/>
                <w:vertAlign w:val="baseline"/>
              </w:rPr>
              <w:t>等效连续A声级</w:t>
            </w:r>
          </w:p>
        </w:tc>
        <w:tc>
          <w:tcPr>
            <w:tcW w:w="3608" w:type="dxa"/>
            <w:noWrap w:val="0"/>
            <w:vAlign w:val="center"/>
          </w:tcPr>
          <w:p w14:paraId="572EA5A8">
            <w:pPr>
              <w:spacing w:line="240" w:lineRule="auto"/>
              <w:ind w:firstLine="0"/>
              <w:jc w:val="center"/>
              <w:rPr>
                <w:rFonts w:ascii="Times New Roman" w:hAnsi="Times New Roman" w:eastAsia="宋体" w:cs="Times New Roman"/>
                <w:color w:val="000000"/>
                <w:sz w:val="21"/>
                <w:szCs w:val="21"/>
                <w:vertAlign w:val="baseline"/>
              </w:rPr>
            </w:pPr>
            <w:r>
              <w:rPr>
                <w:rFonts w:ascii="Times New Roman" w:hAnsi="Times New Roman" w:eastAsia="宋体" w:cs="Times New Roman"/>
                <w:color w:val="000000"/>
                <w:sz w:val="21"/>
                <w:szCs w:val="21"/>
                <w:vertAlign w:val="baseline"/>
              </w:rPr>
              <w:t>等效连续A声级</w:t>
            </w:r>
          </w:p>
        </w:tc>
      </w:tr>
      <w:tr w14:paraId="39DEA4E6">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99" w:hRule="atLeast"/>
          <w:tblHeader/>
          <w:jc w:val="center"/>
        </w:trPr>
        <w:tc>
          <w:tcPr>
            <w:tcW w:w="1669" w:type="dxa"/>
            <w:noWrap w:val="0"/>
            <w:vAlign w:val="center"/>
          </w:tcPr>
          <w:p w14:paraId="07B0B054">
            <w:pPr>
              <w:spacing w:line="240" w:lineRule="auto"/>
              <w:ind w:firstLine="0"/>
              <w:jc w:val="center"/>
              <w:rPr>
                <w:bCs/>
                <w:color w:val="000000"/>
                <w:sz w:val="21"/>
                <w:szCs w:val="32"/>
              </w:rPr>
            </w:pPr>
            <w:r>
              <w:rPr>
                <w:bCs/>
                <w:color w:val="000000"/>
                <w:sz w:val="21"/>
                <w:szCs w:val="32"/>
              </w:rPr>
              <w:t>生态</w:t>
            </w:r>
            <w:r>
              <w:rPr>
                <w:rFonts w:hint="eastAsia"/>
                <w:bCs/>
                <w:color w:val="000000"/>
                <w:sz w:val="21"/>
                <w:szCs w:val="32"/>
              </w:rPr>
              <w:t>环境</w:t>
            </w:r>
          </w:p>
        </w:tc>
        <w:tc>
          <w:tcPr>
            <w:tcW w:w="3245" w:type="dxa"/>
            <w:noWrap w:val="0"/>
            <w:vAlign w:val="center"/>
          </w:tcPr>
          <w:p w14:paraId="0AD8E028">
            <w:pPr>
              <w:spacing w:line="240" w:lineRule="auto"/>
              <w:ind w:firstLine="0"/>
              <w:jc w:val="center"/>
              <w:rPr>
                <w:rFonts w:eastAsia="宋体"/>
                <w:bCs/>
                <w:color w:val="000000"/>
                <w:sz w:val="21"/>
                <w:szCs w:val="32"/>
                <w:lang w:val="en-US" w:eastAsia="zh-CN"/>
              </w:rPr>
            </w:pPr>
            <w:r>
              <w:rPr>
                <w:rFonts w:hint="eastAsia" w:eastAsia="宋体"/>
                <w:bCs/>
                <w:color w:val="000000"/>
                <w:sz w:val="21"/>
                <w:szCs w:val="32"/>
                <w:lang w:val="en-US" w:eastAsia="zh-CN"/>
              </w:rPr>
              <w:t>景观、生态</w:t>
            </w:r>
          </w:p>
        </w:tc>
        <w:tc>
          <w:tcPr>
            <w:tcW w:w="3608" w:type="dxa"/>
            <w:noWrap w:val="0"/>
            <w:vAlign w:val="center"/>
          </w:tcPr>
          <w:p w14:paraId="53A202C1">
            <w:pPr>
              <w:spacing w:line="240" w:lineRule="auto"/>
              <w:ind w:firstLine="0"/>
              <w:jc w:val="center"/>
              <w:rPr>
                <w:rFonts w:hint="eastAsia" w:eastAsia="宋体"/>
                <w:bCs/>
                <w:color w:val="000000"/>
                <w:sz w:val="21"/>
                <w:szCs w:val="32"/>
                <w:lang w:eastAsia="zh-CN"/>
              </w:rPr>
            </w:pPr>
            <w:r>
              <w:rPr>
                <w:rFonts w:hint="eastAsia" w:eastAsia="宋体"/>
                <w:bCs/>
                <w:color w:val="000000"/>
                <w:sz w:val="21"/>
                <w:szCs w:val="32"/>
                <w:lang w:val="en-US" w:eastAsia="zh-CN"/>
              </w:rPr>
              <w:t>景观</w:t>
            </w:r>
          </w:p>
        </w:tc>
      </w:tr>
      <w:tr w14:paraId="22BFC913">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99" w:hRule="atLeast"/>
          <w:tblHeader/>
          <w:jc w:val="center"/>
        </w:trPr>
        <w:tc>
          <w:tcPr>
            <w:tcW w:w="1669" w:type="dxa"/>
            <w:noWrap w:val="0"/>
            <w:vAlign w:val="center"/>
          </w:tcPr>
          <w:p w14:paraId="5D63E96F">
            <w:pPr>
              <w:spacing w:line="240" w:lineRule="auto"/>
              <w:ind w:firstLine="0"/>
              <w:jc w:val="center"/>
              <w:rPr>
                <w:bCs/>
                <w:color w:val="000000"/>
                <w:sz w:val="21"/>
                <w:szCs w:val="32"/>
              </w:rPr>
            </w:pPr>
            <w:r>
              <w:rPr>
                <w:bCs/>
                <w:color w:val="000000"/>
                <w:sz w:val="21"/>
                <w:szCs w:val="32"/>
              </w:rPr>
              <w:t>固体</w:t>
            </w:r>
            <w:r>
              <w:rPr>
                <w:rFonts w:hint="eastAsia"/>
                <w:bCs/>
                <w:color w:val="000000"/>
                <w:sz w:val="21"/>
                <w:szCs w:val="32"/>
              </w:rPr>
              <w:t>废物</w:t>
            </w:r>
          </w:p>
        </w:tc>
        <w:tc>
          <w:tcPr>
            <w:tcW w:w="6853" w:type="dxa"/>
            <w:gridSpan w:val="2"/>
            <w:noWrap w:val="0"/>
            <w:vAlign w:val="center"/>
          </w:tcPr>
          <w:p w14:paraId="6AD3DBBA">
            <w:pPr>
              <w:spacing w:line="240" w:lineRule="auto"/>
              <w:ind w:firstLine="0"/>
              <w:jc w:val="center"/>
              <w:rPr>
                <w:rFonts w:hint="eastAsia" w:eastAsia="Calibri"/>
                <w:bCs/>
                <w:color w:val="000000"/>
                <w:sz w:val="21"/>
                <w:szCs w:val="32"/>
              </w:rPr>
            </w:pPr>
            <w:r>
              <w:rPr>
                <w:bCs/>
                <w:color w:val="000000"/>
                <w:sz w:val="21"/>
                <w:szCs w:val="32"/>
              </w:rPr>
              <w:t>生活垃圾</w:t>
            </w:r>
            <w:r>
              <w:rPr>
                <w:rFonts w:hint="eastAsia"/>
                <w:bCs/>
                <w:color w:val="000000"/>
                <w:sz w:val="21"/>
                <w:szCs w:val="32"/>
              </w:rPr>
              <w:t>、</w:t>
            </w:r>
            <w:r>
              <w:rPr>
                <w:rFonts w:hint="eastAsia" w:eastAsia="宋体"/>
                <w:bCs/>
                <w:color w:val="000000"/>
                <w:sz w:val="21"/>
                <w:szCs w:val="32"/>
                <w:lang w:val="en-US" w:eastAsia="zh-CN"/>
              </w:rPr>
              <w:t>工业固体废物</w:t>
            </w:r>
            <w:r>
              <w:rPr>
                <w:rFonts w:hint="eastAsia"/>
                <w:bCs/>
                <w:color w:val="000000"/>
                <w:sz w:val="21"/>
                <w:szCs w:val="32"/>
              </w:rPr>
              <w:t>等</w:t>
            </w:r>
          </w:p>
        </w:tc>
      </w:tr>
      <w:tr w14:paraId="77F9CBCA">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rPr>
          <w:trHeight w:val="99" w:hRule="atLeast"/>
          <w:tblHeader/>
          <w:jc w:val="center"/>
        </w:trPr>
        <w:tc>
          <w:tcPr>
            <w:tcW w:w="1669" w:type="dxa"/>
            <w:noWrap w:val="0"/>
            <w:vAlign w:val="center"/>
          </w:tcPr>
          <w:p w14:paraId="47098A4F">
            <w:pPr>
              <w:spacing w:line="240" w:lineRule="auto"/>
              <w:ind w:firstLine="0"/>
              <w:jc w:val="center"/>
              <w:rPr>
                <w:rFonts w:hint="eastAsia"/>
                <w:bCs/>
                <w:color w:val="000000"/>
                <w:sz w:val="21"/>
                <w:szCs w:val="32"/>
              </w:rPr>
            </w:pPr>
            <w:r>
              <w:rPr>
                <w:rFonts w:hint="eastAsia"/>
                <w:bCs/>
                <w:color w:val="000000"/>
                <w:sz w:val="21"/>
                <w:szCs w:val="32"/>
              </w:rPr>
              <w:t>环境风险</w:t>
            </w:r>
          </w:p>
        </w:tc>
        <w:tc>
          <w:tcPr>
            <w:tcW w:w="6853" w:type="dxa"/>
            <w:gridSpan w:val="2"/>
            <w:noWrap w:val="0"/>
            <w:vAlign w:val="center"/>
          </w:tcPr>
          <w:p w14:paraId="6757E8EB">
            <w:pPr>
              <w:spacing w:line="240" w:lineRule="auto"/>
              <w:ind w:firstLine="0"/>
              <w:jc w:val="center"/>
              <w:rPr>
                <w:rFonts w:hint="eastAsia" w:eastAsia="Calibri"/>
                <w:bCs/>
                <w:color w:val="000000"/>
                <w:sz w:val="21"/>
                <w:szCs w:val="32"/>
              </w:rPr>
            </w:pPr>
            <w:r>
              <w:rPr>
                <w:rFonts w:hint="eastAsia"/>
                <w:bCs/>
                <w:color w:val="000000"/>
                <w:sz w:val="21"/>
                <w:szCs w:val="32"/>
              </w:rPr>
              <w:t>火灾、爆炸风险、废水、废气事故排放风险</w:t>
            </w:r>
            <w:r>
              <w:rPr>
                <w:rFonts w:hint="eastAsia" w:eastAsia="宋体"/>
                <w:bCs/>
                <w:color w:val="000000"/>
                <w:sz w:val="21"/>
                <w:szCs w:val="32"/>
                <w:lang w:eastAsia="zh-CN"/>
              </w:rPr>
              <w:t>、</w:t>
            </w:r>
            <w:r>
              <w:rPr>
                <w:rFonts w:hint="eastAsia" w:eastAsia="宋体"/>
                <w:bCs/>
                <w:color w:val="000000"/>
                <w:sz w:val="21"/>
                <w:szCs w:val="32"/>
                <w:lang w:val="en-US" w:eastAsia="zh-CN"/>
              </w:rPr>
              <w:t>危险化学品泄漏风险</w:t>
            </w:r>
            <w:r>
              <w:rPr>
                <w:rFonts w:hint="eastAsia"/>
                <w:bCs/>
                <w:color w:val="000000"/>
                <w:sz w:val="21"/>
                <w:szCs w:val="32"/>
              </w:rPr>
              <w:t>等</w:t>
            </w:r>
          </w:p>
        </w:tc>
      </w:tr>
      <w:bookmarkEnd w:id="38"/>
      <w:bookmarkEnd w:id="39"/>
      <w:bookmarkEnd w:id="40"/>
      <w:bookmarkEnd w:id="41"/>
    </w:tbl>
    <w:p w14:paraId="48569A42">
      <w:pPr>
        <w:ind w:firstLine="480"/>
        <w:rPr>
          <w:rFonts w:ascii="Times New Roman" w:hAnsi="Times New Roman" w:cs="Times New Roman"/>
        </w:rPr>
      </w:pPr>
      <w:bookmarkStart w:id="42" w:name="_Toc418954592"/>
      <w:r>
        <w:rPr>
          <w:rFonts w:hint="eastAsia" w:ascii="Times New Roman" w:hAnsi="Times New Roman"/>
        </w:rPr>
        <w:t>2.3</w:t>
      </w:r>
      <w:r>
        <w:rPr>
          <w:rFonts w:ascii="Times New Roman" w:hAnsi="Times New Roman"/>
        </w:rPr>
        <w:t xml:space="preserve"> </w:t>
      </w:r>
      <w:r>
        <w:rPr>
          <w:rFonts w:hint="eastAsia" w:ascii="Times New Roman" w:hAnsi="Times New Roman"/>
          <w:lang w:val="en-US" w:eastAsia="zh-CN"/>
        </w:rPr>
        <w:t>环境功能区划</w:t>
      </w:r>
    </w:p>
    <w:p w14:paraId="61681724">
      <w:pPr>
        <w:pStyle w:val="187"/>
        <w:rPr>
          <w:rFonts w:hint="eastAsia" w:ascii="Times New Roman" w:hAnsi="Times New Roman"/>
          <w:bCs/>
          <w:lang w:val="en-US" w:eastAsia="zh-CN"/>
        </w:rPr>
      </w:pPr>
      <w:bookmarkStart w:id="43" w:name="_Toc29396"/>
      <w:r>
        <w:rPr>
          <w:rFonts w:hint="eastAsia" w:ascii="Times New Roman" w:hAnsi="Times New Roman"/>
          <w:bCs/>
          <w:lang w:val="en-US" w:eastAsia="zh-CN"/>
        </w:rPr>
        <w:t>2.3</w:t>
      </w:r>
      <w:r>
        <w:rPr>
          <w:rFonts w:ascii="Times New Roman" w:hAnsi="Times New Roman"/>
          <w:bCs/>
          <w:lang w:val="en-US" w:eastAsia="zh-CN"/>
        </w:rPr>
        <w:t xml:space="preserve"> </w:t>
      </w:r>
      <w:r>
        <w:rPr>
          <w:rFonts w:hint="eastAsia" w:ascii="Times New Roman" w:hAnsi="Times New Roman"/>
          <w:bCs/>
          <w:lang w:val="en-US" w:eastAsia="zh-CN"/>
        </w:rPr>
        <w:t>环境功能区划</w:t>
      </w:r>
      <w:bookmarkEnd w:id="42"/>
      <w:r>
        <w:rPr>
          <w:rFonts w:hint="eastAsia" w:ascii="Times New Roman" w:hAnsi="Times New Roman"/>
          <w:bCs/>
          <w:lang w:val="en-US" w:eastAsia="zh-CN"/>
        </w:rPr>
        <w:t xml:space="preserve"> </w:t>
      </w:r>
    </w:p>
    <w:p w14:paraId="4EDB9910">
      <w:pPr>
        <w:pStyle w:val="282"/>
        <w:rPr>
          <w:rFonts w:hint="eastAsia" w:ascii="Times New Roman" w:hAnsi="Times New Roman"/>
          <w:b w:val="0"/>
          <w:bCs/>
        </w:rPr>
      </w:pPr>
      <w:r>
        <w:rPr>
          <w:rFonts w:hint="eastAsia" w:ascii="Times New Roman" w:hAnsi="Times New Roman" w:eastAsia="黑体"/>
          <w:b w:val="0"/>
          <w:sz w:val="28"/>
          <w:szCs w:val="28"/>
          <w:lang w:val="en-US" w:eastAsia="zh-CN" w:bidi="ar-SA"/>
        </w:rPr>
        <w:t>2.3</w:t>
      </w:r>
      <w:r>
        <w:rPr>
          <w:rFonts w:ascii="Times New Roman" w:hAnsi="Times New Roman" w:eastAsia="黑体"/>
          <w:b w:val="0"/>
          <w:sz w:val="28"/>
          <w:szCs w:val="28"/>
          <w:lang w:val="en-US" w:eastAsia="zh-CN" w:bidi="ar-SA"/>
        </w:rPr>
        <w:t xml:space="preserve">.1 </w:t>
      </w:r>
      <w:r>
        <w:rPr>
          <w:rFonts w:hint="eastAsia" w:ascii="Times New Roman" w:hAnsi="Times New Roman" w:eastAsia="黑体"/>
          <w:b w:val="0"/>
          <w:sz w:val="28"/>
          <w:szCs w:val="28"/>
          <w:lang w:val="en-US" w:eastAsia="zh-CN" w:bidi="ar-SA"/>
        </w:rPr>
        <w:t>环境空气功能区划</w:t>
      </w:r>
      <w:r>
        <w:rPr>
          <w:rFonts w:hint="eastAsia" w:ascii="Times New Roman" w:hAnsi="Times New Roman"/>
          <w:b w:val="0"/>
          <w:bCs/>
          <w:lang w:val="en-US" w:eastAsia="zh-CN"/>
        </w:rPr>
        <w:t xml:space="preserve"> </w:t>
      </w:r>
    </w:p>
    <w:p w14:paraId="54DF235E">
      <w:pPr>
        <w:keepNext w:val="0"/>
        <w:keepLines w:val="0"/>
        <w:widowControl/>
        <w:suppressLineNumbers w:val="0"/>
        <w:jc w:val="left"/>
      </w:pPr>
      <w:r>
        <w:rPr>
          <w:rFonts w:hint="eastAsia" w:ascii="宋体" w:hAnsi="宋体" w:eastAsia="宋体" w:cs="宋体"/>
          <w:color w:val="000000"/>
          <w:sz w:val="24"/>
          <w:szCs w:val="24"/>
          <w:lang w:val="en-US" w:eastAsia="zh-CN" w:bidi="ar"/>
        </w:rPr>
        <w:t>项目位于</w:t>
      </w:r>
      <w:r>
        <w:rPr>
          <w:rFonts w:hint="eastAsia"/>
          <w:szCs w:val="22"/>
        </w:rPr>
        <w:t>德宏州芒市镇大湾村委会街坡村民小组（奥环水泥厂西面）</w:t>
      </w:r>
      <w:r>
        <w:rPr>
          <w:rFonts w:hint="eastAsia" w:ascii="宋体" w:hAnsi="宋体" w:eastAsia="宋体" w:cs="宋体"/>
          <w:color w:val="000000"/>
          <w:sz w:val="24"/>
          <w:szCs w:val="24"/>
          <w:lang w:val="en-US" w:eastAsia="zh-CN" w:bidi="ar"/>
        </w:rPr>
        <w:t>，所处区域划分为二类功能区，执行《环境空气质量标准》（</w:t>
      </w:r>
      <w:r>
        <w:rPr>
          <w:rFonts w:ascii="Times New Roman" w:hAnsi="Times New Roman" w:eastAsia="宋体" w:cs="Times New Roman"/>
          <w:color w:val="000000"/>
          <w:sz w:val="24"/>
          <w:szCs w:val="24"/>
          <w:lang w:val="en-US" w:eastAsia="zh-CN" w:bidi="ar"/>
        </w:rPr>
        <w:t>GB3095-2012</w:t>
      </w:r>
      <w:r>
        <w:rPr>
          <w:rFonts w:hint="eastAsia" w:ascii="宋体" w:hAnsi="宋体" w:eastAsia="宋体" w:cs="宋体"/>
          <w:color w:val="000000"/>
          <w:sz w:val="24"/>
          <w:szCs w:val="24"/>
          <w:lang w:val="en-US" w:eastAsia="zh-CN" w:bidi="ar"/>
        </w:rPr>
        <w:t xml:space="preserve">） 二级标准。 </w:t>
      </w:r>
    </w:p>
    <w:p w14:paraId="75B74E55">
      <w:pPr>
        <w:pStyle w:val="282"/>
        <w:rPr>
          <w:rFonts w:ascii="Times New Roman" w:hAnsi="Times New Roman" w:eastAsia="黑体"/>
          <w:b w:val="0"/>
          <w:bCs/>
          <w:sz w:val="28"/>
          <w:szCs w:val="28"/>
          <w:lang w:val="en-US" w:eastAsia="zh-CN" w:bidi="ar-SA"/>
        </w:rPr>
      </w:pPr>
      <w:r>
        <w:rPr>
          <w:rFonts w:hint="eastAsia" w:ascii="Times New Roman" w:hAnsi="Times New Roman" w:eastAsia="黑体"/>
          <w:b w:val="0"/>
          <w:bCs/>
          <w:sz w:val="28"/>
          <w:szCs w:val="28"/>
          <w:lang w:val="en-US" w:eastAsia="zh-CN" w:bidi="ar-SA"/>
        </w:rPr>
        <w:t>2.3</w:t>
      </w:r>
      <w:r>
        <w:rPr>
          <w:rFonts w:ascii="Times New Roman" w:hAnsi="Times New Roman" w:eastAsia="黑体"/>
          <w:b w:val="0"/>
          <w:bCs/>
          <w:sz w:val="28"/>
          <w:szCs w:val="28"/>
          <w:lang w:val="en-US" w:eastAsia="zh-CN" w:bidi="ar-SA"/>
        </w:rPr>
        <w:t xml:space="preserve">.2 </w:t>
      </w:r>
      <w:r>
        <w:rPr>
          <w:rFonts w:hint="eastAsia" w:ascii="Times New Roman" w:hAnsi="Times New Roman" w:eastAsia="黑体"/>
          <w:b w:val="0"/>
          <w:bCs/>
          <w:sz w:val="28"/>
          <w:szCs w:val="28"/>
          <w:lang w:val="en-US" w:eastAsia="zh-CN" w:bidi="ar-SA"/>
        </w:rPr>
        <w:t xml:space="preserve">水环境功能区划 </w:t>
      </w:r>
    </w:p>
    <w:p w14:paraId="3559C5C3">
      <w:pPr>
        <w:keepNext w:val="0"/>
        <w:keepLines w:val="0"/>
        <w:widowControl/>
        <w:suppressLineNumbers w:val="0"/>
        <w:jc w:val="left"/>
      </w:pPr>
      <w:r>
        <w:rPr>
          <w:rFonts w:hint="eastAsia" w:ascii="宋体" w:hAnsi="宋体" w:eastAsia="宋体" w:cs="宋体"/>
          <w:b/>
          <w:color w:val="000000"/>
          <w:sz w:val="24"/>
          <w:szCs w:val="24"/>
          <w:lang w:val="en-US" w:eastAsia="zh-CN" w:bidi="ar"/>
        </w:rPr>
        <w:t>（</w:t>
      </w:r>
      <w:r>
        <w:rPr>
          <w:rFonts w:ascii="Times New Roman" w:hAnsi="Times New Roman" w:eastAsia="宋体" w:cs="Times New Roman"/>
          <w:b/>
          <w:color w:val="000000"/>
          <w:sz w:val="24"/>
          <w:szCs w:val="24"/>
          <w:lang w:val="en-US" w:eastAsia="zh-CN" w:bidi="ar"/>
        </w:rPr>
        <w:t>1</w:t>
      </w:r>
      <w:r>
        <w:rPr>
          <w:rFonts w:hint="eastAsia" w:ascii="宋体" w:hAnsi="宋体" w:eastAsia="宋体" w:cs="宋体"/>
          <w:b/>
          <w:color w:val="000000"/>
          <w:sz w:val="24"/>
          <w:szCs w:val="24"/>
          <w:lang w:val="en-US" w:eastAsia="zh-CN" w:bidi="ar"/>
        </w:rPr>
        <w:t xml:space="preserve">）地表水环境 </w:t>
      </w:r>
    </w:p>
    <w:p w14:paraId="0C4A08E6">
      <w:pPr>
        <w:keepNext w:val="0"/>
        <w:keepLines w:val="0"/>
        <w:widowControl/>
        <w:suppressLineNumbers w:val="0"/>
        <w:jc w:val="left"/>
        <w:rPr>
          <w:color w:val="000000"/>
        </w:rPr>
      </w:pPr>
      <w:r>
        <w:rPr>
          <w:rFonts w:hint="eastAsia" w:ascii="宋体" w:hAnsi="宋体" w:eastAsia="宋体" w:cs="宋体"/>
          <w:color w:val="000000"/>
          <w:sz w:val="24"/>
          <w:szCs w:val="24"/>
          <w:lang w:val="en-US" w:eastAsia="zh-CN" w:bidi="ar"/>
        </w:rPr>
        <w:t>根据对项目现场的踏勘，距离项目区最近的地表水为北侧600m的芒市大河。根据《云南省地表水水环境功能区划（</w:t>
      </w:r>
      <w:r>
        <w:rPr>
          <w:rFonts w:ascii="Times New Roman" w:hAnsi="Times New Roman" w:eastAsia="宋体" w:cs="Times New Roman"/>
          <w:color w:val="000000"/>
          <w:sz w:val="24"/>
          <w:szCs w:val="24"/>
          <w:lang w:val="en-US" w:eastAsia="zh-CN" w:bidi="ar"/>
        </w:rPr>
        <w:t xml:space="preserve">2010-2020 </w:t>
      </w:r>
      <w:r>
        <w:rPr>
          <w:rFonts w:hint="eastAsia" w:ascii="宋体" w:hAnsi="宋体" w:eastAsia="宋体" w:cs="宋体"/>
          <w:color w:val="000000"/>
          <w:sz w:val="24"/>
          <w:szCs w:val="24"/>
          <w:lang w:val="en-US" w:eastAsia="zh-CN" w:bidi="ar"/>
        </w:rPr>
        <w:t>年）》，芒市大河木康断面</w:t>
      </w:r>
      <w:r>
        <w:rPr>
          <w:rFonts w:ascii="Times New Roman" w:hAnsi="Times New Roman" w:eastAsia="宋体" w:cs="Times New Roman"/>
          <w:color w:val="000000"/>
          <w:sz w:val="24"/>
          <w:szCs w:val="24"/>
          <w:lang w:val="en-US" w:eastAsia="zh-CN" w:bidi="ar"/>
        </w:rPr>
        <w:t>-</w:t>
      </w:r>
      <w:r>
        <w:rPr>
          <w:rFonts w:hint="eastAsia" w:ascii="宋体" w:hAnsi="宋体" w:eastAsia="宋体" w:cs="宋体"/>
          <w:color w:val="000000"/>
          <w:sz w:val="24"/>
          <w:szCs w:val="24"/>
          <w:lang w:val="en-US" w:eastAsia="zh-CN" w:bidi="ar"/>
        </w:rPr>
        <w:t>入瑞丽江口段为Ⅲ类水体，执行《地表水环境质量标准》（</w:t>
      </w:r>
      <w:r>
        <w:rPr>
          <w:rFonts w:ascii="Times New Roman" w:hAnsi="Times New Roman" w:eastAsia="宋体" w:cs="Times New Roman"/>
          <w:color w:val="000000"/>
          <w:sz w:val="24"/>
          <w:szCs w:val="24"/>
          <w:lang w:val="en-US" w:eastAsia="zh-CN" w:bidi="ar"/>
        </w:rPr>
        <w:t>GB3838-2002</w:t>
      </w:r>
      <w:r>
        <w:rPr>
          <w:rFonts w:hint="eastAsia" w:ascii="宋体" w:hAnsi="宋体" w:eastAsia="宋体" w:cs="宋体"/>
          <w:color w:val="000000"/>
          <w:sz w:val="24"/>
          <w:szCs w:val="24"/>
          <w:lang w:val="en-US" w:eastAsia="zh-CN" w:bidi="ar"/>
        </w:rPr>
        <w:t>）Ⅲ类水质控制。</w:t>
      </w:r>
    </w:p>
    <w:p w14:paraId="3C740E86">
      <w:pPr>
        <w:keepNext w:val="0"/>
        <w:keepLines w:val="0"/>
        <w:widowControl/>
        <w:suppressLineNumbers w:val="0"/>
        <w:jc w:val="left"/>
      </w:pPr>
      <w:r>
        <w:rPr>
          <w:rFonts w:hint="eastAsia" w:ascii="宋体" w:hAnsi="宋体" w:eastAsia="宋体" w:cs="宋体"/>
          <w:b/>
          <w:color w:val="000000"/>
          <w:sz w:val="24"/>
          <w:szCs w:val="24"/>
          <w:lang w:val="en-US" w:eastAsia="zh-CN" w:bidi="ar"/>
        </w:rPr>
        <w:t>（</w:t>
      </w:r>
      <w:r>
        <w:rPr>
          <w:rFonts w:ascii="Times New Roman" w:hAnsi="Times New Roman" w:eastAsia="宋体" w:cs="Times New Roman"/>
          <w:b/>
          <w:color w:val="000000"/>
          <w:sz w:val="24"/>
          <w:szCs w:val="24"/>
          <w:lang w:val="en-US" w:eastAsia="zh-CN" w:bidi="ar"/>
        </w:rPr>
        <w:t>2</w:t>
      </w:r>
      <w:r>
        <w:rPr>
          <w:rFonts w:hint="eastAsia" w:ascii="宋体" w:hAnsi="宋体" w:eastAsia="宋体" w:cs="宋体"/>
          <w:b/>
          <w:color w:val="000000"/>
          <w:sz w:val="24"/>
          <w:szCs w:val="24"/>
          <w:lang w:val="en-US" w:eastAsia="zh-CN" w:bidi="ar"/>
        </w:rPr>
        <w:t xml:space="preserve">）地下水环境 </w:t>
      </w:r>
    </w:p>
    <w:p w14:paraId="0A583E73">
      <w:pPr>
        <w:keepNext w:val="0"/>
        <w:keepLines w:val="0"/>
        <w:widowControl/>
        <w:suppressLineNumbers w:val="0"/>
        <w:jc w:val="left"/>
      </w:pPr>
      <w:r>
        <w:rPr>
          <w:rFonts w:hint="eastAsia" w:ascii="宋体" w:hAnsi="宋体" w:eastAsia="宋体" w:cs="宋体"/>
          <w:color w:val="000000"/>
          <w:sz w:val="24"/>
          <w:szCs w:val="24"/>
          <w:lang w:val="en-US" w:eastAsia="zh-CN" w:bidi="ar"/>
        </w:rPr>
        <w:t>项目区地下水水质执行《地下水质量标准》（</w:t>
      </w:r>
      <w:r>
        <w:rPr>
          <w:rFonts w:ascii="Times New Roman" w:hAnsi="Times New Roman" w:eastAsia="宋体" w:cs="Times New Roman"/>
          <w:color w:val="000000"/>
          <w:sz w:val="24"/>
          <w:szCs w:val="24"/>
          <w:lang w:val="en-US" w:eastAsia="zh-CN" w:bidi="ar"/>
        </w:rPr>
        <w:t>GB/T14848-2017</w:t>
      </w:r>
      <w:r>
        <w:rPr>
          <w:rFonts w:hint="eastAsia" w:ascii="宋体" w:hAnsi="宋体" w:eastAsia="宋体" w:cs="宋体"/>
          <w:color w:val="000000"/>
          <w:sz w:val="24"/>
          <w:szCs w:val="24"/>
          <w:lang w:val="en-US" w:eastAsia="zh-CN" w:bidi="ar"/>
        </w:rPr>
        <w:t xml:space="preserve">）Ⅲ类标准。 </w:t>
      </w:r>
    </w:p>
    <w:p w14:paraId="0D0094FE">
      <w:pPr>
        <w:pStyle w:val="282"/>
        <w:rPr>
          <w:rFonts w:ascii="Times New Roman" w:hAnsi="Times New Roman" w:eastAsia="黑体"/>
          <w:b w:val="0"/>
          <w:bCs/>
          <w:sz w:val="28"/>
          <w:szCs w:val="28"/>
          <w:lang w:val="en-US" w:eastAsia="zh-CN" w:bidi="ar-SA"/>
        </w:rPr>
      </w:pPr>
      <w:r>
        <w:rPr>
          <w:rFonts w:hint="eastAsia" w:ascii="Times New Roman" w:hAnsi="Times New Roman" w:eastAsia="黑体"/>
          <w:b w:val="0"/>
          <w:bCs/>
          <w:sz w:val="28"/>
          <w:szCs w:val="28"/>
          <w:lang w:val="en-US" w:eastAsia="zh-CN" w:bidi="ar-SA"/>
        </w:rPr>
        <w:t>2.3</w:t>
      </w:r>
      <w:r>
        <w:rPr>
          <w:rFonts w:ascii="Times New Roman" w:hAnsi="Times New Roman" w:eastAsia="黑体"/>
          <w:b w:val="0"/>
          <w:bCs/>
          <w:sz w:val="28"/>
          <w:szCs w:val="28"/>
          <w:lang w:val="en-US" w:eastAsia="zh-CN" w:bidi="ar-SA"/>
        </w:rPr>
        <w:t xml:space="preserve">.3 </w:t>
      </w:r>
      <w:r>
        <w:rPr>
          <w:rFonts w:hint="eastAsia" w:ascii="Times New Roman" w:hAnsi="Times New Roman" w:eastAsia="黑体"/>
          <w:b w:val="0"/>
          <w:bCs/>
          <w:sz w:val="28"/>
          <w:szCs w:val="28"/>
          <w:lang w:val="en-US" w:eastAsia="zh-CN" w:bidi="ar-SA"/>
        </w:rPr>
        <w:t xml:space="preserve">声环境功能区划 </w:t>
      </w:r>
    </w:p>
    <w:p w14:paraId="2FC845AD">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根据《云南德宏州芒市声环境功能区划分（</w:t>
      </w:r>
      <w:r>
        <w:rPr>
          <w:rFonts w:ascii="Times New Roman" w:hAnsi="Times New Roman" w:eastAsia="宋体" w:cs="Times New Roman"/>
          <w:color w:val="000000"/>
          <w:sz w:val="24"/>
          <w:szCs w:val="24"/>
          <w:lang w:val="en-US" w:eastAsia="zh-CN" w:bidi="ar"/>
        </w:rPr>
        <w:t>2019</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2029</w:t>
      </w:r>
      <w:r>
        <w:rPr>
          <w:rFonts w:hint="eastAsia" w:ascii="宋体" w:hAnsi="宋体" w:eastAsia="宋体" w:cs="宋体"/>
          <w:color w:val="000000"/>
          <w:sz w:val="24"/>
          <w:szCs w:val="24"/>
          <w:lang w:val="en-US" w:eastAsia="zh-CN" w:bidi="ar"/>
        </w:rPr>
        <w:t>）》，项目所在地声环境区划为2类功能区，声环境质量执行《声环境质量标准》（</w:t>
      </w:r>
      <w:r>
        <w:rPr>
          <w:rFonts w:ascii="Times New Roman" w:hAnsi="Times New Roman" w:eastAsia="宋体" w:cs="Times New Roman"/>
          <w:color w:val="000000"/>
          <w:sz w:val="24"/>
          <w:szCs w:val="24"/>
          <w:lang w:val="en-US" w:eastAsia="zh-CN" w:bidi="ar"/>
        </w:rPr>
        <w:t>GB3096-2008</w:t>
      </w:r>
      <w:r>
        <w:rPr>
          <w:rFonts w:hint="eastAsia" w:ascii="宋体" w:hAnsi="宋体" w:eastAsia="宋体" w:cs="宋体"/>
          <w:color w:val="000000"/>
          <w:sz w:val="24"/>
          <w:szCs w:val="24"/>
          <w:lang w:val="en-US" w:eastAsia="zh-CN" w:bidi="ar"/>
        </w:rPr>
        <w:t>）</w:t>
      </w:r>
      <w:r>
        <w:rPr>
          <w:rFonts w:hint="eastAsia"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类标准。</w:t>
      </w:r>
    </w:p>
    <w:p w14:paraId="54D0567B">
      <w:pPr>
        <w:keepNext w:val="0"/>
        <w:keepLines w:val="0"/>
        <w:widowControl/>
        <w:suppressLineNumbers w:val="0"/>
        <w:ind w:left="0" w:firstLine="0"/>
        <w:jc w:val="left"/>
        <w:rPr>
          <w:rFonts w:hint="eastAsia" w:ascii="Times New Roman" w:hAnsi="Times New Roman" w:eastAsia="黑体"/>
          <w:b w:val="0"/>
          <w:bCs/>
          <w:sz w:val="28"/>
          <w:szCs w:val="28"/>
          <w:lang w:val="en-US" w:eastAsia="zh-CN" w:bidi="ar-SA"/>
        </w:rPr>
      </w:pPr>
      <w:r>
        <w:rPr>
          <w:rFonts w:hint="eastAsia" w:ascii="Times New Roman" w:hAnsi="Times New Roman" w:eastAsia="黑体"/>
          <w:b w:val="0"/>
          <w:bCs/>
          <w:sz w:val="28"/>
          <w:szCs w:val="28"/>
          <w:lang w:val="en-US" w:eastAsia="zh-CN" w:bidi="ar-SA"/>
        </w:rPr>
        <w:t xml:space="preserve">2.3.4土壤环境质量标准 </w:t>
      </w:r>
    </w:p>
    <w:p w14:paraId="26611484">
      <w:pPr>
        <w:keepNext w:val="0"/>
        <w:keepLines w:val="0"/>
        <w:widowControl/>
        <w:suppressLineNumbers w:val="0"/>
        <w:ind w:left="0" w:firstLine="480"/>
        <w:jc w:val="left"/>
      </w:pPr>
      <w:r>
        <w:rPr>
          <w:rFonts w:hint="eastAsia" w:ascii="宋体" w:hAnsi="宋体" w:eastAsia="宋体" w:cs="宋体"/>
          <w:color w:val="000000"/>
          <w:sz w:val="24"/>
          <w:szCs w:val="24"/>
          <w:lang w:val="en-US" w:eastAsia="zh-CN" w:bidi="ar"/>
        </w:rPr>
        <w:t xml:space="preserve">建设用地执行《土壤环境质量 建设用地土壤污染风险管控标准（试行）》 </w:t>
      </w:r>
    </w:p>
    <w:p w14:paraId="5C98755C">
      <w:pPr>
        <w:keepNext w:val="0"/>
        <w:keepLines w:val="0"/>
        <w:widowControl/>
        <w:suppressLineNumbers w:val="0"/>
        <w:ind w:left="0" w:firstLine="0"/>
        <w:jc w:val="left"/>
      </w:pPr>
      <w:r>
        <w:rPr>
          <w:rFonts w:ascii="Times New Roman" w:hAnsi="Times New Roman" w:eastAsia="宋体" w:cs="Times New Roman"/>
          <w:color w:val="000000"/>
          <w:sz w:val="24"/>
          <w:szCs w:val="24"/>
          <w:lang w:val="en-US" w:eastAsia="zh-CN" w:bidi="ar"/>
        </w:rPr>
        <w:t>(GB36600-2018)</w:t>
      </w:r>
      <w:r>
        <w:rPr>
          <w:rFonts w:hint="eastAsia" w:ascii="宋体" w:hAnsi="宋体" w:eastAsia="宋体" w:cs="宋体"/>
          <w:color w:val="000000"/>
          <w:sz w:val="24"/>
          <w:szCs w:val="24"/>
          <w:lang w:val="en-US" w:eastAsia="zh-CN" w:bidi="ar"/>
        </w:rPr>
        <w:t>中筛选值第二类用地。</w:t>
      </w:r>
    </w:p>
    <w:p w14:paraId="6B5EE68E">
      <w:pPr>
        <w:ind w:firstLine="480"/>
        <w:rPr>
          <w:rFonts w:hint="eastAsia"/>
          <w:b/>
        </w:rPr>
      </w:pPr>
      <w:r>
        <w:rPr>
          <w:rFonts w:hint="eastAsia"/>
        </w:rPr>
        <w:t>项目所在区域的环境功能区划见下表</w:t>
      </w:r>
      <w:r>
        <w:t>2</w:t>
      </w:r>
      <w:r>
        <w:rPr>
          <w:rFonts w:hint="eastAsia"/>
          <w:lang w:val="en-US" w:eastAsia="zh-CN"/>
        </w:rPr>
        <w:t>.3-1</w:t>
      </w:r>
      <w:r>
        <w:rPr>
          <w:rFonts w:hint="eastAsia"/>
        </w:rPr>
        <w:t>。</w:t>
      </w:r>
    </w:p>
    <w:p w14:paraId="72226332">
      <w:pPr>
        <w:spacing w:line="240" w:lineRule="auto"/>
        <w:ind w:firstLine="482"/>
        <w:jc w:val="left"/>
        <w:rPr>
          <w:b/>
        </w:rPr>
      </w:pPr>
      <w:r>
        <w:rPr>
          <w:rFonts w:hint="eastAsia"/>
          <w:b/>
        </w:rPr>
        <w:t xml:space="preserve">            表2</w:t>
      </w:r>
      <w:r>
        <w:rPr>
          <w:rFonts w:hint="eastAsia"/>
          <w:b/>
          <w:lang w:val="en-US" w:eastAsia="zh-CN"/>
        </w:rPr>
        <w:t>.3</w:t>
      </w:r>
      <w:r>
        <w:rPr>
          <w:rFonts w:hint="eastAsia"/>
          <w:b/>
        </w:rPr>
        <w:t>-1  项目区域环境功能区划一览表</w:t>
      </w:r>
    </w:p>
    <w:tbl>
      <w:tblPr>
        <w:tblStyle w:val="32"/>
        <w:tblW w:w="0" w:type="auto"/>
        <w:tblInd w:w="-108" w:type="dxa"/>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Layout w:type="fixed"/>
        <w:tblCellMar>
          <w:top w:w="0" w:type="dxa"/>
          <w:left w:w="108" w:type="dxa"/>
          <w:bottom w:w="0" w:type="dxa"/>
          <w:right w:w="108" w:type="dxa"/>
        </w:tblCellMar>
      </w:tblPr>
      <w:tblGrid>
        <w:gridCol w:w="1243"/>
        <w:gridCol w:w="4438"/>
        <w:gridCol w:w="2841"/>
      </w:tblGrid>
      <w:tr w14:paraId="24548787">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5612E447">
            <w:pPr>
              <w:widowControl w:val="0"/>
              <w:ind w:firstLine="0"/>
              <w:jc w:val="center"/>
              <w:rPr>
                <w:rFonts w:hint="eastAsia"/>
                <w:sz w:val="21"/>
                <w:szCs w:val="21"/>
              </w:rPr>
            </w:pPr>
            <w:r>
              <w:rPr>
                <w:rFonts w:hint="eastAsia"/>
                <w:sz w:val="21"/>
                <w:szCs w:val="21"/>
              </w:rPr>
              <w:t>序号</w:t>
            </w:r>
          </w:p>
        </w:tc>
        <w:tc>
          <w:tcPr>
            <w:tcW w:w="4438" w:type="dxa"/>
            <w:noWrap w:val="0"/>
            <w:vAlign w:val="center"/>
          </w:tcPr>
          <w:p w14:paraId="49E20243">
            <w:pPr>
              <w:widowControl w:val="0"/>
              <w:ind w:firstLine="0"/>
              <w:jc w:val="center"/>
              <w:rPr>
                <w:rFonts w:hint="eastAsia"/>
                <w:sz w:val="21"/>
                <w:szCs w:val="21"/>
              </w:rPr>
            </w:pPr>
            <w:r>
              <w:rPr>
                <w:rFonts w:hint="eastAsia"/>
                <w:sz w:val="21"/>
                <w:szCs w:val="21"/>
              </w:rPr>
              <w:t>项目</w:t>
            </w:r>
          </w:p>
        </w:tc>
        <w:tc>
          <w:tcPr>
            <w:tcW w:w="2841" w:type="dxa"/>
            <w:noWrap w:val="0"/>
            <w:vAlign w:val="center"/>
          </w:tcPr>
          <w:p w14:paraId="680FBCDD">
            <w:pPr>
              <w:widowControl w:val="0"/>
              <w:ind w:firstLine="0"/>
              <w:jc w:val="center"/>
              <w:rPr>
                <w:rFonts w:hint="eastAsia"/>
                <w:sz w:val="21"/>
                <w:szCs w:val="21"/>
              </w:rPr>
            </w:pPr>
            <w:r>
              <w:rPr>
                <w:rFonts w:hint="eastAsia"/>
                <w:sz w:val="21"/>
                <w:szCs w:val="21"/>
              </w:rPr>
              <w:t>环境功能属性</w:t>
            </w:r>
          </w:p>
        </w:tc>
      </w:tr>
      <w:tr w14:paraId="0E03C4C8">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645283F3">
            <w:pPr>
              <w:widowControl w:val="0"/>
              <w:ind w:firstLine="0"/>
              <w:jc w:val="center"/>
              <w:rPr>
                <w:rFonts w:hint="eastAsia"/>
                <w:sz w:val="21"/>
                <w:szCs w:val="21"/>
              </w:rPr>
            </w:pPr>
            <w:r>
              <w:rPr>
                <w:rFonts w:hint="eastAsia"/>
                <w:sz w:val="21"/>
                <w:szCs w:val="21"/>
              </w:rPr>
              <w:t>1</w:t>
            </w:r>
          </w:p>
        </w:tc>
        <w:tc>
          <w:tcPr>
            <w:tcW w:w="4438" w:type="dxa"/>
            <w:noWrap w:val="0"/>
            <w:vAlign w:val="center"/>
          </w:tcPr>
          <w:p w14:paraId="140B128B">
            <w:pPr>
              <w:widowControl w:val="0"/>
              <w:spacing w:line="240" w:lineRule="auto"/>
              <w:ind w:firstLine="0"/>
              <w:jc w:val="center"/>
              <w:rPr>
                <w:sz w:val="21"/>
                <w:szCs w:val="21"/>
              </w:rPr>
            </w:pPr>
            <w:r>
              <w:rPr>
                <w:sz w:val="21"/>
                <w:szCs w:val="21"/>
              </w:rPr>
              <w:t>环境空气功能区</w:t>
            </w:r>
          </w:p>
        </w:tc>
        <w:tc>
          <w:tcPr>
            <w:tcW w:w="2841" w:type="dxa"/>
            <w:noWrap w:val="0"/>
            <w:vAlign w:val="center"/>
          </w:tcPr>
          <w:p w14:paraId="2E90E2BA">
            <w:pPr>
              <w:widowControl w:val="0"/>
              <w:spacing w:line="240" w:lineRule="auto"/>
              <w:ind w:firstLine="0"/>
              <w:jc w:val="center"/>
              <w:rPr>
                <w:sz w:val="21"/>
                <w:szCs w:val="21"/>
              </w:rPr>
            </w:pPr>
            <w:r>
              <w:rPr>
                <w:sz w:val="21"/>
                <w:szCs w:val="21"/>
              </w:rPr>
              <w:t>二类</w:t>
            </w:r>
          </w:p>
        </w:tc>
      </w:tr>
      <w:tr w14:paraId="0E2DAD8E">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5847762E">
            <w:pPr>
              <w:widowControl w:val="0"/>
              <w:ind w:firstLine="0"/>
              <w:jc w:val="center"/>
              <w:rPr>
                <w:rFonts w:hint="eastAsia"/>
                <w:sz w:val="21"/>
                <w:szCs w:val="21"/>
              </w:rPr>
            </w:pPr>
            <w:r>
              <w:rPr>
                <w:rFonts w:hint="eastAsia"/>
                <w:sz w:val="21"/>
                <w:szCs w:val="21"/>
              </w:rPr>
              <w:t>2</w:t>
            </w:r>
          </w:p>
        </w:tc>
        <w:tc>
          <w:tcPr>
            <w:tcW w:w="4438" w:type="dxa"/>
            <w:noWrap w:val="0"/>
            <w:vAlign w:val="center"/>
          </w:tcPr>
          <w:p w14:paraId="2909C444">
            <w:pPr>
              <w:widowControl w:val="0"/>
              <w:spacing w:line="240" w:lineRule="auto"/>
              <w:ind w:firstLine="0"/>
              <w:jc w:val="center"/>
              <w:rPr>
                <w:sz w:val="21"/>
                <w:szCs w:val="21"/>
              </w:rPr>
            </w:pPr>
            <w:r>
              <w:rPr>
                <w:sz w:val="21"/>
                <w:szCs w:val="21"/>
              </w:rPr>
              <w:t>地表水环境功能区</w:t>
            </w:r>
          </w:p>
        </w:tc>
        <w:tc>
          <w:tcPr>
            <w:tcW w:w="2841" w:type="dxa"/>
            <w:noWrap w:val="0"/>
            <w:vAlign w:val="center"/>
          </w:tcPr>
          <w:p w14:paraId="48BE5DC1">
            <w:pPr>
              <w:widowControl w:val="0"/>
              <w:spacing w:line="240" w:lineRule="auto"/>
              <w:ind w:left="0" w:firstLine="0"/>
              <w:jc w:val="center"/>
              <w:rPr>
                <w:rFonts w:hint="eastAsia"/>
                <w:sz w:val="21"/>
                <w:szCs w:val="21"/>
              </w:rPr>
            </w:pPr>
            <w:r>
              <w:rPr>
                <w:rFonts w:hAnsi="宋体"/>
                <w:sz w:val="21"/>
                <w:szCs w:val="21"/>
              </w:rPr>
              <w:t>Ⅲ类</w:t>
            </w:r>
          </w:p>
        </w:tc>
      </w:tr>
      <w:tr w14:paraId="7E1AFCF0">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3BDF3C42">
            <w:pPr>
              <w:widowControl w:val="0"/>
              <w:ind w:firstLine="0"/>
              <w:jc w:val="center"/>
              <w:rPr>
                <w:rFonts w:hint="eastAsia"/>
                <w:sz w:val="21"/>
                <w:szCs w:val="21"/>
              </w:rPr>
            </w:pPr>
            <w:r>
              <w:rPr>
                <w:rFonts w:hint="eastAsia"/>
                <w:sz w:val="21"/>
                <w:szCs w:val="21"/>
              </w:rPr>
              <w:t>3</w:t>
            </w:r>
          </w:p>
        </w:tc>
        <w:tc>
          <w:tcPr>
            <w:tcW w:w="4438" w:type="dxa"/>
            <w:noWrap w:val="0"/>
            <w:vAlign w:val="center"/>
          </w:tcPr>
          <w:p w14:paraId="4E305632">
            <w:pPr>
              <w:widowControl w:val="0"/>
              <w:spacing w:line="240" w:lineRule="auto"/>
              <w:ind w:firstLine="0"/>
              <w:jc w:val="center"/>
              <w:rPr>
                <w:sz w:val="21"/>
                <w:szCs w:val="21"/>
              </w:rPr>
            </w:pPr>
            <w:r>
              <w:rPr>
                <w:sz w:val="21"/>
                <w:szCs w:val="21"/>
              </w:rPr>
              <w:t>地下水环境功能区</w:t>
            </w:r>
          </w:p>
        </w:tc>
        <w:tc>
          <w:tcPr>
            <w:tcW w:w="2841" w:type="dxa"/>
            <w:noWrap w:val="0"/>
            <w:vAlign w:val="center"/>
          </w:tcPr>
          <w:p w14:paraId="28C97298">
            <w:pPr>
              <w:widowControl w:val="0"/>
              <w:spacing w:line="240" w:lineRule="auto"/>
              <w:ind w:firstLine="0"/>
              <w:jc w:val="center"/>
              <w:rPr>
                <w:sz w:val="21"/>
                <w:szCs w:val="21"/>
              </w:rPr>
            </w:pPr>
            <w:r>
              <w:rPr>
                <w:rFonts w:hAnsi="宋体"/>
                <w:sz w:val="21"/>
                <w:szCs w:val="21"/>
              </w:rPr>
              <w:t>Ⅲ</w:t>
            </w:r>
            <w:r>
              <w:rPr>
                <w:sz w:val="21"/>
                <w:szCs w:val="21"/>
              </w:rPr>
              <w:t>类</w:t>
            </w:r>
          </w:p>
        </w:tc>
      </w:tr>
      <w:tr w14:paraId="31810A5B">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65" w:hRule="atLeast"/>
        </w:trPr>
        <w:tc>
          <w:tcPr>
            <w:tcW w:w="1243" w:type="dxa"/>
            <w:noWrap w:val="0"/>
            <w:vAlign w:val="center"/>
          </w:tcPr>
          <w:p w14:paraId="129528C0">
            <w:pPr>
              <w:widowControl w:val="0"/>
              <w:ind w:firstLine="0"/>
              <w:jc w:val="center"/>
              <w:rPr>
                <w:rFonts w:hint="eastAsia"/>
                <w:sz w:val="21"/>
                <w:szCs w:val="21"/>
              </w:rPr>
            </w:pPr>
            <w:r>
              <w:rPr>
                <w:rFonts w:hint="eastAsia"/>
                <w:sz w:val="21"/>
                <w:szCs w:val="21"/>
              </w:rPr>
              <w:t>4</w:t>
            </w:r>
          </w:p>
        </w:tc>
        <w:tc>
          <w:tcPr>
            <w:tcW w:w="4438" w:type="dxa"/>
            <w:noWrap w:val="0"/>
            <w:vAlign w:val="center"/>
          </w:tcPr>
          <w:p w14:paraId="07F47CDC">
            <w:pPr>
              <w:widowControl w:val="0"/>
              <w:spacing w:line="240" w:lineRule="auto"/>
              <w:ind w:firstLine="0"/>
              <w:jc w:val="center"/>
              <w:rPr>
                <w:sz w:val="21"/>
                <w:szCs w:val="21"/>
              </w:rPr>
            </w:pPr>
            <w:r>
              <w:rPr>
                <w:sz w:val="21"/>
                <w:szCs w:val="21"/>
              </w:rPr>
              <w:t>声环境功能区</w:t>
            </w:r>
          </w:p>
        </w:tc>
        <w:tc>
          <w:tcPr>
            <w:tcW w:w="2841" w:type="dxa"/>
            <w:noWrap w:val="0"/>
            <w:vAlign w:val="center"/>
          </w:tcPr>
          <w:p w14:paraId="3C009A6A">
            <w:pPr>
              <w:widowControl w:val="0"/>
              <w:spacing w:line="240" w:lineRule="auto"/>
              <w:ind w:firstLine="0"/>
              <w:jc w:val="center"/>
              <w:rPr>
                <w:sz w:val="21"/>
                <w:szCs w:val="21"/>
              </w:rPr>
            </w:pPr>
            <w:r>
              <w:rPr>
                <w:rFonts w:hint="eastAsia"/>
                <w:sz w:val="21"/>
                <w:szCs w:val="21"/>
              </w:rPr>
              <w:t>2类</w:t>
            </w:r>
          </w:p>
        </w:tc>
      </w:tr>
      <w:tr w14:paraId="0CCBB542">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65" w:hRule="atLeast"/>
        </w:trPr>
        <w:tc>
          <w:tcPr>
            <w:tcW w:w="1243" w:type="dxa"/>
            <w:noWrap w:val="0"/>
            <w:vAlign w:val="center"/>
          </w:tcPr>
          <w:p w14:paraId="15FEF33F">
            <w:pPr>
              <w:widowControl w:val="0"/>
              <w:ind w:firstLine="0"/>
              <w:jc w:val="center"/>
              <w:rPr>
                <w:rFonts w:hint="eastAsia" w:eastAsia="宋体"/>
                <w:sz w:val="21"/>
                <w:szCs w:val="21"/>
                <w:lang w:val="en-US" w:eastAsia="zh-CN"/>
              </w:rPr>
            </w:pPr>
            <w:r>
              <w:rPr>
                <w:rFonts w:hint="eastAsia"/>
                <w:sz w:val="21"/>
                <w:szCs w:val="21"/>
                <w:lang w:val="en-US" w:eastAsia="zh-CN"/>
              </w:rPr>
              <w:t>5</w:t>
            </w:r>
          </w:p>
        </w:tc>
        <w:tc>
          <w:tcPr>
            <w:tcW w:w="4438" w:type="dxa"/>
            <w:noWrap w:val="0"/>
            <w:vAlign w:val="center"/>
          </w:tcPr>
          <w:p w14:paraId="59E2E2D5">
            <w:pPr>
              <w:widowControl w:val="0"/>
              <w:spacing w:line="240" w:lineRule="auto"/>
              <w:ind w:firstLine="0"/>
              <w:jc w:val="center"/>
              <w:rPr>
                <w:rFonts w:eastAsia="宋体"/>
                <w:sz w:val="21"/>
                <w:szCs w:val="21"/>
                <w:lang w:val="en-US" w:eastAsia="zh-CN"/>
              </w:rPr>
            </w:pPr>
            <w:r>
              <w:rPr>
                <w:rFonts w:hint="eastAsia"/>
                <w:sz w:val="21"/>
                <w:szCs w:val="21"/>
                <w:lang w:val="en-US" w:eastAsia="zh-CN"/>
              </w:rPr>
              <w:t>土壤环境功能区划</w:t>
            </w:r>
          </w:p>
        </w:tc>
        <w:tc>
          <w:tcPr>
            <w:tcW w:w="2841" w:type="dxa"/>
            <w:noWrap w:val="0"/>
            <w:vAlign w:val="center"/>
          </w:tcPr>
          <w:p w14:paraId="70692A19">
            <w:pPr>
              <w:widowControl w:val="0"/>
              <w:spacing w:line="240" w:lineRule="auto"/>
              <w:ind w:firstLine="0"/>
              <w:jc w:val="center"/>
              <w:rPr>
                <w:rFonts w:hint="eastAsia" w:eastAsia="新宋体"/>
                <w:sz w:val="21"/>
                <w:szCs w:val="21"/>
                <w:lang w:val="en-US" w:eastAsia="zh-CN"/>
              </w:rPr>
            </w:pPr>
            <w:r>
              <w:rPr>
                <w:rFonts w:hint="eastAsia" w:ascii="新宋体" w:hAnsi="新宋体" w:eastAsia="新宋体" w:cs="新宋体"/>
                <w:sz w:val="21"/>
                <w:szCs w:val="21"/>
              </w:rPr>
              <w:t>Ⅱ</w:t>
            </w:r>
            <w:r>
              <w:rPr>
                <w:rFonts w:hint="eastAsia" w:eastAsia="新宋体"/>
                <w:sz w:val="21"/>
                <w:szCs w:val="21"/>
                <w:lang w:val="en-US" w:eastAsia="zh-CN"/>
              </w:rPr>
              <w:t>类</w:t>
            </w:r>
          </w:p>
        </w:tc>
      </w:tr>
      <w:tr w14:paraId="177DA734">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4FC7DEAD">
            <w:pPr>
              <w:widowControl w:val="0"/>
              <w:ind w:firstLine="0"/>
              <w:jc w:val="center"/>
              <w:rPr>
                <w:rFonts w:hint="eastAsia" w:eastAsia="宋体"/>
                <w:sz w:val="21"/>
                <w:szCs w:val="21"/>
                <w:lang w:eastAsia="zh-CN"/>
              </w:rPr>
            </w:pPr>
            <w:r>
              <w:rPr>
                <w:rFonts w:hint="eastAsia"/>
                <w:sz w:val="21"/>
                <w:szCs w:val="21"/>
                <w:lang w:val="en-US" w:eastAsia="zh-CN"/>
              </w:rPr>
              <w:t>6</w:t>
            </w:r>
          </w:p>
        </w:tc>
        <w:tc>
          <w:tcPr>
            <w:tcW w:w="4438" w:type="dxa"/>
            <w:noWrap w:val="0"/>
            <w:vAlign w:val="center"/>
          </w:tcPr>
          <w:p w14:paraId="7BE56FF2">
            <w:pPr>
              <w:widowControl w:val="0"/>
              <w:spacing w:line="240" w:lineRule="auto"/>
              <w:ind w:firstLine="0"/>
              <w:jc w:val="center"/>
              <w:rPr>
                <w:sz w:val="21"/>
                <w:szCs w:val="21"/>
              </w:rPr>
            </w:pPr>
            <w:r>
              <w:rPr>
                <w:sz w:val="21"/>
                <w:szCs w:val="21"/>
              </w:rPr>
              <w:t>是否</w:t>
            </w:r>
            <w:r>
              <w:rPr>
                <w:rFonts w:hint="eastAsia"/>
                <w:sz w:val="21"/>
                <w:szCs w:val="21"/>
              </w:rPr>
              <w:t>涉及</w:t>
            </w:r>
            <w:r>
              <w:rPr>
                <w:sz w:val="21"/>
                <w:szCs w:val="21"/>
              </w:rPr>
              <w:t>基本农田保护区</w:t>
            </w:r>
          </w:p>
        </w:tc>
        <w:tc>
          <w:tcPr>
            <w:tcW w:w="2841" w:type="dxa"/>
            <w:noWrap w:val="0"/>
            <w:vAlign w:val="center"/>
          </w:tcPr>
          <w:p w14:paraId="2C7CDE2D">
            <w:pPr>
              <w:widowControl w:val="0"/>
              <w:spacing w:line="240" w:lineRule="auto"/>
              <w:ind w:firstLine="0"/>
              <w:jc w:val="center"/>
              <w:rPr>
                <w:sz w:val="21"/>
                <w:szCs w:val="21"/>
              </w:rPr>
            </w:pPr>
            <w:r>
              <w:rPr>
                <w:sz w:val="21"/>
                <w:szCs w:val="21"/>
              </w:rPr>
              <w:t>否</w:t>
            </w:r>
          </w:p>
        </w:tc>
      </w:tr>
      <w:tr w14:paraId="7DDFB654">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489892CC">
            <w:pPr>
              <w:widowControl w:val="0"/>
              <w:ind w:firstLine="0"/>
              <w:jc w:val="center"/>
              <w:rPr>
                <w:rFonts w:hint="eastAsia" w:eastAsia="宋体"/>
                <w:sz w:val="21"/>
                <w:szCs w:val="21"/>
                <w:lang w:eastAsia="zh-CN"/>
              </w:rPr>
            </w:pPr>
            <w:r>
              <w:rPr>
                <w:rFonts w:hint="eastAsia"/>
                <w:sz w:val="21"/>
                <w:szCs w:val="21"/>
                <w:lang w:val="en-US" w:eastAsia="zh-CN"/>
              </w:rPr>
              <w:t>7</w:t>
            </w:r>
          </w:p>
        </w:tc>
        <w:tc>
          <w:tcPr>
            <w:tcW w:w="4438" w:type="dxa"/>
            <w:noWrap w:val="0"/>
            <w:vAlign w:val="center"/>
          </w:tcPr>
          <w:p w14:paraId="0BBD4B05">
            <w:pPr>
              <w:widowControl w:val="0"/>
              <w:spacing w:line="240" w:lineRule="auto"/>
              <w:ind w:firstLine="0"/>
              <w:jc w:val="center"/>
              <w:rPr>
                <w:sz w:val="21"/>
                <w:szCs w:val="21"/>
              </w:rPr>
            </w:pPr>
            <w:r>
              <w:rPr>
                <w:sz w:val="21"/>
                <w:szCs w:val="21"/>
              </w:rPr>
              <w:t>是否</w:t>
            </w:r>
            <w:r>
              <w:rPr>
                <w:rFonts w:hint="eastAsia"/>
                <w:sz w:val="21"/>
                <w:szCs w:val="21"/>
              </w:rPr>
              <w:t>涉及风景</w:t>
            </w:r>
            <w:r>
              <w:rPr>
                <w:sz w:val="21"/>
                <w:szCs w:val="21"/>
              </w:rPr>
              <w:t>名胜区</w:t>
            </w:r>
          </w:p>
        </w:tc>
        <w:tc>
          <w:tcPr>
            <w:tcW w:w="2841" w:type="dxa"/>
            <w:noWrap w:val="0"/>
            <w:vAlign w:val="center"/>
          </w:tcPr>
          <w:p w14:paraId="28D9E03A">
            <w:pPr>
              <w:widowControl w:val="0"/>
              <w:spacing w:line="240" w:lineRule="auto"/>
              <w:ind w:firstLine="0"/>
              <w:jc w:val="center"/>
              <w:rPr>
                <w:rFonts w:hint="eastAsia"/>
                <w:sz w:val="21"/>
                <w:szCs w:val="21"/>
              </w:rPr>
            </w:pPr>
            <w:r>
              <w:rPr>
                <w:rFonts w:hint="eastAsia"/>
                <w:sz w:val="21"/>
                <w:szCs w:val="21"/>
              </w:rPr>
              <w:t>否</w:t>
            </w:r>
          </w:p>
        </w:tc>
      </w:tr>
      <w:tr w14:paraId="4191FCF8">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5CAE54B7">
            <w:pPr>
              <w:widowControl w:val="0"/>
              <w:ind w:firstLine="0"/>
              <w:jc w:val="center"/>
              <w:rPr>
                <w:rFonts w:hint="eastAsia" w:eastAsia="宋体"/>
                <w:sz w:val="21"/>
                <w:szCs w:val="21"/>
                <w:lang w:eastAsia="zh-CN"/>
              </w:rPr>
            </w:pPr>
            <w:r>
              <w:rPr>
                <w:rFonts w:hint="eastAsia"/>
                <w:sz w:val="21"/>
                <w:szCs w:val="21"/>
                <w:lang w:val="en-US" w:eastAsia="zh-CN"/>
              </w:rPr>
              <w:t>8</w:t>
            </w:r>
          </w:p>
        </w:tc>
        <w:tc>
          <w:tcPr>
            <w:tcW w:w="4438" w:type="dxa"/>
            <w:noWrap w:val="0"/>
            <w:vAlign w:val="center"/>
          </w:tcPr>
          <w:p w14:paraId="3BC5D029">
            <w:pPr>
              <w:widowControl w:val="0"/>
              <w:spacing w:line="240" w:lineRule="auto"/>
              <w:ind w:firstLine="0"/>
              <w:jc w:val="center"/>
              <w:rPr>
                <w:sz w:val="21"/>
                <w:szCs w:val="21"/>
              </w:rPr>
            </w:pPr>
            <w:r>
              <w:rPr>
                <w:sz w:val="21"/>
                <w:szCs w:val="21"/>
              </w:rPr>
              <w:t>是否</w:t>
            </w:r>
            <w:r>
              <w:rPr>
                <w:rFonts w:hint="eastAsia"/>
                <w:sz w:val="21"/>
                <w:szCs w:val="21"/>
              </w:rPr>
              <w:t>涉及</w:t>
            </w:r>
            <w:r>
              <w:rPr>
                <w:sz w:val="21"/>
                <w:szCs w:val="21"/>
              </w:rPr>
              <w:t>自然保护区</w:t>
            </w:r>
          </w:p>
        </w:tc>
        <w:tc>
          <w:tcPr>
            <w:tcW w:w="2841" w:type="dxa"/>
            <w:noWrap w:val="0"/>
            <w:vAlign w:val="center"/>
          </w:tcPr>
          <w:p w14:paraId="585D1DE6">
            <w:pPr>
              <w:widowControl w:val="0"/>
              <w:spacing w:line="240" w:lineRule="auto"/>
              <w:ind w:firstLine="0"/>
              <w:jc w:val="center"/>
              <w:rPr>
                <w:sz w:val="21"/>
                <w:szCs w:val="21"/>
              </w:rPr>
            </w:pPr>
            <w:r>
              <w:rPr>
                <w:sz w:val="21"/>
                <w:szCs w:val="21"/>
              </w:rPr>
              <w:t>否</w:t>
            </w:r>
          </w:p>
        </w:tc>
      </w:tr>
      <w:tr w14:paraId="6FBD9C06">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6FC0CEB0">
            <w:pPr>
              <w:widowControl w:val="0"/>
              <w:ind w:firstLine="0"/>
              <w:jc w:val="center"/>
              <w:rPr>
                <w:rFonts w:hint="eastAsia" w:eastAsia="宋体"/>
                <w:sz w:val="21"/>
                <w:szCs w:val="21"/>
                <w:lang w:eastAsia="zh-CN"/>
              </w:rPr>
            </w:pPr>
            <w:r>
              <w:rPr>
                <w:rFonts w:hint="eastAsia"/>
                <w:sz w:val="21"/>
                <w:szCs w:val="21"/>
                <w:lang w:val="en-US" w:eastAsia="zh-CN"/>
              </w:rPr>
              <w:t>9</w:t>
            </w:r>
          </w:p>
        </w:tc>
        <w:tc>
          <w:tcPr>
            <w:tcW w:w="4438" w:type="dxa"/>
            <w:noWrap w:val="0"/>
            <w:vAlign w:val="center"/>
          </w:tcPr>
          <w:p w14:paraId="6F8C7E44">
            <w:pPr>
              <w:widowControl w:val="0"/>
              <w:spacing w:line="240" w:lineRule="auto"/>
              <w:ind w:firstLine="0"/>
              <w:jc w:val="center"/>
              <w:rPr>
                <w:sz w:val="21"/>
                <w:szCs w:val="21"/>
              </w:rPr>
            </w:pPr>
            <w:r>
              <w:rPr>
                <w:sz w:val="21"/>
                <w:szCs w:val="21"/>
              </w:rPr>
              <w:t>是否</w:t>
            </w:r>
            <w:r>
              <w:rPr>
                <w:rFonts w:hint="eastAsia"/>
                <w:sz w:val="21"/>
                <w:szCs w:val="21"/>
              </w:rPr>
              <w:t>涉及</w:t>
            </w:r>
            <w:r>
              <w:rPr>
                <w:sz w:val="21"/>
                <w:szCs w:val="21"/>
              </w:rPr>
              <w:t>饮用水源保护区</w:t>
            </w:r>
          </w:p>
        </w:tc>
        <w:tc>
          <w:tcPr>
            <w:tcW w:w="2841" w:type="dxa"/>
            <w:noWrap w:val="0"/>
            <w:vAlign w:val="center"/>
          </w:tcPr>
          <w:p w14:paraId="59631E41">
            <w:pPr>
              <w:widowControl w:val="0"/>
              <w:spacing w:line="240" w:lineRule="auto"/>
              <w:ind w:firstLine="0"/>
              <w:jc w:val="center"/>
              <w:rPr>
                <w:sz w:val="21"/>
                <w:szCs w:val="21"/>
              </w:rPr>
            </w:pPr>
            <w:r>
              <w:rPr>
                <w:sz w:val="21"/>
                <w:szCs w:val="21"/>
              </w:rPr>
              <w:t>否</w:t>
            </w:r>
          </w:p>
        </w:tc>
      </w:tr>
      <w:tr w14:paraId="7E9699EB">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c>
          <w:tcPr>
            <w:tcW w:w="1243" w:type="dxa"/>
            <w:noWrap w:val="0"/>
            <w:vAlign w:val="center"/>
          </w:tcPr>
          <w:p w14:paraId="0F9D82BF">
            <w:pPr>
              <w:widowControl w:val="0"/>
              <w:ind w:firstLine="0"/>
              <w:jc w:val="center"/>
              <w:rPr>
                <w:rFonts w:eastAsia="宋体"/>
                <w:sz w:val="21"/>
                <w:szCs w:val="21"/>
                <w:lang w:val="en-US" w:eastAsia="zh-CN"/>
              </w:rPr>
            </w:pPr>
            <w:r>
              <w:rPr>
                <w:rFonts w:hint="eastAsia"/>
                <w:sz w:val="21"/>
                <w:szCs w:val="21"/>
                <w:lang w:val="en-US" w:eastAsia="zh-CN"/>
              </w:rPr>
              <w:t>10</w:t>
            </w:r>
          </w:p>
        </w:tc>
        <w:tc>
          <w:tcPr>
            <w:tcW w:w="4438" w:type="dxa"/>
            <w:noWrap w:val="0"/>
            <w:vAlign w:val="center"/>
          </w:tcPr>
          <w:p w14:paraId="025B8F5D">
            <w:pPr>
              <w:widowControl w:val="0"/>
              <w:spacing w:line="240" w:lineRule="auto"/>
              <w:ind w:firstLine="0"/>
              <w:jc w:val="center"/>
              <w:rPr>
                <w:sz w:val="21"/>
                <w:szCs w:val="21"/>
              </w:rPr>
            </w:pPr>
            <w:r>
              <w:rPr>
                <w:sz w:val="21"/>
                <w:szCs w:val="21"/>
              </w:rPr>
              <w:t>是否为环境敏感区</w:t>
            </w:r>
          </w:p>
        </w:tc>
        <w:tc>
          <w:tcPr>
            <w:tcW w:w="2841" w:type="dxa"/>
            <w:noWrap w:val="0"/>
            <w:vAlign w:val="center"/>
          </w:tcPr>
          <w:p w14:paraId="2C7005B9">
            <w:pPr>
              <w:widowControl w:val="0"/>
              <w:spacing w:line="240" w:lineRule="auto"/>
              <w:ind w:firstLine="0"/>
              <w:jc w:val="center"/>
              <w:rPr>
                <w:rFonts w:hint="eastAsia"/>
                <w:sz w:val="21"/>
                <w:szCs w:val="21"/>
              </w:rPr>
            </w:pPr>
            <w:r>
              <w:rPr>
                <w:sz w:val="21"/>
                <w:szCs w:val="21"/>
              </w:rPr>
              <w:t>否</w:t>
            </w:r>
          </w:p>
        </w:tc>
      </w:tr>
    </w:tbl>
    <w:p w14:paraId="64DA038D">
      <w:pPr>
        <w:pStyle w:val="187"/>
        <w:rPr>
          <w:rFonts w:ascii="Times New Roman" w:hAnsi="Times New Roman"/>
        </w:rPr>
      </w:pPr>
      <w:bookmarkStart w:id="44" w:name="_Toc30346"/>
      <w:r>
        <w:rPr>
          <w:rFonts w:hint="eastAsia" w:ascii="Times New Roman" w:hAnsi="Times New Roman"/>
          <w:lang w:val="en-US" w:eastAsia="zh-CN"/>
        </w:rPr>
        <w:t>2.4</w:t>
      </w:r>
      <w:r>
        <w:rPr>
          <w:rFonts w:hint="eastAsia" w:ascii="Times New Roman" w:hAnsi="Times New Roman"/>
        </w:rPr>
        <w:t>评价标准</w:t>
      </w:r>
      <w:bookmarkEnd w:id="43"/>
    </w:p>
    <w:p w14:paraId="23873D15">
      <w:pPr>
        <w:ind w:firstLine="480"/>
        <w:rPr>
          <w:rFonts w:ascii="Times New Roman" w:hAnsi="Times New Roman" w:cs="Times New Roman"/>
        </w:rPr>
      </w:pPr>
      <w:r>
        <w:rPr>
          <w:rFonts w:ascii="Times New Roman" w:hAnsi="Times New Roman" w:cs="Times New Roman"/>
        </w:rPr>
        <w:t>本项目采取的环境质量标准和污染物排放标准如下。</w:t>
      </w:r>
    </w:p>
    <w:p w14:paraId="3CA9699C">
      <w:pPr>
        <w:pStyle w:val="188"/>
        <w:rPr>
          <w:rFonts w:hint="eastAsia"/>
        </w:rPr>
      </w:pPr>
      <w:r>
        <w:rPr>
          <w:rFonts w:hint="eastAsia"/>
        </w:rPr>
        <w:t>2.</w:t>
      </w:r>
      <w:r>
        <w:rPr>
          <w:rFonts w:hint="eastAsia"/>
          <w:lang w:val="en-US" w:eastAsia="zh-CN"/>
        </w:rPr>
        <w:t>4</w:t>
      </w:r>
      <w:r>
        <w:rPr>
          <w:rFonts w:hint="eastAsia"/>
        </w:rPr>
        <w:t>.1</w:t>
      </w:r>
      <w:r>
        <w:t xml:space="preserve"> </w:t>
      </w:r>
      <w:r>
        <w:rPr>
          <w:rFonts w:hint="eastAsia"/>
        </w:rPr>
        <w:t>环境质量标准</w:t>
      </w:r>
    </w:p>
    <w:p w14:paraId="6743FC24">
      <w:pPr>
        <w:ind w:firstLine="480"/>
        <w:rPr>
          <w:rFonts w:hint="eastAsia"/>
        </w:rPr>
      </w:pPr>
      <w:r>
        <w:rPr>
          <w:rFonts w:hint="eastAsia"/>
        </w:rPr>
        <w:t>（1）环境空气质量评价标准</w:t>
      </w:r>
    </w:p>
    <w:p w14:paraId="514D813D">
      <w:pPr>
        <w:keepNext w:val="0"/>
        <w:keepLines w:val="0"/>
        <w:widowControl/>
        <w:suppressLineNumbers w:val="0"/>
        <w:ind w:left="0" w:firstLine="480"/>
        <w:jc w:val="left"/>
        <w:rPr>
          <w:rFonts w:hint="eastAsia"/>
          <w:color w:val="000000"/>
        </w:rPr>
      </w:pPr>
      <w:r>
        <w:rPr>
          <w:rFonts w:ascii="宋体" w:hAnsi="宋体" w:eastAsia="宋体" w:cs="Times New Roman"/>
          <w:sz w:val="24"/>
          <w:szCs w:val="24"/>
        </w:rPr>
        <w:t>项目</w:t>
      </w:r>
      <w:r>
        <w:rPr>
          <w:rFonts w:hint="eastAsia" w:ascii="宋体" w:hAnsi="宋体" w:eastAsia="宋体" w:cs="Times New Roman"/>
          <w:sz w:val="24"/>
          <w:szCs w:val="24"/>
        </w:rPr>
        <w:t>所在区域</w:t>
      </w:r>
      <w:r>
        <w:rPr>
          <w:rFonts w:ascii="宋体" w:hAnsi="宋体" w:eastAsia="宋体" w:cs="Times New Roman"/>
          <w:sz w:val="24"/>
          <w:szCs w:val="24"/>
        </w:rPr>
        <w:t>属环境空气功能区二类区，</w:t>
      </w:r>
      <w:r>
        <w:rPr>
          <w:rFonts w:ascii="Times New Roman" w:hAnsi="Times New Roman" w:eastAsia="Times New Roman" w:cs="Times New Roman"/>
          <w:spacing w:val="-5"/>
          <w:position w:val="2"/>
          <w:sz w:val="24"/>
          <w:szCs w:val="20"/>
        </w:rPr>
        <w:t>SO</w:t>
      </w:r>
      <w:r>
        <w:rPr>
          <w:rFonts w:ascii="Times New Roman" w:hAnsi="Times New Roman" w:eastAsia="Times New Roman" w:cs="Times New Roman"/>
          <w:spacing w:val="-5"/>
          <w:position w:val="2"/>
          <w:sz w:val="24"/>
          <w:szCs w:val="20"/>
          <w:vertAlign w:val="subscript"/>
        </w:rPr>
        <w:t>2</w:t>
      </w:r>
      <w:r>
        <w:rPr>
          <w:rFonts w:ascii="Times New Roman" w:hAnsi="Times New Roman" w:eastAsia="宋体" w:cs="Times New Roman"/>
          <w:spacing w:val="-17"/>
          <w:position w:val="2"/>
          <w:sz w:val="24"/>
          <w:szCs w:val="20"/>
          <w:vertAlign w:val="baseline"/>
        </w:rPr>
        <w:t>、</w:t>
      </w:r>
      <w:r>
        <w:rPr>
          <w:rFonts w:ascii="Times New Roman" w:hAnsi="Times New Roman" w:eastAsia="Times New Roman" w:cs="Times New Roman"/>
          <w:position w:val="2"/>
          <w:sz w:val="24"/>
          <w:szCs w:val="20"/>
          <w:vertAlign w:val="baseline"/>
        </w:rPr>
        <w:t>NO</w:t>
      </w:r>
      <w:r>
        <w:rPr>
          <w:rFonts w:ascii="Times New Roman" w:hAnsi="Times New Roman" w:eastAsia="Times New Roman" w:cs="Times New Roman"/>
          <w:position w:val="2"/>
          <w:sz w:val="24"/>
          <w:szCs w:val="20"/>
          <w:vertAlign w:val="subscript"/>
        </w:rPr>
        <w:t>2</w:t>
      </w:r>
      <w:r>
        <w:rPr>
          <w:rFonts w:ascii="Times New Roman" w:hAnsi="Times New Roman" w:eastAsia="宋体" w:cs="Times New Roman"/>
          <w:spacing w:val="-15"/>
          <w:position w:val="2"/>
          <w:sz w:val="24"/>
          <w:szCs w:val="20"/>
          <w:vertAlign w:val="baseline"/>
        </w:rPr>
        <w:t>、</w:t>
      </w:r>
      <w:r>
        <w:rPr>
          <w:rFonts w:ascii="Times New Roman" w:hAnsi="Times New Roman" w:eastAsia="Times New Roman" w:cs="Times New Roman"/>
          <w:position w:val="2"/>
          <w:sz w:val="24"/>
          <w:szCs w:val="20"/>
          <w:vertAlign w:val="baseline"/>
        </w:rPr>
        <w:t>PM</w:t>
      </w:r>
      <w:r>
        <w:rPr>
          <w:rFonts w:ascii="Times New Roman" w:hAnsi="Times New Roman" w:eastAsia="Times New Roman" w:cs="Times New Roman"/>
          <w:position w:val="2"/>
          <w:sz w:val="24"/>
          <w:szCs w:val="20"/>
          <w:vertAlign w:val="subscript"/>
        </w:rPr>
        <w:t>10</w:t>
      </w:r>
      <w:r>
        <w:rPr>
          <w:rFonts w:ascii="Times New Roman" w:hAnsi="Times New Roman" w:eastAsia="宋体" w:cs="Times New Roman"/>
          <w:spacing w:val="-17"/>
          <w:position w:val="2"/>
          <w:sz w:val="24"/>
          <w:szCs w:val="20"/>
          <w:vertAlign w:val="baseline"/>
        </w:rPr>
        <w:t>、</w:t>
      </w:r>
      <w:r>
        <w:rPr>
          <w:rFonts w:ascii="Times New Roman" w:hAnsi="Times New Roman" w:eastAsia="Times New Roman" w:cs="Times New Roman"/>
          <w:position w:val="2"/>
          <w:sz w:val="24"/>
          <w:szCs w:val="20"/>
          <w:vertAlign w:val="baseline"/>
        </w:rPr>
        <w:t>PM</w:t>
      </w:r>
      <w:r>
        <w:rPr>
          <w:rFonts w:ascii="Times New Roman" w:hAnsi="Times New Roman" w:eastAsia="Times New Roman" w:cs="Times New Roman"/>
          <w:position w:val="2"/>
          <w:sz w:val="24"/>
          <w:szCs w:val="20"/>
          <w:vertAlign w:val="subscript"/>
        </w:rPr>
        <w:t>2.5</w:t>
      </w:r>
      <w:r>
        <w:rPr>
          <w:rFonts w:ascii="Times New Roman" w:hAnsi="Times New Roman" w:eastAsia="宋体" w:cs="Times New Roman"/>
          <w:spacing w:val="-17"/>
          <w:position w:val="2"/>
          <w:sz w:val="24"/>
          <w:szCs w:val="20"/>
          <w:vertAlign w:val="baseline"/>
        </w:rPr>
        <w:t>、</w:t>
      </w:r>
      <w:r>
        <w:rPr>
          <w:rFonts w:ascii="Times New Roman" w:hAnsi="Times New Roman" w:eastAsia="Times New Roman" w:cs="Times New Roman"/>
          <w:position w:val="2"/>
          <w:sz w:val="24"/>
          <w:szCs w:val="20"/>
          <w:vertAlign w:val="baseline"/>
        </w:rPr>
        <w:t>CO</w:t>
      </w:r>
      <w:r>
        <w:rPr>
          <w:rFonts w:ascii="Times New Roman" w:hAnsi="Times New Roman" w:eastAsia="宋体" w:cs="Times New Roman"/>
          <w:spacing w:val="-17"/>
          <w:position w:val="2"/>
          <w:sz w:val="24"/>
          <w:szCs w:val="20"/>
          <w:vertAlign w:val="baseline"/>
        </w:rPr>
        <w:t>、</w:t>
      </w:r>
      <w:r>
        <w:rPr>
          <w:rFonts w:ascii="Times New Roman" w:hAnsi="Times New Roman" w:eastAsia="Times New Roman" w:cs="Times New Roman"/>
          <w:position w:val="2"/>
          <w:sz w:val="24"/>
          <w:szCs w:val="20"/>
          <w:vertAlign w:val="baseline"/>
        </w:rPr>
        <w:t>O</w:t>
      </w:r>
      <w:r>
        <w:rPr>
          <w:rFonts w:ascii="Times New Roman" w:hAnsi="Times New Roman" w:eastAsia="Times New Roman" w:cs="Times New Roman"/>
          <w:position w:val="2"/>
          <w:sz w:val="24"/>
          <w:szCs w:val="20"/>
          <w:vertAlign w:val="subscript"/>
        </w:rPr>
        <w:t>3</w:t>
      </w:r>
      <w:r>
        <w:rPr>
          <w:rFonts w:ascii="Times New Roman" w:hAnsi="Times New Roman" w:eastAsia="宋体" w:cs="Times New Roman"/>
          <w:spacing w:val="-17"/>
          <w:position w:val="2"/>
          <w:sz w:val="24"/>
          <w:szCs w:val="20"/>
          <w:vertAlign w:val="baseline"/>
        </w:rPr>
        <w:t>、</w:t>
      </w:r>
      <w:r>
        <w:rPr>
          <w:rFonts w:ascii="Times New Roman" w:hAnsi="Times New Roman" w:eastAsia="Times New Roman" w:cs="Times New Roman"/>
          <w:position w:val="2"/>
          <w:sz w:val="24"/>
          <w:szCs w:val="20"/>
          <w:vertAlign w:val="baseline"/>
        </w:rPr>
        <w:t xml:space="preserve">TSP </w:t>
      </w:r>
      <w:r>
        <w:rPr>
          <w:rFonts w:ascii="Times New Roman" w:hAnsi="Times New Roman" w:eastAsia="宋体" w:cs="Times New Roman"/>
          <w:spacing w:val="-12"/>
          <w:sz w:val="24"/>
          <w:szCs w:val="20"/>
          <w:vertAlign w:val="baseline"/>
        </w:rPr>
        <w:t>执行《环境空气质量标准》</w:t>
      </w:r>
      <w:r>
        <w:rPr>
          <w:rFonts w:ascii="Times New Roman" w:hAnsi="Times New Roman" w:eastAsia="宋体" w:cs="Times New Roman"/>
          <w:spacing w:val="-3"/>
          <w:sz w:val="24"/>
          <w:szCs w:val="20"/>
          <w:vertAlign w:val="baseline"/>
        </w:rPr>
        <w:t>（</w:t>
      </w:r>
      <w:r>
        <w:rPr>
          <w:rFonts w:ascii="Times New Roman" w:hAnsi="Times New Roman" w:eastAsia="Times New Roman" w:cs="Times New Roman"/>
          <w:spacing w:val="-3"/>
          <w:sz w:val="24"/>
          <w:szCs w:val="20"/>
          <w:vertAlign w:val="baseline"/>
        </w:rPr>
        <w:t>GB3095-2012</w:t>
      </w:r>
      <w:r>
        <w:rPr>
          <w:rFonts w:ascii="Times New Roman" w:hAnsi="Times New Roman" w:eastAsia="宋体" w:cs="Times New Roman"/>
          <w:spacing w:val="-3"/>
          <w:sz w:val="24"/>
          <w:szCs w:val="20"/>
          <w:vertAlign w:val="baseline"/>
        </w:rPr>
        <w:t>）</w:t>
      </w:r>
      <w:r>
        <w:rPr>
          <w:rFonts w:ascii="Times New Roman" w:hAnsi="Times New Roman" w:eastAsia="宋体" w:cs="Times New Roman"/>
          <w:spacing w:val="-9"/>
          <w:sz w:val="24"/>
          <w:szCs w:val="20"/>
          <w:vertAlign w:val="baseline"/>
        </w:rPr>
        <w:t>二级标准及其修改单；氨、甲醛、</w:t>
      </w:r>
      <w:r>
        <w:rPr>
          <w:rFonts w:ascii="Times New Roman" w:hAnsi="Times New Roman" w:eastAsia="Times New Roman" w:cs="Times New Roman"/>
          <w:sz w:val="24"/>
          <w:szCs w:val="20"/>
          <w:vertAlign w:val="baseline"/>
        </w:rPr>
        <w:t xml:space="preserve">TVOC </w:t>
      </w:r>
      <w:r>
        <w:rPr>
          <w:rFonts w:ascii="Times New Roman" w:hAnsi="Times New Roman" w:eastAsia="宋体" w:cs="Times New Roman"/>
          <w:spacing w:val="-9"/>
          <w:sz w:val="24"/>
          <w:szCs w:val="20"/>
          <w:vertAlign w:val="baseline"/>
        </w:rPr>
        <w:t>参照执行《环境影响评价技术导则 大气环境》</w:t>
      </w:r>
      <w:r>
        <w:rPr>
          <w:rFonts w:ascii="Times New Roman" w:hAnsi="Times New Roman" w:eastAsia="宋体" w:cs="Times New Roman"/>
          <w:spacing w:val="-3"/>
          <w:sz w:val="24"/>
          <w:szCs w:val="20"/>
          <w:vertAlign w:val="baseline"/>
        </w:rPr>
        <w:t>（</w:t>
      </w:r>
      <w:r>
        <w:rPr>
          <w:rFonts w:ascii="Times New Roman" w:hAnsi="Times New Roman" w:eastAsia="Times New Roman" w:cs="Times New Roman"/>
          <w:spacing w:val="-3"/>
          <w:sz w:val="24"/>
          <w:szCs w:val="20"/>
          <w:vertAlign w:val="baseline"/>
        </w:rPr>
        <w:t>HJ2.2-2018</w:t>
      </w:r>
      <w:r>
        <w:rPr>
          <w:rFonts w:ascii="Times New Roman" w:hAnsi="Times New Roman" w:eastAsia="宋体" w:cs="Times New Roman"/>
          <w:spacing w:val="-3"/>
          <w:sz w:val="24"/>
          <w:szCs w:val="20"/>
          <w:vertAlign w:val="baseline"/>
        </w:rPr>
        <w:t>）</w:t>
      </w:r>
      <w:r>
        <w:rPr>
          <w:rFonts w:ascii="Times New Roman" w:hAnsi="Times New Roman" w:eastAsia="宋体" w:cs="Times New Roman"/>
          <w:spacing w:val="-20"/>
          <w:sz w:val="24"/>
          <w:szCs w:val="20"/>
          <w:vertAlign w:val="baseline"/>
        </w:rPr>
        <w:t xml:space="preserve">附录 </w:t>
      </w:r>
      <w:r>
        <w:rPr>
          <w:rFonts w:ascii="Times New Roman" w:hAnsi="Times New Roman" w:eastAsia="Times New Roman" w:cs="Times New Roman"/>
          <w:sz w:val="24"/>
          <w:szCs w:val="20"/>
          <w:vertAlign w:val="baseline"/>
        </w:rPr>
        <w:t xml:space="preserve">D </w:t>
      </w:r>
      <w:r>
        <w:rPr>
          <w:rFonts w:ascii="Times New Roman" w:hAnsi="Times New Roman" w:eastAsia="宋体" w:cs="Times New Roman"/>
          <w:spacing w:val="-3"/>
          <w:sz w:val="24"/>
          <w:szCs w:val="20"/>
          <w:vertAlign w:val="baseline"/>
        </w:rPr>
        <w:t>中的参考限值；</w:t>
      </w:r>
      <w:r>
        <w:rPr>
          <w:rFonts w:hint="eastAsia" w:ascii="Times New Roman" w:hAnsi="Times New Roman" w:eastAsia="宋体" w:cs="Times New Roman"/>
          <w:sz w:val="24"/>
          <w:szCs w:val="20"/>
          <w:vertAlign w:val="baseline"/>
          <w:lang w:val="en-US" w:eastAsia="zh-CN"/>
        </w:rPr>
        <w:t>非</w:t>
      </w:r>
      <w:r>
        <w:rPr>
          <w:rFonts w:hint="eastAsia" w:ascii="Times New Roman" w:hAnsi="Times New Roman" w:eastAsia="宋体" w:cs="Times New Roman"/>
          <w:color w:val="000000"/>
          <w:sz w:val="24"/>
          <w:szCs w:val="20"/>
          <w:vertAlign w:val="baseline"/>
          <w:lang w:val="en-US" w:eastAsia="zh-CN"/>
        </w:rPr>
        <w:t>甲烷总烃参考执行</w:t>
      </w:r>
      <w:r>
        <w:rPr>
          <w:rFonts w:hint="eastAsia" w:ascii="Times New Roman" w:hAnsi="Times New Roman" w:eastAsia="宋体" w:cs="Times New Roman"/>
          <w:color w:val="000000"/>
          <w:sz w:val="24"/>
          <w:szCs w:val="20"/>
        </w:rPr>
        <w:t>国家环境保护总局科技标准司1997年编制的《大气污染物综合排放标准详解》相应标准</w:t>
      </w:r>
      <w:r>
        <w:rPr>
          <w:rFonts w:hint="eastAsia" w:ascii="Times New Roman" w:hAnsi="宋体" w:eastAsia="宋体" w:cs="Times New Roman"/>
          <w:color w:val="000000"/>
          <w:sz w:val="24"/>
          <w:szCs w:val="20"/>
          <w:lang w:eastAsia="zh-CN"/>
        </w:rPr>
        <w:t>。</w:t>
      </w:r>
      <w:r>
        <w:rPr>
          <w:rFonts w:ascii="Times New Roman" w:hAnsi="Times New Roman" w:eastAsia="宋体" w:cs="Times New Roman"/>
          <w:color w:val="000000"/>
          <w:sz w:val="24"/>
          <w:szCs w:val="20"/>
          <w:vertAlign w:val="baseline"/>
        </w:rPr>
        <w:t>项目环境空气质量执行标准见下表</w:t>
      </w:r>
      <w:r>
        <w:rPr>
          <w:rFonts w:hint="eastAsia" w:ascii="Times New Roman" w:hAnsi="Times New Roman" w:eastAsia="宋体" w:cs="Times New Roman"/>
          <w:color w:val="000000"/>
          <w:sz w:val="24"/>
          <w:szCs w:val="20"/>
          <w:vertAlign w:val="baseline"/>
          <w:lang w:eastAsia="zh-CN"/>
        </w:rPr>
        <w:t>。</w:t>
      </w:r>
      <w:r>
        <w:rPr>
          <w:rFonts w:hint="eastAsia" w:ascii="Times New Roman" w:hAnsi="Times New Roman" w:eastAsia="宋体" w:cs="Times New Roman"/>
          <w:color w:val="000000"/>
          <w:sz w:val="24"/>
          <w:szCs w:val="20"/>
        </w:rPr>
        <w:t xml:space="preserve"> </w:t>
      </w:r>
      <w:r>
        <w:rPr>
          <w:rFonts w:hint="eastAsia"/>
          <w:color w:val="000000"/>
        </w:rPr>
        <w:t xml:space="preserve">              </w:t>
      </w:r>
    </w:p>
    <w:p w14:paraId="2F2C927D">
      <w:pPr>
        <w:keepNext w:val="0"/>
        <w:keepLines w:val="0"/>
        <w:widowControl/>
        <w:suppressLineNumbers w:val="0"/>
        <w:ind w:firstLine="1440"/>
        <w:jc w:val="left"/>
        <w:rPr>
          <w:rFonts w:hint="eastAsia" w:eastAsia="Calibri"/>
          <w:color w:val="000000"/>
        </w:rPr>
      </w:pPr>
      <w:r>
        <w:rPr>
          <w:rFonts w:hint="eastAsia"/>
          <w:color w:val="000000"/>
        </w:rPr>
        <w:t xml:space="preserve"> </w:t>
      </w:r>
      <w:r>
        <w:rPr>
          <w:rFonts w:hint="eastAsia"/>
          <w:b/>
          <w:bCs/>
          <w:color w:val="000000"/>
        </w:rPr>
        <w:t xml:space="preserve"> 表</w:t>
      </w:r>
      <w:r>
        <w:rPr>
          <w:rFonts w:hint="eastAsia"/>
          <w:b/>
          <w:bCs/>
          <w:color w:val="000000"/>
          <w:lang w:val="en-US" w:eastAsia="zh-CN"/>
        </w:rPr>
        <w:t>2.4-1</w:t>
      </w:r>
      <w:r>
        <w:rPr>
          <w:rFonts w:hint="eastAsia"/>
          <w:b/>
          <w:bCs/>
          <w:color w:val="000000"/>
        </w:rPr>
        <w:t>环境空气质量标准   单位：mg/m</w:t>
      </w:r>
      <w:r>
        <w:rPr>
          <w:rFonts w:hint="eastAsia"/>
          <w:b/>
          <w:bCs/>
          <w:color w:val="000000"/>
          <w:vertAlign w:val="superscript"/>
        </w:rPr>
        <w:t>3</w:t>
      </w:r>
    </w:p>
    <w:tbl>
      <w:tblPr>
        <w:tblStyle w:val="32"/>
        <w:tblW w:w="8800" w:type="dxa"/>
        <w:jc w:val="center"/>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Layout w:type="fixed"/>
        <w:tblCellMar>
          <w:top w:w="0" w:type="dxa"/>
          <w:left w:w="108" w:type="dxa"/>
          <w:bottom w:w="0" w:type="dxa"/>
          <w:right w:w="108" w:type="dxa"/>
        </w:tblCellMar>
      </w:tblPr>
      <w:tblGrid>
        <w:gridCol w:w="1591"/>
        <w:gridCol w:w="2299"/>
        <w:gridCol w:w="2207"/>
        <w:gridCol w:w="2703"/>
      </w:tblGrid>
      <w:tr w14:paraId="65DB46F1">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712" w:hRule="atLeast"/>
          <w:jc w:val="center"/>
        </w:trPr>
        <w:tc>
          <w:tcPr>
            <w:tcW w:w="1591" w:type="dxa"/>
            <w:noWrap w:val="0"/>
            <w:vAlign w:val="center"/>
          </w:tcPr>
          <w:p w14:paraId="3888C10F">
            <w:pPr>
              <w:spacing w:line="340" w:lineRule="exact"/>
              <w:ind w:firstLine="0"/>
              <w:jc w:val="center"/>
              <w:rPr>
                <w:b/>
                <w:spacing w:val="20"/>
                <w:sz w:val="21"/>
                <w:szCs w:val="21"/>
              </w:rPr>
            </w:pPr>
            <w:r>
              <w:rPr>
                <w:rFonts w:hAnsi="宋体"/>
                <w:b/>
                <w:spacing w:val="20"/>
                <w:sz w:val="21"/>
                <w:szCs w:val="21"/>
              </w:rPr>
              <w:t>污染物名称</w:t>
            </w:r>
          </w:p>
        </w:tc>
        <w:tc>
          <w:tcPr>
            <w:tcW w:w="2299" w:type="dxa"/>
            <w:noWrap w:val="0"/>
            <w:vAlign w:val="center"/>
          </w:tcPr>
          <w:p w14:paraId="6CB7A05C">
            <w:pPr>
              <w:spacing w:line="340" w:lineRule="exact"/>
              <w:ind w:firstLine="752"/>
              <w:jc w:val="center"/>
              <w:rPr>
                <w:b/>
                <w:spacing w:val="20"/>
                <w:sz w:val="21"/>
                <w:szCs w:val="21"/>
              </w:rPr>
            </w:pPr>
            <w:r>
              <w:rPr>
                <w:rFonts w:hAnsi="宋体"/>
                <w:b/>
                <w:spacing w:val="20"/>
                <w:sz w:val="21"/>
                <w:szCs w:val="21"/>
              </w:rPr>
              <w:t>取值时间</w:t>
            </w:r>
          </w:p>
        </w:tc>
        <w:tc>
          <w:tcPr>
            <w:tcW w:w="2207" w:type="dxa"/>
            <w:noWrap w:val="0"/>
            <w:vAlign w:val="center"/>
          </w:tcPr>
          <w:p w14:paraId="56B806D7">
            <w:pPr>
              <w:spacing w:line="340" w:lineRule="exact"/>
              <w:ind w:firstLine="0"/>
              <w:jc w:val="center"/>
              <w:rPr>
                <w:b/>
                <w:spacing w:val="20"/>
                <w:sz w:val="21"/>
                <w:szCs w:val="21"/>
              </w:rPr>
            </w:pPr>
            <w:r>
              <w:rPr>
                <w:rFonts w:hAnsi="宋体"/>
                <w:b/>
                <w:spacing w:val="20"/>
                <w:sz w:val="21"/>
                <w:szCs w:val="21"/>
              </w:rPr>
              <w:t>二级标准浓度限值</w:t>
            </w:r>
          </w:p>
        </w:tc>
        <w:tc>
          <w:tcPr>
            <w:tcW w:w="2703" w:type="dxa"/>
            <w:noWrap w:val="0"/>
            <w:vAlign w:val="center"/>
          </w:tcPr>
          <w:p w14:paraId="0680C2AE">
            <w:pPr>
              <w:spacing w:line="340" w:lineRule="exact"/>
              <w:ind w:firstLine="502"/>
              <w:jc w:val="center"/>
              <w:rPr>
                <w:b/>
                <w:spacing w:val="20"/>
                <w:sz w:val="21"/>
                <w:szCs w:val="21"/>
              </w:rPr>
            </w:pPr>
            <w:r>
              <w:rPr>
                <w:rFonts w:hAnsi="宋体"/>
                <w:b/>
                <w:spacing w:val="20"/>
                <w:sz w:val="21"/>
                <w:szCs w:val="21"/>
              </w:rPr>
              <w:t>标准来源</w:t>
            </w:r>
          </w:p>
        </w:tc>
      </w:tr>
      <w:tr w14:paraId="350D1DE0">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restart"/>
            <w:noWrap w:val="0"/>
            <w:vAlign w:val="center"/>
          </w:tcPr>
          <w:p w14:paraId="25AFCF71">
            <w:pPr>
              <w:spacing w:line="340" w:lineRule="exact"/>
              <w:ind w:firstLine="0"/>
              <w:jc w:val="center"/>
              <w:rPr>
                <w:sz w:val="21"/>
                <w:szCs w:val="21"/>
              </w:rPr>
            </w:pPr>
            <w:r>
              <w:rPr>
                <w:sz w:val="21"/>
                <w:szCs w:val="21"/>
              </w:rPr>
              <w:t>TSP</w:t>
            </w:r>
          </w:p>
        </w:tc>
        <w:tc>
          <w:tcPr>
            <w:tcW w:w="2299" w:type="dxa"/>
            <w:noWrap w:val="0"/>
            <w:vAlign w:val="center"/>
          </w:tcPr>
          <w:p w14:paraId="240806C0">
            <w:pPr>
              <w:spacing w:line="340" w:lineRule="exact"/>
              <w:ind w:firstLine="0"/>
              <w:jc w:val="center"/>
              <w:rPr>
                <w:sz w:val="21"/>
                <w:szCs w:val="21"/>
              </w:rPr>
            </w:pPr>
            <w:r>
              <w:rPr>
                <w:sz w:val="21"/>
                <w:szCs w:val="21"/>
              </w:rPr>
              <w:t>年平均</w:t>
            </w:r>
          </w:p>
        </w:tc>
        <w:tc>
          <w:tcPr>
            <w:tcW w:w="2207" w:type="dxa"/>
            <w:noWrap w:val="0"/>
            <w:vAlign w:val="center"/>
          </w:tcPr>
          <w:p w14:paraId="1EB8CDAC">
            <w:pPr>
              <w:spacing w:line="340" w:lineRule="exact"/>
              <w:ind w:firstLine="0"/>
              <w:jc w:val="center"/>
              <w:rPr>
                <w:sz w:val="21"/>
                <w:szCs w:val="21"/>
              </w:rPr>
            </w:pPr>
            <w:r>
              <w:rPr>
                <w:sz w:val="21"/>
                <w:szCs w:val="21"/>
              </w:rPr>
              <w:t>0.2</w:t>
            </w:r>
          </w:p>
        </w:tc>
        <w:tc>
          <w:tcPr>
            <w:tcW w:w="2703" w:type="dxa"/>
            <w:vMerge w:val="restart"/>
            <w:noWrap w:val="0"/>
            <w:vAlign w:val="center"/>
          </w:tcPr>
          <w:p w14:paraId="38F23A6D">
            <w:pPr>
              <w:spacing w:line="340" w:lineRule="exact"/>
              <w:ind w:firstLine="420"/>
              <w:jc w:val="center"/>
              <w:rPr>
                <w:rFonts w:hint="eastAsia" w:eastAsia="Calibri"/>
                <w:sz w:val="21"/>
                <w:szCs w:val="21"/>
              </w:rPr>
            </w:pPr>
            <w:r>
              <w:rPr>
                <w:sz w:val="21"/>
                <w:szCs w:val="21"/>
              </w:rPr>
              <w:t>《环境空气质量标准》（GB3095-2012）</w:t>
            </w:r>
            <w:r>
              <w:rPr>
                <w:rFonts w:hint="eastAsia"/>
                <w:sz w:val="21"/>
                <w:szCs w:val="21"/>
              </w:rPr>
              <w:t>及其修改单</w:t>
            </w:r>
          </w:p>
        </w:tc>
      </w:tr>
      <w:tr w14:paraId="67B6A6B5">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764FC849">
            <w:pPr>
              <w:ind w:firstLine="420"/>
              <w:jc w:val="center"/>
              <w:rPr>
                <w:sz w:val="21"/>
                <w:szCs w:val="21"/>
              </w:rPr>
            </w:pPr>
          </w:p>
        </w:tc>
        <w:tc>
          <w:tcPr>
            <w:tcW w:w="2299" w:type="dxa"/>
            <w:noWrap w:val="0"/>
            <w:vAlign w:val="center"/>
          </w:tcPr>
          <w:p w14:paraId="11D7E3D0">
            <w:pPr>
              <w:spacing w:line="340" w:lineRule="exact"/>
              <w:ind w:firstLine="0"/>
              <w:jc w:val="center"/>
              <w:rPr>
                <w:sz w:val="21"/>
                <w:szCs w:val="21"/>
              </w:rPr>
            </w:pPr>
            <w:r>
              <w:rPr>
                <w:sz w:val="21"/>
                <w:szCs w:val="21"/>
              </w:rPr>
              <w:t>24小时平均</w:t>
            </w:r>
          </w:p>
        </w:tc>
        <w:tc>
          <w:tcPr>
            <w:tcW w:w="2207" w:type="dxa"/>
            <w:noWrap w:val="0"/>
            <w:vAlign w:val="center"/>
          </w:tcPr>
          <w:p w14:paraId="16248F26">
            <w:pPr>
              <w:spacing w:line="340" w:lineRule="exact"/>
              <w:ind w:firstLine="0"/>
              <w:jc w:val="center"/>
              <w:rPr>
                <w:sz w:val="21"/>
                <w:szCs w:val="21"/>
              </w:rPr>
            </w:pPr>
            <w:r>
              <w:rPr>
                <w:sz w:val="21"/>
                <w:szCs w:val="21"/>
              </w:rPr>
              <w:t>0.3</w:t>
            </w:r>
          </w:p>
        </w:tc>
        <w:tc>
          <w:tcPr>
            <w:tcW w:w="2703" w:type="dxa"/>
            <w:vMerge w:val="continue"/>
            <w:noWrap w:val="0"/>
            <w:vAlign w:val="center"/>
          </w:tcPr>
          <w:p w14:paraId="1C62DDC5">
            <w:pPr>
              <w:ind w:firstLine="420"/>
              <w:jc w:val="center"/>
              <w:rPr>
                <w:sz w:val="21"/>
                <w:szCs w:val="21"/>
              </w:rPr>
            </w:pPr>
          </w:p>
        </w:tc>
      </w:tr>
      <w:tr w14:paraId="4660316B">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restart"/>
            <w:noWrap w:val="0"/>
            <w:vAlign w:val="center"/>
          </w:tcPr>
          <w:p w14:paraId="5E5CFB2E">
            <w:pPr>
              <w:spacing w:line="340" w:lineRule="exact"/>
              <w:ind w:firstLine="0"/>
              <w:jc w:val="center"/>
              <w:rPr>
                <w:sz w:val="21"/>
                <w:szCs w:val="21"/>
              </w:rPr>
            </w:pPr>
            <w:r>
              <w:rPr>
                <w:sz w:val="21"/>
                <w:szCs w:val="21"/>
              </w:rPr>
              <w:t>PM</w:t>
            </w:r>
            <w:r>
              <w:rPr>
                <w:sz w:val="21"/>
                <w:szCs w:val="21"/>
                <w:vertAlign w:val="subscript"/>
              </w:rPr>
              <w:t>10</w:t>
            </w:r>
          </w:p>
        </w:tc>
        <w:tc>
          <w:tcPr>
            <w:tcW w:w="2299" w:type="dxa"/>
            <w:noWrap w:val="0"/>
            <w:vAlign w:val="center"/>
          </w:tcPr>
          <w:p w14:paraId="5066ED13">
            <w:pPr>
              <w:spacing w:line="340" w:lineRule="exact"/>
              <w:ind w:firstLine="0"/>
              <w:jc w:val="center"/>
              <w:rPr>
                <w:sz w:val="21"/>
                <w:szCs w:val="21"/>
              </w:rPr>
            </w:pPr>
            <w:r>
              <w:rPr>
                <w:sz w:val="21"/>
                <w:szCs w:val="21"/>
              </w:rPr>
              <w:t>年平均</w:t>
            </w:r>
          </w:p>
        </w:tc>
        <w:tc>
          <w:tcPr>
            <w:tcW w:w="2207" w:type="dxa"/>
            <w:noWrap w:val="0"/>
            <w:vAlign w:val="center"/>
          </w:tcPr>
          <w:p w14:paraId="47A12971">
            <w:pPr>
              <w:spacing w:line="340" w:lineRule="exact"/>
              <w:ind w:firstLine="0"/>
              <w:jc w:val="center"/>
              <w:rPr>
                <w:sz w:val="21"/>
                <w:szCs w:val="21"/>
              </w:rPr>
            </w:pPr>
            <w:r>
              <w:rPr>
                <w:sz w:val="21"/>
                <w:szCs w:val="21"/>
              </w:rPr>
              <w:t>0.07</w:t>
            </w:r>
          </w:p>
        </w:tc>
        <w:tc>
          <w:tcPr>
            <w:tcW w:w="2703" w:type="dxa"/>
            <w:vMerge w:val="continue"/>
            <w:noWrap w:val="0"/>
            <w:vAlign w:val="center"/>
          </w:tcPr>
          <w:p w14:paraId="4AC898FE">
            <w:pPr>
              <w:ind w:firstLine="420"/>
              <w:jc w:val="center"/>
              <w:rPr>
                <w:sz w:val="21"/>
                <w:szCs w:val="21"/>
              </w:rPr>
            </w:pPr>
          </w:p>
        </w:tc>
      </w:tr>
      <w:tr w14:paraId="0E883487">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624B08E0">
            <w:pPr>
              <w:ind w:firstLine="420"/>
              <w:jc w:val="center"/>
              <w:rPr>
                <w:sz w:val="21"/>
                <w:szCs w:val="21"/>
              </w:rPr>
            </w:pPr>
          </w:p>
        </w:tc>
        <w:tc>
          <w:tcPr>
            <w:tcW w:w="2299" w:type="dxa"/>
            <w:noWrap w:val="0"/>
            <w:vAlign w:val="center"/>
          </w:tcPr>
          <w:p w14:paraId="6AAED228">
            <w:pPr>
              <w:spacing w:line="340" w:lineRule="exact"/>
              <w:ind w:firstLine="0"/>
              <w:jc w:val="center"/>
              <w:rPr>
                <w:sz w:val="21"/>
                <w:szCs w:val="21"/>
              </w:rPr>
            </w:pPr>
            <w:r>
              <w:rPr>
                <w:sz w:val="21"/>
                <w:szCs w:val="21"/>
              </w:rPr>
              <w:t>24小时平均</w:t>
            </w:r>
          </w:p>
        </w:tc>
        <w:tc>
          <w:tcPr>
            <w:tcW w:w="2207" w:type="dxa"/>
            <w:noWrap w:val="0"/>
            <w:vAlign w:val="center"/>
          </w:tcPr>
          <w:p w14:paraId="5AA1E0C9">
            <w:pPr>
              <w:spacing w:line="340" w:lineRule="exact"/>
              <w:ind w:firstLine="0"/>
              <w:jc w:val="center"/>
              <w:rPr>
                <w:sz w:val="21"/>
                <w:szCs w:val="21"/>
              </w:rPr>
            </w:pPr>
            <w:r>
              <w:rPr>
                <w:sz w:val="21"/>
                <w:szCs w:val="21"/>
              </w:rPr>
              <w:t>0.15</w:t>
            </w:r>
          </w:p>
        </w:tc>
        <w:tc>
          <w:tcPr>
            <w:tcW w:w="2703" w:type="dxa"/>
            <w:vMerge w:val="continue"/>
            <w:noWrap w:val="0"/>
            <w:vAlign w:val="center"/>
          </w:tcPr>
          <w:p w14:paraId="0B5069F1">
            <w:pPr>
              <w:ind w:firstLine="420"/>
              <w:jc w:val="center"/>
              <w:rPr>
                <w:sz w:val="21"/>
                <w:szCs w:val="21"/>
              </w:rPr>
            </w:pPr>
          </w:p>
        </w:tc>
      </w:tr>
      <w:tr w14:paraId="2A31CB75">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restart"/>
            <w:noWrap w:val="0"/>
            <w:vAlign w:val="center"/>
          </w:tcPr>
          <w:p w14:paraId="55787F30">
            <w:pPr>
              <w:spacing w:line="340" w:lineRule="exact"/>
              <w:ind w:firstLine="0"/>
              <w:jc w:val="center"/>
              <w:rPr>
                <w:sz w:val="21"/>
                <w:szCs w:val="21"/>
              </w:rPr>
            </w:pPr>
            <w:r>
              <w:rPr>
                <w:sz w:val="21"/>
                <w:szCs w:val="21"/>
              </w:rPr>
              <w:t>PM</w:t>
            </w:r>
            <w:r>
              <w:rPr>
                <w:sz w:val="21"/>
                <w:szCs w:val="21"/>
                <w:vertAlign w:val="subscript"/>
              </w:rPr>
              <w:t>2.5</w:t>
            </w:r>
          </w:p>
        </w:tc>
        <w:tc>
          <w:tcPr>
            <w:tcW w:w="2299" w:type="dxa"/>
            <w:noWrap w:val="0"/>
            <w:vAlign w:val="center"/>
          </w:tcPr>
          <w:p w14:paraId="3CD171AB">
            <w:pPr>
              <w:spacing w:line="340" w:lineRule="exact"/>
              <w:ind w:firstLine="0"/>
              <w:jc w:val="center"/>
              <w:rPr>
                <w:sz w:val="21"/>
                <w:szCs w:val="21"/>
              </w:rPr>
            </w:pPr>
            <w:r>
              <w:rPr>
                <w:sz w:val="21"/>
                <w:szCs w:val="21"/>
              </w:rPr>
              <w:t>年平均</w:t>
            </w:r>
          </w:p>
        </w:tc>
        <w:tc>
          <w:tcPr>
            <w:tcW w:w="2207" w:type="dxa"/>
            <w:noWrap w:val="0"/>
            <w:vAlign w:val="center"/>
          </w:tcPr>
          <w:p w14:paraId="3903117F">
            <w:pPr>
              <w:spacing w:line="340" w:lineRule="exact"/>
              <w:ind w:firstLine="0"/>
              <w:jc w:val="center"/>
              <w:rPr>
                <w:sz w:val="21"/>
                <w:szCs w:val="21"/>
              </w:rPr>
            </w:pPr>
            <w:r>
              <w:rPr>
                <w:sz w:val="21"/>
                <w:szCs w:val="21"/>
              </w:rPr>
              <w:t>0.035</w:t>
            </w:r>
          </w:p>
        </w:tc>
        <w:tc>
          <w:tcPr>
            <w:tcW w:w="2703" w:type="dxa"/>
            <w:vMerge w:val="continue"/>
            <w:noWrap w:val="0"/>
            <w:vAlign w:val="center"/>
          </w:tcPr>
          <w:p w14:paraId="5F20EAAA">
            <w:pPr>
              <w:ind w:firstLine="420"/>
              <w:jc w:val="center"/>
              <w:rPr>
                <w:sz w:val="21"/>
                <w:szCs w:val="21"/>
              </w:rPr>
            </w:pPr>
          </w:p>
        </w:tc>
      </w:tr>
      <w:tr w14:paraId="288CC242">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51B648D0">
            <w:pPr>
              <w:ind w:firstLine="420"/>
              <w:jc w:val="center"/>
              <w:rPr>
                <w:sz w:val="21"/>
                <w:szCs w:val="21"/>
              </w:rPr>
            </w:pPr>
          </w:p>
        </w:tc>
        <w:tc>
          <w:tcPr>
            <w:tcW w:w="2299" w:type="dxa"/>
            <w:noWrap w:val="0"/>
            <w:vAlign w:val="center"/>
          </w:tcPr>
          <w:p w14:paraId="3F7EFF38">
            <w:pPr>
              <w:spacing w:line="340" w:lineRule="exact"/>
              <w:ind w:firstLine="0"/>
              <w:jc w:val="center"/>
              <w:rPr>
                <w:sz w:val="21"/>
                <w:szCs w:val="21"/>
              </w:rPr>
            </w:pPr>
            <w:r>
              <w:rPr>
                <w:sz w:val="21"/>
                <w:szCs w:val="21"/>
              </w:rPr>
              <w:t>24小时平均</w:t>
            </w:r>
          </w:p>
        </w:tc>
        <w:tc>
          <w:tcPr>
            <w:tcW w:w="2207" w:type="dxa"/>
            <w:noWrap w:val="0"/>
            <w:vAlign w:val="center"/>
          </w:tcPr>
          <w:p w14:paraId="415984C3">
            <w:pPr>
              <w:spacing w:line="340" w:lineRule="exact"/>
              <w:ind w:firstLine="0"/>
              <w:jc w:val="center"/>
              <w:rPr>
                <w:sz w:val="21"/>
                <w:szCs w:val="21"/>
              </w:rPr>
            </w:pPr>
            <w:r>
              <w:rPr>
                <w:sz w:val="21"/>
                <w:szCs w:val="21"/>
              </w:rPr>
              <w:t>0.075</w:t>
            </w:r>
          </w:p>
        </w:tc>
        <w:tc>
          <w:tcPr>
            <w:tcW w:w="2703" w:type="dxa"/>
            <w:vMerge w:val="continue"/>
            <w:noWrap w:val="0"/>
            <w:vAlign w:val="center"/>
          </w:tcPr>
          <w:p w14:paraId="46085A14">
            <w:pPr>
              <w:ind w:firstLine="420"/>
              <w:jc w:val="center"/>
              <w:rPr>
                <w:sz w:val="21"/>
                <w:szCs w:val="21"/>
              </w:rPr>
            </w:pPr>
          </w:p>
        </w:tc>
      </w:tr>
      <w:tr w14:paraId="14ADABA1">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restart"/>
            <w:noWrap w:val="0"/>
            <w:vAlign w:val="center"/>
          </w:tcPr>
          <w:p w14:paraId="6AFCED7E">
            <w:pPr>
              <w:spacing w:line="340" w:lineRule="exact"/>
              <w:ind w:firstLine="0"/>
              <w:jc w:val="center"/>
              <w:rPr>
                <w:sz w:val="21"/>
                <w:szCs w:val="21"/>
              </w:rPr>
            </w:pPr>
            <w:r>
              <w:rPr>
                <w:sz w:val="21"/>
                <w:szCs w:val="21"/>
              </w:rPr>
              <w:t>SO</w:t>
            </w:r>
            <w:r>
              <w:rPr>
                <w:sz w:val="21"/>
                <w:szCs w:val="21"/>
                <w:vertAlign w:val="subscript"/>
              </w:rPr>
              <w:t>2</w:t>
            </w:r>
          </w:p>
        </w:tc>
        <w:tc>
          <w:tcPr>
            <w:tcW w:w="2299" w:type="dxa"/>
            <w:noWrap w:val="0"/>
            <w:vAlign w:val="center"/>
          </w:tcPr>
          <w:p w14:paraId="3EE45A64">
            <w:pPr>
              <w:spacing w:line="340" w:lineRule="exact"/>
              <w:ind w:firstLine="0"/>
              <w:jc w:val="center"/>
              <w:rPr>
                <w:sz w:val="21"/>
                <w:szCs w:val="21"/>
              </w:rPr>
            </w:pPr>
            <w:r>
              <w:rPr>
                <w:sz w:val="21"/>
                <w:szCs w:val="21"/>
              </w:rPr>
              <w:t>年平均</w:t>
            </w:r>
          </w:p>
        </w:tc>
        <w:tc>
          <w:tcPr>
            <w:tcW w:w="2207" w:type="dxa"/>
            <w:noWrap w:val="0"/>
            <w:vAlign w:val="center"/>
          </w:tcPr>
          <w:p w14:paraId="3F07D22F">
            <w:pPr>
              <w:spacing w:line="340" w:lineRule="exact"/>
              <w:ind w:firstLine="0"/>
              <w:jc w:val="center"/>
              <w:rPr>
                <w:sz w:val="21"/>
                <w:szCs w:val="21"/>
              </w:rPr>
            </w:pPr>
            <w:r>
              <w:rPr>
                <w:sz w:val="21"/>
                <w:szCs w:val="21"/>
              </w:rPr>
              <w:t>0.06</w:t>
            </w:r>
          </w:p>
        </w:tc>
        <w:tc>
          <w:tcPr>
            <w:tcW w:w="2703" w:type="dxa"/>
            <w:vMerge w:val="continue"/>
            <w:noWrap w:val="0"/>
            <w:vAlign w:val="center"/>
          </w:tcPr>
          <w:p w14:paraId="4CB07B56">
            <w:pPr>
              <w:ind w:firstLine="420"/>
              <w:jc w:val="center"/>
              <w:rPr>
                <w:sz w:val="21"/>
                <w:szCs w:val="21"/>
              </w:rPr>
            </w:pPr>
          </w:p>
        </w:tc>
      </w:tr>
      <w:tr w14:paraId="528F0827">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6FE59B79">
            <w:pPr>
              <w:ind w:firstLine="420"/>
              <w:jc w:val="center"/>
              <w:rPr>
                <w:sz w:val="21"/>
                <w:szCs w:val="21"/>
              </w:rPr>
            </w:pPr>
          </w:p>
        </w:tc>
        <w:tc>
          <w:tcPr>
            <w:tcW w:w="2299" w:type="dxa"/>
            <w:noWrap w:val="0"/>
            <w:vAlign w:val="center"/>
          </w:tcPr>
          <w:p w14:paraId="1E0C78E8">
            <w:pPr>
              <w:spacing w:line="340" w:lineRule="exact"/>
              <w:ind w:firstLine="0"/>
              <w:jc w:val="center"/>
              <w:rPr>
                <w:sz w:val="21"/>
                <w:szCs w:val="21"/>
              </w:rPr>
            </w:pPr>
            <w:r>
              <w:rPr>
                <w:sz w:val="21"/>
                <w:szCs w:val="21"/>
              </w:rPr>
              <w:t>日平均</w:t>
            </w:r>
          </w:p>
        </w:tc>
        <w:tc>
          <w:tcPr>
            <w:tcW w:w="2207" w:type="dxa"/>
            <w:noWrap w:val="0"/>
            <w:vAlign w:val="center"/>
          </w:tcPr>
          <w:p w14:paraId="789EDD82">
            <w:pPr>
              <w:spacing w:line="340" w:lineRule="exact"/>
              <w:ind w:firstLine="0"/>
              <w:jc w:val="center"/>
              <w:rPr>
                <w:sz w:val="21"/>
                <w:szCs w:val="21"/>
              </w:rPr>
            </w:pPr>
            <w:r>
              <w:rPr>
                <w:sz w:val="21"/>
                <w:szCs w:val="21"/>
              </w:rPr>
              <w:t>0.15</w:t>
            </w:r>
          </w:p>
        </w:tc>
        <w:tc>
          <w:tcPr>
            <w:tcW w:w="2703" w:type="dxa"/>
            <w:vMerge w:val="continue"/>
            <w:noWrap w:val="0"/>
            <w:vAlign w:val="center"/>
          </w:tcPr>
          <w:p w14:paraId="6C82D1DD">
            <w:pPr>
              <w:ind w:firstLine="420"/>
              <w:jc w:val="center"/>
              <w:rPr>
                <w:sz w:val="21"/>
                <w:szCs w:val="21"/>
              </w:rPr>
            </w:pPr>
          </w:p>
        </w:tc>
      </w:tr>
      <w:tr w14:paraId="3518C75A">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1781A10D">
            <w:pPr>
              <w:ind w:firstLine="420"/>
              <w:jc w:val="center"/>
              <w:rPr>
                <w:sz w:val="21"/>
                <w:szCs w:val="21"/>
              </w:rPr>
            </w:pPr>
          </w:p>
        </w:tc>
        <w:tc>
          <w:tcPr>
            <w:tcW w:w="2299" w:type="dxa"/>
            <w:noWrap w:val="0"/>
            <w:vAlign w:val="center"/>
          </w:tcPr>
          <w:p w14:paraId="034D8749">
            <w:pPr>
              <w:spacing w:line="340" w:lineRule="exact"/>
              <w:ind w:firstLine="0"/>
              <w:jc w:val="center"/>
              <w:rPr>
                <w:sz w:val="21"/>
                <w:szCs w:val="21"/>
              </w:rPr>
            </w:pPr>
            <w:r>
              <w:rPr>
                <w:sz w:val="21"/>
                <w:szCs w:val="21"/>
              </w:rPr>
              <w:t>1小时平均</w:t>
            </w:r>
          </w:p>
        </w:tc>
        <w:tc>
          <w:tcPr>
            <w:tcW w:w="2207" w:type="dxa"/>
            <w:noWrap w:val="0"/>
            <w:vAlign w:val="center"/>
          </w:tcPr>
          <w:p w14:paraId="710695EA">
            <w:pPr>
              <w:spacing w:line="340" w:lineRule="exact"/>
              <w:ind w:firstLine="0"/>
              <w:jc w:val="center"/>
              <w:rPr>
                <w:sz w:val="21"/>
                <w:szCs w:val="21"/>
              </w:rPr>
            </w:pPr>
            <w:r>
              <w:rPr>
                <w:sz w:val="21"/>
                <w:szCs w:val="21"/>
              </w:rPr>
              <w:t>0.5</w:t>
            </w:r>
          </w:p>
        </w:tc>
        <w:tc>
          <w:tcPr>
            <w:tcW w:w="2703" w:type="dxa"/>
            <w:vMerge w:val="continue"/>
            <w:noWrap w:val="0"/>
            <w:vAlign w:val="center"/>
          </w:tcPr>
          <w:p w14:paraId="229C7BA2">
            <w:pPr>
              <w:ind w:firstLine="420"/>
              <w:jc w:val="center"/>
              <w:rPr>
                <w:sz w:val="21"/>
                <w:szCs w:val="21"/>
              </w:rPr>
            </w:pPr>
          </w:p>
        </w:tc>
      </w:tr>
      <w:tr w14:paraId="5C857BAD">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restart"/>
            <w:noWrap w:val="0"/>
            <w:vAlign w:val="center"/>
          </w:tcPr>
          <w:p w14:paraId="236DAFA3">
            <w:pPr>
              <w:spacing w:line="340" w:lineRule="exact"/>
              <w:ind w:firstLine="0"/>
              <w:jc w:val="center"/>
              <w:rPr>
                <w:rFonts w:hint="eastAsia" w:eastAsia="Calibri"/>
                <w:sz w:val="21"/>
                <w:szCs w:val="21"/>
              </w:rPr>
            </w:pPr>
            <w:r>
              <w:rPr>
                <w:sz w:val="21"/>
                <w:szCs w:val="21"/>
              </w:rPr>
              <w:t>NO</w:t>
            </w:r>
            <w:r>
              <w:rPr>
                <w:rFonts w:hint="eastAsia"/>
                <w:sz w:val="21"/>
                <w:szCs w:val="21"/>
                <w:vertAlign w:val="subscript"/>
              </w:rPr>
              <w:t>2</w:t>
            </w:r>
          </w:p>
        </w:tc>
        <w:tc>
          <w:tcPr>
            <w:tcW w:w="2299" w:type="dxa"/>
            <w:noWrap w:val="0"/>
            <w:vAlign w:val="center"/>
          </w:tcPr>
          <w:p w14:paraId="2F65BEF8">
            <w:pPr>
              <w:spacing w:line="340" w:lineRule="exact"/>
              <w:ind w:firstLine="0"/>
              <w:jc w:val="center"/>
              <w:rPr>
                <w:sz w:val="21"/>
                <w:szCs w:val="21"/>
              </w:rPr>
            </w:pPr>
            <w:r>
              <w:rPr>
                <w:sz w:val="21"/>
                <w:szCs w:val="21"/>
              </w:rPr>
              <w:t>年平均</w:t>
            </w:r>
          </w:p>
        </w:tc>
        <w:tc>
          <w:tcPr>
            <w:tcW w:w="2207" w:type="dxa"/>
            <w:noWrap w:val="0"/>
            <w:vAlign w:val="center"/>
          </w:tcPr>
          <w:p w14:paraId="27BD3962">
            <w:pPr>
              <w:spacing w:line="340" w:lineRule="exact"/>
              <w:ind w:firstLine="0"/>
              <w:jc w:val="center"/>
              <w:rPr>
                <w:rFonts w:hint="eastAsia" w:eastAsia="Calibri"/>
                <w:sz w:val="21"/>
                <w:szCs w:val="21"/>
              </w:rPr>
            </w:pPr>
            <w:r>
              <w:rPr>
                <w:sz w:val="21"/>
                <w:szCs w:val="21"/>
              </w:rPr>
              <w:t>0.</w:t>
            </w:r>
            <w:r>
              <w:rPr>
                <w:rFonts w:hint="eastAsia"/>
                <w:sz w:val="21"/>
                <w:szCs w:val="21"/>
              </w:rPr>
              <w:t>04</w:t>
            </w:r>
          </w:p>
        </w:tc>
        <w:tc>
          <w:tcPr>
            <w:tcW w:w="2703" w:type="dxa"/>
            <w:vMerge w:val="continue"/>
            <w:noWrap w:val="0"/>
            <w:vAlign w:val="center"/>
          </w:tcPr>
          <w:p w14:paraId="6322201C">
            <w:pPr>
              <w:ind w:firstLine="420"/>
              <w:jc w:val="center"/>
              <w:rPr>
                <w:sz w:val="21"/>
                <w:szCs w:val="21"/>
              </w:rPr>
            </w:pPr>
          </w:p>
        </w:tc>
      </w:tr>
      <w:tr w14:paraId="6DC8C773">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09E9EA16">
            <w:pPr>
              <w:spacing w:line="340" w:lineRule="exact"/>
              <w:ind w:firstLine="0"/>
              <w:jc w:val="center"/>
              <w:rPr>
                <w:sz w:val="21"/>
                <w:szCs w:val="21"/>
              </w:rPr>
            </w:pPr>
          </w:p>
        </w:tc>
        <w:tc>
          <w:tcPr>
            <w:tcW w:w="2299" w:type="dxa"/>
            <w:noWrap w:val="0"/>
            <w:vAlign w:val="center"/>
          </w:tcPr>
          <w:p w14:paraId="0A8991BB">
            <w:pPr>
              <w:spacing w:line="340" w:lineRule="exact"/>
              <w:ind w:firstLine="0"/>
              <w:jc w:val="center"/>
              <w:rPr>
                <w:sz w:val="21"/>
                <w:szCs w:val="21"/>
              </w:rPr>
            </w:pPr>
            <w:r>
              <w:rPr>
                <w:sz w:val="21"/>
                <w:szCs w:val="21"/>
              </w:rPr>
              <w:t>日平均</w:t>
            </w:r>
          </w:p>
        </w:tc>
        <w:tc>
          <w:tcPr>
            <w:tcW w:w="2207" w:type="dxa"/>
            <w:noWrap w:val="0"/>
            <w:vAlign w:val="center"/>
          </w:tcPr>
          <w:p w14:paraId="17D566E9">
            <w:pPr>
              <w:spacing w:line="340" w:lineRule="exact"/>
              <w:ind w:firstLine="0"/>
              <w:jc w:val="center"/>
              <w:rPr>
                <w:rFonts w:hint="eastAsia" w:eastAsia="Calibri"/>
                <w:sz w:val="21"/>
                <w:szCs w:val="21"/>
              </w:rPr>
            </w:pPr>
            <w:r>
              <w:rPr>
                <w:sz w:val="21"/>
                <w:szCs w:val="21"/>
              </w:rPr>
              <w:t>0.</w:t>
            </w:r>
            <w:r>
              <w:rPr>
                <w:rFonts w:hint="eastAsia"/>
                <w:sz w:val="21"/>
                <w:szCs w:val="21"/>
              </w:rPr>
              <w:t>08</w:t>
            </w:r>
          </w:p>
        </w:tc>
        <w:tc>
          <w:tcPr>
            <w:tcW w:w="2703" w:type="dxa"/>
            <w:vMerge w:val="continue"/>
            <w:noWrap w:val="0"/>
            <w:vAlign w:val="center"/>
          </w:tcPr>
          <w:p w14:paraId="0BE71A7C">
            <w:pPr>
              <w:ind w:firstLine="420"/>
              <w:jc w:val="center"/>
              <w:rPr>
                <w:sz w:val="21"/>
                <w:szCs w:val="21"/>
              </w:rPr>
            </w:pPr>
          </w:p>
        </w:tc>
      </w:tr>
      <w:tr w14:paraId="623A09B2">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6F572721">
            <w:pPr>
              <w:spacing w:line="340" w:lineRule="exact"/>
              <w:ind w:firstLine="0"/>
              <w:jc w:val="center"/>
              <w:rPr>
                <w:sz w:val="21"/>
                <w:szCs w:val="21"/>
              </w:rPr>
            </w:pPr>
          </w:p>
        </w:tc>
        <w:tc>
          <w:tcPr>
            <w:tcW w:w="2299" w:type="dxa"/>
            <w:noWrap w:val="0"/>
            <w:vAlign w:val="center"/>
          </w:tcPr>
          <w:p w14:paraId="44E410BF">
            <w:pPr>
              <w:spacing w:line="340" w:lineRule="exact"/>
              <w:ind w:firstLine="0"/>
              <w:jc w:val="center"/>
              <w:rPr>
                <w:sz w:val="21"/>
                <w:szCs w:val="21"/>
              </w:rPr>
            </w:pPr>
            <w:r>
              <w:rPr>
                <w:sz w:val="21"/>
                <w:szCs w:val="21"/>
              </w:rPr>
              <w:t>1小时平均</w:t>
            </w:r>
          </w:p>
        </w:tc>
        <w:tc>
          <w:tcPr>
            <w:tcW w:w="2207" w:type="dxa"/>
            <w:noWrap w:val="0"/>
            <w:vAlign w:val="center"/>
          </w:tcPr>
          <w:p w14:paraId="116D0901">
            <w:pPr>
              <w:spacing w:line="340" w:lineRule="exact"/>
              <w:ind w:firstLine="0"/>
              <w:jc w:val="center"/>
              <w:rPr>
                <w:sz w:val="21"/>
                <w:szCs w:val="21"/>
              </w:rPr>
            </w:pPr>
            <w:r>
              <w:rPr>
                <w:sz w:val="21"/>
                <w:szCs w:val="21"/>
              </w:rPr>
              <w:t>0.2</w:t>
            </w:r>
          </w:p>
        </w:tc>
        <w:tc>
          <w:tcPr>
            <w:tcW w:w="2703" w:type="dxa"/>
            <w:vMerge w:val="continue"/>
            <w:noWrap w:val="0"/>
            <w:vAlign w:val="center"/>
          </w:tcPr>
          <w:p w14:paraId="77D0365B">
            <w:pPr>
              <w:ind w:firstLine="420"/>
              <w:jc w:val="center"/>
              <w:rPr>
                <w:sz w:val="21"/>
                <w:szCs w:val="21"/>
              </w:rPr>
            </w:pPr>
          </w:p>
        </w:tc>
      </w:tr>
      <w:tr w14:paraId="2EAE76FD">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restart"/>
            <w:noWrap w:val="0"/>
            <w:vAlign w:val="center"/>
          </w:tcPr>
          <w:p w14:paraId="1FBCA22A">
            <w:pPr>
              <w:spacing w:line="340" w:lineRule="exact"/>
              <w:ind w:firstLine="0"/>
              <w:jc w:val="center"/>
              <w:rPr>
                <w:sz w:val="21"/>
                <w:szCs w:val="21"/>
              </w:rPr>
            </w:pPr>
            <w:r>
              <w:rPr>
                <w:sz w:val="21"/>
                <w:szCs w:val="21"/>
              </w:rPr>
              <w:t>CO</w:t>
            </w:r>
          </w:p>
        </w:tc>
        <w:tc>
          <w:tcPr>
            <w:tcW w:w="2299" w:type="dxa"/>
            <w:noWrap w:val="0"/>
            <w:vAlign w:val="center"/>
          </w:tcPr>
          <w:p w14:paraId="2BD134AE">
            <w:pPr>
              <w:spacing w:line="340" w:lineRule="exact"/>
              <w:ind w:firstLine="0"/>
              <w:jc w:val="center"/>
              <w:rPr>
                <w:sz w:val="21"/>
                <w:szCs w:val="21"/>
              </w:rPr>
            </w:pPr>
            <w:r>
              <w:rPr>
                <w:sz w:val="21"/>
                <w:szCs w:val="21"/>
              </w:rPr>
              <w:t>24小时平均</w:t>
            </w:r>
          </w:p>
        </w:tc>
        <w:tc>
          <w:tcPr>
            <w:tcW w:w="2207" w:type="dxa"/>
            <w:noWrap w:val="0"/>
            <w:vAlign w:val="center"/>
          </w:tcPr>
          <w:p w14:paraId="529B6AB0">
            <w:pPr>
              <w:spacing w:line="340" w:lineRule="exact"/>
              <w:ind w:firstLine="0"/>
              <w:jc w:val="center"/>
              <w:rPr>
                <w:sz w:val="21"/>
                <w:szCs w:val="21"/>
              </w:rPr>
            </w:pPr>
            <w:r>
              <w:rPr>
                <w:sz w:val="21"/>
                <w:szCs w:val="21"/>
              </w:rPr>
              <w:t>4</w:t>
            </w:r>
          </w:p>
        </w:tc>
        <w:tc>
          <w:tcPr>
            <w:tcW w:w="2703" w:type="dxa"/>
            <w:vMerge w:val="continue"/>
            <w:noWrap w:val="0"/>
            <w:vAlign w:val="center"/>
          </w:tcPr>
          <w:p w14:paraId="4D25AD12">
            <w:pPr>
              <w:ind w:firstLine="420"/>
              <w:jc w:val="center"/>
              <w:rPr>
                <w:sz w:val="21"/>
                <w:szCs w:val="21"/>
              </w:rPr>
            </w:pPr>
          </w:p>
        </w:tc>
      </w:tr>
      <w:tr w14:paraId="6E4E461B">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2A94E31D">
            <w:pPr>
              <w:spacing w:line="340" w:lineRule="exact"/>
              <w:ind w:firstLine="0"/>
              <w:jc w:val="center"/>
              <w:rPr>
                <w:sz w:val="21"/>
                <w:szCs w:val="21"/>
              </w:rPr>
            </w:pPr>
          </w:p>
        </w:tc>
        <w:tc>
          <w:tcPr>
            <w:tcW w:w="2299" w:type="dxa"/>
            <w:noWrap w:val="0"/>
            <w:vAlign w:val="center"/>
          </w:tcPr>
          <w:p w14:paraId="38FBD9BC">
            <w:pPr>
              <w:spacing w:line="340" w:lineRule="exact"/>
              <w:ind w:firstLine="0"/>
              <w:jc w:val="center"/>
              <w:rPr>
                <w:sz w:val="21"/>
                <w:szCs w:val="21"/>
              </w:rPr>
            </w:pPr>
            <w:r>
              <w:rPr>
                <w:sz w:val="21"/>
                <w:szCs w:val="21"/>
              </w:rPr>
              <w:t>1小时平均</w:t>
            </w:r>
          </w:p>
        </w:tc>
        <w:tc>
          <w:tcPr>
            <w:tcW w:w="2207" w:type="dxa"/>
            <w:noWrap w:val="0"/>
            <w:vAlign w:val="center"/>
          </w:tcPr>
          <w:p w14:paraId="61282618">
            <w:pPr>
              <w:spacing w:line="340" w:lineRule="exact"/>
              <w:ind w:firstLine="0"/>
              <w:jc w:val="center"/>
              <w:rPr>
                <w:sz w:val="21"/>
                <w:szCs w:val="21"/>
              </w:rPr>
            </w:pPr>
            <w:r>
              <w:rPr>
                <w:sz w:val="21"/>
                <w:szCs w:val="21"/>
              </w:rPr>
              <w:t>10</w:t>
            </w:r>
          </w:p>
        </w:tc>
        <w:tc>
          <w:tcPr>
            <w:tcW w:w="2703" w:type="dxa"/>
            <w:vMerge w:val="continue"/>
            <w:noWrap w:val="0"/>
            <w:vAlign w:val="center"/>
          </w:tcPr>
          <w:p w14:paraId="2464AE99">
            <w:pPr>
              <w:ind w:firstLine="420"/>
              <w:jc w:val="center"/>
              <w:rPr>
                <w:sz w:val="21"/>
                <w:szCs w:val="21"/>
              </w:rPr>
            </w:pPr>
          </w:p>
        </w:tc>
      </w:tr>
      <w:tr w14:paraId="15225F1C">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restart"/>
            <w:noWrap w:val="0"/>
            <w:vAlign w:val="center"/>
          </w:tcPr>
          <w:p w14:paraId="6C6E3D0F">
            <w:pPr>
              <w:spacing w:line="340" w:lineRule="exact"/>
              <w:ind w:firstLine="0"/>
              <w:jc w:val="center"/>
              <w:rPr>
                <w:rFonts w:hint="eastAsia" w:eastAsia="Calibri"/>
                <w:sz w:val="21"/>
                <w:szCs w:val="21"/>
              </w:rPr>
            </w:pPr>
            <w:r>
              <w:rPr>
                <w:rFonts w:hint="eastAsia"/>
                <w:sz w:val="21"/>
                <w:szCs w:val="21"/>
              </w:rPr>
              <w:t>O</w:t>
            </w:r>
            <w:r>
              <w:rPr>
                <w:rFonts w:hint="eastAsia"/>
                <w:sz w:val="21"/>
                <w:szCs w:val="21"/>
                <w:vertAlign w:val="subscript"/>
              </w:rPr>
              <w:t>3</w:t>
            </w:r>
          </w:p>
        </w:tc>
        <w:tc>
          <w:tcPr>
            <w:tcW w:w="2299" w:type="dxa"/>
            <w:noWrap w:val="0"/>
            <w:vAlign w:val="center"/>
          </w:tcPr>
          <w:p w14:paraId="2174CC7D">
            <w:pPr>
              <w:spacing w:line="340" w:lineRule="exact"/>
              <w:ind w:firstLine="0"/>
              <w:jc w:val="center"/>
              <w:rPr>
                <w:rFonts w:hint="eastAsia" w:eastAsia="Calibri"/>
                <w:sz w:val="21"/>
                <w:szCs w:val="21"/>
              </w:rPr>
            </w:pPr>
            <w:r>
              <w:rPr>
                <w:rFonts w:hint="eastAsia"/>
                <w:sz w:val="21"/>
                <w:szCs w:val="21"/>
              </w:rPr>
              <w:t>日最大8小时平均</w:t>
            </w:r>
          </w:p>
        </w:tc>
        <w:tc>
          <w:tcPr>
            <w:tcW w:w="2207" w:type="dxa"/>
            <w:noWrap w:val="0"/>
            <w:vAlign w:val="center"/>
          </w:tcPr>
          <w:p w14:paraId="73A544F3">
            <w:pPr>
              <w:spacing w:line="340" w:lineRule="exact"/>
              <w:ind w:firstLine="0"/>
              <w:jc w:val="center"/>
              <w:rPr>
                <w:rFonts w:hint="eastAsia" w:eastAsia="Calibri"/>
                <w:sz w:val="21"/>
                <w:szCs w:val="21"/>
              </w:rPr>
            </w:pPr>
            <w:r>
              <w:rPr>
                <w:sz w:val="21"/>
                <w:szCs w:val="21"/>
              </w:rPr>
              <w:t>0.</w:t>
            </w:r>
            <w:r>
              <w:rPr>
                <w:rFonts w:hint="eastAsia"/>
                <w:sz w:val="21"/>
                <w:szCs w:val="21"/>
              </w:rPr>
              <w:t>16</w:t>
            </w:r>
          </w:p>
        </w:tc>
        <w:tc>
          <w:tcPr>
            <w:tcW w:w="2703" w:type="dxa"/>
            <w:vMerge w:val="continue"/>
            <w:noWrap w:val="0"/>
            <w:vAlign w:val="center"/>
          </w:tcPr>
          <w:p w14:paraId="59C490C0">
            <w:pPr>
              <w:ind w:firstLine="420"/>
              <w:jc w:val="center"/>
              <w:rPr>
                <w:sz w:val="21"/>
                <w:szCs w:val="21"/>
              </w:rPr>
            </w:pPr>
          </w:p>
        </w:tc>
      </w:tr>
      <w:tr w14:paraId="1CE3971D">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591" w:type="dxa"/>
            <w:vMerge w:val="continue"/>
            <w:noWrap w:val="0"/>
            <w:vAlign w:val="center"/>
          </w:tcPr>
          <w:p w14:paraId="1BE2B049">
            <w:pPr>
              <w:spacing w:line="340" w:lineRule="exact"/>
              <w:ind w:firstLine="0"/>
              <w:jc w:val="center"/>
              <w:rPr>
                <w:sz w:val="21"/>
                <w:szCs w:val="21"/>
              </w:rPr>
            </w:pPr>
          </w:p>
        </w:tc>
        <w:tc>
          <w:tcPr>
            <w:tcW w:w="2299" w:type="dxa"/>
            <w:noWrap w:val="0"/>
            <w:vAlign w:val="center"/>
          </w:tcPr>
          <w:p w14:paraId="53096D7C">
            <w:pPr>
              <w:spacing w:line="340" w:lineRule="exact"/>
              <w:ind w:firstLine="0"/>
              <w:jc w:val="center"/>
              <w:rPr>
                <w:sz w:val="21"/>
                <w:szCs w:val="21"/>
              </w:rPr>
            </w:pPr>
            <w:r>
              <w:rPr>
                <w:sz w:val="21"/>
                <w:szCs w:val="21"/>
              </w:rPr>
              <w:t>1小时平均</w:t>
            </w:r>
          </w:p>
        </w:tc>
        <w:tc>
          <w:tcPr>
            <w:tcW w:w="2207" w:type="dxa"/>
            <w:noWrap w:val="0"/>
            <w:vAlign w:val="center"/>
          </w:tcPr>
          <w:p w14:paraId="3FB7E589">
            <w:pPr>
              <w:spacing w:line="340" w:lineRule="exact"/>
              <w:ind w:firstLine="0"/>
              <w:jc w:val="center"/>
              <w:rPr>
                <w:rFonts w:hint="eastAsia" w:eastAsia="Calibri"/>
                <w:sz w:val="21"/>
                <w:szCs w:val="21"/>
              </w:rPr>
            </w:pPr>
            <w:r>
              <w:rPr>
                <w:sz w:val="21"/>
                <w:szCs w:val="21"/>
              </w:rPr>
              <w:t>0.</w:t>
            </w:r>
            <w:r>
              <w:rPr>
                <w:rFonts w:hint="eastAsia"/>
                <w:sz w:val="21"/>
                <w:szCs w:val="21"/>
              </w:rPr>
              <w:t>2</w:t>
            </w:r>
          </w:p>
        </w:tc>
        <w:tc>
          <w:tcPr>
            <w:tcW w:w="2703" w:type="dxa"/>
            <w:vMerge w:val="continue"/>
            <w:noWrap w:val="0"/>
            <w:vAlign w:val="center"/>
          </w:tcPr>
          <w:p w14:paraId="7D14AB86">
            <w:pPr>
              <w:ind w:firstLine="420"/>
              <w:jc w:val="center"/>
              <w:rPr>
                <w:sz w:val="21"/>
                <w:szCs w:val="21"/>
              </w:rPr>
            </w:pPr>
          </w:p>
        </w:tc>
      </w:tr>
      <w:tr w14:paraId="593DDB8E">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1591" w:type="dxa"/>
            <w:noWrap w:val="0"/>
            <w:vAlign w:val="center"/>
          </w:tcPr>
          <w:p w14:paraId="77F6C84C">
            <w:pPr>
              <w:spacing w:line="340" w:lineRule="exact"/>
              <w:ind w:firstLine="0"/>
              <w:jc w:val="center"/>
              <w:rPr>
                <w:sz w:val="21"/>
                <w:szCs w:val="21"/>
              </w:rPr>
            </w:pPr>
            <w:r>
              <w:rPr>
                <w:sz w:val="21"/>
                <w:szCs w:val="21"/>
              </w:rPr>
              <w:t>NH</w:t>
            </w:r>
            <w:r>
              <w:rPr>
                <w:sz w:val="21"/>
                <w:szCs w:val="21"/>
                <w:vertAlign w:val="subscript"/>
              </w:rPr>
              <w:t>3</w:t>
            </w:r>
          </w:p>
        </w:tc>
        <w:tc>
          <w:tcPr>
            <w:tcW w:w="2299" w:type="dxa"/>
            <w:noWrap w:val="0"/>
            <w:vAlign w:val="center"/>
          </w:tcPr>
          <w:p w14:paraId="3EFBD00D">
            <w:pPr>
              <w:spacing w:line="340" w:lineRule="exact"/>
              <w:ind w:firstLine="0"/>
              <w:jc w:val="center"/>
              <w:rPr>
                <w:sz w:val="21"/>
                <w:szCs w:val="21"/>
              </w:rPr>
            </w:pPr>
            <w:r>
              <w:rPr>
                <w:sz w:val="21"/>
                <w:szCs w:val="21"/>
              </w:rPr>
              <w:t>1小时平均</w:t>
            </w:r>
          </w:p>
        </w:tc>
        <w:tc>
          <w:tcPr>
            <w:tcW w:w="2207" w:type="dxa"/>
            <w:noWrap w:val="0"/>
            <w:vAlign w:val="center"/>
          </w:tcPr>
          <w:p w14:paraId="4A6B8E09">
            <w:pPr>
              <w:spacing w:line="340" w:lineRule="exact"/>
              <w:ind w:firstLine="0"/>
              <w:jc w:val="center"/>
              <w:rPr>
                <w:sz w:val="21"/>
                <w:szCs w:val="21"/>
              </w:rPr>
            </w:pPr>
            <w:r>
              <w:rPr>
                <w:sz w:val="21"/>
                <w:szCs w:val="21"/>
              </w:rPr>
              <w:t>0.2</w:t>
            </w:r>
          </w:p>
        </w:tc>
        <w:tc>
          <w:tcPr>
            <w:tcW w:w="2703" w:type="dxa"/>
            <w:vMerge w:val="restart"/>
            <w:noWrap w:val="0"/>
            <w:vAlign w:val="center"/>
          </w:tcPr>
          <w:p w14:paraId="6281FFDF">
            <w:pPr>
              <w:ind w:firstLine="0"/>
              <w:jc w:val="center"/>
              <w:rPr>
                <w:sz w:val="21"/>
                <w:szCs w:val="21"/>
              </w:rPr>
            </w:pPr>
            <w:r>
              <w:rPr>
                <w:spacing w:val="-9"/>
                <w:sz w:val="21"/>
                <w:szCs w:val="21"/>
                <w:vertAlign w:val="baseline"/>
              </w:rPr>
              <w:t>《环境影响评价技术导则 大气环境》</w:t>
            </w:r>
            <w:r>
              <w:rPr>
                <w:spacing w:val="-3"/>
                <w:sz w:val="21"/>
                <w:szCs w:val="21"/>
                <w:vertAlign w:val="baseline"/>
              </w:rPr>
              <w:t>（</w:t>
            </w:r>
            <w:r>
              <w:rPr>
                <w:rFonts w:ascii="Times New Roman" w:eastAsia="Times New Roman"/>
                <w:spacing w:val="-3"/>
                <w:sz w:val="21"/>
                <w:szCs w:val="21"/>
                <w:vertAlign w:val="baseline"/>
              </w:rPr>
              <w:t>HJ2.2-2018</w:t>
            </w:r>
            <w:r>
              <w:rPr>
                <w:spacing w:val="-3"/>
                <w:sz w:val="21"/>
                <w:szCs w:val="21"/>
                <w:vertAlign w:val="baseline"/>
              </w:rPr>
              <w:t>）</w:t>
            </w:r>
            <w:r>
              <w:rPr>
                <w:spacing w:val="-20"/>
                <w:sz w:val="21"/>
                <w:szCs w:val="21"/>
                <w:vertAlign w:val="baseline"/>
              </w:rPr>
              <w:t xml:space="preserve">附录 </w:t>
            </w:r>
            <w:r>
              <w:rPr>
                <w:rFonts w:ascii="Times New Roman" w:eastAsia="Times New Roman"/>
                <w:sz w:val="21"/>
                <w:szCs w:val="21"/>
                <w:vertAlign w:val="baseline"/>
              </w:rPr>
              <w:t>D</w:t>
            </w:r>
          </w:p>
        </w:tc>
      </w:tr>
      <w:tr w14:paraId="3F495561">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670" w:hRule="atLeast"/>
          <w:jc w:val="center"/>
        </w:trPr>
        <w:tc>
          <w:tcPr>
            <w:tcW w:w="1591" w:type="dxa"/>
            <w:noWrap w:val="0"/>
            <w:vAlign w:val="center"/>
          </w:tcPr>
          <w:p w14:paraId="69ED996A">
            <w:pPr>
              <w:spacing w:line="340" w:lineRule="exact"/>
              <w:ind w:firstLine="0"/>
              <w:jc w:val="center"/>
              <w:rPr>
                <w:sz w:val="21"/>
                <w:szCs w:val="21"/>
              </w:rPr>
            </w:pPr>
            <w:r>
              <w:rPr>
                <w:rFonts w:hint="eastAsia"/>
                <w:sz w:val="21"/>
                <w:szCs w:val="21"/>
              </w:rPr>
              <w:t>甲醛</w:t>
            </w:r>
          </w:p>
        </w:tc>
        <w:tc>
          <w:tcPr>
            <w:tcW w:w="2299" w:type="dxa"/>
            <w:noWrap w:val="0"/>
            <w:vAlign w:val="center"/>
          </w:tcPr>
          <w:p w14:paraId="1D0B57C4">
            <w:pPr>
              <w:spacing w:line="340" w:lineRule="exact"/>
              <w:ind w:firstLine="0"/>
              <w:jc w:val="center"/>
              <w:rPr>
                <w:sz w:val="21"/>
                <w:szCs w:val="21"/>
              </w:rPr>
            </w:pPr>
            <w:r>
              <w:rPr>
                <w:sz w:val="21"/>
                <w:szCs w:val="21"/>
              </w:rPr>
              <w:t>1小时平均</w:t>
            </w:r>
          </w:p>
        </w:tc>
        <w:tc>
          <w:tcPr>
            <w:tcW w:w="2207" w:type="dxa"/>
            <w:noWrap w:val="0"/>
            <w:vAlign w:val="center"/>
          </w:tcPr>
          <w:p w14:paraId="2D93FCB5">
            <w:pPr>
              <w:spacing w:line="340" w:lineRule="exact"/>
              <w:ind w:firstLine="0"/>
              <w:jc w:val="center"/>
              <w:rPr>
                <w:sz w:val="21"/>
                <w:szCs w:val="21"/>
              </w:rPr>
            </w:pPr>
            <w:r>
              <w:rPr>
                <w:rFonts w:hint="eastAsia"/>
                <w:sz w:val="21"/>
                <w:szCs w:val="21"/>
              </w:rPr>
              <w:t>0.05</w:t>
            </w:r>
          </w:p>
        </w:tc>
        <w:tc>
          <w:tcPr>
            <w:tcW w:w="2703" w:type="dxa"/>
            <w:vMerge w:val="continue"/>
            <w:noWrap w:val="0"/>
            <w:vAlign w:val="center"/>
          </w:tcPr>
          <w:p w14:paraId="396E782A">
            <w:pPr>
              <w:ind w:firstLine="420"/>
              <w:jc w:val="center"/>
              <w:rPr>
                <w:sz w:val="21"/>
                <w:szCs w:val="21"/>
              </w:rPr>
            </w:pPr>
          </w:p>
        </w:tc>
      </w:tr>
      <w:tr w14:paraId="7BEBDEE2">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670" w:hRule="atLeast"/>
          <w:jc w:val="center"/>
        </w:trPr>
        <w:tc>
          <w:tcPr>
            <w:tcW w:w="1591" w:type="dxa"/>
            <w:noWrap w:val="0"/>
            <w:vAlign w:val="center"/>
          </w:tcPr>
          <w:p w14:paraId="1A7DC93C">
            <w:pPr>
              <w:spacing w:line="340" w:lineRule="exact"/>
              <w:ind w:firstLine="0"/>
              <w:jc w:val="center"/>
              <w:rPr>
                <w:rFonts w:eastAsia="宋体"/>
                <w:sz w:val="21"/>
                <w:szCs w:val="21"/>
                <w:lang w:val="en-US" w:eastAsia="zh-CN"/>
              </w:rPr>
            </w:pPr>
            <w:r>
              <w:rPr>
                <w:rFonts w:hint="eastAsia"/>
                <w:sz w:val="21"/>
                <w:szCs w:val="21"/>
                <w:lang w:val="en-US" w:eastAsia="zh-CN"/>
              </w:rPr>
              <w:t>TVOC</w:t>
            </w:r>
          </w:p>
        </w:tc>
        <w:tc>
          <w:tcPr>
            <w:tcW w:w="2299" w:type="dxa"/>
            <w:noWrap w:val="0"/>
            <w:vAlign w:val="center"/>
          </w:tcPr>
          <w:p w14:paraId="3E93FE5E">
            <w:pPr>
              <w:spacing w:line="340" w:lineRule="exact"/>
              <w:ind w:firstLine="0"/>
              <w:jc w:val="center"/>
              <w:rPr>
                <w:rFonts w:eastAsia="宋体"/>
                <w:sz w:val="21"/>
                <w:szCs w:val="21"/>
                <w:lang w:val="en-US" w:eastAsia="zh-CN"/>
              </w:rPr>
            </w:pPr>
            <w:r>
              <w:rPr>
                <w:rFonts w:hint="eastAsia"/>
                <w:sz w:val="21"/>
                <w:szCs w:val="21"/>
                <w:lang w:val="en-US" w:eastAsia="zh-CN"/>
              </w:rPr>
              <w:t>8小时平均</w:t>
            </w:r>
          </w:p>
        </w:tc>
        <w:tc>
          <w:tcPr>
            <w:tcW w:w="2207" w:type="dxa"/>
            <w:noWrap w:val="0"/>
            <w:vAlign w:val="center"/>
          </w:tcPr>
          <w:p w14:paraId="1D0F2D35">
            <w:pPr>
              <w:spacing w:line="340" w:lineRule="exact"/>
              <w:ind w:firstLine="0"/>
              <w:jc w:val="center"/>
              <w:rPr>
                <w:rFonts w:eastAsia="宋体"/>
                <w:sz w:val="21"/>
                <w:szCs w:val="21"/>
                <w:lang w:val="en-US" w:eastAsia="zh-CN"/>
              </w:rPr>
            </w:pPr>
            <w:r>
              <w:rPr>
                <w:rFonts w:hint="eastAsia"/>
                <w:sz w:val="21"/>
                <w:szCs w:val="21"/>
                <w:lang w:val="en-US" w:eastAsia="zh-CN"/>
              </w:rPr>
              <w:t>0.6</w:t>
            </w:r>
          </w:p>
        </w:tc>
        <w:tc>
          <w:tcPr>
            <w:tcW w:w="2703" w:type="dxa"/>
            <w:vMerge w:val="continue"/>
            <w:noWrap w:val="0"/>
            <w:vAlign w:val="center"/>
          </w:tcPr>
          <w:p w14:paraId="1E3DFB80">
            <w:pPr>
              <w:ind w:firstLine="420"/>
              <w:jc w:val="center"/>
              <w:rPr>
                <w:sz w:val="21"/>
                <w:szCs w:val="21"/>
              </w:rPr>
            </w:pPr>
          </w:p>
        </w:tc>
      </w:tr>
      <w:tr w14:paraId="2E38D789">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8" w:type="dxa"/>
            <w:bottom w:w="0" w:type="dxa"/>
            <w:right w:w="108" w:type="dxa"/>
          </w:tblCellMar>
        </w:tblPrEx>
        <w:trPr>
          <w:trHeight w:val="670" w:hRule="atLeast"/>
          <w:jc w:val="center"/>
        </w:trPr>
        <w:tc>
          <w:tcPr>
            <w:tcW w:w="1591" w:type="dxa"/>
            <w:noWrap w:val="0"/>
            <w:vAlign w:val="center"/>
          </w:tcPr>
          <w:p w14:paraId="273E387C">
            <w:pPr>
              <w:pStyle w:val="381"/>
              <w:rPr>
                <w:szCs w:val="21"/>
              </w:rPr>
            </w:pPr>
            <w:r>
              <w:rPr>
                <w:szCs w:val="21"/>
              </w:rPr>
              <w:t>非甲烷总烃</w:t>
            </w:r>
          </w:p>
        </w:tc>
        <w:tc>
          <w:tcPr>
            <w:tcW w:w="2299" w:type="dxa"/>
            <w:noWrap w:val="0"/>
            <w:vAlign w:val="center"/>
          </w:tcPr>
          <w:p w14:paraId="08086F66">
            <w:pPr>
              <w:pStyle w:val="381"/>
              <w:rPr>
                <w:szCs w:val="21"/>
              </w:rPr>
            </w:pPr>
            <w:r>
              <w:rPr>
                <w:szCs w:val="21"/>
              </w:rPr>
              <w:t>1小时平均</w:t>
            </w:r>
          </w:p>
        </w:tc>
        <w:tc>
          <w:tcPr>
            <w:tcW w:w="2207" w:type="dxa"/>
            <w:noWrap w:val="0"/>
            <w:vAlign w:val="center"/>
          </w:tcPr>
          <w:p w14:paraId="506A7BCC">
            <w:pPr>
              <w:pStyle w:val="381"/>
              <w:rPr>
                <w:szCs w:val="21"/>
              </w:rPr>
            </w:pPr>
            <w:r>
              <w:rPr>
                <w:szCs w:val="21"/>
              </w:rPr>
              <w:t>2.0</w:t>
            </w:r>
          </w:p>
        </w:tc>
        <w:tc>
          <w:tcPr>
            <w:tcW w:w="2703" w:type="dxa"/>
            <w:noWrap w:val="0"/>
            <w:vAlign w:val="center"/>
          </w:tcPr>
          <w:p w14:paraId="1B4B9B96">
            <w:pPr>
              <w:ind w:left="0" w:firstLine="0"/>
              <w:jc w:val="center"/>
              <w:rPr>
                <w:sz w:val="21"/>
                <w:szCs w:val="21"/>
              </w:rPr>
            </w:pPr>
            <w:r>
              <w:rPr>
                <w:rFonts w:hint="eastAsia"/>
                <w:sz w:val="21"/>
                <w:szCs w:val="21"/>
                <w:lang w:val="en-US" w:eastAsia="zh-CN"/>
              </w:rPr>
              <w:t>《大气污染物综合排放标准详解》</w:t>
            </w:r>
          </w:p>
        </w:tc>
      </w:tr>
    </w:tbl>
    <w:p w14:paraId="38299101">
      <w:pPr>
        <w:pStyle w:val="408"/>
        <w:rPr>
          <w:color w:val="000000"/>
        </w:rPr>
      </w:pPr>
      <w:r>
        <w:rPr>
          <w:rFonts w:hint="eastAsia" w:ascii="Times New Roman" w:hAnsi="Times New Roman"/>
          <w:color w:val="000000"/>
          <w:lang w:val="en-US" w:bidi="ar-SA"/>
        </w:rPr>
        <w:t xml:space="preserve"> （2）地表水环境质量标准</w:t>
      </w:r>
    </w:p>
    <w:p w14:paraId="5F6CFA5F">
      <w:pPr>
        <w:ind w:firstLine="480"/>
        <w:rPr>
          <w:szCs w:val="24"/>
          <w:lang w:val="en-GB"/>
        </w:rPr>
      </w:pPr>
      <w:r>
        <w:rPr>
          <w:rFonts w:hint="eastAsia"/>
          <w:szCs w:val="24"/>
          <w:lang w:val="en-US" w:eastAsia="zh-CN"/>
        </w:rPr>
        <w:t>项目所在区域</w:t>
      </w:r>
      <w:r>
        <w:rPr>
          <w:rFonts w:hint="eastAsia"/>
          <w:szCs w:val="24"/>
        </w:rPr>
        <w:t>地表水环境保护目标为芒市大河，根据</w:t>
      </w:r>
      <w:r>
        <w:rPr>
          <w:rFonts w:hint="eastAsia"/>
          <w:szCs w:val="24"/>
          <w:lang w:eastAsia="zh-CN"/>
        </w:rPr>
        <w:t>《</w:t>
      </w:r>
      <w:r>
        <w:rPr>
          <w:rFonts w:hint="eastAsia"/>
          <w:szCs w:val="24"/>
        </w:rPr>
        <w:t>云南省地表水水环境功能区划</w:t>
      </w:r>
      <w:r>
        <w:rPr>
          <w:rFonts w:hint="eastAsia"/>
          <w:szCs w:val="24"/>
          <w:lang w:eastAsia="zh-CN"/>
        </w:rPr>
        <w:t>》</w:t>
      </w:r>
      <w:r>
        <w:rPr>
          <w:rFonts w:hint="eastAsia"/>
          <w:szCs w:val="24"/>
        </w:rPr>
        <w:t>（2010-2020年），该河段属芒市大河木康至入瑞丽江口河段，该河段规划为Ⅲ类水体，地表水执行《地表水环境质量标准》（GB3838-2002）Ⅲ类标准，</w:t>
      </w:r>
      <w:r>
        <w:rPr>
          <w:szCs w:val="24"/>
          <w:lang w:val="en-GB"/>
        </w:rPr>
        <w:t>具体标准值见表2</w:t>
      </w:r>
      <w:r>
        <w:rPr>
          <w:rFonts w:hint="eastAsia"/>
          <w:szCs w:val="24"/>
          <w:lang w:val="en-US" w:eastAsia="zh-CN"/>
        </w:rPr>
        <w:t>.4</w:t>
      </w:r>
      <w:r>
        <w:rPr>
          <w:szCs w:val="24"/>
          <w:lang w:val="en-GB"/>
        </w:rPr>
        <w:t>-</w:t>
      </w:r>
      <w:r>
        <w:rPr>
          <w:rFonts w:hint="eastAsia"/>
          <w:szCs w:val="24"/>
          <w:lang w:val="en-US" w:eastAsia="zh-CN"/>
        </w:rPr>
        <w:t>2</w:t>
      </w:r>
      <w:r>
        <w:rPr>
          <w:szCs w:val="24"/>
          <w:lang w:val="en-GB"/>
        </w:rPr>
        <w:t>。</w:t>
      </w:r>
    </w:p>
    <w:p w14:paraId="09534DA1">
      <w:pPr>
        <w:ind w:firstLine="482"/>
        <w:jc w:val="center"/>
        <w:rPr>
          <w:rFonts w:ascii="Times New Roman" w:hAnsi="Times New Roman" w:eastAsia="宋体" w:cs="Times New Roman"/>
          <w:b/>
          <w:bCs/>
          <w:szCs w:val="24"/>
          <w:lang w:eastAsia="zh-CN"/>
        </w:rPr>
      </w:pPr>
      <w:r>
        <w:rPr>
          <w:rFonts w:ascii="Times New Roman" w:hAnsi="Times New Roman" w:cs="Times New Roman"/>
          <w:b/>
          <w:bCs/>
          <w:szCs w:val="24"/>
        </w:rPr>
        <w:t>表2</w:t>
      </w:r>
      <w:r>
        <w:rPr>
          <w:rFonts w:ascii="Times New Roman" w:hAnsi="Times New Roman" w:cs="Times New Roman"/>
          <w:b/>
          <w:bCs/>
          <w:szCs w:val="24"/>
          <w:lang w:val="en-US" w:eastAsia="zh-CN"/>
        </w:rPr>
        <w:t xml:space="preserve">.4-2 </w:t>
      </w:r>
      <w:r>
        <w:rPr>
          <w:rFonts w:ascii="Times New Roman" w:hAnsi="Times New Roman" w:cs="Times New Roman"/>
          <w:b/>
          <w:bCs/>
          <w:szCs w:val="24"/>
        </w:rPr>
        <w:t>地表水环境质量标准  单位：mg/L</w:t>
      </w:r>
      <w:r>
        <w:rPr>
          <w:rFonts w:ascii="Times New Roman" w:hAnsi="Times New Roman" w:eastAsia="宋体" w:cs="Times New Roman"/>
          <w:b/>
          <w:bCs/>
          <w:szCs w:val="24"/>
          <w:lang w:eastAsia="zh-CN"/>
        </w:rPr>
        <w:t>（</w:t>
      </w:r>
      <w:r>
        <w:rPr>
          <w:rFonts w:ascii="Times New Roman" w:hAnsi="Times New Roman" w:eastAsia="宋体" w:cs="Times New Roman"/>
          <w:b/>
          <w:bCs/>
          <w:szCs w:val="24"/>
          <w:lang w:val="en-US" w:eastAsia="zh-CN"/>
        </w:rPr>
        <w:t>pH、粪大肠菌群除外</w:t>
      </w:r>
      <w:r>
        <w:rPr>
          <w:rFonts w:ascii="Times New Roman" w:hAnsi="Times New Roman" w:eastAsia="宋体" w:cs="Times New Roman"/>
          <w:b/>
          <w:bCs/>
          <w:szCs w:val="24"/>
          <w:lang w:eastAsia="zh-CN"/>
        </w:rPr>
        <w:t>）</w:t>
      </w:r>
    </w:p>
    <w:tbl>
      <w:tblPr>
        <w:tblStyle w:val="32"/>
        <w:tblW w:w="0" w:type="auto"/>
        <w:tblInd w:w="43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29"/>
        <w:gridCol w:w="922"/>
        <w:gridCol w:w="1712"/>
        <w:gridCol w:w="1083"/>
        <w:gridCol w:w="1418"/>
        <w:gridCol w:w="1273"/>
      </w:tblGrid>
      <w:tr w14:paraId="285760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7" w:hRule="atLeast"/>
        </w:trPr>
        <w:tc>
          <w:tcPr>
            <w:tcW w:w="1429" w:type="dxa"/>
            <w:noWrap w:val="0"/>
            <w:vAlign w:val="center"/>
          </w:tcPr>
          <w:p w14:paraId="6E12274E">
            <w:pPr>
              <w:widowControl w:val="0"/>
              <w:spacing w:before="41" w:after="0" w:line="240" w:lineRule="auto"/>
              <w:ind w:left="0" w:right="0" w:firstLine="0"/>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项目</w:t>
            </w:r>
          </w:p>
        </w:tc>
        <w:tc>
          <w:tcPr>
            <w:tcW w:w="922" w:type="dxa"/>
            <w:noWrap w:val="0"/>
            <w:vAlign w:val="center"/>
          </w:tcPr>
          <w:p w14:paraId="6334A77C">
            <w:pPr>
              <w:widowControl w:val="0"/>
              <w:spacing w:before="41" w:after="0" w:line="240" w:lineRule="auto"/>
              <w:ind w:left="0" w:right="161" w:firstLine="0"/>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标准值</w:t>
            </w:r>
          </w:p>
        </w:tc>
        <w:tc>
          <w:tcPr>
            <w:tcW w:w="1712" w:type="dxa"/>
            <w:noWrap w:val="0"/>
            <w:vAlign w:val="center"/>
          </w:tcPr>
          <w:p w14:paraId="72EBAC68">
            <w:pPr>
              <w:widowControl w:val="0"/>
              <w:spacing w:before="41" w:after="0" w:line="240" w:lineRule="auto"/>
              <w:ind w:left="114" w:right="88"/>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项目</w:t>
            </w:r>
          </w:p>
        </w:tc>
        <w:tc>
          <w:tcPr>
            <w:tcW w:w="1083" w:type="dxa"/>
            <w:noWrap w:val="0"/>
            <w:vAlign w:val="center"/>
          </w:tcPr>
          <w:p w14:paraId="256BF4F7">
            <w:pPr>
              <w:widowControl w:val="0"/>
              <w:spacing w:before="41" w:after="0" w:line="240" w:lineRule="auto"/>
              <w:ind w:left="0" w:right="159" w:firstLine="0"/>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标准值</w:t>
            </w:r>
          </w:p>
        </w:tc>
        <w:tc>
          <w:tcPr>
            <w:tcW w:w="1418" w:type="dxa"/>
            <w:noWrap w:val="0"/>
            <w:vAlign w:val="center"/>
          </w:tcPr>
          <w:p w14:paraId="210AED0D">
            <w:pPr>
              <w:widowControl w:val="0"/>
              <w:spacing w:before="41" w:after="0" w:line="240" w:lineRule="auto"/>
              <w:ind w:left="0" w:right="79" w:firstLine="0"/>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项目</w:t>
            </w:r>
          </w:p>
        </w:tc>
        <w:tc>
          <w:tcPr>
            <w:tcW w:w="1273" w:type="dxa"/>
            <w:noWrap w:val="0"/>
            <w:vAlign w:val="center"/>
          </w:tcPr>
          <w:p w14:paraId="20A4A5E6">
            <w:pPr>
              <w:widowControl w:val="0"/>
              <w:spacing w:before="41" w:after="0" w:line="240" w:lineRule="auto"/>
              <w:ind w:left="0" w:right="0" w:firstLine="0"/>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标准值</w:t>
            </w:r>
          </w:p>
        </w:tc>
      </w:tr>
      <w:tr w14:paraId="6D8FB6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6" w:hRule="atLeast"/>
        </w:trPr>
        <w:tc>
          <w:tcPr>
            <w:tcW w:w="1429" w:type="dxa"/>
            <w:noWrap w:val="0"/>
            <w:vAlign w:val="top"/>
          </w:tcPr>
          <w:p w14:paraId="186FA151">
            <w:pPr>
              <w:spacing w:line="340" w:lineRule="exact"/>
              <w:ind w:firstLine="0"/>
              <w:jc w:val="center"/>
              <w:rPr>
                <w:sz w:val="21"/>
                <w:szCs w:val="21"/>
                <w:lang w:val="zh-CN" w:eastAsia="zh-CN"/>
              </w:rPr>
            </w:pPr>
            <w:r>
              <w:rPr>
                <w:sz w:val="21"/>
                <w:szCs w:val="21"/>
                <w:lang w:val="zh-CN" w:eastAsia="zh-CN"/>
              </w:rPr>
              <w:t>pH值（无量纲）</w:t>
            </w:r>
          </w:p>
        </w:tc>
        <w:tc>
          <w:tcPr>
            <w:tcW w:w="922" w:type="dxa"/>
            <w:noWrap w:val="0"/>
            <w:vAlign w:val="top"/>
          </w:tcPr>
          <w:p w14:paraId="5275FCB0">
            <w:pPr>
              <w:spacing w:line="340" w:lineRule="exact"/>
              <w:ind w:firstLine="0"/>
              <w:jc w:val="center"/>
              <w:rPr>
                <w:sz w:val="21"/>
                <w:szCs w:val="21"/>
                <w:lang w:val="zh-CN" w:eastAsia="zh-CN"/>
              </w:rPr>
            </w:pPr>
            <w:r>
              <w:rPr>
                <w:sz w:val="21"/>
                <w:szCs w:val="21"/>
                <w:lang w:val="zh-CN" w:eastAsia="zh-CN"/>
              </w:rPr>
              <w:t>6～9</w:t>
            </w:r>
          </w:p>
        </w:tc>
        <w:tc>
          <w:tcPr>
            <w:tcW w:w="1712" w:type="dxa"/>
            <w:noWrap w:val="0"/>
            <w:vAlign w:val="top"/>
          </w:tcPr>
          <w:p w14:paraId="420765BA">
            <w:pPr>
              <w:spacing w:line="340" w:lineRule="exact"/>
              <w:ind w:firstLine="0"/>
              <w:jc w:val="center"/>
              <w:rPr>
                <w:sz w:val="21"/>
                <w:szCs w:val="21"/>
                <w:lang w:val="zh-CN" w:eastAsia="zh-CN"/>
              </w:rPr>
            </w:pPr>
            <w:r>
              <w:rPr>
                <w:sz w:val="21"/>
                <w:szCs w:val="21"/>
                <w:lang w:val="zh-CN" w:eastAsia="zh-CN"/>
              </w:rPr>
              <w:t>化学需氧量</w:t>
            </w:r>
          </w:p>
        </w:tc>
        <w:tc>
          <w:tcPr>
            <w:tcW w:w="1083" w:type="dxa"/>
            <w:noWrap w:val="0"/>
            <w:vAlign w:val="top"/>
          </w:tcPr>
          <w:p w14:paraId="3B2CAE42">
            <w:pPr>
              <w:spacing w:line="340" w:lineRule="exact"/>
              <w:ind w:firstLine="0"/>
              <w:jc w:val="center"/>
              <w:rPr>
                <w:sz w:val="21"/>
                <w:szCs w:val="21"/>
                <w:lang w:val="zh-CN" w:eastAsia="zh-CN"/>
              </w:rPr>
            </w:pPr>
            <w:r>
              <w:rPr>
                <w:sz w:val="21"/>
                <w:szCs w:val="21"/>
                <w:lang w:val="zh-CN" w:eastAsia="zh-CN"/>
              </w:rPr>
              <w:t>≤20</w:t>
            </w:r>
          </w:p>
        </w:tc>
        <w:tc>
          <w:tcPr>
            <w:tcW w:w="1418" w:type="dxa"/>
            <w:noWrap w:val="0"/>
            <w:vAlign w:val="top"/>
          </w:tcPr>
          <w:p w14:paraId="5AB14F7A">
            <w:pPr>
              <w:spacing w:line="340" w:lineRule="exact"/>
              <w:ind w:firstLine="0"/>
              <w:jc w:val="center"/>
              <w:rPr>
                <w:sz w:val="21"/>
                <w:szCs w:val="21"/>
                <w:lang w:val="zh-CN" w:eastAsia="zh-CN"/>
              </w:rPr>
            </w:pPr>
            <w:r>
              <w:rPr>
                <w:sz w:val="21"/>
                <w:szCs w:val="21"/>
                <w:lang w:val="zh-CN" w:eastAsia="zh-CN"/>
              </w:rPr>
              <w:t>五日生化需氧量</w:t>
            </w:r>
          </w:p>
        </w:tc>
        <w:tc>
          <w:tcPr>
            <w:tcW w:w="1273" w:type="dxa"/>
            <w:noWrap w:val="0"/>
            <w:vAlign w:val="top"/>
          </w:tcPr>
          <w:p w14:paraId="4BA5BF30">
            <w:pPr>
              <w:spacing w:line="340" w:lineRule="exact"/>
              <w:ind w:firstLine="0"/>
              <w:jc w:val="center"/>
              <w:rPr>
                <w:sz w:val="21"/>
                <w:szCs w:val="21"/>
                <w:lang w:val="zh-CN" w:eastAsia="zh-CN"/>
              </w:rPr>
            </w:pPr>
            <w:r>
              <w:rPr>
                <w:sz w:val="21"/>
                <w:szCs w:val="21"/>
                <w:lang w:val="zh-CN" w:eastAsia="zh-CN"/>
              </w:rPr>
              <w:t>≤4</w:t>
            </w:r>
          </w:p>
        </w:tc>
      </w:tr>
      <w:tr w14:paraId="4428F5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3" w:hRule="atLeast"/>
        </w:trPr>
        <w:tc>
          <w:tcPr>
            <w:tcW w:w="1429" w:type="dxa"/>
            <w:noWrap w:val="0"/>
            <w:vAlign w:val="top"/>
          </w:tcPr>
          <w:p w14:paraId="50CDCBBB">
            <w:pPr>
              <w:spacing w:line="340" w:lineRule="exact"/>
              <w:ind w:firstLine="0"/>
              <w:jc w:val="center"/>
              <w:rPr>
                <w:sz w:val="21"/>
                <w:szCs w:val="21"/>
                <w:lang w:val="zh-CN" w:eastAsia="zh-CN"/>
              </w:rPr>
            </w:pPr>
            <w:r>
              <w:rPr>
                <w:sz w:val="21"/>
                <w:szCs w:val="21"/>
                <w:lang w:val="zh-CN" w:eastAsia="zh-CN"/>
              </w:rPr>
              <w:t>溶解氧</w:t>
            </w:r>
          </w:p>
        </w:tc>
        <w:tc>
          <w:tcPr>
            <w:tcW w:w="922" w:type="dxa"/>
            <w:noWrap w:val="0"/>
            <w:vAlign w:val="top"/>
          </w:tcPr>
          <w:p w14:paraId="5078B75C">
            <w:pPr>
              <w:spacing w:line="340" w:lineRule="exact"/>
              <w:ind w:firstLine="0"/>
              <w:jc w:val="center"/>
              <w:rPr>
                <w:sz w:val="21"/>
                <w:szCs w:val="21"/>
                <w:lang w:val="zh-CN" w:eastAsia="zh-CN"/>
              </w:rPr>
            </w:pPr>
            <w:r>
              <w:rPr>
                <w:sz w:val="21"/>
                <w:szCs w:val="21"/>
                <w:lang w:val="zh-CN" w:eastAsia="zh-CN"/>
              </w:rPr>
              <w:t>≥5</w:t>
            </w:r>
          </w:p>
        </w:tc>
        <w:tc>
          <w:tcPr>
            <w:tcW w:w="1712" w:type="dxa"/>
            <w:noWrap w:val="0"/>
            <w:vAlign w:val="top"/>
          </w:tcPr>
          <w:p w14:paraId="6813A390">
            <w:pPr>
              <w:spacing w:line="340" w:lineRule="exact"/>
              <w:ind w:firstLine="0"/>
              <w:jc w:val="center"/>
              <w:rPr>
                <w:sz w:val="21"/>
                <w:szCs w:val="21"/>
                <w:lang w:val="zh-CN" w:eastAsia="zh-CN"/>
              </w:rPr>
            </w:pPr>
            <w:r>
              <w:rPr>
                <w:sz w:val="21"/>
                <w:szCs w:val="21"/>
                <w:lang w:val="zh-CN" w:eastAsia="zh-CN"/>
              </w:rPr>
              <w:t>总磷</w:t>
            </w:r>
          </w:p>
        </w:tc>
        <w:tc>
          <w:tcPr>
            <w:tcW w:w="1083" w:type="dxa"/>
            <w:noWrap w:val="0"/>
            <w:vAlign w:val="top"/>
          </w:tcPr>
          <w:p w14:paraId="42AE4930">
            <w:pPr>
              <w:spacing w:line="340" w:lineRule="exact"/>
              <w:ind w:firstLine="0"/>
              <w:jc w:val="center"/>
              <w:rPr>
                <w:sz w:val="21"/>
                <w:szCs w:val="21"/>
                <w:lang w:val="zh-CN" w:eastAsia="zh-CN"/>
              </w:rPr>
            </w:pPr>
            <w:r>
              <w:rPr>
                <w:sz w:val="21"/>
                <w:szCs w:val="21"/>
                <w:lang w:val="zh-CN" w:eastAsia="zh-CN"/>
              </w:rPr>
              <w:t>≤0.2</w:t>
            </w:r>
          </w:p>
        </w:tc>
        <w:tc>
          <w:tcPr>
            <w:tcW w:w="1418" w:type="dxa"/>
            <w:noWrap w:val="0"/>
            <w:vAlign w:val="top"/>
          </w:tcPr>
          <w:p w14:paraId="7CA70769">
            <w:pPr>
              <w:spacing w:line="340" w:lineRule="exact"/>
              <w:ind w:firstLine="0"/>
              <w:jc w:val="center"/>
              <w:rPr>
                <w:sz w:val="21"/>
                <w:szCs w:val="21"/>
                <w:lang w:val="zh-CN" w:eastAsia="zh-CN"/>
              </w:rPr>
            </w:pPr>
            <w:r>
              <w:rPr>
                <w:sz w:val="21"/>
                <w:szCs w:val="21"/>
                <w:lang w:val="zh-CN" w:eastAsia="zh-CN"/>
              </w:rPr>
              <w:t>氨氮</w:t>
            </w:r>
          </w:p>
        </w:tc>
        <w:tc>
          <w:tcPr>
            <w:tcW w:w="1273" w:type="dxa"/>
            <w:noWrap w:val="0"/>
            <w:vAlign w:val="top"/>
          </w:tcPr>
          <w:p w14:paraId="1A71AD9F">
            <w:pPr>
              <w:spacing w:line="340" w:lineRule="exact"/>
              <w:ind w:firstLine="0"/>
              <w:jc w:val="center"/>
              <w:rPr>
                <w:sz w:val="21"/>
                <w:szCs w:val="21"/>
                <w:lang w:val="zh-CN" w:eastAsia="zh-CN"/>
              </w:rPr>
            </w:pPr>
            <w:r>
              <w:rPr>
                <w:sz w:val="21"/>
                <w:szCs w:val="21"/>
                <w:lang w:val="zh-CN" w:eastAsia="zh-CN"/>
              </w:rPr>
              <w:t>≤1.0</w:t>
            </w:r>
          </w:p>
        </w:tc>
      </w:tr>
      <w:tr w14:paraId="3E5F4C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429" w:type="dxa"/>
            <w:noWrap w:val="0"/>
            <w:vAlign w:val="top"/>
          </w:tcPr>
          <w:p w14:paraId="32C2FE6D">
            <w:pPr>
              <w:spacing w:line="340" w:lineRule="exact"/>
              <w:ind w:firstLine="0"/>
              <w:jc w:val="center"/>
              <w:rPr>
                <w:sz w:val="21"/>
                <w:szCs w:val="21"/>
                <w:lang w:val="zh-CN" w:eastAsia="zh-CN"/>
              </w:rPr>
            </w:pPr>
            <w:r>
              <w:rPr>
                <w:sz w:val="21"/>
                <w:szCs w:val="21"/>
                <w:lang w:val="zh-CN" w:eastAsia="zh-CN"/>
              </w:rPr>
              <w:t>挥发酚</w:t>
            </w:r>
          </w:p>
        </w:tc>
        <w:tc>
          <w:tcPr>
            <w:tcW w:w="922" w:type="dxa"/>
            <w:noWrap w:val="0"/>
            <w:vAlign w:val="top"/>
          </w:tcPr>
          <w:p w14:paraId="2C0D3939">
            <w:pPr>
              <w:spacing w:line="340" w:lineRule="exact"/>
              <w:ind w:firstLine="0"/>
              <w:jc w:val="center"/>
              <w:rPr>
                <w:sz w:val="21"/>
                <w:szCs w:val="21"/>
                <w:lang w:val="zh-CN" w:eastAsia="zh-CN"/>
              </w:rPr>
            </w:pPr>
            <w:r>
              <w:rPr>
                <w:sz w:val="21"/>
                <w:szCs w:val="21"/>
                <w:lang w:val="zh-CN" w:eastAsia="zh-CN"/>
              </w:rPr>
              <w:t>≤0.005</w:t>
            </w:r>
          </w:p>
        </w:tc>
        <w:tc>
          <w:tcPr>
            <w:tcW w:w="1712" w:type="dxa"/>
            <w:noWrap w:val="0"/>
            <w:vAlign w:val="top"/>
          </w:tcPr>
          <w:p w14:paraId="0979186E">
            <w:pPr>
              <w:spacing w:line="340" w:lineRule="exact"/>
              <w:ind w:firstLine="0"/>
              <w:jc w:val="center"/>
              <w:rPr>
                <w:sz w:val="21"/>
                <w:szCs w:val="21"/>
                <w:lang w:val="zh-CN" w:eastAsia="zh-CN"/>
              </w:rPr>
            </w:pPr>
            <w:r>
              <w:rPr>
                <w:sz w:val="21"/>
                <w:szCs w:val="21"/>
                <w:lang w:val="zh-CN" w:eastAsia="zh-CN"/>
              </w:rPr>
              <w:t>石油类</w:t>
            </w:r>
          </w:p>
        </w:tc>
        <w:tc>
          <w:tcPr>
            <w:tcW w:w="1083" w:type="dxa"/>
            <w:noWrap w:val="0"/>
            <w:vAlign w:val="top"/>
          </w:tcPr>
          <w:p w14:paraId="4092CA0F">
            <w:pPr>
              <w:spacing w:line="340" w:lineRule="exact"/>
              <w:ind w:firstLine="0"/>
              <w:jc w:val="center"/>
              <w:rPr>
                <w:sz w:val="21"/>
                <w:szCs w:val="21"/>
                <w:lang w:val="zh-CN" w:eastAsia="zh-CN"/>
              </w:rPr>
            </w:pPr>
            <w:r>
              <w:rPr>
                <w:sz w:val="21"/>
                <w:szCs w:val="21"/>
                <w:lang w:val="zh-CN" w:eastAsia="zh-CN"/>
              </w:rPr>
              <w:t>≤0.05</w:t>
            </w:r>
          </w:p>
        </w:tc>
        <w:tc>
          <w:tcPr>
            <w:tcW w:w="1418" w:type="dxa"/>
            <w:noWrap w:val="0"/>
            <w:vAlign w:val="top"/>
          </w:tcPr>
          <w:p w14:paraId="70ABC73A">
            <w:pPr>
              <w:spacing w:line="340" w:lineRule="exact"/>
              <w:ind w:firstLine="0"/>
              <w:jc w:val="center"/>
              <w:rPr>
                <w:sz w:val="21"/>
                <w:szCs w:val="21"/>
                <w:lang w:val="zh-CN" w:eastAsia="zh-CN"/>
              </w:rPr>
            </w:pPr>
            <w:r>
              <w:rPr>
                <w:sz w:val="21"/>
                <w:szCs w:val="21"/>
                <w:lang w:val="zh-CN" w:eastAsia="zh-CN"/>
              </w:rPr>
              <w:t>甲醛</w:t>
            </w:r>
          </w:p>
        </w:tc>
        <w:tc>
          <w:tcPr>
            <w:tcW w:w="1273" w:type="dxa"/>
            <w:noWrap w:val="0"/>
            <w:vAlign w:val="top"/>
          </w:tcPr>
          <w:p w14:paraId="47786F58">
            <w:pPr>
              <w:spacing w:line="340" w:lineRule="exact"/>
              <w:ind w:firstLine="0"/>
              <w:jc w:val="center"/>
              <w:rPr>
                <w:sz w:val="21"/>
                <w:szCs w:val="21"/>
                <w:lang w:val="zh-CN" w:eastAsia="zh-CN"/>
              </w:rPr>
            </w:pPr>
            <w:r>
              <w:rPr>
                <w:sz w:val="21"/>
                <w:szCs w:val="21"/>
                <w:lang w:val="zh-CN" w:eastAsia="zh-CN"/>
              </w:rPr>
              <w:t>≤0.9</w:t>
            </w:r>
          </w:p>
        </w:tc>
      </w:tr>
      <w:tr w14:paraId="5C1C15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trPr>
        <w:tc>
          <w:tcPr>
            <w:tcW w:w="1429" w:type="dxa"/>
            <w:noWrap w:val="0"/>
            <w:vAlign w:val="top"/>
          </w:tcPr>
          <w:p w14:paraId="4CAC5E5A">
            <w:pPr>
              <w:spacing w:line="340" w:lineRule="exact"/>
              <w:ind w:firstLine="0"/>
              <w:jc w:val="center"/>
              <w:rPr>
                <w:sz w:val="21"/>
                <w:szCs w:val="21"/>
                <w:lang w:val="zh-CN" w:eastAsia="zh-CN"/>
              </w:rPr>
            </w:pPr>
            <w:r>
              <w:rPr>
                <w:sz w:val="21"/>
                <w:szCs w:val="21"/>
                <w:lang w:val="zh-CN" w:eastAsia="zh-CN"/>
              </w:rPr>
              <w:t>砷</w:t>
            </w:r>
          </w:p>
        </w:tc>
        <w:tc>
          <w:tcPr>
            <w:tcW w:w="922" w:type="dxa"/>
            <w:noWrap w:val="0"/>
            <w:vAlign w:val="top"/>
          </w:tcPr>
          <w:p w14:paraId="1A726A6C">
            <w:pPr>
              <w:spacing w:line="340" w:lineRule="exact"/>
              <w:ind w:firstLine="0"/>
              <w:jc w:val="center"/>
              <w:rPr>
                <w:sz w:val="21"/>
                <w:szCs w:val="21"/>
                <w:lang w:val="zh-CN" w:eastAsia="zh-CN"/>
              </w:rPr>
            </w:pPr>
            <w:r>
              <w:rPr>
                <w:sz w:val="21"/>
                <w:szCs w:val="21"/>
                <w:lang w:val="zh-CN" w:eastAsia="zh-CN"/>
              </w:rPr>
              <w:t>≤0.05</w:t>
            </w:r>
          </w:p>
        </w:tc>
        <w:tc>
          <w:tcPr>
            <w:tcW w:w="1712" w:type="dxa"/>
            <w:noWrap w:val="0"/>
            <w:vAlign w:val="top"/>
          </w:tcPr>
          <w:p w14:paraId="6775FC81">
            <w:pPr>
              <w:spacing w:line="340" w:lineRule="exact"/>
              <w:ind w:firstLine="0"/>
              <w:jc w:val="center"/>
              <w:rPr>
                <w:sz w:val="21"/>
                <w:szCs w:val="21"/>
                <w:lang w:val="zh-CN" w:eastAsia="zh-CN"/>
              </w:rPr>
            </w:pPr>
            <w:r>
              <w:rPr>
                <w:sz w:val="21"/>
                <w:szCs w:val="21"/>
                <w:lang w:val="zh-CN" w:eastAsia="zh-CN"/>
              </w:rPr>
              <w:t>粪大肠菌群（个/L）</w:t>
            </w:r>
          </w:p>
        </w:tc>
        <w:tc>
          <w:tcPr>
            <w:tcW w:w="1083" w:type="dxa"/>
            <w:noWrap w:val="0"/>
            <w:vAlign w:val="top"/>
          </w:tcPr>
          <w:p w14:paraId="54C911B2">
            <w:pPr>
              <w:spacing w:line="340" w:lineRule="exact"/>
              <w:ind w:firstLine="0"/>
              <w:jc w:val="center"/>
              <w:rPr>
                <w:sz w:val="21"/>
                <w:szCs w:val="21"/>
                <w:lang w:val="zh-CN" w:eastAsia="zh-CN"/>
              </w:rPr>
            </w:pPr>
            <w:r>
              <w:rPr>
                <w:sz w:val="21"/>
                <w:szCs w:val="21"/>
                <w:lang w:val="zh-CN" w:eastAsia="zh-CN"/>
              </w:rPr>
              <w:t>≤10000</w:t>
            </w:r>
          </w:p>
        </w:tc>
        <w:tc>
          <w:tcPr>
            <w:tcW w:w="1418" w:type="dxa"/>
            <w:noWrap w:val="0"/>
            <w:vAlign w:val="top"/>
          </w:tcPr>
          <w:p w14:paraId="6F55DB67">
            <w:pPr>
              <w:spacing w:line="340" w:lineRule="exact"/>
              <w:ind w:firstLine="0"/>
              <w:jc w:val="center"/>
              <w:rPr>
                <w:sz w:val="21"/>
                <w:szCs w:val="21"/>
                <w:lang w:val="zh-CN" w:eastAsia="zh-CN"/>
              </w:rPr>
            </w:pPr>
            <w:r>
              <w:rPr>
                <w:sz w:val="21"/>
                <w:szCs w:val="21"/>
                <w:lang w:val="zh-CN" w:eastAsia="zh-CN"/>
              </w:rPr>
              <w:t>镉</w:t>
            </w:r>
          </w:p>
        </w:tc>
        <w:tc>
          <w:tcPr>
            <w:tcW w:w="1273" w:type="dxa"/>
            <w:noWrap w:val="0"/>
            <w:vAlign w:val="top"/>
          </w:tcPr>
          <w:p w14:paraId="65698722">
            <w:pPr>
              <w:spacing w:line="340" w:lineRule="exact"/>
              <w:ind w:firstLine="0"/>
              <w:jc w:val="center"/>
              <w:rPr>
                <w:sz w:val="21"/>
                <w:szCs w:val="21"/>
                <w:lang w:val="zh-CN" w:eastAsia="zh-CN"/>
              </w:rPr>
            </w:pPr>
            <w:r>
              <w:rPr>
                <w:sz w:val="21"/>
                <w:szCs w:val="21"/>
                <w:lang w:val="zh-CN" w:eastAsia="zh-CN"/>
              </w:rPr>
              <w:t>≤0.005</w:t>
            </w:r>
          </w:p>
        </w:tc>
      </w:tr>
      <w:tr w14:paraId="694A95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429" w:type="dxa"/>
            <w:noWrap w:val="0"/>
            <w:vAlign w:val="top"/>
          </w:tcPr>
          <w:p w14:paraId="1A3600D9">
            <w:pPr>
              <w:spacing w:line="340" w:lineRule="exact"/>
              <w:ind w:firstLine="0"/>
              <w:jc w:val="center"/>
              <w:rPr>
                <w:sz w:val="21"/>
                <w:szCs w:val="21"/>
                <w:lang w:val="zh-CN" w:eastAsia="zh-CN"/>
              </w:rPr>
            </w:pPr>
            <w:r>
              <w:rPr>
                <w:sz w:val="21"/>
                <w:szCs w:val="21"/>
                <w:lang w:val="zh-CN" w:eastAsia="zh-CN"/>
              </w:rPr>
              <w:t>铅</w:t>
            </w:r>
          </w:p>
        </w:tc>
        <w:tc>
          <w:tcPr>
            <w:tcW w:w="922" w:type="dxa"/>
            <w:noWrap w:val="0"/>
            <w:vAlign w:val="top"/>
          </w:tcPr>
          <w:p w14:paraId="32A2B1A7">
            <w:pPr>
              <w:spacing w:line="340" w:lineRule="exact"/>
              <w:ind w:firstLine="0"/>
              <w:jc w:val="center"/>
              <w:rPr>
                <w:sz w:val="21"/>
                <w:szCs w:val="21"/>
                <w:lang w:val="zh-CN" w:eastAsia="zh-CN"/>
              </w:rPr>
            </w:pPr>
            <w:r>
              <w:rPr>
                <w:sz w:val="21"/>
                <w:szCs w:val="21"/>
                <w:lang w:val="zh-CN" w:eastAsia="zh-CN"/>
              </w:rPr>
              <w:t>≤0.05</w:t>
            </w:r>
          </w:p>
        </w:tc>
        <w:tc>
          <w:tcPr>
            <w:tcW w:w="1712" w:type="dxa"/>
            <w:noWrap w:val="0"/>
            <w:vAlign w:val="top"/>
          </w:tcPr>
          <w:p w14:paraId="67DFBA52">
            <w:pPr>
              <w:spacing w:line="340" w:lineRule="exact"/>
              <w:ind w:firstLine="0"/>
              <w:jc w:val="center"/>
              <w:rPr>
                <w:sz w:val="21"/>
                <w:szCs w:val="21"/>
                <w:lang w:val="zh-CN" w:eastAsia="zh-CN"/>
              </w:rPr>
            </w:pPr>
            <w:r>
              <w:rPr>
                <w:sz w:val="21"/>
                <w:szCs w:val="21"/>
                <w:lang w:val="zh-CN" w:eastAsia="zh-CN"/>
              </w:rPr>
              <w:t>汞</w:t>
            </w:r>
          </w:p>
        </w:tc>
        <w:tc>
          <w:tcPr>
            <w:tcW w:w="1083" w:type="dxa"/>
            <w:noWrap w:val="0"/>
            <w:vAlign w:val="top"/>
          </w:tcPr>
          <w:p w14:paraId="1E88EA5D">
            <w:pPr>
              <w:spacing w:line="340" w:lineRule="exact"/>
              <w:ind w:firstLine="0"/>
              <w:jc w:val="center"/>
              <w:rPr>
                <w:sz w:val="21"/>
                <w:szCs w:val="21"/>
                <w:lang w:val="zh-CN" w:eastAsia="zh-CN"/>
              </w:rPr>
            </w:pPr>
            <w:r>
              <w:rPr>
                <w:sz w:val="21"/>
                <w:szCs w:val="21"/>
                <w:lang w:val="zh-CN" w:eastAsia="zh-CN"/>
              </w:rPr>
              <w:t>≤0.0001</w:t>
            </w:r>
          </w:p>
        </w:tc>
        <w:tc>
          <w:tcPr>
            <w:tcW w:w="1418" w:type="dxa"/>
            <w:noWrap w:val="0"/>
            <w:vAlign w:val="top"/>
          </w:tcPr>
          <w:p w14:paraId="0BDB82D0">
            <w:pPr>
              <w:spacing w:line="340" w:lineRule="exact"/>
              <w:ind w:firstLine="0"/>
              <w:jc w:val="center"/>
              <w:rPr>
                <w:sz w:val="21"/>
                <w:szCs w:val="21"/>
                <w:lang w:val="zh-CN" w:eastAsia="zh-CN"/>
              </w:rPr>
            </w:pPr>
            <w:r>
              <w:rPr>
                <w:sz w:val="21"/>
                <w:szCs w:val="21"/>
                <w:lang w:val="zh-CN" w:eastAsia="zh-CN"/>
              </w:rPr>
              <w:t>六价铬</w:t>
            </w:r>
          </w:p>
        </w:tc>
        <w:tc>
          <w:tcPr>
            <w:tcW w:w="1273" w:type="dxa"/>
            <w:noWrap w:val="0"/>
            <w:vAlign w:val="top"/>
          </w:tcPr>
          <w:p w14:paraId="58A58B63">
            <w:pPr>
              <w:spacing w:line="340" w:lineRule="exact"/>
              <w:ind w:firstLine="0"/>
              <w:jc w:val="center"/>
              <w:rPr>
                <w:sz w:val="21"/>
                <w:szCs w:val="21"/>
                <w:lang w:val="zh-CN" w:eastAsia="zh-CN"/>
              </w:rPr>
            </w:pPr>
            <w:r>
              <w:rPr>
                <w:sz w:val="21"/>
                <w:szCs w:val="21"/>
                <w:lang w:val="zh-CN" w:eastAsia="zh-CN"/>
              </w:rPr>
              <w:t>≤0.05</w:t>
            </w:r>
          </w:p>
        </w:tc>
      </w:tr>
    </w:tbl>
    <w:p w14:paraId="008B4FCF">
      <w:pPr>
        <w:ind w:firstLine="0"/>
        <w:rPr>
          <w:rFonts w:hint="eastAsia" w:ascii="宋体" w:hAnsi="宋体"/>
          <w:szCs w:val="24"/>
          <w:lang w:bidi="he-IL"/>
        </w:rPr>
      </w:pPr>
      <w:r>
        <w:rPr>
          <w:rFonts w:hint="eastAsia" w:ascii="宋体" w:hAnsi="宋体"/>
          <w:szCs w:val="24"/>
          <w:lang w:bidi="he-IL"/>
        </w:rPr>
        <w:t xml:space="preserve">   </w:t>
      </w:r>
      <w:r>
        <w:rPr>
          <w:rFonts w:hint="eastAsia"/>
          <w:szCs w:val="24"/>
        </w:rPr>
        <w:t>（3）声环境质量标准</w:t>
      </w:r>
    </w:p>
    <w:p w14:paraId="24A3AA2D">
      <w:pPr>
        <w:ind w:firstLine="480"/>
      </w:pPr>
      <w:r>
        <w:rPr>
          <w:rFonts w:hint="eastAsia"/>
        </w:rPr>
        <w:t>根据声功能区划，</w:t>
      </w:r>
      <w:r>
        <w:t>项目声环境执行《声环境质量标准》</w:t>
      </w:r>
      <w:r>
        <w:rPr>
          <w:rFonts w:hint="eastAsia"/>
          <w:lang w:eastAsia="zh-CN"/>
        </w:rPr>
        <w:t>（</w:t>
      </w:r>
      <w:r>
        <w:t>GB3096-2008</w:t>
      </w:r>
      <w:r>
        <w:rPr>
          <w:rFonts w:hint="eastAsia"/>
          <w:lang w:eastAsia="zh-CN"/>
        </w:rPr>
        <w:t>）</w:t>
      </w:r>
      <w:r>
        <w:t>2类标准。</w:t>
      </w:r>
    </w:p>
    <w:p w14:paraId="0E6DD730">
      <w:pPr>
        <w:pStyle w:val="404"/>
        <w:ind w:firstLine="1807"/>
        <w:rPr>
          <w:b/>
          <w:bCs/>
          <w:szCs w:val="24"/>
        </w:rPr>
      </w:pPr>
      <w:r>
        <w:rPr>
          <w:rFonts w:hint="eastAsia"/>
          <w:b/>
          <w:bCs/>
          <w:szCs w:val="24"/>
        </w:rPr>
        <w:t xml:space="preserve"> </w:t>
      </w:r>
      <w:r>
        <w:rPr>
          <w:b/>
          <w:bCs/>
          <w:szCs w:val="24"/>
        </w:rPr>
        <w:t>表</w:t>
      </w:r>
      <w:r>
        <w:rPr>
          <w:rFonts w:hint="eastAsia"/>
          <w:b/>
          <w:bCs/>
          <w:szCs w:val="24"/>
        </w:rPr>
        <w:t>2</w:t>
      </w:r>
      <w:r>
        <w:rPr>
          <w:rFonts w:hint="eastAsia" w:eastAsia="宋体"/>
          <w:b/>
          <w:bCs/>
          <w:szCs w:val="24"/>
          <w:lang w:val="en-US" w:eastAsia="zh-CN"/>
        </w:rPr>
        <w:t>.4</w:t>
      </w:r>
      <w:r>
        <w:rPr>
          <w:rFonts w:hint="eastAsia"/>
          <w:b/>
          <w:bCs/>
          <w:szCs w:val="24"/>
        </w:rPr>
        <w:t>-</w:t>
      </w:r>
      <w:r>
        <w:rPr>
          <w:rFonts w:hint="eastAsia" w:eastAsia="宋体"/>
          <w:b/>
          <w:bCs/>
          <w:szCs w:val="24"/>
          <w:lang w:val="en-US" w:eastAsia="zh-CN"/>
        </w:rPr>
        <w:t>3</w:t>
      </w:r>
      <w:r>
        <w:rPr>
          <w:b/>
          <w:bCs/>
          <w:szCs w:val="24"/>
        </w:rPr>
        <w:t xml:space="preserve">声环境质量评价标准值     </w:t>
      </w:r>
      <w:r>
        <w:rPr>
          <w:rFonts w:hint="eastAsia"/>
          <w:b/>
          <w:bCs/>
          <w:szCs w:val="24"/>
        </w:rPr>
        <w:t>单位：</w:t>
      </w:r>
      <w:r>
        <w:rPr>
          <w:b/>
          <w:bCs/>
          <w:szCs w:val="24"/>
        </w:rPr>
        <w:t>dB（A）</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2460"/>
        <w:gridCol w:w="2460"/>
        <w:gridCol w:w="2460"/>
      </w:tblGrid>
      <w:tr w14:paraId="442C8FE2">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2460" w:type="dxa"/>
            <w:noWrap w:val="0"/>
            <w:vAlign w:val="center"/>
          </w:tcPr>
          <w:p w14:paraId="23620B6E">
            <w:pPr>
              <w:pStyle w:val="390"/>
              <w:spacing w:line="360" w:lineRule="auto"/>
              <w:ind w:firstLine="422"/>
              <w:rPr>
                <w:b/>
                <w:bCs/>
                <w:sz w:val="21"/>
                <w:szCs w:val="24"/>
              </w:rPr>
            </w:pPr>
            <w:r>
              <w:rPr>
                <w:b/>
                <w:bCs/>
                <w:sz w:val="21"/>
                <w:szCs w:val="24"/>
              </w:rPr>
              <w:t>类别</w:t>
            </w:r>
          </w:p>
        </w:tc>
        <w:tc>
          <w:tcPr>
            <w:tcW w:w="2460" w:type="dxa"/>
            <w:noWrap w:val="0"/>
            <w:vAlign w:val="center"/>
          </w:tcPr>
          <w:p w14:paraId="1F2D7C08">
            <w:pPr>
              <w:pStyle w:val="390"/>
              <w:spacing w:line="360" w:lineRule="auto"/>
              <w:ind w:firstLine="422"/>
              <w:rPr>
                <w:b/>
                <w:bCs/>
                <w:sz w:val="21"/>
                <w:szCs w:val="24"/>
              </w:rPr>
            </w:pPr>
            <w:r>
              <w:rPr>
                <w:b/>
                <w:bCs/>
                <w:sz w:val="21"/>
                <w:szCs w:val="24"/>
              </w:rPr>
              <w:t>昼间</w:t>
            </w:r>
          </w:p>
        </w:tc>
        <w:tc>
          <w:tcPr>
            <w:tcW w:w="2460" w:type="dxa"/>
            <w:noWrap w:val="0"/>
            <w:vAlign w:val="center"/>
          </w:tcPr>
          <w:p w14:paraId="74E6E197">
            <w:pPr>
              <w:pStyle w:val="390"/>
              <w:spacing w:line="360" w:lineRule="auto"/>
              <w:ind w:firstLine="422"/>
              <w:rPr>
                <w:b/>
                <w:bCs/>
                <w:sz w:val="21"/>
                <w:szCs w:val="24"/>
              </w:rPr>
            </w:pPr>
            <w:r>
              <w:rPr>
                <w:b/>
                <w:bCs/>
                <w:sz w:val="21"/>
                <w:szCs w:val="24"/>
              </w:rPr>
              <w:t>夜间</w:t>
            </w:r>
          </w:p>
        </w:tc>
      </w:tr>
      <w:tr w14:paraId="75E4992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2460" w:type="dxa"/>
            <w:noWrap w:val="0"/>
            <w:vAlign w:val="center"/>
          </w:tcPr>
          <w:p w14:paraId="20DB412A">
            <w:pPr>
              <w:pStyle w:val="390"/>
              <w:spacing w:line="360" w:lineRule="auto"/>
              <w:ind w:firstLine="420"/>
              <w:rPr>
                <w:sz w:val="21"/>
                <w:szCs w:val="24"/>
              </w:rPr>
            </w:pPr>
            <w:r>
              <w:rPr>
                <w:sz w:val="21"/>
                <w:szCs w:val="24"/>
              </w:rPr>
              <w:t>2</w:t>
            </w:r>
          </w:p>
        </w:tc>
        <w:tc>
          <w:tcPr>
            <w:tcW w:w="2460" w:type="dxa"/>
            <w:noWrap w:val="0"/>
            <w:vAlign w:val="center"/>
          </w:tcPr>
          <w:p w14:paraId="0FE7FC42">
            <w:pPr>
              <w:pStyle w:val="390"/>
              <w:spacing w:line="360" w:lineRule="auto"/>
              <w:ind w:firstLine="420"/>
              <w:rPr>
                <w:sz w:val="21"/>
                <w:szCs w:val="24"/>
              </w:rPr>
            </w:pPr>
            <w:r>
              <w:rPr>
                <w:sz w:val="21"/>
                <w:szCs w:val="24"/>
              </w:rPr>
              <w:t>60</w:t>
            </w:r>
          </w:p>
        </w:tc>
        <w:tc>
          <w:tcPr>
            <w:tcW w:w="2460" w:type="dxa"/>
            <w:noWrap w:val="0"/>
            <w:vAlign w:val="center"/>
          </w:tcPr>
          <w:p w14:paraId="6233EA83">
            <w:pPr>
              <w:pStyle w:val="390"/>
              <w:spacing w:line="360" w:lineRule="auto"/>
              <w:ind w:firstLine="420"/>
              <w:rPr>
                <w:sz w:val="21"/>
                <w:szCs w:val="24"/>
              </w:rPr>
            </w:pPr>
            <w:r>
              <w:rPr>
                <w:sz w:val="21"/>
                <w:szCs w:val="24"/>
              </w:rPr>
              <w:t>50</w:t>
            </w:r>
          </w:p>
        </w:tc>
      </w:tr>
    </w:tbl>
    <w:p w14:paraId="18EA26C2">
      <w:pPr>
        <w:ind w:firstLine="0"/>
        <w:rPr>
          <w:rFonts w:ascii="Times New Roman" w:hAnsi="Times New Roman" w:cs="Times New Roman"/>
          <w:szCs w:val="24"/>
          <w:lang w:bidi="he-IL"/>
        </w:rPr>
      </w:pPr>
      <w:r>
        <w:rPr>
          <w:rFonts w:hint="eastAsia" w:ascii="宋体" w:hAnsi="宋体"/>
          <w:szCs w:val="24"/>
          <w:lang w:bidi="he-IL"/>
        </w:rPr>
        <w:t xml:space="preserve">  </w:t>
      </w:r>
      <w:r>
        <w:rPr>
          <w:rFonts w:ascii="Times New Roman" w:hAnsi="Times New Roman" w:cs="Times New Roman"/>
          <w:szCs w:val="24"/>
          <w:lang w:bidi="he-IL"/>
        </w:rPr>
        <w:t xml:space="preserve"> （4）地下水质量标准</w:t>
      </w:r>
    </w:p>
    <w:p w14:paraId="04265FE6">
      <w:pPr>
        <w:ind w:firstLine="360"/>
        <w:rPr>
          <w:rFonts w:ascii="Times New Roman" w:hAnsi="Times New Roman" w:cs="Times New Roman"/>
        </w:rPr>
      </w:pPr>
      <w:r>
        <w:rPr>
          <w:rFonts w:ascii="Times New Roman" w:hAnsi="Times New Roman" w:cs="Times New Roman"/>
        </w:rPr>
        <w:t>项目区地下水执行《地下水质量标准》（GB/T14848-2017）Ⅲ类标准，标准限值见表2</w:t>
      </w:r>
      <w:r>
        <w:rPr>
          <w:rFonts w:hint="eastAsia" w:ascii="Times New Roman" w:hAnsi="Times New Roman" w:eastAsia="宋体" w:cs="Times New Roman"/>
          <w:lang w:val="en-US" w:eastAsia="zh-CN"/>
        </w:rPr>
        <w:t>.4-4</w:t>
      </w:r>
      <w:r>
        <w:rPr>
          <w:rFonts w:ascii="Times New Roman" w:hAnsi="Times New Roman" w:cs="Times New Roman"/>
        </w:rPr>
        <w:t>。</w:t>
      </w:r>
    </w:p>
    <w:p w14:paraId="327A6C91">
      <w:pPr>
        <w:spacing w:line="300" w:lineRule="exact"/>
        <w:ind w:firstLine="1807"/>
        <w:rPr>
          <w:b/>
          <w:bCs/>
        </w:rPr>
      </w:pPr>
      <w:r>
        <w:rPr>
          <w:rFonts w:hAnsi="宋体"/>
          <w:b/>
          <w:bCs/>
        </w:rPr>
        <w:t>表</w:t>
      </w:r>
      <w:r>
        <w:rPr>
          <w:rFonts w:hint="eastAsia"/>
          <w:b/>
          <w:bCs/>
        </w:rPr>
        <w:t>2</w:t>
      </w:r>
      <w:r>
        <w:rPr>
          <w:rFonts w:hint="eastAsia"/>
          <w:b/>
          <w:bCs/>
          <w:lang w:val="en-US" w:eastAsia="zh-CN"/>
        </w:rPr>
        <w:t>.4-4</w:t>
      </w:r>
      <w:r>
        <w:rPr>
          <w:b/>
          <w:bCs/>
        </w:rPr>
        <w:t xml:space="preserve"> </w:t>
      </w:r>
      <w:r>
        <w:rPr>
          <w:rFonts w:hAnsi="宋体"/>
          <w:b/>
          <w:bCs/>
        </w:rPr>
        <w:t>地下水质量标准</w:t>
      </w:r>
      <w:r>
        <w:rPr>
          <w:b/>
          <w:bCs/>
        </w:rPr>
        <w:t xml:space="preserve">    </w:t>
      </w:r>
      <w:r>
        <w:rPr>
          <w:rFonts w:hAnsi="宋体"/>
          <w:b/>
          <w:bCs/>
        </w:rPr>
        <w:t>单位：</w:t>
      </w:r>
      <w:r>
        <w:rPr>
          <w:b/>
          <w:bCs/>
        </w:rPr>
        <w:t>mg/L</w:t>
      </w:r>
    </w:p>
    <w:tbl>
      <w:tblPr>
        <w:tblStyle w:val="258"/>
        <w:tblW w:w="0" w:type="auto"/>
        <w:tblInd w:w="-108"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1000"/>
        <w:gridCol w:w="1535"/>
        <w:gridCol w:w="2402"/>
        <w:gridCol w:w="1485"/>
        <w:gridCol w:w="2106"/>
      </w:tblGrid>
      <w:tr w14:paraId="6DA41B5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5C180915">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bCs/>
                <w:sz w:val="21"/>
                <w:szCs w:val="21"/>
                <w:vertAlign w:val="baseline"/>
                <w:lang w:val="en-US" w:eastAsia="zh-CN"/>
              </w:rPr>
              <w:t>序号</w:t>
            </w:r>
          </w:p>
        </w:tc>
        <w:tc>
          <w:tcPr>
            <w:tcW w:w="1535" w:type="dxa"/>
            <w:noWrap w:val="0"/>
            <w:vAlign w:val="center"/>
          </w:tcPr>
          <w:p w14:paraId="2B3696BE">
            <w:pPr>
              <w:pStyle w:val="2"/>
              <w:widowControl w:val="0"/>
              <w:jc w:val="both"/>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污染物</w:t>
            </w:r>
          </w:p>
        </w:tc>
        <w:tc>
          <w:tcPr>
            <w:tcW w:w="2402" w:type="dxa"/>
            <w:noWrap w:val="0"/>
            <w:vAlign w:val="center"/>
          </w:tcPr>
          <w:p w14:paraId="5EB88E96">
            <w:pPr>
              <w:pStyle w:val="2"/>
              <w:widowControl w:val="0"/>
              <w:ind w:firstLine="843"/>
              <w:jc w:val="both"/>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单位</w:t>
            </w:r>
          </w:p>
        </w:tc>
        <w:tc>
          <w:tcPr>
            <w:tcW w:w="1485" w:type="dxa"/>
            <w:noWrap w:val="0"/>
            <w:vAlign w:val="center"/>
          </w:tcPr>
          <w:p w14:paraId="5F5F35EF">
            <w:pPr>
              <w:pStyle w:val="2"/>
              <w:widowControl w:val="0"/>
              <w:ind w:left="0" w:firstLine="211"/>
              <w:jc w:val="both"/>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标准值</w:t>
            </w:r>
          </w:p>
        </w:tc>
        <w:tc>
          <w:tcPr>
            <w:tcW w:w="2106" w:type="dxa"/>
            <w:noWrap w:val="0"/>
            <w:vAlign w:val="top"/>
          </w:tcPr>
          <w:p w14:paraId="7F185D97">
            <w:pPr>
              <w:pStyle w:val="2"/>
              <w:widowControl w:val="0"/>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标准来源</w:t>
            </w:r>
          </w:p>
        </w:tc>
      </w:tr>
      <w:tr w14:paraId="2D5CF49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5ABB9F2D">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w:t>
            </w:r>
          </w:p>
        </w:tc>
        <w:tc>
          <w:tcPr>
            <w:tcW w:w="1535" w:type="dxa"/>
            <w:noWrap w:val="0"/>
            <w:vAlign w:val="center"/>
          </w:tcPr>
          <w:p w14:paraId="4D0FCB0A">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pH</w:t>
            </w:r>
          </w:p>
        </w:tc>
        <w:tc>
          <w:tcPr>
            <w:tcW w:w="2402" w:type="dxa"/>
            <w:noWrap w:val="0"/>
            <w:vAlign w:val="center"/>
          </w:tcPr>
          <w:p w14:paraId="574CEA6F">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w:t>
            </w:r>
          </w:p>
        </w:tc>
        <w:tc>
          <w:tcPr>
            <w:tcW w:w="1485" w:type="dxa"/>
            <w:noWrap w:val="0"/>
            <w:vAlign w:val="center"/>
          </w:tcPr>
          <w:p w14:paraId="0761FA0E">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6.5-8.5</w:t>
            </w:r>
          </w:p>
        </w:tc>
        <w:tc>
          <w:tcPr>
            <w:tcW w:w="2106" w:type="dxa"/>
            <w:vMerge w:val="restart"/>
            <w:noWrap w:val="0"/>
            <w:vAlign w:val="center"/>
          </w:tcPr>
          <w:p w14:paraId="4B32404A">
            <w:pPr>
              <w:pStyle w:val="2"/>
              <w:widowControl w:val="0"/>
              <w:ind w:left="0" w:firstLine="0"/>
              <w:jc w:val="center"/>
              <w:rPr>
                <w:rFonts w:ascii="Times New Roman" w:hAnsi="Times New Roman" w:eastAsia="宋体" w:cs="Times New Roman"/>
                <w:sz w:val="21"/>
                <w:szCs w:val="21"/>
              </w:rPr>
            </w:pPr>
          </w:p>
          <w:p w14:paraId="2CD0ADB5">
            <w:pPr>
              <w:pStyle w:val="2"/>
              <w:widowControl w:val="0"/>
              <w:ind w:left="0" w:firstLine="0"/>
              <w:jc w:val="center"/>
              <w:rPr>
                <w:rFonts w:ascii="Times New Roman" w:hAnsi="Times New Roman" w:eastAsia="宋体" w:cs="Times New Roman"/>
                <w:sz w:val="21"/>
                <w:szCs w:val="21"/>
              </w:rPr>
            </w:pPr>
          </w:p>
          <w:p w14:paraId="1D2C331B">
            <w:pPr>
              <w:pStyle w:val="2"/>
              <w:widowControl w:val="0"/>
              <w:ind w:left="0" w:firstLine="0"/>
              <w:jc w:val="center"/>
              <w:rPr>
                <w:rFonts w:ascii="Times New Roman" w:hAnsi="Times New Roman" w:eastAsia="宋体" w:cs="Times New Roman"/>
                <w:sz w:val="21"/>
                <w:szCs w:val="21"/>
              </w:rPr>
            </w:pPr>
          </w:p>
          <w:p w14:paraId="0997FBD0">
            <w:pPr>
              <w:pStyle w:val="2"/>
              <w:widowControl w:val="0"/>
              <w:ind w:left="0" w:firstLine="0"/>
              <w:jc w:val="center"/>
              <w:rPr>
                <w:rFonts w:ascii="Times New Roman" w:hAnsi="Times New Roman" w:eastAsia="宋体" w:cs="Times New Roman"/>
                <w:sz w:val="21"/>
                <w:szCs w:val="21"/>
              </w:rPr>
            </w:pPr>
          </w:p>
          <w:p w14:paraId="3531D82E">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sz w:val="21"/>
                <w:szCs w:val="21"/>
              </w:rPr>
              <w:t>《地下水质量标准》（GB/T14848-2017）Ⅲ类标准</w:t>
            </w:r>
          </w:p>
        </w:tc>
      </w:tr>
      <w:tr w14:paraId="5011BEE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3CE89CB0">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2</w:t>
            </w:r>
          </w:p>
        </w:tc>
        <w:tc>
          <w:tcPr>
            <w:tcW w:w="1535" w:type="dxa"/>
            <w:noWrap w:val="0"/>
            <w:vAlign w:val="center"/>
          </w:tcPr>
          <w:p w14:paraId="232AF6E0">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耗氧量</w:t>
            </w:r>
          </w:p>
        </w:tc>
        <w:tc>
          <w:tcPr>
            <w:tcW w:w="2402" w:type="dxa"/>
            <w:noWrap w:val="0"/>
            <w:vAlign w:val="center"/>
          </w:tcPr>
          <w:p w14:paraId="1982A4AD">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4F239F8C">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≤3.0</w:t>
            </w:r>
          </w:p>
        </w:tc>
        <w:tc>
          <w:tcPr>
            <w:tcW w:w="2106" w:type="dxa"/>
            <w:vMerge w:val="continue"/>
            <w:noWrap w:val="0"/>
            <w:vAlign w:val="top"/>
          </w:tcPr>
          <w:p w14:paraId="55F50D7B">
            <w:pPr>
              <w:pStyle w:val="2"/>
              <w:widowControl w:val="0"/>
              <w:rPr>
                <w:rFonts w:ascii="Times New Roman" w:hAnsi="Times New Roman" w:eastAsia="宋体" w:cs="Times New Roman"/>
                <w:b/>
                <w:bCs/>
                <w:sz w:val="21"/>
                <w:szCs w:val="21"/>
                <w:vertAlign w:val="baseline"/>
                <w:lang w:val="en-US" w:eastAsia="zh-CN"/>
              </w:rPr>
            </w:pPr>
          </w:p>
        </w:tc>
      </w:tr>
      <w:tr w14:paraId="75A56E7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6B097A06">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3</w:t>
            </w:r>
          </w:p>
        </w:tc>
        <w:tc>
          <w:tcPr>
            <w:tcW w:w="1535" w:type="dxa"/>
            <w:noWrap w:val="0"/>
            <w:vAlign w:val="center"/>
          </w:tcPr>
          <w:p w14:paraId="6E5B09D1">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总硬度</w:t>
            </w:r>
          </w:p>
        </w:tc>
        <w:tc>
          <w:tcPr>
            <w:tcW w:w="2402" w:type="dxa"/>
            <w:noWrap w:val="0"/>
            <w:vAlign w:val="center"/>
          </w:tcPr>
          <w:p w14:paraId="6AF3CD1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241B6630">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≤450</w:t>
            </w:r>
          </w:p>
        </w:tc>
        <w:tc>
          <w:tcPr>
            <w:tcW w:w="2106" w:type="dxa"/>
            <w:vMerge w:val="continue"/>
            <w:noWrap w:val="0"/>
            <w:vAlign w:val="top"/>
          </w:tcPr>
          <w:p w14:paraId="28C6EDAF">
            <w:pPr>
              <w:pStyle w:val="2"/>
              <w:widowControl w:val="0"/>
              <w:rPr>
                <w:rFonts w:ascii="Times New Roman" w:hAnsi="Times New Roman" w:eastAsia="宋体" w:cs="Times New Roman"/>
                <w:b/>
                <w:bCs/>
                <w:sz w:val="21"/>
                <w:szCs w:val="21"/>
                <w:vertAlign w:val="baseline"/>
                <w:lang w:val="en-US" w:eastAsia="zh-CN"/>
              </w:rPr>
            </w:pPr>
          </w:p>
        </w:tc>
      </w:tr>
      <w:tr w14:paraId="04F33D1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6849CDC8">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4</w:t>
            </w:r>
          </w:p>
        </w:tc>
        <w:tc>
          <w:tcPr>
            <w:tcW w:w="1535" w:type="dxa"/>
            <w:noWrap w:val="0"/>
            <w:vAlign w:val="center"/>
          </w:tcPr>
          <w:p w14:paraId="52820E0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溶解性总固体</w:t>
            </w:r>
          </w:p>
        </w:tc>
        <w:tc>
          <w:tcPr>
            <w:tcW w:w="2402" w:type="dxa"/>
            <w:noWrap w:val="0"/>
            <w:vAlign w:val="center"/>
          </w:tcPr>
          <w:p w14:paraId="23CEF4A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5A108F39">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≤1000</w:t>
            </w:r>
          </w:p>
        </w:tc>
        <w:tc>
          <w:tcPr>
            <w:tcW w:w="2106" w:type="dxa"/>
            <w:vMerge w:val="continue"/>
            <w:noWrap w:val="0"/>
            <w:vAlign w:val="top"/>
          </w:tcPr>
          <w:p w14:paraId="37D2EFFA">
            <w:pPr>
              <w:pStyle w:val="2"/>
              <w:widowControl w:val="0"/>
              <w:rPr>
                <w:rFonts w:ascii="Times New Roman" w:hAnsi="Times New Roman" w:eastAsia="宋体" w:cs="Times New Roman"/>
                <w:b/>
                <w:bCs/>
                <w:sz w:val="21"/>
                <w:szCs w:val="21"/>
                <w:vertAlign w:val="baseline"/>
                <w:lang w:val="en-US" w:eastAsia="zh-CN"/>
              </w:rPr>
            </w:pPr>
          </w:p>
        </w:tc>
      </w:tr>
      <w:tr w14:paraId="02F6CC0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457A5178">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5</w:t>
            </w:r>
          </w:p>
        </w:tc>
        <w:tc>
          <w:tcPr>
            <w:tcW w:w="1535" w:type="dxa"/>
            <w:noWrap w:val="0"/>
            <w:vAlign w:val="center"/>
          </w:tcPr>
          <w:p w14:paraId="451B04C9">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氨氮</w:t>
            </w:r>
          </w:p>
        </w:tc>
        <w:tc>
          <w:tcPr>
            <w:tcW w:w="2402" w:type="dxa"/>
            <w:noWrap w:val="0"/>
            <w:vAlign w:val="center"/>
          </w:tcPr>
          <w:p w14:paraId="3841F7EB">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3F192DC6">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≤0.5</w:t>
            </w:r>
          </w:p>
        </w:tc>
        <w:tc>
          <w:tcPr>
            <w:tcW w:w="2106" w:type="dxa"/>
            <w:vMerge w:val="continue"/>
            <w:noWrap w:val="0"/>
            <w:vAlign w:val="top"/>
          </w:tcPr>
          <w:p w14:paraId="539DC829">
            <w:pPr>
              <w:pStyle w:val="2"/>
              <w:widowControl w:val="0"/>
              <w:rPr>
                <w:rFonts w:ascii="Times New Roman" w:hAnsi="Times New Roman" w:eastAsia="宋体" w:cs="Times New Roman"/>
                <w:b/>
                <w:bCs/>
                <w:sz w:val="21"/>
                <w:szCs w:val="21"/>
                <w:vertAlign w:val="baseline"/>
                <w:lang w:val="en-US" w:eastAsia="zh-CN"/>
              </w:rPr>
            </w:pPr>
          </w:p>
        </w:tc>
      </w:tr>
      <w:tr w14:paraId="6B2054F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4C19D39E">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6</w:t>
            </w:r>
          </w:p>
        </w:tc>
        <w:tc>
          <w:tcPr>
            <w:tcW w:w="1535" w:type="dxa"/>
            <w:noWrap w:val="0"/>
            <w:vAlign w:val="center"/>
          </w:tcPr>
          <w:p w14:paraId="232FACDD">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硝酸盐</w:t>
            </w:r>
          </w:p>
        </w:tc>
        <w:tc>
          <w:tcPr>
            <w:tcW w:w="2402" w:type="dxa"/>
            <w:noWrap w:val="0"/>
            <w:vAlign w:val="center"/>
          </w:tcPr>
          <w:p w14:paraId="5F8720B9">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424A1AFA">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≤20.0</w:t>
            </w:r>
          </w:p>
        </w:tc>
        <w:tc>
          <w:tcPr>
            <w:tcW w:w="2106" w:type="dxa"/>
            <w:vMerge w:val="continue"/>
            <w:noWrap w:val="0"/>
            <w:vAlign w:val="top"/>
          </w:tcPr>
          <w:p w14:paraId="5A3D57CC">
            <w:pPr>
              <w:pStyle w:val="2"/>
              <w:widowControl w:val="0"/>
              <w:rPr>
                <w:rFonts w:ascii="Times New Roman" w:hAnsi="Times New Roman" w:eastAsia="宋体" w:cs="Times New Roman"/>
                <w:b/>
                <w:bCs/>
                <w:sz w:val="21"/>
                <w:szCs w:val="21"/>
                <w:vertAlign w:val="baseline"/>
                <w:lang w:val="en-US" w:eastAsia="zh-CN"/>
              </w:rPr>
            </w:pPr>
          </w:p>
        </w:tc>
      </w:tr>
      <w:tr w14:paraId="79E2990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23000D8D">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7</w:t>
            </w:r>
          </w:p>
        </w:tc>
        <w:tc>
          <w:tcPr>
            <w:tcW w:w="1535" w:type="dxa"/>
            <w:noWrap w:val="0"/>
            <w:vAlign w:val="center"/>
          </w:tcPr>
          <w:p w14:paraId="402F48ED">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硫酸盐</w:t>
            </w:r>
          </w:p>
        </w:tc>
        <w:tc>
          <w:tcPr>
            <w:tcW w:w="2402" w:type="dxa"/>
            <w:noWrap w:val="0"/>
            <w:vAlign w:val="center"/>
          </w:tcPr>
          <w:p w14:paraId="1E359D95">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0535479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≤250</w:t>
            </w:r>
          </w:p>
        </w:tc>
        <w:tc>
          <w:tcPr>
            <w:tcW w:w="2106" w:type="dxa"/>
            <w:vMerge w:val="continue"/>
            <w:noWrap w:val="0"/>
            <w:vAlign w:val="top"/>
          </w:tcPr>
          <w:p w14:paraId="2593F81D">
            <w:pPr>
              <w:pStyle w:val="2"/>
              <w:widowControl w:val="0"/>
              <w:rPr>
                <w:rFonts w:ascii="Times New Roman" w:hAnsi="Times New Roman" w:eastAsia="宋体" w:cs="Times New Roman"/>
                <w:b/>
                <w:bCs/>
                <w:sz w:val="21"/>
                <w:szCs w:val="21"/>
                <w:vertAlign w:val="baseline"/>
                <w:lang w:val="en-US" w:eastAsia="zh-CN"/>
              </w:rPr>
            </w:pPr>
          </w:p>
        </w:tc>
      </w:tr>
      <w:tr w14:paraId="04B696D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3E021F53">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8</w:t>
            </w:r>
          </w:p>
        </w:tc>
        <w:tc>
          <w:tcPr>
            <w:tcW w:w="1535" w:type="dxa"/>
            <w:noWrap w:val="0"/>
            <w:vAlign w:val="center"/>
          </w:tcPr>
          <w:p w14:paraId="57B003F6">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氟化物</w:t>
            </w:r>
          </w:p>
        </w:tc>
        <w:tc>
          <w:tcPr>
            <w:tcW w:w="2402" w:type="dxa"/>
            <w:noWrap w:val="0"/>
            <w:vAlign w:val="center"/>
          </w:tcPr>
          <w:p w14:paraId="42A0CF1C">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00B7603F">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≤1.0</w:t>
            </w:r>
          </w:p>
        </w:tc>
        <w:tc>
          <w:tcPr>
            <w:tcW w:w="2106" w:type="dxa"/>
            <w:vMerge w:val="continue"/>
            <w:noWrap w:val="0"/>
            <w:vAlign w:val="top"/>
          </w:tcPr>
          <w:p w14:paraId="6CFCEEC5">
            <w:pPr>
              <w:pStyle w:val="2"/>
              <w:widowControl w:val="0"/>
              <w:rPr>
                <w:rFonts w:ascii="Times New Roman" w:hAnsi="Times New Roman" w:eastAsia="宋体" w:cs="Times New Roman"/>
                <w:b/>
                <w:bCs/>
                <w:sz w:val="21"/>
                <w:szCs w:val="21"/>
                <w:vertAlign w:val="baseline"/>
                <w:lang w:val="en-US" w:eastAsia="zh-CN"/>
              </w:rPr>
            </w:pPr>
          </w:p>
        </w:tc>
      </w:tr>
      <w:tr w14:paraId="56857F2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441D2CA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9</w:t>
            </w:r>
          </w:p>
        </w:tc>
        <w:tc>
          <w:tcPr>
            <w:tcW w:w="1535" w:type="dxa"/>
            <w:noWrap w:val="0"/>
            <w:vAlign w:val="center"/>
          </w:tcPr>
          <w:p w14:paraId="7BE6EEB6">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挥发酚</w:t>
            </w:r>
          </w:p>
        </w:tc>
        <w:tc>
          <w:tcPr>
            <w:tcW w:w="2402" w:type="dxa"/>
            <w:noWrap w:val="0"/>
            <w:vAlign w:val="center"/>
          </w:tcPr>
          <w:p w14:paraId="1A60BA20">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45A09664">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≤0.002</w:t>
            </w:r>
          </w:p>
        </w:tc>
        <w:tc>
          <w:tcPr>
            <w:tcW w:w="2106" w:type="dxa"/>
            <w:vMerge w:val="continue"/>
            <w:noWrap w:val="0"/>
            <w:vAlign w:val="top"/>
          </w:tcPr>
          <w:p w14:paraId="11776175">
            <w:pPr>
              <w:pStyle w:val="2"/>
              <w:widowControl w:val="0"/>
              <w:rPr>
                <w:rFonts w:ascii="Times New Roman" w:hAnsi="Times New Roman" w:eastAsia="宋体" w:cs="Times New Roman"/>
                <w:b/>
                <w:bCs/>
                <w:sz w:val="21"/>
                <w:szCs w:val="21"/>
                <w:vertAlign w:val="baseline"/>
                <w:lang w:val="en-US" w:eastAsia="zh-CN"/>
              </w:rPr>
            </w:pPr>
          </w:p>
        </w:tc>
      </w:tr>
      <w:tr w14:paraId="5D16A22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5330714C">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10</w:t>
            </w:r>
          </w:p>
        </w:tc>
        <w:tc>
          <w:tcPr>
            <w:tcW w:w="1535" w:type="dxa"/>
            <w:noWrap w:val="0"/>
            <w:vAlign w:val="center"/>
          </w:tcPr>
          <w:p w14:paraId="30733F5A">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氯化物</w:t>
            </w:r>
          </w:p>
        </w:tc>
        <w:tc>
          <w:tcPr>
            <w:tcW w:w="2402" w:type="dxa"/>
            <w:noWrap w:val="0"/>
            <w:vAlign w:val="center"/>
          </w:tcPr>
          <w:p w14:paraId="6BD7882F">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634F9DFB">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≤250</w:t>
            </w:r>
          </w:p>
        </w:tc>
        <w:tc>
          <w:tcPr>
            <w:tcW w:w="2106" w:type="dxa"/>
            <w:vMerge w:val="continue"/>
            <w:noWrap w:val="0"/>
            <w:vAlign w:val="top"/>
          </w:tcPr>
          <w:p w14:paraId="453023D5">
            <w:pPr>
              <w:pStyle w:val="2"/>
              <w:widowControl w:val="0"/>
              <w:rPr>
                <w:rFonts w:ascii="Times New Roman" w:hAnsi="Times New Roman" w:eastAsia="宋体" w:cs="Times New Roman"/>
                <w:b/>
                <w:bCs/>
                <w:sz w:val="21"/>
                <w:szCs w:val="21"/>
                <w:vertAlign w:val="baseline"/>
                <w:lang w:val="en-US" w:eastAsia="zh-CN"/>
              </w:rPr>
            </w:pPr>
          </w:p>
        </w:tc>
      </w:tr>
      <w:tr w14:paraId="7461B2E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0B11A2D5">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11</w:t>
            </w:r>
          </w:p>
        </w:tc>
        <w:tc>
          <w:tcPr>
            <w:tcW w:w="1535" w:type="dxa"/>
            <w:noWrap w:val="0"/>
            <w:vAlign w:val="center"/>
          </w:tcPr>
          <w:p w14:paraId="782DD1A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铁</w:t>
            </w:r>
          </w:p>
        </w:tc>
        <w:tc>
          <w:tcPr>
            <w:tcW w:w="2402" w:type="dxa"/>
            <w:noWrap w:val="0"/>
            <w:vAlign w:val="center"/>
          </w:tcPr>
          <w:p w14:paraId="514BA654">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138E1032">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≤0.3</w:t>
            </w:r>
          </w:p>
        </w:tc>
        <w:tc>
          <w:tcPr>
            <w:tcW w:w="2106" w:type="dxa"/>
            <w:vMerge w:val="continue"/>
            <w:noWrap w:val="0"/>
            <w:vAlign w:val="top"/>
          </w:tcPr>
          <w:p w14:paraId="5B73C610">
            <w:pPr>
              <w:pStyle w:val="2"/>
              <w:widowControl w:val="0"/>
              <w:rPr>
                <w:rFonts w:ascii="Times New Roman" w:hAnsi="Times New Roman" w:eastAsia="宋体" w:cs="Times New Roman"/>
                <w:b/>
                <w:bCs/>
                <w:sz w:val="21"/>
                <w:szCs w:val="21"/>
                <w:vertAlign w:val="baseline"/>
                <w:lang w:val="en-US" w:eastAsia="zh-CN"/>
              </w:rPr>
            </w:pPr>
          </w:p>
        </w:tc>
      </w:tr>
      <w:tr w14:paraId="5A65067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50EA00AA">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12</w:t>
            </w:r>
          </w:p>
        </w:tc>
        <w:tc>
          <w:tcPr>
            <w:tcW w:w="1535" w:type="dxa"/>
            <w:noWrap w:val="0"/>
            <w:vAlign w:val="center"/>
          </w:tcPr>
          <w:p w14:paraId="2852B703">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锰</w:t>
            </w:r>
          </w:p>
        </w:tc>
        <w:tc>
          <w:tcPr>
            <w:tcW w:w="2402" w:type="dxa"/>
            <w:noWrap w:val="0"/>
            <w:vAlign w:val="center"/>
          </w:tcPr>
          <w:p w14:paraId="794C19A8">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04EDCC50">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≤0.1</w:t>
            </w:r>
          </w:p>
        </w:tc>
        <w:tc>
          <w:tcPr>
            <w:tcW w:w="2106" w:type="dxa"/>
            <w:vMerge w:val="continue"/>
            <w:noWrap w:val="0"/>
            <w:vAlign w:val="top"/>
          </w:tcPr>
          <w:p w14:paraId="276ED6A6">
            <w:pPr>
              <w:pStyle w:val="2"/>
              <w:widowControl w:val="0"/>
              <w:rPr>
                <w:rFonts w:ascii="Times New Roman" w:hAnsi="Times New Roman" w:eastAsia="宋体" w:cs="Times New Roman"/>
                <w:b/>
                <w:bCs/>
                <w:sz w:val="21"/>
                <w:szCs w:val="21"/>
                <w:vertAlign w:val="baseline"/>
                <w:lang w:val="en-US" w:eastAsia="zh-CN"/>
              </w:rPr>
            </w:pPr>
          </w:p>
        </w:tc>
      </w:tr>
      <w:tr w14:paraId="5E399F0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100B8793">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13</w:t>
            </w:r>
          </w:p>
        </w:tc>
        <w:tc>
          <w:tcPr>
            <w:tcW w:w="1535" w:type="dxa"/>
            <w:noWrap w:val="0"/>
            <w:vAlign w:val="center"/>
          </w:tcPr>
          <w:p w14:paraId="4C2F620E">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镉</w:t>
            </w:r>
          </w:p>
        </w:tc>
        <w:tc>
          <w:tcPr>
            <w:tcW w:w="2402" w:type="dxa"/>
            <w:noWrap w:val="0"/>
            <w:vAlign w:val="center"/>
          </w:tcPr>
          <w:p w14:paraId="1F3C7B8E">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751228F5">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≤0.005</w:t>
            </w:r>
          </w:p>
        </w:tc>
        <w:tc>
          <w:tcPr>
            <w:tcW w:w="2106" w:type="dxa"/>
            <w:vMerge w:val="continue"/>
            <w:noWrap w:val="0"/>
            <w:vAlign w:val="top"/>
          </w:tcPr>
          <w:p w14:paraId="1F67BAC3">
            <w:pPr>
              <w:pStyle w:val="2"/>
              <w:widowControl w:val="0"/>
              <w:rPr>
                <w:rFonts w:ascii="Times New Roman" w:hAnsi="Times New Roman" w:eastAsia="宋体" w:cs="Times New Roman"/>
                <w:b/>
                <w:bCs/>
                <w:sz w:val="21"/>
                <w:szCs w:val="21"/>
                <w:vertAlign w:val="baseline"/>
                <w:lang w:val="en-US" w:eastAsia="zh-CN"/>
              </w:rPr>
            </w:pPr>
          </w:p>
        </w:tc>
      </w:tr>
      <w:tr w14:paraId="0397C5F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2AE24212">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14</w:t>
            </w:r>
          </w:p>
        </w:tc>
        <w:tc>
          <w:tcPr>
            <w:tcW w:w="1535" w:type="dxa"/>
            <w:noWrap w:val="0"/>
            <w:vAlign w:val="center"/>
          </w:tcPr>
          <w:p w14:paraId="5BAB583E">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砷</w:t>
            </w:r>
          </w:p>
        </w:tc>
        <w:tc>
          <w:tcPr>
            <w:tcW w:w="2402" w:type="dxa"/>
            <w:noWrap w:val="0"/>
            <w:vAlign w:val="center"/>
          </w:tcPr>
          <w:p w14:paraId="158700D5">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0D11E2E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≤0.01</w:t>
            </w:r>
          </w:p>
        </w:tc>
        <w:tc>
          <w:tcPr>
            <w:tcW w:w="2106" w:type="dxa"/>
            <w:vMerge w:val="continue"/>
            <w:noWrap w:val="0"/>
            <w:vAlign w:val="top"/>
          </w:tcPr>
          <w:p w14:paraId="244B23FC">
            <w:pPr>
              <w:pStyle w:val="2"/>
              <w:widowControl w:val="0"/>
              <w:rPr>
                <w:rFonts w:ascii="Times New Roman" w:hAnsi="Times New Roman" w:eastAsia="宋体" w:cs="Times New Roman"/>
                <w:b/>
                <w:bCs/>
                <w:sz w:val="21"/>
                <w:szCs w:val="21"/>
                <w:vertAlign w:val="baseline"/>
                <w:lang w:val="en-US" w:eastAsia="zh-CN"/>
              </w:rPr>
            </w:pPr>
          </w:p>
        </w:tc>
      </w:tr>
      <w:tr w14:paraId="3DCCC5A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4F416CFF">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15</w:t>
            </w:r>
          </w:p>
        </w:tc>
        <w:tc>
          <w:tcPr>
            <w:tcW w:w="1535" w:type="dxa"/>
            <w:noWrap w:val="0"/>
            <w:vAlign w:val="center"/>
          </w:tcPr>
          <w:p w14:paraId="23C36413">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汞</w:t>
            </w:r>
          </w:p>
        </w:tc>
        <w:tc>
          <w:tcPr>
            <w:tcW w:w="2402" w:type="dxa"/>
            <w:noWrap w:val="0"/>
            <w:vAlign w:val="center"/>
          </w:tcPr>
          <w:p w14:paraId="0F988BF1">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4E282B5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≤0.001</w:t>
            </w:r>
          </w:p>
        </w:tc>
        <w:tc>
          <w:tcPr>
            <w:tcW w:w="2106" w:type="dxa"/>
            <w:vMerge w:val="continue"/>
            <w:noWrap w:val="0"/>
            <w:vAlign w:val="top"/>
          </w:tcPr>
          <w:p w14:paraId="1DC20BC9">
            <w:pPr>
              <w:pStyle w:val="2"/>
              <w:widowControl w:val="0"/>
              <w:rPr>
                <w:rFonts w:ascii="Times New Roman" w:hAnsi="Times New Roman" w:eastAsia="宋体" w:cs="Times New Roman"/>
                <w:b/>
                <w:bCs/>
                <w:sz w:val="21"/>
                <w:szCs w:val="21"/>
                <w:vertAlign w:val="baseline"/>
                <w:lang w:val="en-US" w:eastAsia="zh-CN"/>
              </w:rPr>
            </w:pPr>
          </w:p>
        </w:tc>
      </w:tr>
      <w:tr w14:paraId="60ECC88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39418B88">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16</w:t>
            </w:r>
          </w:p>
        </w:tc>
        <w:tc>
          <w:tcPr>
            <w:tcW w:w="1535" w:type="dxa"/>
            <w:noWrap w:val="0"/>
            <w:vAlign w:val="center"/>
          </w:tcPr>
          <w:p w14:paraId="5DB499B0">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六价铬</w:t>
            </w:r>
          </w:p>
        </w:tc>
        <w:tc>
          <w:tcPr>
            <w:tcW w:w="2402" w:type="dxa"/>
            <w:noWrap w:val="0"/>
            <w:vAlign w:val="center"/>
          </w:tcPr>
          <w:p w14:paraId="560FF5D0">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7D5FC7AC">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≤0.05</w:t>
            </w:r>
          </w:p>
        </w:tc>
        <w:tc>
          <w:tcPr>
            <w:tcW w:w="2106" w:type="dxa"/>
            <w:vMerge w:val="continue"/>
            <w:noWrap w:val="0"/>
            <w:vAlign w:val="top"/>
          </w:tcPr>
          <w:p w14:paraId="50F7EE93">
            <w:pPr>
              <w:pStyle w:val="2"/>
              <w:widowControl w:val="0"/>
              <w:rPr>
                <w:rFonts w:ascii="Times New Roman" w:hAnsi="Times New Roman" w:eastAsia="宋体" w:cs="Times New Roman"/>
                <w:b/>
                <w:bCs/>
                <w:sz w:val="21"/>
                <w:szCs w:val="21"/>
                <w:vertAlign w:val="baseline"/>
                <w:lang w:val="en-US" w:eastAsia="zh-CN"/>
              </w:rPr>
            </w:pPr>
          </w:p>
        </w:tc>
      </w:tr>
      <w:tr w14:paraId="6CF89FB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63788541">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17</w:t>
            </w:r>
          </w:p>
        </w:tc>
        <w:tc>
          <w:tcPr>
            <w:tcW w:w="1535" w:type="dxa"/>
            <w:noWrap w:val="0"/>
            <w:vAlign w:val="center"/>
          </w:tcPr>
          <w:p w14:paraId="3C1615A6">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总大肠菌群</w:t>
            </w:r>
          </w:p>
        </w:tc>
        <w:tc>
          <w:tcPr>
            <w:tcW w:w="2402" w:type="dxa"/>
            <w:noWrap w:val="0"/>
            <w:vAlign w:val="center"/>
          </w:tcPr>
          <w:p w14:paraId="10A580A7">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（MPN/100ml）</w:t>
            </w:r>
          </w:p>
        </w:tc>
        <w:tc>
          <w:tcPr>
            <w:tcW w:w="1485" w:type="dxa"/>
            <w:noWrap w:val="0"/>
            <w:vAlign w:val="center"/>
          </w:tcPr>
          <w:p w14:paraId="010B76D6">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≤3.0</w:t>
            </w:r>
          </w:p>
        </w:tc>
        <w:tc>
          <w:tcPr>
            <w:tcW w:w="2106" w:type="dxa"/>
            <w:vMerge w:val="continue"/>
            <w:noWrap w:val="0"/>
            <w:vAlign w:val="top"/>
          </w:tcPr>
          <w:p w14:paraId="766D9057">
            <w:pPr>
              <w:pStyle w:val="2"/>
              <w:widowControl w:val="0"/>
              <w:rPr>
                <w:rFonts w:ascii="Times New Roman" w:hAnsi="Times New Roman" w:eastAsia="宋体" w:cs="Times New Roman"/>
                <w:b/>
                <w:bCs/>
                <w:sz w:val="21"/>
                <w:szCs w:val="21"/>
                <w:vertAlign w:val="baseline"/>
                <w:lang w:val="en-US" w:eastAsia="zh-CN"/>
              </w:rPr>
            </w:pPr>
          </w:p>
        </w:tc>
      </w:tr>
      <w:tr w14:paraId="2CC8082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1000" w:type="dxa"/>
            <w:noWrap w:val="0"/>
            <w:vAlign w:val="center"/>
          </w:tcPr>
          <w:p w14:paraId="2AF761DF">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18</w:t>
            </w:r>
          </w:p>
        </w:tc>
        <w:tc>
          <w:tcPr>
            <w:tcW w:w="1535" w:type="dxa"/>
            <w:noWrap w:val="0"/>
            <w:vAlign w:val="center"/>
          </w:tcPr>
          <w:p w14:paraId="4A608A4A">
            <w:pPr>
              <w:pStyle w:val="2"/>
              <w:widowControl w:val="0"/>
              <w:jc w:val="both"/>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甲醛</w:t>
            </w:r>
          </w:p>
        </w:tc>
        <w:tc>
          <w:tcPr>
            <w:tcW w:w="2402" w:type="dxa"/>
            <w:noWrap w:val="0"/>
            <w:vAlign w:val="center"/>
          </w:tcPr>
          <w:p w14:paraId="2401933C">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mg/L</w:t>
            </w:r>
          </w:p>
        </w:tc>
        <w:tc>
          <w:tcPr>
            <w:tcW w:w="1485" w:type="dxa"/>
            <w:noWrap w:val="0"/>
            <w:vAlign w:val="center"/>
          </w:tcPr>
          <w:p w14:paraId="6AF147BA">
            <w:pPr>
              <w:pStyle w:val="2"/>
              <w:widowControl w:val="0"/>
              <w:ind w:left="0" w:firstLine="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b w:val="0"/>
                <w:bCs w:val="0"/>
                <w:sz w:val="21"/>
                <w:szCs w:val="21"/>
                <w:vertAlign w:val="baseline"/>
                <w:lang w:val="en-US" w:eastAsia="zh-CN"/>
              </w:rPr>
              <w:t>——</w:t>
            </w:r>
          </w:p>
        </w:tc>
        <w:tc>
          <w:tcPr>
            <w:tcW w:w="2106" w:type="dxa"/>
            <w:vMerge w:val="continue"/>
            <w:noWrap w:val="0"/>
            <w:vAlign w:val="top"/>
          </w:tcPr>
          <w:p w14:paraId="02AB618F">
            <w:pPr>
              <w:pStyle w:val="2"/>
              <w:widowControl w:val="0"/>
              <w:rPr>
                <w:rFonts w:ascii="Times New Roman" w:hAnsi="Times New Roman" w:eastAsia="宋体" w:cs="Times New Roman"/>
                <w:b/>
                <w:bCs/>
                <w:sz w:val="21"/>
                <w:szCs w:val="21"/>
                <w:vertAlign w:val="baseline"/>
                <w:lang w:val="en-US" w:eastAsia="zh-CN"/>
              </w:rPr>
            </w:pPr>
          </w:p>
        </w:tc>
      </w:tr>
    </w:tbl>
    <w:p w14:paraId="78ACCC4E">
      <w:pPr>
        <w:pStyle w:val="2"/>
        <w:ind w:left="0" w:firstLine="240"/>
        <w:rPr>
          <w:rFonts w:ascii="Times New Roman" w:hAnsi="Times New Roman" w:eastAsia="宋体" w:cs="Times New Roman"/>
          <w:b/>
          <w:bCs/>
          <w:sz w:val="24"/>
          <w:szCs w:val="24"/>
          <w:lang w:val="en-US" w:eastAsia="zh-CN"/>
        </w:rPr>
      </w:pPr>
      <w:r>
        <w:rPr>
          <w:rFonts w:ascii="Times New Roman" w:hAnsi="Times New Roman" w:eastAsia="宋体" w:cs="Times New Roman"/>
          <w:sz w:val="24"/>
          <w:szCs w:val="24"/>
          <w:lang w:bidi="he-IL"/>
        </w:rPr>
        <w:t>（</w:t>
      </w:r>
      <w:r>
        <w:rPr>
          <w:rFonts w:hint="eastAsia" w:ascii="Times New Roman" w:hAnsi="Times New Roman" w:eastAsia="宋体" w:cs="Times New Roman"/>
          <w:sz w:val="24"/>
          <w:szCs w:val="24"/>
          <w:lang w:val="en-US" w:eastAsia="zh-CN" w:bidi="he-IL"/>
        </w:rPr>
        <w:t>5</w:t>
      </w:r>
      <w:r>
        <w:rPr>
          <w:rFonts w:ascii="Times New Roman" w:hAnsi="Times New Roman" w:eastAsia="宋体" w:cs="Times New Roman"/>
          <w:sz w:val="24"/>
          <w:szCs w:val="24"/>
          <w:lang w:bidi="he-IL"/>
        </w:rPr>
        <w:t>）</w:t>
      </w:r>
      <w:r>
        <w:rPr>
          <w:rFonts w:ascii="Times New Roman" w:hAnsi="Times New Roman" w:eastAsia="宋体" w:cs="Times New Roman"/>
          <w:sz w:val="24"/>
          <w:szCs w:val="24"/>
          <w:lang w:val="en-US" w:eastAsia="zh-CN" w:bidi="he-IL"/>
        </w:rPr>
        <w:t>土壤环境质量</w:t>
      </w:r>
      <w:r>
        <w:rPr>
          <w:rFonts w:ascii="Times New Roman" w:hAnsi="Times New Roman" w:eastAsia="宋体" w:cs="Times New Roman"/>
          <w:sz w:val="24"/>
          <w:szCs w:val="24"/>
          <w:lang w:bidi="he-IL"/>
        </w:rPr>
        <w:t>标准</w:t>
      </w:r>
    </w:p>
    <w:p w14:paraId="7753CC2E">
      <w:pPr>
        <w:ind w:firstLine="360"/>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val="en-US" w:eastAsia="zh-CN"/>
        </w:rPr>
        <w:t>项目占地类型属于工业用地，因此执行</w:t>
      </w:r>
      <w:r>
        <w:rPr>
          <w:rFonts w:ascii="Times New Roman" w:hAnsi="Times New Roman" w:eastAsia="宋体" w:cs="Times New Roman"/>
          <w:sz w:val="24"/>
          <w:szCs w:val="24"/>
        </w:rPr>
        <w:t>《土壤环境质量 建设用地土壤污染风险管控标准（试行）》（ GB36600-2018）</w:t>
      </w:r>
      <w:r>
        <w:rPr>
          <w:rFonts w:ascii="Times New Roman" w:hAnsi="Times New Roman" w:eastAsia="宋体" w:cs="Times New Roman"/>
          <w:sz w:val="24"/>
          <w:szCs w:val="24"/>
          <w:lang w:val="en-US" w:eastAsia="zh-CN"/>
        </w:rPr>
        <w:t>中表1</w:t>
      </w:r>
      <w:r>
        <w:rPr>
          <w:rFonts w:ascii="Times New Roman" w:hAnsi="Times New Roman" w:eastAsia="宋体" w:cs="Times New Roman"/>
          <w:sz w:val="24"/>
          <w:szCs w:val="24"/>
        </w:rPr>
        <w:t>第二类建设用地土壤污染风险筛选值</w:t>
      </w:r>
      <w:r>
        <w:rPr>
          <w:rFonts w:ascii="Times New Roman" w:hAnsi="Times New Roman" w:eastAsia="宋体" w:cs="Times New Roman"/>
          <w:sz w:val="24"/>
          <w:szCs w:val="24"/>
          <w:lang w:val="en-US" w:eastAsia="zh-CN"/>
        </w:rPr>
        <w:t>。</w:t>
      </w:r>
    </w:p>
    <w:p w14:paraId="78A4528A">
      <w:pPr>
        <w:pStyle w:val="219"/>
        <w:spacing w:before="4"/>
        <w:jc w:val="center"/>
        <w:rPr>
          <w:rFonts w:hint="eastAsia" w:eastAsia="宋体"/>
          <w:b/>
          <w:sz w:val="24"/>
          <w:lang w:val="en-US" w:eastAsia="zh-CN"/>
        </w:rPr>
      </w:pPr>
      <w:r>
        <w:rPr>
          <w:rFonts w:hint="eastAsia" w:eastAsia="宋体"/>
          <w:b/>
          <w:sz w:val="24"/>
          <w:lang w:val="en-US" w:eastAsia="zh-CN"/>
        </w:rPr>
        <w:t>表2.4-5土壤环境质量标准  单位：mg/kg</w:t>
      </w:r>
    </w:p>
    <w:tbl>
      <w:tblPr>
        <w:tblStyle w:val="32"/>
        <w:tblW w:w="7738" w:type="dxa"/>
        <w:tblInd w:w="1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2096"/>
        <w:gridCol w:w="2780"/>
        <w:gridCol w:w="2862"/>
      </w:tblGrid>
      <w:tr w14:paraId="3FF66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4" w:hRule="atLeast"/>
        </w:trPr>
        <w:tc>
          <w:tcPr>
            <w:tcW w:w="2096" w:type="dxa"/>
            <w:vMerge w:val="restart"/>
            <w:shd w:val="clear" w:color="auto" w:fill="FFFFFF"/>
            <w:noWrap w:val="0"/>
            <w:vAlign w:val="center"/>
          </w:tcPr>
          <w:p w14:paraId="41D1D78E">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p>
          <w:p w14:paraId="11406DD4">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序号</w:t>
            </w:r>
          </w:p>
        </w:tc>
        <w:tc>
          <w:tcPr>
            <w:tcW w:w="2780" w:type="dxa"/>
            <w:vMerge w:val="restart"/>
            <w:shd w:val="clear" w:color="auto" w:fill="FFFFFF"/>
            <w:noWrap w:val="0"/>
            <w:vAlign w:val="center"/>
          </w:tcPr>
          <w:p w14:paraId="579CE3BA">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p>
          <w:p w14:paraId="4A89765B">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污染物项目</w:t>
            </w:r>
          </w:p>
        </w:tc>
        <w:tc>
          <w:tcPr>
            <w:tcW w:w="2862" w:type="dxa"/>
            <w:shd w:val="clear" w:color="auto" w:fill="FFFFFF"/>
            <w:noWrap w:val="0"/>
            <w:vAlign w:val="center"/>
          </w:tcPr>
          <w:p w14:paraId="4BAA2220">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第二类用地</w:t>
            </w:r>
          </w:p>
        </w:tc>
      </w:tr>
      <w:tr w14:paraId="4FF77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4" w:hRule="atLeast"/>
        </w:trPr>
        <w:tc>
          <w:tcPr>
            <w:tcW w:w="2096" w:type="dxa"/>
            <w:vMerge w:val="continue"/>
            <w:shd w:val="clear" w:color="auto" w:fill="FFFFFF"/>
            <w:noWrap w:val="0"/>
            <w:vAlign w:val="center"/>
          </w:tcPr>
          <w:p w14:paraId="34B8E845">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p>
        </w:tc>
        <w:tc>
          <w:tcPr>
            <w:tcW w:w="2780" w:type="dxa"/>
            <w:vMerge w:val="continue"/>
            <w:shd w:val="clear" w:color="auto" w:fill="FFFFFF"/>
            <w:noWrap w:val="0"/>
            <w:vAlign w:val="center"/>
          </w:tcPr>
          <w:p w14:paraId="7F48EBDB">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p>
        </w:tc>
        <w:tc>
          <w:tcPr>
            <w:tcW w:w="2862" w:type="dxa"/>
            <w:shd w:val="clear" w:color="auto" w:fill="FFFFFF"/>
            <w:noWrap w:val="0"/>
            <w:vAlign w:val="center"/>
          </w:tcPr>
          <w:p w14:paraId="5E86801A">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筛选值</w:t>
            </w:r>
          </w:p>
        </w:tc>
      </w:tr>
      <w:tr w14:paraId="5BAA4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4" w:hRule="atLeast"/>
        </w:trPr>
        <w:tc>
          <w:tcPr>
            <w:tcW w:w="7738" w:type="dxa"/>
            <w:gridSpan w:val="3"/>
            <w:shd w:val="clear" w:color="auto" w:fill="FFFFFF"/>
            <w:noWrap w:val="0"/>
            <w:vAlign w:val="center"/>
          </w:tcPr>
          <w:p w14:paraId="65E6F41B">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重金属和无机物</w:t>
            </w:r>
          </w:p>
        </w:tc>
      </w:tr>
      <w:tr w14:paraId="5CB9C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4" w:hRule="atLeast"/>
        </w:trPr>
        <w:tc>
          <w:tcPr>
            <w:tcW w:w="2096" w:type="dxa"/>
            <w:noWrap w:val="0"/>
            <w:vAlign w:val="center"/>
          </w:tcPr>
          <w:p w14:paraId="2CFA270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w:t>
            </w:r>
          </w:p>
        </w:tc>
        <w:tc>
          <w:tcPr>
            <w:tcW w:w="2780" w:type="dxa"/>
            <w:noWrap w:val="0"/>
            <w:vAlign w:val="center"/>
          </w:tcPr>
          <w:p w14:paraId="7747369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砷</w:t>
            </w:r>
          </w:p>
        </w:tc>
        <w:tc>
          <w:tcPr>
            <w:tcW w:w="2862" w:type="dxa"/>
            <w:noWrap w:val="0"/>
            <w:vAlign w:val="center"/>
          </w:tcPr>
          <w:p w14:paraId="564D5D6B">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60</w:t>
            </w:r>
          </w:p>
        </w:tc>
      </w:tr>
      <w:tr w14:paraId="05661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39" w:hRule="atLeast"/>
        </w:trPr>
        <w:tc>
          <w:tcPr>
            <w:tcW w:w="2096" w:type="dxa"/>
            <w:noWrap w:val="0"/>
            <w:vAlign w:val="center"/>
          </w:tcPr>
          <w:p w14:paraId="7EB351F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w:t>
            </w:r>
          </w:p>
        </w:tc>
        <w:tc>
          <w:tcPr>
            <w:tcW w:w="2780" w:type="dxa"/>
            <w:noWrap w:val="0"/>
            <w:vAlign w:val="center"/>
          </w:tcPr>
          <w:p w14:paraId="1277936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镉</w:t>
            </w:r>
          </w:p>
        </w:tc>
        <w:tc>
          <w:tcPr>
            <w:tcW w:w="2862" w:type="dxa"/>
            <w:noWrap w:val="0"/>
            <w:vAlign w:val="center"/>
          </w:tcPr>
          <w:p w14:paraId="7BFCCBC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65</w:t>
            </w:r>
          </w:p>
        </w:tc>
      </w:tr>
      <w:tr w14:paraId="5359E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39" w:hRule="atLeast"/>
        </w:trPr>
        <w:tc>
          <w:tcPr>
            <w:tcW w:w="2096" w:type="dxa"/>
            <w:noWrap w:val="0"/>
            <w:vAlign w:val="center"/>
          </w:tcPr>
          <w:p w14:paraId="6544074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w:t>
            </w:r>
          </w:p>
        </w:tc>
        <w:tc>
          <w:tcPr>
            <w:tcW w:w="2780" w:type="dxa"/>
            <w:noWrap w:val="0"/>
            <w:vAlign w:val="center"/>
          </w:tcPr>
          <w:p w14:paraId="5C25655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铬（六价）</w:t>
            </w:r>
          </w:p>
        </w:tc>
        <w:tc>
          <w:tcPr>
            <w:tcW w:w="2862" w:type="dxa"/>
            <w:noWrap w:val="0"/>
            <w:vAlign w:val="center"/>
          </w:tcPr>
          <w:p w14:paraId="6E007AC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5.7</w:t>
            </w:r>
          </w:p>
        </w:tc>
      </w:tr>
      <w:tr w14:paraId="2EB1E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39" w:hRule="atLeast"/>
        </w:trPr>
        <w:tc>
          <w:tcPr>
            <w:tcW w:w="2096" w:type="dxa"/>
            <w:noWrap w:val="0"/>
            <w:vAlign w:val="center"/>
          </w:tcPr>
          <w:p w14:paraId="2EB8B3C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w:t>
            </w:r>
          </w:p>
        </w:tc>
        <w:tc>
          <w:tcPr>
            <w:tcW w:w="2780" w:type="dxa"/>
            <w:noWrap w:val="0"/>
            <w:vAlign w:val="center"/>
          </w:tcPr>
          <w:p w14:paraId="3C3BA2A9">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铜</w:t>
            </w:r>
          </w:p>
        </w:tc>
        <w:tc>
          <w:tcPr>
            <w:tcW w:w="2862" w:type="dxa"/>
            <w:noWrap w:val="0"/>
            <w:vAlign w:val="center"/>
          </w:tcPr>
          <w:p w14:paraId="32149891">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18000</w:t>
            </w:r>
          </w:p>
        </w:tc>
      </w:tr>
      <w:tr w14:paraId="3C0F9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39" w:hRule="atLeast"/>
        </w:trPr>
        <w:tc>
          <w:tcPr>
            <w:tcW w:w="2096" w:type="dxa"/>
            <w:noWrap w:val="0"/>
            <w:vAlign w:val="center"/>
          </w:tcPr>
          <w:p w14:paraId="6318F0F7">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w:t>
            </w:r>
          </w:p>
        </w:tc>
        <w:tc>
          <w:tcPr>
            <w:tcW w:w="2780" w:type="dxa"/>
            <w:noWrap w:val="0"/>
            <w:vAlign w:val="center"/>
          </w:tcPr>
          <w:p w14:paraId="02E600E3">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铅</w:t>
            </w:r>
          </w:p>
        </w:tc>
        <w:tc>
          <w:tcPr>
            <w:tcW w:w="2862" w:type="dxa"/>
            <w:noWrap w:val="0"/>
            <w:vAlign w:val="center"/>
          </w:tcPr>
          <w:p w14:paraId="797C98A7">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800</w:t>
            </w:r>
          </w:p>
        </w:tc>
      </w:tr>
      <w:tr w14:paraId="60571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39" w:hRule="atLeast"/>
        </w:trPr>
        <w:tc>
          <w:tcPr>
            <w:tcW w:w="2096" w:type="dxa"/>
            <w:noWrap w:val="0"/>
            <w:vAlign w:val="center"/>
          </w:tcPr>
          <w:p w14:paraId="44A46F5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w:t>
            </w:r>
          </w:p>
        </w:tc>
        <w:tc>
          <w:tcPr>
            <w:tcW w:w="2780" w:type="dxa"/>
            <w:noWrap w:val="0"/>
            <w:vAlign w:val="center"/>
          </w:tcPr>
          <w:p w14:paraId="1D2E8137">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汞</w:t>
            </w:r>
          </w:p>
        </w:tc>
        <w:tc>
          <w:tcPr>
            <w:tcW w:w="2862" w:type="dxa"/>
            <w:noWrap w:val="0"/>
            <w:vAlign w:val="center"/>
          </w:tcPr>
          <w:p w14:paraId="50903593">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38</w:t>
            </w:r>
          </w:p>
        </w:tc>
      </w:tr>
      <w:tr w14:paraId="0047F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7DB40FC9">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7</w:t>
            </w:r>
          </w:p>
        </w:tc>
        <w:tc>
          <w:tcPr>
            <w:tcW w:w="2780" w:type="dxa"/>
            <w:noWrap w:val="0"/>
            <w:vAlign w:val="center"/>
          </w:tcPr>
          <w:p w14:paraId="375535C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镍</w:t>
            </w:r>
          </w:p>
        </w:tc>
        <w:tc>
          <w:tcPr>
            <w:tcW w:w="2862" w:type="dxa"/>
            <w:noWrap w:val="0"/>
            <w:vAlign w:val="center"/>
          </w:tcPr>
          <w:p w14:paraId="5664BD4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900</w:t>
            </w:r>
          </w:p>
        </w:tc>
      </w:tr>
      <w:tr w14:paraId="1330E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7738" w:type="dxa"/>
            <w:gridSpan w:val="3"/>
            <w:noWrap w:val="0"/>
            <w:vAlign w:val="center"/>
          </w:tcPr>
          <w:p w14:paraId="0EAFAFB4">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挥发性有机物</w:t>
            </w:r>
          </w:p>
        </w:tc>
      </w:tr>
      <w:tr w14:paraId="3C73A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2FF95D7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8</w:t>
            </w:r>
          </w:p>
        </w:tc>
        <w:tc>
          <w:tcPr>
            <w:tcW w:w="2780" w:type="dxa"/>
            <w:noWrap w:val="0"/>
            <w:vAlign w:val="center"/>
          </w:tcPr>
          <w:p w14:paraId="525EDDD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四氯化碳</w:t>
            </w:r>
          </w:p>
        </w:tc>
        <w:tc>
          <w:tcPr>
            <w:tcW w:w="2862" w:type="dxa"/>
            <w:noWrap w:val="0"/>
            <w:vAlign w:val="center"/>
          </w:tcPr>
          <w:p w14:paraId="220CC031">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r>
      <w:tr w14:paraId="74B3D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440AFEF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9</w:t>
            </w:r>
          </w:p>
        </w:tc>
        <w:tc>
          <w:tcPr>
            <w:tcW w:w="2780" w:type="dxa"/>
            <w:noWrap w:val="0"/>
            <w:vAlign w:val="center"/>
          </w:tcPr>
          <w:p w14:paraId="17157F8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氯仿</w:t>
            </w:r>
          </w:p>
        </w:tc>
        <w:tc>
          <w:tcPr>
            <w:tcW w:w="2862" w:type="dxa"/>
            <w:noWrap w:val="0"/>
            <w:vAlign w:val="center"/>
          </w:tcPr>
          <w:p w14:paraId="4ED3F51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0.9</w:t>
            </w:r>
          </w:p>
        </w:tc>
      </w:tr>
      <w:tr w14:paraId="550B8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06984F7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10</w:t>
            </w:r>
          </w:p>
        </w:tc>
        <w:tc>
          <w:tcPr>
            <w:tcW w:w="2780" w:type="dxa"/>
            <w:noWrap w:val="0"/>
            <w:vAlign w:val="center"/>
          </w:tcPr>
          <w:p w14:paraId="09B7B903">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氯甲烷</w:t>
            </w:r>
          </w:p>
        </w:tc>
        <w:tc>
          <w:tcPr>
            <w:tcW w:w="2862" w:type="dxa"/>
            <w:noWrap w:val="0"/>
            <w:vAlign w:val="center"/>
          </w:tcPr>
          <w:p w14:paraId="288EE18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37</w:t>
            </w:r>
          </w:p>
        </w:tc>
      </w:tr>
      <w:tr w14:paraId="7B1CB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5A764FF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w:t>
            </w:r>
          </w:p>
        </w:tc>
        <w:tc>
          <w:tcPr>
            <w:tcW w:w="2780" w:type="dxa"/>
            <w:noWrap w:val="0"/>
            <w:vAlign w:val="center"/>
          </w:tcPr>
          <w:p w14:paraId="4B499D44">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1,1-二氯乙烷</w:t>
            </w:r>
          </w:p>
        </w:tc>
        <w:tc>
          <w:tcPr>
            <w:tcW w:w="2862" w:type="dxa"/>
            <w:noWrap w:val="0"/>
            <w:vAlign w:val="center"/>
          </w:tcPr>
          <w:p w14:paraId="50A81D5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9</w:t>
            </w:r>
          </w:p>
        </w:tc>
      </w:tr>
      <w:tr w14:paraId="37247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7DCEDB69">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w:t>
            </w:r>
          </w:p>
        </w:tc>
        <w:tc>
          <w:tcPr>
            <w:tcW w:w="2780" w:type="dxa"/>
            <w:noWrap w:val="0"/>
            <w:vAlign w:val="center"/>
          </w:tcPr>
          <w:p w14:paraId="4C42D65D">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1,2-二氯乙烷</w:t>
            </w:r>
          </w:p>
        </w:tc>
        <w:tc>
          <w:tcPr>
            <w:tcW w:w="2862" w:type="dxa"/>
            <w:noWrap w:val="0"/>
            <w:vAlign w:val="center"/>
          </w:tcPr>
          <w:p w14:paraId="1F926EC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w:t>
            </w:r>
          </w:p>
        </w:tc>
      </w:tr>
      <w:tr w14:paraId="7CA86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2513DEC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13</w:t>
            </w:r>
          </w:p>
        </w:tc>
        <w:tc>
          <w:tcPr>
            <w:tcW w:w="2780" w:type="dxa"/>
            <w:noWrap w:val="0"/>
            <w:vAlign w:val="center"/>
          </w:tcPr>
          <w:p w14:paraId="34D8AFB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1,1-二氯乙烯</w:t>
            </w:r>
          </w:p>
        </w:tc>
        <w:tc>
          <w:tcPr>
            <w:tcW w:w="2862" w:type="dxa"/>
            <w:noWrap w:val="0"/>
            <w:vAlign w:val="center"/>
          </w:tcPr>
          <w:p w14:paraId="3F4D2FF4">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66</w:t>
            </w:r>
          </w:p>
        </w:tc>
      </w:tr>
      <w:tr w14:paraId="54B93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613EC01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14</w:t>
            </w:r>
          </w:p>
        </w:tc>
        <w:tc>
          <w:tcPr>
            <w:tcW w:w="2780" w:type="dxa"/>
            <w:noWrap w:val="0"/>
            <w:vAlign w:val="center"/>
          </w:tcPr>
          <w:p w14:paraId="1E8E65B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顺-1,2-二氯乙烯</w:t>
            </w:r>
          </w:p>
        </w:tc>
        <w:tc>
          <w:tcPr>
            <w:tcW w:w="2862" w:type="dxa"/>
            <w:noWrap w:val="0"/>
            <w:vAlign w:val="center"/>
          </w:tcPr>
          <w:p w14:paraId="5A075F0B">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596</w:t>
            </w:r>
          </w:p>
        </w:tc>
      </w:tr>
      <w:tr w14:paraId="4B520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2CF3D4F7">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c>
          <w:tcPr>
            <w:tcW w:w="2780" w:type="dxa"/>
            <w:noWrap w:val="0"/>
            <w:vAlign w:val="center"/>
          </w:tcPr>
          <w:p w14:paraId="04D7D09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反-1,2-二氯乙烯</w:t>
            </w:r>
          </w:p>
        </w:tc>
        <w:tc>
          <w:tcPr>
            <w:tcW w:w="2862" w:type="dxa"/>
            <w:noWrap w:val="0"/>
            <w:vAlign w:val="center"/>
          </w:tcPr>
          <w:p w14:paraId="78F4207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54</w:t>
            </w:r>
          </w:p>
        </w:tc>
      </w:tr>
      <w:tr w14:paraId="03122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05C7527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16</w:t>
            </w:r>
          </w:p>
        </w:tc>
        <w:tc>
          <w:tcPr>
            <w:tcW w:w="2780" w:type="dxa"/>
            <w:noWrap w:val="0"/>
            <w:vAlign w:val="center"/>
          </w:tcPr>
          <w:p w14:paraId="691932A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二氯甲烷</w:t>
            </w:r>
          </w:p>
        </w:tc>
        <w:tc>
          <w:tcPr>
            <w:tcW w:w="2862" w:type="dxa"/>
            <w:noWrap w:val="0"/>
            <w:vAlign w:val="center"/>
          </w:tcPr>
          <w:p w14:paraId="76738F7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616</w:t>
            </w:r>
          </w:p>
        </w:tc>
      </w:tr>
      <w:tr w14:paraId="1AF75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2E502AD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17</w:t>
            </w:r>
          </w:p>
        </w:tc>
        <w:tc>
          <w:tcPr>
            <w:tcW w:w="2780" w:type="dxa"/>
            <w:noWrap w:val="0"/>
            <w:vAlign w:val="center"/>
          </w:tcPr>
          <w:p w14:paraId="7A07F31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1,2-二氯丙烷</w:t>
            </w:r>
          </w:p>
        </w:tc>
        <w:tc>
          <w:tcPr>
            <w:tcW w:w="2862" w:type="dxa"/>
            <w:noWrap w:val="0"/>
            <w:vAlign w:val="center"/>
          </w:tcPr>
          <w:p w14:paraId="26C6472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w:t>
            </w:r>
          </w:p>
        </w:tc>
      </w:tr>
      <w:tr w14:paraId="10956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0" w:hRule="atLeast"/>
        </w:trPr>
        <w:tc>
          <w:tcPr>
            <w:tcW w:w="2096" w:type="dxa"/>
            <w:noWrap w:val="0"/>
            <w:vAlign w:val="center"/>
          </w:tcPr>
          <w:p w14:paraId="4826922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18</w:t>
            </w:r>
          </w:p>
        </w:tc>
        <w:tc>
          <w:tcPr>
            <w:tcW w:w="2780" w:type="dxa"/>
            <w:noWrap w:val="0"/>
            <w:vAlign w:val="center"/>
          </w:tcPr>
          <w:p w14:paraId="2972F50D">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1,1,1,2-四氯乙烷</w:t>
            </w:r>
          </w:p>
        </w:tc>
        <w:tc>
          <w:tcPr>
            <w:tcW w:w="2862" w:type="dxa"/>
            <w:noWrap w:val="0"/>
            <w:vAlign w:val="center"/>
          </w:tcPr>
          <w:p w14:paraId="2D3F9DB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10</w:t>
            </w:r>
          </w:p>
        </w:tc>
      </w:tr>
      <w:tr w14:paraId="5EDF8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85" w:hRule="atLeast"/>
        </w:trPr>
        <w:tc>
          <w:tcPr>
            <w:tcW w:w="2096" w:type="dxa"/>
            <w:noWrap w:val="0"/>
            <w:vAlign w:val="center"/>
          </w:tcPr>
          <w:p w14:paraId="085CC081">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19</w:t>
            </w:r>
          </w:p>
        </w:tc>
        <w:tc>
          <w:tcPr>
            <w:tcW w:w="2780" w:type="dxa"/>
            <w:noWrap w:val="0"/>
            <w:vAlign w:val="center"/>
          </w:tcPr>
          <w:p w14:paraId="7E12FE4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1,1,2,2-四氯乙烷</w:t>
            </w:r>
          </w:p>
        </w:tc>
        <w:tc>
          <w:tcPr>
            <w:tcW w:w="2862" w:type="dxa"/>
            <w:noWrap w:val="0"/>
            <w:vAlign w:val="center"/>
          </w:tcPr>
          <w:p w14:paraId="78747C5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6.8</w:t>
            </w:r>
          </w:p>
        </w:tc>
      </w:tr>
      <w:tr w14:paraId="0DD58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6ED55DCB">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20</w:t>
            </w:r>
          </w:p>
        </w:tc>
        <w:tc>
          <w:tcPr>
            <w:tcW w:w="2780" w:type="dxa"/>
            <w:noWrap w:val="0"/>
            <w:vAlign w:val="center"/>
          </w:tcPr>
          <w:p w14:paraId="7654671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四氯乙烯</w:t>
            </w:r>
          </w:p>
        </w:tc>
        <w:tc>
          <w:tcPr>
            <w:tcW w:w="2862" w:type="dxa"/>
            <w:noWrap w:val="0"/>
            <w:vAlign w:val="center"/>
          </w:tcPr>
          <w:p w14:paraId="6444103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53</w:t>
            </w:r>
          </w:p>
        </w:tc>
      </w:tr>
      <w:tr w14:paraId="6ACA8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90" w:hRule="atLeast"/>
        </w:trPr>
        <w:tc>
          <w:tcPr>
            <w:tcW w:w="2096" w:type="dxa"/>
            <w:noWrap w:val="0"/>
            <w:vAlign w:val="center"/>
          </w:tcPr>
          <w:p w14:paraId="4A8DB65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21</w:t>
            </w:r>
          </w:p>
        </w:tc>
        <w:tc>
          <w:tcPr>
            <w:tcW w:w="2780" w:type="dxa"/>
            <w:noWrap w:val="0"/>
            <w:vAlign w:val="center"/>
          </w:tcPr>
          <w:p w14:paraId="1547388D">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1,1,1-三氯乙烷</w:t>
            </w:r>
          </w:p>
        </w:tc>
        <w:tc>
          <w:tcPr>
            <w:tcW w:w="2862" w:type="dxa"/>
            <w:noWrap w:val="0"/>
            <w:vAlign w:val="center"/>
          </w:tcPr>
          <w:p w14:paraId="1E85F70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840</w:t>
            </w:r>
          </w:p>
        </w:tc>
      </w:tr>
      <w:tr w14:paraId="09476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09" w:hRule="atLeast"/>
        </w:trPr>
        <w:tc>
          <w:tcPr>
            <w:tcW w:w="2096" w:type="dxa"/>
            <w:noWrap w:val="0"/>
            <w:vAlign w:val="center"/>
          </w:tcPr>
          <w:p w14:paraId="3203A069">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22</w:t>
            </w:r>
          </w:p>
        </w:tc>
        <w:tc>
          <w:tcPr>
            <w:tcW w:w="2780" w:type="dxa"/>
            <w:noWrap w:val="0"/>
            <w:vAlign w:val="center"/>
          </w:tcPr>
          <w:p w14:paraId="7A2612C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1,1,2-三氯乙烷</w:t>
            </w:r>
          </w:p>
        </w:tc>
        <w:tc>
          <w:tcPr>
            <w:tcW w:w="2862" w:type="dxa"/>
            <w:noWrap w:val="0"/>
            <w:vAlign w:val="center"/>
          </w:tcPr>
          <w:p w14:paraId="4841A87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r>
      <w:tr w14:paraId="44A9D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09" w:hRule="atLeast"/>
        </w:trPr>
        <w:tc>
          <w:tcPr>
            <w:tcW w:w="2096" w:type="dxa"/>
            <w:noWrap w:val="0"/>
            <w:vAlign w:val="center"/>
          </w:tcPr>
          <w:p w14:paraId="113574F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23</w:t>
            </w:r>
          </w:p>
        </w:tc>
        <w:tc>
          <w:tcPr>
            <w:tcW w:w="2780" w:type="dxa"/>
            <w:noWrap w:val="0"/>
            <w:vAlign w:val="center"/>
          </w:tcPr>
          <w:p w14:paraId="0258159D">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三氯乙烯</w:t>
            </w:r>
          </w:p>
        </w:tc>
        <w:tc>
          <w:tcPr>
            <w:tcW w:w="2862" w:type="dxa"/>
            <w:noWrap w:val="0"/>
            <w:vAlign w:val="center"/>
          </w:tcPr>
          <w:p w14:paraId="5B5F35C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r>
      <w:tr w14:paraId="5E9D6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85" w:hRule="atLeast"/>
        </w:trPr>
        <w:tc>
          <w:tcPr>
            <w:tcW w:w="2096" w:type="dxa"/>
            <w:noWrap w:val="0"/>
            <w:vAlign w:val="center"/>
          </w:tcPr>
          <w:p w14:paraId="2EE862F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24</w:t>
            </w:r>
          </w:p>
        </w:tc>
        <w:tc>
          <w:tcPr>
            <w:tcW w:w="2780" w:type="dxa"/>
            <w:noWrap w:val="0"/>
            <w:vAlign w:val="center"/>
          </w:tcPr>
          <w:p w14:paraId="4F391AB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1,2,3-三氯丙烷</w:t>
            </w:r>
          </w:p>
        </w:tc>
        <w:tc>
          <w:tcPr>
            <w:tcW w:w="2862" w:type="dxa"/>
            <w:noWrap w:val="0"/>
            <w:vAlign w:val="center"/>
          </w:tcPr>
          <w:p w14:paraId="0A03AF8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0.5</w:t>
            </w:r>
          </w:p>
        </w:tc>
      </w:tr>
      <w:tr w14:paraId="62557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5" w:hRule="atLeast"/>
        </w:trPr>
        <w:tc>
          <w:tcPr>
            <w:tcW w:w="2096" w:type="dxa"/>
            <w:noWrap w:val="0"/>
            <w:vAlign w:val="center"/>
          </w:tcPr>
          <w:p w14:paraId="3882156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25</w:t>
            </w:r>
          </w:p>
        </w:tc>
        <w:tc>
          <w:tcPr>
            <w:tcW w:w="2780" w:type="dxa"/>
            <w:noWrap w:val="0"/>
            <w:vAlign w:val="center"/>
          </w:tcPr>
          <w:p w14:paraId="466062C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氯乙烯</w:t>
            </w:r>
          </w:p>
        </w:tc>
        <w:tc>
          <w:tcPr>
            <w:tcW w:w="2862" w:type="dxa"/>
            <w:noWrap w:val="0"/>
            <w:vAlign w:val="center"/>
          </w:tcPr>
          <w:p w14:paraId="61F36D6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0.43</w:t>
            </w:r>
          </w:p>
        </w:tc>
      </w:tr>
      <w:tr w14:paraId="23045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3D974B7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26</w:t>
            </w:r>
          </w:p>
        </w:tc>
        <w:tc>
          <w:tcPr>
            <w:tcW w:w="2780" w:type="dxa"/>
            <w:noWrap w:val="0"/>
            <w:vAlign w:val="center"/>
          </w:tcPr>
          <w:p w14:paraId="46993DE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w:t>
            </w:r>
          </w:p>
        </w:tc>
        <w:tc>
          <w:tcPr>
            <w:tcW w:w="2862" w:type="dxa"/>
            <w:noWrap w:val="0"/>
            <w:vAlign w:val="center"/>
          </w:tcPr>
          <w:p w14:paraId="126089D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w:t>
            </w:r>
          </w:p>
        </w:tc>
      </w:tr>
      <w:tr w14:paraId="44FC7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5D1FECF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27</w:t>
            </w:r>
          </w:p>
        </w:tc>
        <w:tc>
          <w:tcPr>
            <w:tcW w:w="2780" w:type="dxa"/>
            <w:noWrap w:val="0"/>
            <w:vAlign w:val="center"/>
          </w:tcPr>
          <w:p w14:paraId="2A33A971">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氯苯</w:t>
            </w:r>
          </w:p>
        </w:tc>
        <w:tc>
          <w:tcPr>
            <w:tcW w:w="2862" w:type="dxa"/>
            <w:noWrap w:val="0"/>
            <w:vAlign w:val="center"/>
          </w:tcPr>
          <w:p w14:paraId="4B7A56A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270</w:t>
            </w:r>
          </w:p>
        </w:tc>
      </w:tr>
      <w:tr w14:paraId="5B3F0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0E3CB40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c>
          <w:tcPr>
            <w:tcW w:w="2780" w:type="dxa"/>
            <w:noWrap w:val="0"/>
            <w:vAlign w:val="center"/>
          </w:tcPr>
          <w:p w14:paraId="5615089B">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1,2-二氯苯</w:t>
            </w:r>
          </w:p>
        </w:tc>
        <w:tc>
          <w:tcPr>
            <w:tcW w:w="2862" w:type="dxa"/>
            <w:noWrap w:val="0"/>
            <w:vAlign w:val="center"/>
          </w:tcPr>
          <w:p w14:paraId="1B2451F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560</w:t>
            </w:r>
          </w:p>
        </w:tc>
      </w:tr>
      <w:tr w14:paraId="5C109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712A54D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29</w:t>
            </w:r>
          </w:p>
        </w:tc>
        <w:tc>
          <w:tcPr>
            <w:tcW w:w="2780" w:type="dxa"/>
            <w:noWrap w:val="0"/>
            <w:vAlign w:val="center"/>
          </w:tcPr>
          <w:p w14:paraId="2BE8209B">
            <w:pPr>
              <w:pStyle w:val="421"/>
              <w:widowControl/>
              <w:spacing w:before="33" w:line="360" w:lineRule="auto"/>
              <w:ind w:left="136" w:right="129" w:firstLine="42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sz w:val="21"/>
                <w:szCs w:val="21"/>
                <w:lang w:val="en-US" w:eastAsia="zh-CN" w:bidi="ar-SA"/>
              </w:rPr>
              <w:t>1,4-二氯苯</w:t>
            </w:r>
          </w:p>
        </w:tc>
        <w:tc>
          <w:tcPr>
            <w:tcW w:w="2862" w:type="dxa"/>
            <w:noWrap w:val="0"/>
            <w:vAlign w:val="center"/>
          </w:tcPr>
          <w:p w14:paraId="1CA27351">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20</w:t>
            </w:r>
          </w:p>
        </w:tc>
      </w:tr>
      <w:tr w14:paraId="739A4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7232664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30</w:t>
            </w:r>
          </w:p>
        </w:tc>
        <w:tc>
          <w:tcPr>
            <w:tcW w:w="2780" w:type="dxa"/>
            <w:noWrap w:val="0"/>
            <w:vAlign w:val="center"/>
          </w:tcPr>
          <w:p w14:paraId="57933EE9">
            <w:pPr>
              <w:pStyle w:val="421"/>
              <w:widowControl/>
              <w:spacing w:before="34" w:line="360" w:lineRule="auto"/>
              <w:ind w:left="136" w:right="131" w:firstLine="42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sz w:val="21"/>
                <w:szCs w:val="21"/>
                <w:lang w:val="en-US" w:eastAsia="zh-CN" w:bidi="ar-SA"/>
              </w:rPr>
              <w:t>乙苯</w:t>
            </w:r>
          </w:p>
        </w:tc>
        <w:tc>
          <w:tcPr>
            <w:tcW w:w="2862" w:type="dxa"/>
            <w:noWrap w:val="0"/>
            <w:vAlign w:val="center"/>
          </w:tcPr>
          <w:p w14:paraId="3F40924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r>
      <w:tr w14:paraId="1B17B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1494AEC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31</w:t>
            </w:r>
          </w:p>
        </w:tc>
        <w:tc>
          <w:tcPr>
            <w:tcW w:w="2780" w:type="dxa"/>
            <w:noWrap w:val="0"/>
            <w:vAlign w:val="center"/>
          </w:tcPr>
          <w:p w14:paraId="657817A5">
            <w:pPr>
              <w:pStyle w:val="421"/>
              <w:widowControl/>
              <w:spacing w:before="34" w:line="360" w:lineRule="auto"/>
              <w:ind w:left="136" w:right="126" w:firstLine="420"/>
              <w:jc w:val="center"/>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苯乙烯</w:t>
            </w:r>
          </w:p>
        </w:tc>
        <w:tc>
          <w:tcPr>
            <w:tcW w:w="2862" w:type="dxa"/>
            <w:noWrap w:val="0"/>
            <w:vAlign w:val="center"/>
          </w:tcPr>
          <w:p w14:paraId="32EDD9D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1290</w:t>
            </w:r>
          </w:p>
        </w:tc>
      </w:tr>
      <w:tr w14:paraId="74BCA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26F00769">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32</w:t>
            </w:r>
          </w:p>
        </w:tc>
        <w:tc>
          <w:tcPr>
            <w:tcW w:w="2780" w:type="dxa"/>
            <w:noWrap w:val="0"/>
            <w:vAlign w:val="center"/>
          </w:tcPr>
          <w:p w14:paraId="67901720">
            <w:pPr>
              <w:pStyle w:val="421"/>
              <w:widowControl/>
              <w:spacing w:before="34" w:line="360" w:lineRule="auto"/>
              <w:ind w:left="136" w:right="131" w:firstLine="420"/>
              <w:jc w:val="center"/>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甲苯</w:t>
            </w:r>
          </w:p>
        </w:tc>
        <w:tc>
          <w:tcPr>
            <w:tcW w:w="2862" w:type="dxa"/>
            <w:noWrap w:val="0"/>
            <w:vAlign w:val="center"/>
          </w:tcPr>
          <w:p w14:paraId="4F125723">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1200</w:t>
            </w:r>
          </w:p>
        </w:tc>
      </w:tr>
      <w:tr w14:paraId="76524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098B10A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33</w:t>
            </w:r>
          </w:p>
        </w:tc>
        <w:tc>
          <w:tcPr>
            <w:tcW w:w="2780" w:type="dxa"/>
            <w:noWrap w:val="0"/>
            <w:vAlign w:val="center"/>
          </w:tcPr>
          <w:p w14:paraId="0D61B08B">
            <w:pPr>
              <w:pStyle w:val="421"/>
              <w:widowControl/>
              <w:spacing w:before="35" w:line="360" w:lineRule="auto"/>
              <w:ind w:left="0" w:right="131" w:firstLine="0"/>
              <w:jc w:val="center"/>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间二甲苯+对二甲苯</w:t>
            </w:r>
          </w:p>
        </w:tc>
        <w:tc>
          <w:tcPr>
            <w:tcW w:w="2862" w:type="dxa"/>
            <w:noWrap w:val="0"/>
            <w:vAlign w:val="center"/>
          </w:tcPr>
          <w:p w14:paraId="620E146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570</w:t>
            </w:r>
          </w:p>
        </w:tc>
      </w:tr>
      <w:tr w14:paraId="3D79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57AD1BE3">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34</w:t>
            </w:r>
          </w:p>
        </w:tc>
        <w:tc>
          <w:tcPr>
            <w:tcW w:w="2780" w:type="dxa"/>
            <w:noWrap w:val="0"/>
            <w:vAlign w:val="center"/>
          </w:tcPr>
          <w:p w14:paraId="2572E134">
            <w:pPr>
              <w:pStyle w:val="421"/>
              <w:widowControl/>
              <w:spacing w:before="35" w:line="360" w:lineRule="auto"/>
              <w:ind w:left="136" w:right="131" w:firstLine="420"/>
              <w:jc w:val="center"/>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邻二甲苯</w:t>
            </w:r>
          </w:p>
        </w:tc>
        <w:tc>
          <w:tcPr>
            <w:tcW w:w="2862" w:type="dxa"/>
            <w:noWrap w:val="0"/>
            <w:vAlign w:val="center"/>
          </w:tcPr>
          <w:p w14:paraId="3DFAC35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640</w:t>
            </w:r>
          </w:p>
        </w:tc>
      </w:tr>
      <w:tr w14:paraId="6FDEE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7738" w:type="dxa"/>
            <w:gridSpan w:val="3"/>
            <w:noWrap w:val="0"/>
            <w:vAlign w:val="center"/>
          </w:tcPr>
          <w:p w14:paraId="12F4259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半挥发性有机物</w:t>
            </w:r>
          </w:p>
        </w:tc>
      </w:tr>
      <w:tr w14:paraId="2153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4BECE04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35</w:t>
            </w:r>
          </w:p>
        </w:tc>
        <w:tc>
          <w:tcPr>
            <w:tcW w:w="2780" w:type="dxa"/>
            <w:noWrap w:val="0"/>
            <w:vAlign w:val="center"/>
          </w:tcPr>
          <w:p w14:paraId="09D92D2D">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硝基苯</w:t>
            </w:r>
          </w:p>
        </w:tc>
        <w:tc>
          <w:tcPr>
            <w:tcW w:w="2862" w:type="dxa"/>
            <w:noWrap w:val="0"/>
            <w:vAlign w:val="center"/>
          </w:tcPr>
          <w:p w14:paraId="7CD196C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76</w:t>
            </w:r>
          </w:p>
        </w:tc>
      </w:tr>
      <w:tr w14:paraId="37B28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48AAF52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36</w:t>
            </w:r>
          </w:p>
        </w:tc>
        <w:tc>
          <w:tcPr>
            <w:tcW w:w="2780" w:type="dxa"/>
            <w:noWrap w:val="0"/>
            <w:vAlign w:val="center"/>
          </w:tcPr>
          <w:p w14:paraId="227C017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苯胺</w:t>
            </w:r>
          </w:p>
        </w:tc>
        <w:tc>
          <w:tcPr>
            <w:tcW w:w="2862" w:type="dxa"/>
            <w:noWrap w:val="0"/>
            <w:vAlign w:val="center"/>
          </w:tcPr>
          <w:p w14:paraId="60A43767">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260</w:t>
            </w:r>
          </w:p>
        </w:tc>
      </w:tr>
      <w:tr w14:paraId="10AC9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2363F9E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37</w:t>
            </w:r>
          </w:p>
        </w:tc>
        <w:tc>
          <w:tcPr>
            <w:tcW w:w="2780" w:type="dxa"/>
            <w:noWrap w:val="0"/>
            <w:vAlign w:val="center"/>
          </w:tcPr>
          <w:p w14:paraId="006907EB">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2-氯酚</w:t>
            </w:r>
          </w:p>
        </w:tc>
        <w:tc>
          <w:tcPr>
            <w:tcW w:w="2862" w:type="dxa"/>
            <w:noWrap w:val="0"/>
            <w:vAlign w:val="center"/>
          </w:tcPr>
          <w:p w14:paraId="17159BAA">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2256</w:t>
            </w:r>
          </w:p>
        </w:tc>
      </w:tr>
      <w:tr w14:paraId="1533A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169674D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38</w:t>
            </w:r>
          </w:p>
        </w:tc>
        <w:tc>
          <w:tcPr>
            <w:tcW w:w="2780" w:type="dxa"/>
            <w:noWrap w:val="0"/>
            <w:vAlign w:val="center"/>
          </w:tcPr>
          <w:p w14:paraId="7312198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苯并[a]蒽</w:t>
            </w:r>
          </w:p>
        </w:tc>
        <w:tc>
          <w:tcPr>
            <w:tcW w:w="2862" w:type="dxa"/>
            <w:noWrap w:val="0"/>
            <w:vAlign w:val="center"/>
          </w:tcPr>
          <w:p w14:paraId="02238D78">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r>
      <w:tr w14:paraId="1AAE7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4B4B4CDD">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39</w:t>
            </w:r>
          </w:p>
        </w:tc>
        <w:tc>
          <w:tcPr>
            <w:tcW w:w="2780" w:type="dxa"/>
            <w:noWrap w:val="0"/>
            <w:vAlign w:val="center"/>
          </w:tcPr>
          <w:p w14:paraId="4DA30F9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苯并[a]芘</w:t>
            </w:r>
          </w:p>
        </w:tc>
        <w:tc>
          <w:tcPr>
            <w:tcW w:w="2862" w:type="dxa"/>
            <w:noWrap w:val="0"/>
            <w:vAlign w:val="center"/>
          </w:tcPr>
          <w:p w14:paraId="713B6F74">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r>
      <w:tr w14:paraId="2BEE5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15CF8AA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40</w:t>
            </w:r>
          </w:p>
        </w:tc>
        <w:tc>
          <w:tcPr>
            <w:tcW w:w="2780" w:type="dxa"/>
            <w:noWrap w:val="0"/>
            <w:vAlign w:val="center"/>
          </w:tcPr>
          <w:p w14:paraId="235D6DD7">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苯并[b]荧蒽</w:t>
            </w:r>
          </w:p>
        </w:tc>
        <w:tc>
          <w:tcPr>
            <w:tcW w:w="2862" w:type="dxa"/>
            <w:noWrap w:val="0"/>
            <w:vAlign w:val="center"/>
          </w:tcPr>
          <w:p w14:paraId="513CD9F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r>
      <w:tr w14:paraId="7A172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625653BC">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41</w:t>
            </w:r>
          </w:p>
        </w:tc>
        <w:tc>
          <w:tcPr>
            <w:tcW w:w="2780" w:type="dxa"/>
            <w:noWrap w:val="0"/>
            <w:vAlign w:val="center"/>
          </w:tcPr>
          <w:p w14:paraId="359B19FB">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苯并[k]荧蒽</w:t>
            </w:r>
          </w:p>
        </w:tc>
        <w:tc>
          <w:tcPr>
            <w:tcW w:w="2862" w:type="dxa"/>
            <w:noWrap w:val="0"/>
            <w:vAlign w:val="center"/>
          </w:tcPr>
          <w:p w14:paraId="668A258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151</w:t>
            </w:r>
          </w:p>
        </w:tc>
      </w:tr>
      <w:tr w14:paraId="74FD9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0AB59A5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42</w:t>
            </w:r>
          </w:p>
        </w:tc>
        <w:tc>
          <w:tcPr>
            <w:tcW w:w="2780" w:type="dxa"/>
            <w:noWrap w:val="0"/>
            <w:vAlign w:val="center"/>
          </w:tcPr>
          <w:p w14:paraId="013C2CA1">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䓛</w:t>
            </w:r>
          </w:p>
        </w:tc>
        <w:tc>
          <w:tcPr>
            <w:tcW w:w="2862" w:type="dxa"/>
            <w:noWrap w:val="0"/>
            <w:vAlign w:val="center"/>
          </w:tcPr>
          <w:p w14:paraId="2B01066E">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1293</w:t>
            </w:r>
          </w:p>
        </w:tc>
      </w:tr>
      <w:tr w14:paraId="4852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768D2D3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43</w:t>
            </w:r>
          </w:p>
        </w:tc>
        <w:tc>
          <w:tcPr>
            <w:tcW w:w="2780" w:type="dxa"/>
            <w:noWrap w:val="0"/>
            <w:vAlign w:val="center"/>
          </w:tcPr>
          <w:p w14:paraId="11E54C7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二苯并[a，h]蒽</w:t>
            </w:r>
          </w:p>
        </w:tc>
        <w:tc>
          <w:tcPr>
            <w:tcW w:w="2862" w:type="dxa"/>
            <w:noWrap w:val="0"/>
            <w:vAlign w:val="center"/>
          </w:tcPr>
          <w:p w14:paraId="4BA9A9DF">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r>
      <w:tr w14:paraId="43F23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46C84F81">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44</w:t>
            </w:r>
          </w:p>
        </w:tc>
        <w:tc>
          <w:tcPr>
            <w:tcW w:w="2780" w:type="dxa"/>
            <w:noWrap w:val="0"/>
            <w:vAlign w:val="center"/>
          </w:tcPr>
          <w:p w14:paraId="1F8D0A42">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茚并[1,2,3-cd]芘</w:t>
            </w:r>
          </w:p>
        </w:tc>
        <w:tc>
          <w:tcPr>
            <w:tcW w:w="2862" w:type="dxa"/>
            <w:noWrap w:val="0"/>
            <w:vAlign w:val="center"/>
          </w:tcPr>
          <w:p w14:paraId="57653B66">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r>
      <w:tr w14:paraId="67066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2096" w:type="dxa"/>
            <w:noWrap w:val="0"/>
            <w:vAlign w:val="center"/>
          </w:tcPr>
          <w:p w14:paraId="33EF174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45</w:t>
            </w:r>
          </w:p>
        </w:tc>
        <w:tc>
          <w:tcPr>
            <w:tcW w:w="2780" w:type="dxa"/>
            <w:noWrap w:val="0"/>
            <w:vAlign w:val="center"/>
          </w:tcPr>
          <w:p w14:paraId="77F063A5">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萘</w:t>
            </w:r>
          </w:p>
        </w:tc>
        <w:tc>
          <w:tcPr>
            <w:tcW w:w="2862" w:type="dxa"/>
            <w:noWrap w:val="0"/>
            <w:vAlign w:val="center"/>
          </w:tcPr>
          <w:p w14:paraId="302B5660">
            <w:pPr>
              <w:widowControl w:val="0"/>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70</w:t>
            </w:r>
          </w:p>
        </w:tc>
      </w:tr>
    </w:tbl>
    <w:p w14:paraId="00926501">
      <w:pPr>
        <w:pStyle w:val="2"/>
      </w:pPr>
    </w:p>
    <w:p w14:paraId="06CF612A">
      <w:pPr>
        <w:pStyle w:val="188"/>
        <w:rPr>
          <w:rFonts w:hint="eastAsia"/>
        </w:rPr>
      </w:pPr>
      <w:r>
        <w:rPr>
          <w:rFonts w:hint="eastAsia"/>
        </w:rPr>
        <w:t>2.</w:t>
      </w:r>
      <w:r>
        <w:rPr>
          <w:rFonts w:hint="eastAsia"/>
          <w:lang w:val="en-US" w:eastAsia="zh-CN"/>
        </w:rPr>
        <w:t>4</w:t>
      </w:r>
      <w:r>
        <w:rPr>
          <w:rFonts w:hint="eastAsia"/>
        </w:rPr>
        <w:t>.2</w:t>
      </w:r>
      <w:r>
        <w:t xml:space="preserve"> </w:t>
      </w:r>
      <w:r>
        <w:rPr>
          <w:rFonts w:hint="eastAsia"/>
        </w:rPr>
        <w:t>污染物排放标准</w:t>
      </w:r>
    </w:p>
    <w:p w14:paraId="10315457">
      <w:pPr>
        <w:pStyle w:val="2"/>
        <w:rPr>
          <w:rFonts w:hint="eastAsia" w:ascii="Times New Roman" w:hAnsi="Times New Roman" w:cs="Times New Roman"/>
          <w:sz w:val="24"/>
          <w:szCs w:val="22"/>
          <w:lang w:val="en-US" w:eastAsia="zh-CN" w:bidi="ar-SA"/>
        </w:rPr>
      </w:pPr>
      <w:r>
        <w:rPr>
          <w:rFonts w:hint="eastAsia" w:ascii="Times New Roman" w:hAnsi="Times New Roman" w:cs="Times New Roman"/>
          <w:sz w:val="24"/>
          <w:szCs w:val="22"/>
          <w:lang w:val="en-US" w:eastAsia="zh-CN" w:bidi="ar-SA"/>
        </w:rPr>
        <w:t>（1）</w:t>
      </w:r>
      <w:r>
        <w:rPr>
          <w:rFonts w:hint="eastAsia" w:ascii="Times New Roman" w:hAnsi="Times New Roman" w:eastAsia="宋体" w:cs="Times New Roman"/>
          <w:sz w:val="24"/>
          <w:szCs w:val="22"/>
          <w:lang w:val="en-US" w:eastAsia="zh-CN" w:bidi="ar-SA"/>
        </w:rPr>
        <w:t>胶粘剂生产线：</w:t>
      </w:r>
      <w:r>
        <w:rPr>
          <w:rFonts w:ascii="Times New Roman" w:hAnsi="Times New Roman" w:eastAsia="宋体" w:cs="Times New Roman"/>
          <w:sz w:val="24"/>
          <w:szCs w:val="22"/>
          <w:lang w:val="zh-CN" w:eastAsia="zh-CN" w:bidi="ar-SA"/>
        </w:rPr>
        <w:t>胶粘剂产品主要为脲醛树脂胶、酚醛树脂胶，属于氨基树脂，因此胶粘剂生产线有组织废气排放的甲醛、</w:t>
      </w:r>
      <w:r>
        <w:rPr>
          <w:rFonts w:hint="eastAsia" w:ascii="Times New Roman" w:hAnsi="Times New Roman" w:eastAsia="宋体" w:cs="Times New Roman"/>
          <w:sz w:val="24"/>
          <w:szCs w:val="22"/>
          <w:lang w:val="en-US" w:eastAsia="zh-CN" w:bidi="ar-SA"/>
        </w:rPr>
        <w:t>酚类</w:t>
      </w:r>
      <w:r>
        <w:rPr>
          <w:rFonts w:ascii="Times New Roman" w:hAnsi="Times New Roman" w:eastAsia="宋体" w:cs="Times New Roman"/>
          <w:sz w:val="24"/>
          <w:szCs w:val="22"/>
          <w:lang w:val="zh-CN" w:eastAsia="zh-CN" w:bidi="ar-SA"/>
        </w:rPr>
        <w:t>、氨、</w:t>
      </w:r>
      <w:r>
        <w:rPr>
          <w:rFonts w:hint="eastAsia" w:ascii="Times New Roman" w:hAnsi="Times New Roman" w:eastAsia="宋体" w:cs="Times New Roman"/>
          <w:sz w:val="24"/>
          <w:szCs w:val="22"/>
          <w:lang w:val="en-US" w:eastAsia="zh-CN" w:bidi="ar-SA"/>
        </w:rPr>
        <w:t>VOCs（非甲烷总烃）、颗粒物</w:t>
      </w:r>
      <w:r>
        <w:rPr>
          <w:rFonts w:ascii="Times New Roman" w:hAnsi="Times New Roman" w:eastAsia="宋体" w:cs="Times New Roman"/>
          <w:sz w:val="24"/>
          <w:szCs w:val="22"/>
          <w:lang w:val="zh-CN" w:eastAsia="zh-CN" w:bidi="ar-SA"/>
        </w:rPr>
        <w:t>排放执行《合成树脂工业污染物排放标准》（GB31572-2015）表 4 的排放浓度限值；《合成树脂工业污染物排放标准》（GB31572-2015）中无甲醛</w:t>
      </w:r>
      <w:r>
        <w:rPr>
          <w:rFonts w:hint="eastAsia" w:ascii="Times New Roman" w:hAnsi="Times New Roman" w:eastAsia="宋体" w:cs="Times New Roman"/>
          <w:sz w:val="24"/>
          <w:szCs w:val="22"/>
          <w:lang w:val="en-US" w:eastAsia="zh-CN" w:bidi="ar-SA"/>
        </w:rPr>
        <w:t>无组织排放</w:t>
      </w:r>
      <w:r>
        <w:rPr>
          <w:rFonts w:ascii="Times New Roman" w:hAnsi="Times New Roman" w:eastAsia="宋体" w:cs="Times New Roman"/>
          <w:sz w:val="24"/>
          <w:szCs w:val="22"/>
          <w:lang w:val="zh-CN" w:eastAsia="zh-CN" w:bidi="ar-SA"/>
        </w:rPr>
        <w:t>标准限值，因此</w:t>
      </w:r>
      <w:r>
        <w:rPr>
          <w:rFonts w:hint="eastAsia" w:ascii="Times New Roman" w:hAnsi="Times New Roman" w:eastAsia="宋体" w:cs="Times New Roman"/>
          <w:sz w:val="24"/>
          <w:szCs w:val="22"/>
          <w:lang w:val="en-US" w:eastAsia="zh-CN" w:bidi="ar-SA"/>
        </w:rPr>
        <w:t>甲醛无组织排放</w:t>
      </w:r>
      <w:r>
        <w:rPr>
          <w:rFonts w:ascii="Times New Roman" w:hAnsi="Times New Roman" w:eastAsia="宋体" w:cs="Times New Roman"/>
          <w:sz w:val="24"/>
          <w:szCs w:val="22"/>
          <w:lang w:val="zh-CN" w:eastAsia="zh-CN" w:bidi="ar-SA"/>
        </w:rPr>
        <w:t>执行《大气污染物综合排放标准》（GB16297-1996）表 2 相应标准限值；</w:t>
      </w:r>
      <w:r>
        <w:rPr>
          <w:rFonts w:hint="eastAsia" w:ascii="Times New Roman" w:hAnsi="Times New Roman" w:eastAsia="宋体" w:cs="Times New Roman"/>
          <w:sz w:val="24"/>
          <w:szCs w:val="22"/>
          <w:lang w:val="en-US" w:eastAsia="zh-CN" w:bidi="ar-SA"/>
        </w:rPr>
        <w:t>臭气浓度执行</w:t>
      </w:r>
      <w:r>
        <w:rPr>
          <w:rFonts w:ascii="Times New Roman" w:hAnsi="Times New Roman" w:eastAsia="宋体" w:cs="Times New Roman"/>
          <w:sz w:val="24"/>
          <w:szCs w:val="22"/>
          <w:lang w:val="zh-CN" w:eastAsia="zh-CN" w:bidi="ar-SA"/>
        </w:rPr>
        <w:t xml:space="preserve">《恶臭污染物排放标准》（GB14554-93）中表 </w:t>
      </w:r>
      <w:r>
        <w:rPr>
          <w:rFonts w:hint="eastAsia" w:ascii="Times New Roman" w:hAnsi="Times New Roman" w:eastAsia="宋体" w:cs="Times New Roman"/>
          <w:sz w:val="24"/>
          <w:szCs w:val="22"/>
          <w:lang w:val="en-US" w:eastAsia="zh-CN" w:bidi="ar-SA"/>
        </w:rPr>
        <w:t>1</w:t>
      </w:r>
      <w:r>
        <w:rPr>
          <w:rFonts w:ascii="Times New Roman" w:hAnsi="Times New Roman" w:eastAsia="宋体" w:cs="Times New Roman"/>
          <w:sz w:val="24"/>
          <w:szCs w:val="22"/>
          <w:lang w:val="zh-CN" w:eastAsia="zh-CN" w:bidi="ar-SA"/>
        </w:rPr>
        <w:t>相应标准限值</w:t>
      </w:r>
      <w:r>
        <w:rPr>
          <w:rFonts w:hint="eastAsia" w:ascii="Times New Roman" w:hAnsi="Times New Roman" w:eastAsia="宋体" w:cs="Times New Roman"/>
          <w:sz w:val="24"/>
          <w:szCs w:val="22"/>
          <w:lang w:val="zh-CN" w:eastAsia="zh-CN" w:bidi="ar-SA"/>
        </w:rPr>
        <w:t>。</w:t>
      </w:r>
    </w:p>
    <w:p w14:paraId="6A1BC0D0">
      <w:pPr>
        <w:pStyle w:val="219"/>
        <w:spacing w:before="74" w:line="374" w:lineRule="auto"/>
        <w:ind w:left="466" w:right="377" w:firstLine="480"/>
        <w:jc w:val="center"/>
        <w:rPr>
          <w:rFonts w:hint="eastAsia" w:eastAsia="宋体"/>
          <w:b/>
          <w:bCs/>
          <w:sz w:val="24"/>
          <w:szCs w:val="24"/>
          <w:lang w:val="en-US" w:eastAsia="zh-CN"/>
        </w:rPr>
      </w:pPr>
      <w:r>
        <w:rPr>
          <w:rFonts w:hint="eastAsia"/>
          <w:b/>
          <w:bCs/>
          <w:sz w:val="24"/>
          <w:szCs w:val="24"/>
          <w:lang w:val="en-US" w:eastAsia="zh-CN"/>
        </w:rPr>
        <w:t>表2.4-6  合成树脂工业污染物排放标准</w:t>
      </w:r>
    </w:p>
    <w:tbl>
      <w:tblPr>
        <w:tblStyle w:val="32"/>
        <w:tblW w:w="76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0"/>
        <w:gridCol w:w="2130"/>
        <w:gridCol w:w="3709"/>
      </w:tblGrid>
      <w:tr w14:paraId="1E8A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dxa"/>
            <w:noWrap w:val="0"/>
            <w:vAlign w:val="center"/>
          </w:tcPr>
          <w:p w14:paraId="20AE71C1">
            <w:pPr>
              <w:widowControl w:val="0"/>
              <w:spacing w:line="240" w:lineRule="auto"/>
              <w:ind w:firstLine="0"/>
              <w:jc w:val="center"/>
              <w:rPr>
                <w:rFonts w:ascii="宋体"/>
                <w:b/>
                <w:color w:val="000000"/>
                <w:sz w:val="21"/>
                <w:szCs w:val="21"/>
              </w:rPr>
            </w:pPr>
            <w:r>
              <w:rPr>
                <w:rFonts w:hint="eastAsia" w:ascii="Times New Roman" w:hAnsi="Times New Roman" w:eastAsia="宋体" w:cs="Times New Roman"/>
                <w:b/>
                <w:bCs/>
                <w:color w:val="000000"/>
                <w:sz w:val="21"/>
                <w:szCs w:val="21"/>
                <w:u w:val="none"/>
                <w:lang w:val="en-US" w:eastAsia="zh-CN"/>
              </w:rPr>
              <w:t>污染物</w:t>
            </w:r>
          </w:p>
        </w:tc>
        <w:tc>
          <w:tcPr>
            <w:tcW w:w="2130" w:type="dxa"/>
            <w:noWrap w:val="0"/>
            <w:vAlign w:val="center"/>
          </w:tcPr>
          <w:p w14:paraId="6216BC4F">
            <w:pPr>
              <w:widowControl w:val="0"/>
              <w:spacing w:line="240" w:lineRule="auto"/>
              <w:ind w:firstLine="0"/>
              <w:jc w:val="center"/>
              <w:rPr>
                <w:rFonts w:hint="eastAsia" w:ascii="宋体"/>
                <w:b/>
                <w:color w:val="000000"/>
                <w:sz w:val="21"/>
                <w:szCs w:val="21"/>
              </w:rPr>
            </w:pPr>
            <w:r>
              <w:rPr>
                <w:rFonts w:hint="eastAsia" w:ascii="Times New Roman" w:hAnsi="Times New Roman" w:eastAsia="宋体" w:cs="Times New Roman"/>
                <w:b/>
                <w:bCs/>
                <w:color w:val="000000"/>
                <w:sz w:val="21"/>
                <w:szCs w:val="21"/>
                <w:u w:val="none"/>
                <w:lang w:val="en-US" w:eastAsia="zh-CN"/>
              </w:rPr>
              <w:t>排放标准限值（</w:t>
            </w:r>
            <w:r>
              <w:rPr>
                <w:rFonts w:ascii="Times New Roman" w:hAnsi="Times New Roman" w:eastAsia="宋体" w:cs="Times New Roman"/>
                <w:b/>
                <w:bCs/>
                <w:color w:val="000000"/>
                <w:sz w:val="21"/>
                <w:szCs w:val="21"/>
                <w:u w:val="none"/>
              </w:rPr>
              <w:t>mg/m</w:t>
            </w:r>
            <w:r>
              <w:rPr>
                <w:rFonts w:ascii="Times New Roman" w:hAnsi="Times New Roman" w:eastAsia="宋体" w:cs="Times New Roman"/>
                <w:b/>
                <w:bCs/>
                <w:color w:val="000000"/>
                <w:sz w:val="21"/>
                <w:szCs w:val="21"/>
                <w:u w:val="none"/>
                <w:vertAlign w:val="superscript"/>
              </w:rPr>
              <w:t>3</w:t>
            </w:r>
            <w:r>
              <w:rPr>
                <w:rFonts w:hint="eastAsia" w:ascii="Times New Roman" w:hAnsi="Times New Roman" w:eastAsia="宋体" w:cs="Times New Roman"/>
                <w:b/>
                <w:bCs/>
                <w:color w:val="000000"/>
                <w:sz w:val="21"/>
                <w:szCs w:val="21"/>
                <w:u w:val="none"/>
                <w:lang w:val="en-US" w:eastAsia="zh-CN"/>
              </w:rPr>
              <w:t>）</w:t>
            </w:r>
          </w:p>
        </w:tc>
        <w:tc>
          <w:tcPr>
            <w:tcW w:w="3709" w:type="dxa"/>
            <w:noWrap w:val="0"/>
            <w:vAlign w:val="center"/>
          </w:tcPr>
          <w:p w14:paraId="667DE64D">
            <w:pPr>
              <w:widowControl w:val="0"/>
              <w:spacing w:line="240" w:lineRule="auto"/>
              <w:ind w:firstLine="0"/>
              <w:jc w:val="center"/>
              <w:rPr>
                <w:rFonts w:ascii="宋体"/>
                <w:b/>
                <w:color w:val="000000"/>
                <w:sz w:val="21"/>
                <w:szCs w:val="21"/>
              </w:rPr>
            </w:pPr>
            <w:r>
              <w:rPr>
                <w:rFonts w:hint="eastAsia" w:ascii="Times New Roman" w:hAnsi="Times New Roman" w:eastAsia="宋体" w:cs="Times New Roman"/>
                <w:b/>
                <w:bCs/>
                <w:color w:val="000000"/>
                <w:sz w:val="21"/>
                <w:szCs w:val="21"/>
                <w:u w:val="none"/>
                <w:lang w:val="en-US" w:eastAsia="zh-CN"/>
              </w:rPr>
              <w:t>监控位置</w:t>
            </w:r>
          </w:p>
        </w:tc>
      </w:tr>
      <w:tr w14:paraId="4DFD3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dxa"/>
            <w:noWrap w:val="0"/>
            <w:vAlign w:val="center"/>
          </w:tcPr>
          <w:p w14:paraId="1A49257E">
            <w:pPr>
              <w:widowControl w:val="0"/>
              <w:spacing w:line="240" w:lineRule="auto"/>
              <w:ind w:firstLine="0"/>
              <w:jc w:val="center"/>
              <w:rPr>
                <w:rFonts w:ascii="宋体"/>
                <w:color w:val="000000"/>
                <w:sz w:val="21"/>
                <w:szCs w:val="21"/>
              </w:rPr>
            </w:pPr>
            <w:r>
              <w:rPr>
                <w:rFonts w:hint="eastAsia" w:ascii="Times New Roman" w:hAnsi="Times New Roman" w:eastAsia="宋体" w:cs="Times New Roman"/>
                <w:color w:val="000000"/>
                <w:sz w:val="21"/>
                <w:szCs w:val="21"/>
                <w:u w:val="none"/>
                <w:lang w:val="en-US" w:eastAsia="zh-CN"/>
              </w:rPr>
              <w:t>非甲烷总烃</w:t>
            </w:r>
          </w:p>
        </w:tc>
        <w:tc>
          <w:tcPr>
            <w:tcW w:w="2130" w:type="dxa"/>
            <w:noWrap w:val="0"/>
            <w:vAlign w:val="center"/>
          </w:tcPr>
          <w:p w14:paraId="7CDCF3D7">
            <w:pPr>
              <w:widowControl w:val="0"/>
              <w:spacing w:line="240" w:lineRule="auto"/>
              <w:ind w:firstLine="0"/>
              <w:jc w:val="center"/>
              <w:rPr>
                <w:rFonts w:hint="eastAsia" w:ascii="宋体"/>
                <w:color w:val="000000"/>
                <w:sz w:val="21"/>
                <w:szCs w:val="21"/>
              </w:rPr>
            </w:pPr>
            <w:r>
              <w:rPr>
                <w:rFonts w:hint="eastAsia" w:ascii="Times New Roman" w:hAnsi="Times New Roman" w:eastAsia="宋体" w:cs="Times New Roman"/>
                <w:color w:val="000000"/>
                <w:sz w:val="21"/>
                <w:szCs w:val="21"/>
                <w:u w:val="none"/>
                <w:lang w:val="en-US" w:eastAsia="zh-CN"/>
              </w:rPr>
              <w:t>100</w:t>
            </w:r>
          </w:p>
        </w:tc>
        <w:tc>
          <w:tcPr>
            <w:tcW w:w="3709" w:type="dxa"/>
            <w:vMerge w:val="restart"/>
            <w:noWrap w:val="0"/>
            <w:vAlign w:val="center"/>
          </w:tcPr>
          <w:p w14:paraId="21EF385F">
            <w:pPr>
              <w:widowControl w:val="0"/>
              <w:spacing w:line="240" w:lineRule="auto"/>
              <w:ind w:firstLine="0"/>
              <w:jc w:val="center"/>
              <w:rPr>
                <w:rFonts w:ascii="宋体"/>
                <w:color w:val="000000"/>
                <w:sz w:val="21"/>
                <w:szCs w:val="21"/>
              </w:rPr>
            </w:pPr>
            <w:r>
              <w:rPr>
                <w:rFonts w:hint="eastAsia" w:ascii="Times New Roman" w:hAnsi="Times New Roman" w:eastAsia="宋体" w:cs="Times New Roman"/>
                <w:color w:val="000000"/>
                <w:sz w:val="21"/>
                <w:szCs w:val="21"/>
                <w:u w:val="none"/>
                <w:lang w:val="en-US" w:eastAsia="zh-CN"/>
              </w:rPr>
              <w:t>车间或生产设施排气筒排放限值</w:t>
            </w:r>
          </w:p>
        </w:tc>
      </w:tr>
      <w:tr w14:paraId="0B781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dxa"/>
            <w:noWrap w:val="0"/>
            <w:vAlign w:val="center"/>
          </w:tcPr>
          <w:p w14:paraId="7CFCF141">
            <w:pPr>
              <w:spacing w:line="340" w:lineRule="exact"/>
              <w:ind w:firstLine="0"/>
              <w:jc w:val="center"/>
              <w:rPr>
                <w:rFonts w:hint="eastAsia" w:ascii="宋体"/>
                <w:color w:val="000000"/>
                <w:sz w:val="21"/>
                <w:szCs w:val="21"/>
              </w:rPr>
            </w:pPr>
            <w:r>
              <w:rPr>
                <w:rFonts w:hint="eastAsia"/>
                <w:sz w:val="21"/>
                <w:szCs w:val="21"/>
                <w:lang w:val="en-US" w:eastAsia="zh-CN"/>
              </w:rPr>
              <w:t>甲醛</w:t>
            </w:r>
          </w:p>
        </w:tc>
        <w:tc>
          <w:tcPr>
            <w:tcW w:w="2130" w:type="dxa"/>
            <w:noWrap w:val="0"/>
            <w:vAlign w:val="center"/>
          </w:tcPr>
          <w:p w14:paraId="4BA1F441">
            <w:pPr>
              <w:widowControl w:val="0"/>
              <w:spacing w:line="240" w:lineRule="auto"/>
              <w:ind w:firstLine="0"/>
              <w:jc w:val="center"/>
              <w:rPr>
                <w:rFonts w:hint="eastAsia" w:ascii="宋体"/>
                <w:color w:val="000000"/>
                <w:sz w:val="21"/>
                <w:szCs w:val="21"/>
              </w:rPr>
            </w:pPr>
            <w:r>
              <w:rPr>
                <w:rFonts w:hint="eastAsia" w:ascii="Times New Roman" w:hAnsi="Times New Roman" w:eastAsia="宋体" w:cs="Times New Roman"/>
                <w:color w:val="000000"/>
                <w:sz w:val="21"/>
                <w:szCs w:val="21"/>
                <w:u w:val="none"/>
                <w:lang w:val="en-US" w:eastAsia="zh-CN"/>
              </w:rPr>
              <w:t>5</w:t>
            </w:r>
          </w:p>
        </w:tc>
        <w:tc>
          <w:tcPr>
            <w:tcW w:w="3709" w:type="dxa"/>
            <w:vMerge w:val="continue"/>
            <w:noWrap w:val="0"/>
            <w:vAlign w:val="top"/>
          </w:tcPr>
          <w:p w14:paraId="1F940132">
            <w:pPr>
              <w:jc w:val="center"/>
              <w:rPr>
                <w:rFonts w:ascii="宋体"/>
                <w:color w:val="000000"/>
                <w:sz w:val="21"/>
                <w:szCs w:val="21"/>
              </w:rPr>
            </w:pPr>
          </w:p>
        </w:tc>
      </w:tr>
      <w:tr w14:paraId="60424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dxa"/>
            <w:noWrap w:val="0"/>
            <w:vAlign w:val="center"/>
          </w:tcPr>
          <w:p w14:paraId="29A68B60">
            <w:pPr>
              <w:spacing w:line="340" w:lineRule="exact"/>
              <w:ind w:firstLine="0"/>
              <w:jc w:val="center"/>
              <w:rPr>
                <w:rFonts w:hint="eastAsia" w:ascii="宋体"/>
                <w:color w:val="000000"/>
                <w:sz w:val="21"/>
                <w:szCs w:val="21"/>
              </w:rPr>
            </w:pPr>
            <w:r>
              <w:rPr>
                <w:rFonts w:hint="eastAsia"/>
                <w:sz w:val="21"/>
                <w:szCs w:val="21"/>
                <w:lang w:val="en-US" w:eastAsia="zh-CN"/>
              </w:rPr>
              <w:t>酚类</w:t>
            </w:r>
          </w:p>
        </w:tc>
        <w:tc>
          <w:tcPr>
            <w:tcW w:w="2130" w:type="dxa"/>
            <w:noWrap w:val="0"/>
            <w:vAlign w:val="center"/>
          </w:tcPr>
          <w:p w14:paraId="20356F9A">
            <w:pPr>
              <w:widowControl w:val="0"/>
              <w:spacing w:line="240" w:lineRule="auto"/>
              <w:ind w:firstLine="0"/>
              <w:jc w:val="center"/>
              <w:rPr>
                <w:rFonts w:hint="eastAsia" w:ascii="宋体"/>
                <w:color w:val="000000"/>
                <w:sz w:val="21"/>
                <w:szCs w:val="21"/>
              </w:rPr>
            </w:pPr>
            <w:r>
              <w:rPr>
                <w:rFonts w:hint="eastAsia" w:ascii="Times New Roman" w:hAnsi="Times New Roman" w:eastAsia="宋体" w:cs="Times New Roman"/>
                <w:color w:val="000000"/>
                <w:sz w:val="21"/>
                <w:szCs w:val="21"/>
                <w:u w:val="none"/>
                <w:lang w:val="en-US" w:eastAsia="zh-CN"/>
              </w:rPr>
              <w:t>20</w:t>
            </w:r>
          </w:p>
        </w:tc>
        <w:tc>
          <w:tcPr>
            <w:tcW w:w="3709" w:type="dxa"/>
            <w:vMerge w:val="continue"/>
            <w:noWrap w:val="0"/>
            <w:vAlign w:val="top"/>
          </w:tcPr>
          <w:p w14:paraId="41FBAE16">
            <w:pPr>
              <w:jc w:val="center"/>
              <w:rPr>
                <w:rFonts w:ascii="宋体"/>
                <w:color w:val="000000"/>
                <w:sz w:val="21"/>
                <w:szCs w:val="21"/>
              </w:rPr>
            </w:pPr>
          </w:p>
        </w:tc>
      </w:tr>
      <w:tr w14:paraId="3E055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dxa"/>
            <w:noWrap w:val="0"/>
            <w:vAlign w:val="center"/>
          </w:tcPr>
          <w:p w14:paraId="393C400A">
            <w:pPr>
              <w:spacing w:line="340" w:lineRule="exact"/>
              <w:ind w:firstLine="0"/>
              <w:jc w:val="center"/>
              <w:rPr>
                <w:rFonts w:hint="eastAsia" w:ascii="宋体"/>
                <w:color w:val="000000"/>
                <w:sz w:val="21"/>
                <w:szCs w:val="21"/>
              </w:rPr>
            </w:pPr>
            <w:r>
              <w:rPr>
                <w:rFonts w:hint="eastAsia"/>
                <w:sz w:val="21"/>
                <w:szCs w:val="21"/>
                <w:lang w:val="en-US" w:eastAsia="zh-CN"/>
              </w:rPr>
              <w:t>氨</w:t>
            </w:r>
          </w:p>
        </w:tc>
        <w:tc>
          <w:tcPr>
            <w:tcW w:w="2130" w:type="dxa"/>
            <w:noWrap w:val="0"/>
            <w:vAlign w:val="center"/>
          </w:tcPr>
          <w:p w14:paraId="1234BB1D">
            <w:pPr>
              <w:widowControl w:val="0"/>
              <w:spacing w:line="240" w:lineRule="auto"/>
              <w:ind w:firstLine="0"/>
              <w:jc w:val="center"/>
              <w:rPr>
                <w:rFonts w:hint="eastAsia" w:ascii="宋体"/>
                <w:color w:val="000000"/>
                <w:sz w:val="21"/>
                <w:szCs w:val="21"/>
              </w:rPr>
            </w:pPr>
            <w:r>
              <w:rPr>
                <w:rFonts w:hint="eastAsia" w:ascii="Times New Roman" w:hAnsi="Times New Roman" w:eastAsia="宋体" w:cs="Times New Roman"/>
                <w:color w:val="000000"/>
                <w:sz w:val="21"/>
                <w:szCs w:val="21"/>
                <w:u w:val="none"/>
                <w:lang w:val="en-US" w:eastAsia="zh-CN"/>
              </w:rPr>
              <w:t>30</w:t>
            </w:r>
          </w:p>
        </w:tc>
        <w:tc>
          <w:tcPr>
            <w:tcW w:w="3709" w:type="dxa"/>
            <w:vMerge w:val="continue"/>
            <w:noWrap w:val="0"/>
            <w:vAlign w:val="top"/>
          </w:tcPr>
          <w:p w14:paraId="5B4C3FA5">
            <w:pPr>
              <w:jc w:val="center"/>
              <w:rPr>
                <w:rFonts w:ascii="宋体"/>
                <w:color w:val="000000"/>
                <w:sz w:val="21"/>
                <w:szCs w:val="21"/>
              </w:rPr>
            </w:pPr>
          </w:p>
        </w:tc>
      </w:tr>
      <w:tr w14:paraId="3FC64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dxa"/>
            <w:noWrap w:val="0"/>
            <w:vAlign w:val="center"/>
          </w:tcPr>
          <w:p w14:paraId="7B98EA83">
            <w:pPr>
              <w:spacing w:line="340" w:lineRule="exact"/>
              <w:ind w:firstLine="0"/>
              <w:jc w:val="center"/>
              <w:rPr>
                <w:color w:val="FF0000"/>
                <w:sz w:val="21"/>
                <w:szCs w:val="21"/>
                <w:lang w:val="en-US" w:eastAsia="zh-CN"/>
              </w:rPr>
            </w:pPr>
            <w:r>
              <w:rPr>
                <w:rFonts w:hint="eastAsia"/>
                <w:color w:val="FF0000"/>
                <w:sz w:val="21"/>
                <w:szCs w:val="21"/>
                <w:lang w:val="en-US" w:eastAsia="zh-CN"/>
              </w:rPr>
              <w:t>颗粒物</w:t>
            </w:r>
          </w:p>
        </w:tc>
        <w:tc>
          <w:tcPr>
            <w:tcW w:w="2130" w:type="dxa"/>
            <w:noWrap w:val="0"/>
            <w:vAlign w:val="center"/>
          </w:tcPr>
          <w:p w14:paraId="341CB937">
            <w:pPr>
              <w:widowControl w:val="0"/>
              <w:spacing w:line="240" w:lineRule="auto"/>
              <w:ind w:firstLine="0"/>
              <w:jc w:val="center"/>
              <w:rPr>
                <w:rFonts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 w:val="21"/>
                <w:szCs w:val="21"/>
                <w:u w:val="none"/>
                <w:lang w:val="en-US" w:eastAsia="zh-CN"/>
              </w:rPr>
              <w:t>30</w:t>
            </w:r>
          </w:p>
        </w:tc>
        <w:tc>
          <w:tcPr>
            <w:tcW w:w="3709" w:type="dxa"/>
            <w:vMerge w:val="continue"/>
            <w:noWrap w:val="0"/>
            <w:vAlign w:val="top"/>
          </w:tcPr>
          <w:p w14:paraId="7B24AC67">
            <w:pPr>
              <w:jc w:val="center"/>
              <w:rPr>
                <w:rFonts w:ascii="宋体"/>
                <w:color w:val="000000"/>
                <w:sz w:val="21"/>
                <w:szCs w:val="21"/>
              </w:rPr>
            </w:pPr>
          </w:p>
        </w:tc>
      </w:tr>
    </w:tbl>
    <w:p w14:paraId="50BB0E8D">
      <w:pPr>
        <w:spacing w:line="360" w:lineRule="auto"/>
        <w:ind w:firstLine="118"/>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lang w:val="en-US" w:eastAsia="zh-CN"/>
        </w:rPr>
        <w:t xml:space="preserve">2.4-7   </w:t>
      </w:r>
      <w:r>
        <w:rPr>
          <w:rFonts w:ascii="Times New Roman" w:hAnsi="Times New Roman" w:cs="Times New Roman"/>
          <w:b/>
          <w:sz w:val="24"/>
          <w:szCs w:val="24"/>
        </w:rPr>
        <w:t>恶臭污染物排放标准</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0"/>
        <w:gridCol w:w="3709"/>
      </w:tblGrid>
      <w:tr w14:paraId="0EF83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960" w:type="dxa"/>
            <w:noWrap w:val="0"/>
            <w:vAlign w:val="top"/>
          </w:tcPr>
          <w:p w14:paraId="13D2BE02">
            <w:pPr>
              <w:jc w:val="center"/>
              <w:rPr>
                <w:rFonts w:ascii="宋体"/>
                <w:b/>
                <w:color w:val="000000"/>
                <w:sz w:val="21"/>
                <w:szCs w:val="21"/>
              </w:rPr>
            </w:pPr>
            <w:r>
              <w:rPr>
                <w:rFonts w:hint="eastAsia" w:ascii="宋体"/>
                <w:b/>
                <w:color w:val="000000"/>
                <w:sz w:val="21"/>
                <w:szCs w:val="21"/>
              </w:rPr>
              <w:t>类别</w:t>
            </w:r>
          </w:p>
        </w:tc>
        <w:tc>
          <w:tcPr>
            <w:tcW w:w="3709" w:type="dxa"/>
            <w:noWrap w:val="0"/>
            <w:vAlign w:val="top"/>
          </w:tcPr>
          <w:p w14:paraId="077BEE7B">
            <w:pPr>
              <w:jc w:val="center"/>
              <w:rPr>
                <w:rFonts w:ascii="宋体"/>
                <w:b/>
                <w:color w:val="000000"/>
                <w:sz w:val="21"/>
                <w:szCs w:val="21"/>
              </w:rPr>
            </w:pPr>
            <w:r>
              <w:rPr>
                <w:rFonts w:hint="eastAsia" w:ascii="宋体"/>
                <w:b/>
                <w:color w:val="000000"/>
                <w:sz w:val="21"/>
                <w:szCs w:val="21"/>
              </w:rPr>
              <w:t>臭气浓度（无量纲）</w:t>
            </w:r>
          </w:p>
        </w:tc>
      </w:tr>
      <w:tr w14:paraId="54ED0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0" w:type="dxa"/>
            <w:noWrap w:val="0"/>
            <w:vAlign w:val="top"/>
          </w:tcPr>
          <w:p w14:paraId="430A2B12">
            <w:pPr>
              <w:jc w:val="center"/>
              <w:rPr>
                <w:rFonts w:ascii="宋体"/>
                <w:color w:val="000000"/>
                <w:sz w:val="21"/>
                <w:szCs w:val="21"/>
              </w:rPr>
            </w:pPr>
            <w:r>
              <w:rPr>
                <w:rFonts w:hint="eastAsia" w:ascii="宋体"/>
                <w:color w:val="000000"/>
                <w:sz w:val="21"/>
                <w:szCs w:val="21"/>
              </w:rPr>
              <w:t>二级标准</w:t>
            </w:r>
          </w:p>
        </w:tc>
        <w:tc>
          <w:tcPr>
            <w:tcW w:w="3709" w:type="dxa"/>
            <w:noWrap w:val="0"/>
            <w:vAlign w:val="top"/>
          </w:tcPr>
          <w:p w14:paraId="281190F0">
            <w:pPr>
              <w:jc w:val="center"/>
              <w:rPr>
                <w:rFonts w:ascii="宋体"/>
                <w:color w:val="000000"/>
                <w:sz w:val="21"/>
                <w:szCs w:val="21"/>
              </w:rPr>
            </w:pPr>
            <w:r>
              <w:rPr>
                <w:rFonts w:ascii="宋体"/>
                <w:color w:val="000000"/>
                <w:sz w:val="21"/>
                <w:szCs w:val="21"/>
              </w:rPr>
              <w:t>20</w:t>
            </w:r>
          </w:p>
        </w:tc>
      </w:tr>
    </w:tbl>
    <w:p w14:paraId="178C2D9E">
      <w:pPr>
        <w:widowControl/>
        <w:spacing w:line="360" w:lineRule="auto"/>
        <w:ind w:firstLine="480"/>
        <w:rPr>
          <w:rFonts w:ascii="Times New Roman" w:hAnsi="Times New Roman" w:eastAsia="宋体" w:cs="Times New Roman"/>
          <w:b/>
          <w:bCs/>
          <w:color w:val="000000"/>
          <w:sz w:val="24"/>
          <w:szCs w:val="21"/>
          <w:u w:val="none"/>
        </w:rPr>
      </w:pPr>
      <w:r>
        <w:rPr>
          <w:rFonts w:hint="eastAsia" w:eastAsia="宋体"/>
          <w:lang w:eastAsia="zh-CN"/>
        </w:rPr>
        <w:t>（</w:t>
      </w:r>
      <w:r>
        <w:rPr>
          <w:rFonts w:hint="eastAsia" w:eastAsia="宋体"/>
          <w:lang w:val="en-US" w:eastAsia="zh-CN"/>
        </w:rPr>
        <w:t>2</w:t>
      </w:r>
      <w:r>
        <w:rPr>
          <w:rFonts w:hint="eastAsia" w:eastAsia="宋体"/>
          <w:lang w:eastAsia="zh-CN"/>
        </w:rPr>
        <w:t>）</w:t>
      </w:r>
      <w:r>
        <w:rPr>
          <w:rFonts w:hint="eastAsia" w:ascii="Calibri" w:hAnsi="Calibri" w:eastAsia="宋体" w:cs="Calibri"/>
          <w:color w:val="FF0000"/>
          <w:sz w:val="24"/>
          <w:szCs w:val="24"/>
          <w:lang w:val="en-US" w:eastAsia="zh-CN"/>
        </w:rPr>
        <w:t>项目板材加工生产线刨片、干燥、筛选、铺装、砂光、开槽、锯边等工序产生的粉尘</w:t>
      </w:r>
      <w:r>
        <w:rPr>
          <w:rFonts w:hint="eastAsia"/>
          <w:color w:val="FF0000"/>
          <w:lang w:eastAsia="zh-CN"/>
        </w:rPr>
        <w:t>；</w:t>
      </w:r>
      <w:r>
        <w:rPr>
          <w:rFonts w:hint="eastAsia" w:ascii="Calibri" w:hAnsi="Calibri" w:eastAsia="宋体" w:cs="Calibri"/>
          <w:color w:val="FF0000"/>
          <w:sz w:val="24"/>
          <w:szCs w:val="24"/>
          <w:lang w:val="en-US" w:eastAsia="zh-CN"/>
        </w:rPr>
        <w:t>热压、贴面工序产生的甲醛、非甲烷总烃、酚类执行《大气污染物综合排放标准》（GB16297-1996）表2标准限值。</w:t>
      </w:r>
    </w:p>
    <w:p w14:paraId="567A13EC">
      <w:pPr>
        <w:pStyle w:val="2"/>
        <w:jc w:val="center"/>
        <w:rPr>
          <w:rFonts w:hint="eastAsia" w:ascii="Calibri" w:hAnsi="Calibri" w:eastAsia="宋体" w:cs="Calibri"/>
          <w:b/>
          <w:bCs/>
          <w:sz w:val="24"/>
          <w:szCs w:val="24"/>
          <w:lang w:val="en-US" w:eastAsia="zh-CN"/>
        </w:rPr>
      </w:pPr>
      <w:r>
        <w:rPr>
          <w:rFonts w:hint="eastAsia" w:ascii="Calibri" w:hAnsi="Calibri" w:eastAsia="宋体" w:cs="Calibri"/>
          <w:b/>
          <w:bCs/>
          <w:sz w:val="24"/>
          <w:szCs w:val="24"/>
          <w:lang w:val="en-US" w:eastAsia="zh-CN"/>
        </w:rPr>
        <w:t>表2.4-8  大气污染物综合排放标准</w:t>
      </w:r>
    </w:p>
    <w:tbl>
      <w:tblPr>
        <w:tblStyle w:val="32"/>
        <w:tblW w:w="8592"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Layout w:type="fixed"/>
        <w:tblCellMar>
          <w:top w:w="0" w:type="dxa"/>
          <w:left w:w="108" w:type="dxa"/>
          <w:bottom w:w="0" w:type="dxa"/>
          <w:right w:w="108" w:type="dxa"/>
        </w:tblCellMar>
      </w:tblPr>
      <w:tblGrid>
        <w:gridCol w:w="836"/>
        <w:gridCol w:w="1722"/>
        <w:gridCol w:w="1907"/>
        <w:gridCol w:w="777"/>
        <w:gridCol w:w="2486"/>
        <w:gridCol w:w="864"/>
      </w:tblGrid>
      <w:tr w14:paraId="64E0E83D">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cantSplit/>
          <w:trHeight w:val="340" w:hRule="atLeast"/>
          <w:jc w:val="center"/>
        </w:trPr>
        <w:tc>
          <w:tcPr>
            <w:tcW w:w="836" w:type="dxa"/>
            <w:vMerge w:val="restart"/>
            <w:noWrap w:val="0"/>
            <w:vAlign w:val="center"/>
          </w:tcPr>
          <w:p w14:paraId="253C58E3">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污染物</w:t>
            </w:r>
          </w:p>
        </w:tc>
        <w:tc>
          <w:tcPr>
            <w:tcW w:w="1722" w:type="dxa"/>
            <w:vMerge w:val="restart"/>
            <w:noWrap w:val="0"/>
            <w:vAlign w:val="center"/>
          </w:tcPr>
          <w:p w14:paraId="680A0E4F">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最高允许排</w:t>
            </w:r>
          </w:p>
          <w:p w14:paraId="4E91E264">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放浓度（</w:t>
            </w:r>
            <w:r>
              <w:rPr>
                <w:rFonts w:ascii="Times New Roman" w:hAnsi="Times New Roman" w:eastAsia="宋体" w:cs="Times New Roman"/>
                <w:b/>
                <w:bCs/>
                <w:color w:val="000000"/>
                <w:sz w:val="21"/>
                <w:szCs w:val="21"/>
                <w:u w:val="none"/>
              </w:rPr>
              <w:t>mg/m</w:t>
            </w:r>
            <w:r>
              <w:rPr>
                <w:rFonts w:ascii="Times New Roman" w:hAnsi="Times New Roman" w:eastAsia="宋体" w:cs="Times New Roman"/>
                <w:b/>
                <w:bCs/>
                <w:color w:val="000000"/>
                <w:sz w:val="21"/>
                <w:szCs w:val="21"/>
                <w:u w:val="none"/>
                <w:vertAlign w:val="superscript"/>
              </w:rPr>
              <w:t>3</w:t>
            </w:r>
            <w:r>
              <w:rPr>
                <w:rFonts w:ascii="Times New Roman" w:hAnsi="宋体" w:eastAsia="宋体" w:cs="Times New Roman"/>
                <w:b/>
                <w:bCs/>
                <w:color w:val="000000"/>
                <w:sz w:val="21"/>
                <w:szCs w:val="21"/>
                <w:u w:val="none"/>
              </w:rPr>
              <w:t>）</w:t>
            </w:r>
          </w:p>
        </w:tc>
        <w:tc>
          <w:tcPr>
            <w:tcW w:w="2684" w:type="dxa"/>
            <w:gridSpan w:val="2"/>
            <w:noWrap w:val="0"/>
            <w:vAlign w:val="center"/>
          </w:tcPr>
          <w:p w14:paraId="68355D06">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最高允许排放速率（</w:t>
            </w:r>
            <w:r>
              <w:rPr>
                <w:rFonts w:ascii="Times New Roman" w:hAnsi="Times New Roman" w:eastAsia="宋体" w:cs="Times New Roman"/>
                <w:b/>
                <w:bCs/>
                <w:color w:val="000000"/>
                <w:sz w:val="21"/>
                <w:szCs w:val="21"/>
                <w:u w:val="none"/>
              </w:rPr>
              <w:t>kg/h</w:t>
            </w:r>
            <w:r>
              <w:rPr>
                <w:rFonts w:ascii="Times New Roman" w:hAnsi="宋体" w:eastAsia="宋体" w:cs="Times New Roman"/>
                <w:b/>
                <w:bCs/>
                <w:color w:val="000000"/>
                <w:sz w:val="21"/>
                <w:szCs w:val="21"/>
                <w:u w:val="none"/>
              </w:rPr>
              <w:t>）</w:t>
            </w:r>
          </w:p>
        </w:tc>
        <w:tc>
          <w:tcPr>
            <w:tcW w:w="3350" w:type="dxa"/>
            <w:gridSpan w:val="2"/>
            <w:noWrap w:val="0"/>
            <w:vAlign w:val="center"/>
          </w:tcPr>
          <w:p w14:paraId="46700865">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无组织排放监控浓度限值（</w:t>
            </w:r>
            <w:r>
              <w:rPr>
                <w:rFonts w:ascii="Times New Roman" w:hAnsi="Times New Roman" w:eastAsia="宋体" w:cs="Times New Roman"/>
                <w:b/>
                <w:bCs/>
                <w:color w:val="000000"/>
                <w:sz w:val="21"/>
                <w:szCs w:val="21"/>
                <w:u w:val="none"/>
              </w:rPr>
              <w:t>mg/m</w:t>
            </w:r>
            <w:r>
              <w:rPr>
                <w:rFonts w:ascii="Times New Roman" w:hAnsi="Times New Roman" w:eastAsia="宋体" w:cs="Times New Roman"/>
                <w:b/>
                <w:bCs/>
                <w:color w:val="000000"/>
                <w:sz w:val="21"/>
                <w:szCs w:val="21"/>
                <w:u w:val="none"/>
                <w:vertAlign w:val="superscript"/>
              </w:rPr>
              <w:t>3</w:t>
            </w:r>
            <w:r>
              <w:rPr>
                <w:rFonts w:ascii="Times New Roman" w:hAnsi="宋体" w:eastAsia="宋体" w:cs="Times New Roman"/>
                <w:b/>
                <w:bCs/>
                <w:color w:val="000000"/>
                <w:sz w:val="21"/>
                <w:szCs w:val="21"/>
                <w:u w:val="none"/>
              </w:rPr>
              <w:t>）</w:t>
            </w:r>
          </w:p>
        </w:tc>
      </w:tr>
      <w:tr w14:paraId="23DB780F">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cantSplit/>
          <w:trHeight w:val="340" w:hRule="atLeast"/>
          <w:jc w:val="center"/>
        </w:trPr>
        <w:tc>
          <w:tcPr>
            <w:tcW w:w="836" w:type="dxa"/>
            <w:vMerge w:val="continue"/>
            <w:noWrap w:val="0"/>
            <w:vAlign w:val="center"/>
          </w:tcPr>
          <w:p w14:paraId="4A2B4BEA">
            <w:pPr>
              <w:widowControl/>
              <w:spacing w:line="240" w:lineRule="auto"/>
              <w:ind w:firstLine="0"/>
              <w:jc w:val="center"/>
              <w:rPr>
                <w:rFonts w:ascii="Times New Roman" w:hAnsi="Times New Roman" w:eastAsia="宋体" w:cs="Times New Roman"/>
                <w:b/>
                <w:bCs/>
                <w:color w:val="000000"/>
                <w:sz w:val="21"/>
                <w:szCs w:val="21"/>
                <w:u w:val="none"/>
              </w:rPr>
            </w:pPr>
          </w:p>
        </w:tc>
        <w:tc>
          <w:tcPr>
            <w:tcW w:w="1722" w:type="dxa"/>
            <w:vMerge w:val="continue"/>
            <w:noWrap w:val="0"/>
            <w:vAlign w:val="center"/>
          </w:tcPr>
          <w:p w14:paraId="379BB7EF">
            <w:pPr>
              <w:widowControl/>
              <w:spacing w:line="240" w:lineRule="auto"/>
              <w:ind w:firstLine="0"/>
              <w:jc w:val="center"/>
              <w:rPr>
                <w:rFonts w:ascii="Times New Roman" w:hAnsi="Times New Roman" w:eastAsia="宋体" w:cs="Times New Roman"/>
                <w:b/>
                <w:bCs/>
                <w:color w:val="000000"/>
                <w:sz w:val="21"/>
                <w:szCs w:val="21"/>
                <w:u w:val="none"/>
              </w:rPr>
            </w:pPr>
          </w:p>
        </w:tc>
        <w:tc>
          <w:tcPr>
            <w:tcW w:w="1907" w:type="dxa"/>
            <w:noWrap w:val="0"/>
            <w:vAlign w:val="center"/>
          </w:tcPr>
          <w:p w14:paraId="2801E5A4">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排气筒高度</w:t>
            </w:r>
            <w:r>
              <w:rPr>
                <w:rFonts w:ascii="Times New Roman" w:hAnsi="Times New Roman" w:eastAsia="宋体" w:cs="Times New Roman"/>
                <w:b/>
                <w:bCs/>
                <w:color w:val="000000"/>
                <w:sz w:val="21"/>
                <w:szCs w:val="21"/>
                <w:u w:val="none"/>
              </w:rPr>
              <w:t>(m)</w:t>
            </w:r>
          </w:p>
        </w:tc>
        <w:tc>
          <w:tcPr>
            <w:tcW w:w="777" w:type="dxa"/>
            <w:noWrap w:val="0"/>
            <w:vAlign w:val="center"/>
          </w:tcPr>
          <w:p w14:paraId="69F52536">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二级</w:t>
            </w:r>
          </w:p>
        </w:tc>
        <w:tc>
          <w:tcPr>
            <w:tcW w:w="2486" w:type="dxa"/>
            <w:noWrap w:val="0"/>
            <w:vAlign w:val="center"/>
          </w:tcPr>
          <w:p w14:paraId="65527240">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监控点</w:t>
            </w:r>
          </w:p>
        </w:tc>
        <w:tc>
          <w:tcPr>
            <w:tcW w:w="864" w:type="dxa"/>
            <w:noWrap w:val="0"/>
            <w:vAlign w:val="center"/>
          </w:tcPr>
          <w:p w14:paraId="33B5074C">
            <w:pPr>
              <w:widowControl w:val="0"/>
              <w:spacing w:line="240" w:lineRule="auto"/>
              <w:ind w:firstLine="0"/>
              <w:jc w:val="center"/>
              <w:rPr>
                <w:rFonts w:ascii="Times New Roman" w:hAnsi="Times New Roman" w:eastAsia="宋体" w:cs="Times New Roman"/>
                <w:b/>
                <w:bCs/>
                <w:color w:val="000000"/>
                <w:sz w:val="21"/>
                <w:szCs w:val="21"/>
                <w:u w:val="none"/>
              </w:rPr>
            </w:pPr>
            <w:r>
              <w:rPr>
                <w:rFonts w:ascii="Times New Roman" w:hAnsi="宋体" w:eastAsia="宋体" w:cs="Times New Roman"/>
                <w:b/>
                <w:bCs/>
                <w:color w:val="000000"/>
                <w:sz w:val="21"/>
                <w:szCs w:val="21"/>
                <w:u w:val="none"/>
              </w:rPr>
              <w:t>浓度</w:t>
            </w:r>
          </w:p>
        </w:tc>
      </w:tr>
      <w:tr w14:paraId="6AC97D18">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836" w:type="dxa"/>
            <w:noWrap w:val="0"/>
            <w:vAlign w:val="center"/>
          </w:tcPr>
          <w:p w14:paraId="474D5E50">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宋体" w:eastAsia="宋体" w:cs="Times New Roman"/>
                <w:color w:val="000000"/>
                <w:sz w:val="21"/>
                <w:szCs w:val="21"/>
                <w:u w:val="none"/>
              </w:rPr>
              <w:t>颗粒物</w:t>
            </w:r>
          </w:p>
        </w:tc>
        <w:tc>
          <w:tcPr>
            <w:tcW w:w="1722" w:type="dxa"/>
            <w:noWrap w:val="0"/>
            <w:vAlign w:val="center"/>
          </w:tcPr>
          <w:p w14:paraId="6732CEDE">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120</w:t>
            </w:r>
          </w:p>
        </w:tc>
        <w:tc>
          <w:tcPr>
            <w:tcW w:w="1907" w:type="dxa"/>
            <w:noWrap w:val="0"/>
            <w:vAlign w:val="center"/>
          </w:tcPr>
          <w:p w14:paraId="51F6664C">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15</w:t>
            </w:r>
          </w:p>
          <w:p w14:paraId="2165BE7B">
            <w:pPr>
              <w:widowControl w:val="0"/>
              <w:spacing w:line="240" w:lineRule="auto"/>
              <w:ind w:firstLine="0"/>
              <w:jc w:val="center"/>
              <w:rPr>
                <w:rFonts w:ascii="Times New Roman" w:hAnsi="Times New Roman" w:eastAsia="宋体" w:cs="Times New Roman"/>
                <w:color w:val="000000"/>
                <w:sz w:val="21"/>
                <w:szCs w:val="21"/>
                <w:u w:val="none"/>
              </w:rPr>
            </w:pPr>
          </w:p>
        </w:tc>
        <w:tc>
          <w:tcPr>
            <w:tcW w:w="777" w:type="dxa"/>
            <w:noWrap w:val="0"/>
            <w:vAlign w:val="center"/>
          </w:tcPr>
          <w:p w14:paraId="244CD1F1">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3.5</w:t>
            </w:r>
          </w:p>
          <w:p w14:paraId="798125B3">
            <w:pPr>
              <w:widowControl w:val="0"/>
              <w:spacing w:line="240" w:lineRule="auto"/>
              <w:ind w:firstLine="0"/>
              <w:jc w:val="center"/>
              <w:rPr>
                <w:rFonts w:ascii="Times New Roman" w:hAnsi="Times New Roman" w:eastAsia="宋体" w:cs="Times New Roman"/>
                <w:color w:val="000000"/>
                <w:sz w:val="21"/>
                <w:szCs w:val="21"/>
                <w:u w:val="none"/>
              </w:rPr>
            </w:pPr>
          </w:p>
        </w:tc>
        <w:tc>
          <w:tcPr>
            <w:tcW w:w="2486" w:type="dxa"/>
            <w:noWrap w:val="0"/>
            <w:vAlign w:val="center"/>
          </w:tcPr>
          <w:p w14:paraId="0E54C284">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宋体" w:eastAsia="宋体" w:cs="Times New Roman"/>
                <w:color w:val="000000"/>
                <w:sz w:val="21"/>
                <w:szCs w:val="21"/>
                <w:u w:val="none"/>
              </w:rPr>
              <w:t>周界外浓度最高点</w:t>
            </w:r>
          </w:p>
        </w:tc>
        <w:tc>
          <w:tcPr>
            <w:tcW w:w="864" w:type="dxa"/>
            <w:noWrap w:val="0"/>
            <w:vAlign w:val="center"/>
          </w:tcPr>
          <w:p w14:paraId="34440C09">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1.0</w:t>
            </w:r>
          </w:p>
        </w:tc>
      </w:tr>
      <w:tr w14:paraId="1B39E4A1">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836" w:type="dxa"/>
            <w:noWrap w:val="0"/>
            <w:vAlign w:val="center"/>
          </w:tcPr>
          <w:p w14:paraId="7AA0F60F">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宋体" w:eastAsia="宋体" w:cs="Times New Roman"/>
                <w:color w:val="000000"/>
                <w:sz w:val="21"/>
                <w:szCs w:val="21"/>
                <w:u w:val="none"/>
              </w:rPr>
              <w:t>甲醛</w:t>
            </w:r>
          </w:p>
        </w:tc>
        <w:tc>
          <w:tcPr>
            <w:tcW w:w="1722" w:type="dxa"/>
            <w:noWrap w:val="0"/>
            <w:vAlign w:val="center"/>
          </w:tcPr>
          <w:p w14:paraId="13BCF83A">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25</w:t>
            </w:r>
          </w:p>
        </w:tc>
        <w:tc>
          <w:tcPr>
            <w:tcW w:w="1907" w:type="dxa"/>
            <w:noWrap w:val="0"/>
            <w:vAlign w:val="center"/>
          </w:tcPr>
          <w:p w14:paraId="1D0B3061">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15</w:t>
            </w:r>
          </w:p>
          <w:p w14:paraId="4042B483">
            <w:pPr>
              <w:widowControl w:val="0"/>
              <w:spacing w:line="240" w:lineRule="auto"/>
              <w:ind w:firstLine="0"/>
              <w:jc w:val="center"/>
              <w:rPr>
                <w:rFonts w:ascii="Times New Roman" w:hAnsi="Times New Roman" w:eastAsia="宋体" w:cs="Times New Roman"/>
                <w:color w:val="000000"/>
                <w:sz w:val="21"/>
                <w:szCs w:val="21"/>
                <w:u w:val="none"/>
              </w:rPr>
            </w:pPr>
          </w:p>
        </w:tc>
        <w:tc>
          <w:tcPr>
            <w:tcW w:w="777" w:type="dxa"/>
            <w:noWrap w:val="0"/>
            <w:vAlign w:val="center"/>
          </w:tcPr>
          <w:p w14:paraId="0D37EB20">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0.26</w:t>
            </w:r>
          </w:p>
          <w:p w14:paraId="3F2176AA">
            <w:pPr>
              <w:widowControl w:val="0"/>
              <w:spacing w:line="240" w:lineRule="auto"/>
              <w:ind w:firstLine="0"/>
              <w:jc w:val="center"/>
              <w:rPr>
                <w:rFonts w:ascii="Times New Roman" w:hAnsi="Times New Roman" w:eastAsia="宋体" w:cs="Times New Roman"/>
                <w:color w:val="000000"/>
                <w:sz w:val="21"/>
                <w:szCs w:val="21"/>
                <w:u w:val="none"/>
              </w:rPr>
            </w:pPr>
          </w:p>
        </w:tc>
        <w:tc>
          <w:tcPr>
            <w:tcW w:w="2486" w:type="dxa"/>
            <w:noWrap w:val="0"/>
            <w:vAlign w:val="center"/>
          </w:tcPr>
          <w:p w14:paraId="78479455">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宋体" w:eastAsia="宋体" w:cs="Times New Roman"/>
                <w:color w:val="000000"/>
                <w:sz w:val="21"/>
                <w:szCs w:val="21"/>
                <w:u w:val="none"/>
              </w:rPr>
              <w:t>周界外浓度最高点</w:t>
            </w:r>
          </w:p>
        </w:tc>
        <w:tc>
          <w:tcPr>
            <w:tcW w:w="864" w:type="dxa"/>
            <w:noWrap w:val="0"/>
            <w:vAlign w:val="center"/>
          </w:tcPr>
          <w:p w14:paraId="5097E213">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0.20</w:t>
            </w:r>
          </w:p>
        </w:tc>
      </w:tr>
      <w:tr w14:paraId="5F7D4B54">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836" w:type="dxa"/>
            <w:noWrap w:val="0"/>
            <w:vAlign w:val="center"/>
          </w:tcPr>
          <w:p w14:paraId="579DA482">
            <w:pPr>
              <w:widowControl w:val="0"/>
              <w:spacing w:line="240" w:lineRule="auto"/>
              <w:ind w:firstLine="0"/>
              <w:jc w:val="center"/>
              <w:rPr>
                <w:rFonts w:hint="eastAsia" w:ascii="Times New Roman" w:hAnsi="宋体" w:eastAsia="宋体" w:cs="Times New Roman"/>
                <w:color w:val="000000"/>
                <w:sz w:val="21"/>
                <w:szCs w:val="21"/>
                <w:u w:val="none"/>
                <w:lang w:val="en-US" w:eastAsia="zh-CN"/>
              </w:rPr>
            </w:pPr>
            <w:r>
              <w:rPr>
                <w:rFonts w:hint="eastAsia" w:ascii="Times New Roman" w:hAnsi="宋体" w:eastAsia="宋体" w:cs="Times New Roman"/>
                <w:color w:val="000000"/>
                <w:sz w:val="21"/>
                <w:szCs w:val="21"/>
                <w:u w:val="none"/>
                <w:lang w:val="en-US" w:eastAsia="zh-CN"/>
              </w:rPr>
              <w:t>酚类</w:t>
            </w:r>
          </w:p>
        </w:tc>
        <w:tc>
          <w:tcPr>
            <w:tcW w:w="1722" w:type="dxa"/>
            <w:noWrap w:val="0"/>
            <w:vAlign w:val="center"/>
          </w:tcPr>
          <w:p w14:paraId="1111F778">
            <w:pPr>
              <w:widowControl w:val="0"/>
              <w:spacing w:line="240" w:lineRule="auto"/>
              <w:ind w:firstLine="0"/>
              <w:jc w:val="center"/>
              <w:rPr>
                <w:rFonts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100</w:t>
            </w:r>
          </w:p>
        </w:tc>
        <w:tc>
          <w:tcPr>
            <w:tcW w:w="1907" w:type="dxa"/>
            <w:noWrap w:val="0"/>
            <w:vAlign w:val="center"/>
          </w:tcPr>
          <w:p w14:paraId="28F6EA54">
            <w:pPr>
              <w:widowControl w:val="0"/>
              <w:spacing w:line="240" w:lineRule="auto"/>
              <w:ind w:firstLine="0"/>
              <w:jc w:val="center"/>
              <w:rPr>
                <w:rFonts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15</w:t>
            </w:r>
          </w:p>
        </w:tc>
        <w:tc>
          <w:tcPr>
            <w:tcW w:w="777" w:type="dxa"/>
            <w:noWrap w:val="0"/>
            <w:vAlign w:val="center"/>
          </w:tcPr>
          <w:p w14:paraId="657CA032">
            <w:pPr>
              <w:widowControl w:val="0"/>
              <w:spacing w:line="240" w:lineRule="auto"/>
              <w:ind w:firstLine="0"/>
              <w:jc w:val="center"/>
              <w:rPr>
                <w:rFonts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0.1</w:t>
            </w:r>
          </w:p>
        </w:tc>
        <w:tc>
          <w:tcPr>
            <w:tcW w:w="2486" w:type="dxa"/>
            <w:noWrap w:val="0"/>
            <w:vAlign w:val="center"/>
          </w:tcPr>
          <w:p w14:paraId="39BB706A">
            <w:pPr>
              <w:widowControl w:val="0"/>
              <w:spacing w:line="240" w:lineRule="auto"/>
              <w:ind w:firstLine="0"/>
              <w:jc w:val="center"/>
              <w:rPr>
                <w:rFonts w:ascii="Times New Roman" w:hAnsi="宋体" w:eastAsia="宋体" w:cs="Times New Roman"/>
                <w:color w:val="000000"/>
                <w:sz w:val="21"/>
                <w:szCs w:val="21"/>
                <w:u w:val="none"/>
              </w:rPr>
            </w:pPr>
            <w:r>
              <w:rPr>
                <w:rFonts w:ascii="Times New Roman" w:hAnsi="宋体" w:eastAsia="宋体" w:cs="Times New Roman"/>
                <w:color w:val="000000"/>
                <w:sz w:val="21"/>
                <w:szCs w:val="21"/>
                <w:u w:val="none"/>
              </w:rPr>
              <w:t>周界外浓度最高点</w:t>
            </w:r>
          </w:p>
        </w:tc>
        <w:tc>
          <w:tcPr>
            <w:tcW w:w="864" w:type="dxa"/>
            <w:noWrap w:val="0"/>
            <w:vAlign w:val="center"/>
          </w:tcPr>
          <w:p w14:paraId="63435B05">
            <w:pPr>
              <w:widowControl w:val="0"/>
              <w:spacing w:line="240" w:lineRule="auto"/>
              <w:ind w:firstLine="0"/>
              <w:jc w:val="center"/>
              <w:rPr>
                <w:rFonts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0.08</w:t>
            </w:r>
          </w:p>
        </w:tc>
      </w:tr>
      <w:tr w14:paraId="61A768BF">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836" w:type="dxa"/>
            <w:noWrap w:val="0"/>
            <w:vAlign w:val="center"/>
          </w:tcPr>
          <w:p w14:paraId="54D87651">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宋体" w:eastAsia="宋体" w:cs="Times New Roman"/>
                <w:color w:val="000000"/>
                <w:sz w:val="21"/>
                <w:szCs w:val="21"/>
                <w:u w:val="none"/>
              </w:rPr>
              <w:t>非甲烷总烃</w:t>
            </w:r>
          </w:p>
        </w:tc>
        <w:tc>
          <w:tcPr>
            <w:tcW w:w="1722" w:type="dxa"/>
            <w:noWrap w:val="0"/>
            <w:vAlign w:val="center"/>
          </w:tcPr>
          <w:p w14:paraId="6C2256CF">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120</w:t>
            </w:r>
          </w:p>
        </w:tc>
        <w:tc>
          <w:tcPr>
            <w:tcW w:w="1907" w:type="dxa"/>
            <w:noWrap w:val="0"/>
            <w:vAlign w:val="center"/>
          </w:tcPr>
          <w:p w14:paraId="23903B61">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15</w:t>
            </w:r>
          </w:p>
        </w:tc>
        <w:tc>
          <w:tcPr>
            <w:tcW w:w="777" w:type="dxa"/>
            <w:noWrap w:val="0"/>
            <w:vAlign w:val="center"/>
          </w:tcPr>
          <w:p w14:paraId="17DA78ED">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10</w:t>
            </w:r>
          </w:p>
        </w:tc>
        <w:tc>
          <w:tcPr>
            <w:tcW w:w="2486" w:type="dxa"/>
            <w:noWrap w:val="0"/>
            <w:vAlign w:val="center"/>
          </w:tcPr>
          <w:p w14:paraId="13FBB76A">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宋体" w:eastAsia="宋体" w:cs="Times New Roman"/>
                <w:color w:val="000000"/>
                <w:sz w:val="21"/>
                <w:szCs w:val="21"/>
                <w:u w:val="none"/>
              </w:rPr>
              <w:t>周界外浓度最高点</w:t>
            </w:r>
          </w:p>
        </w:tc>
        <w:tc>
          <w:tcPr>
            <w:tcW w:w="864" w:type="dxa"/>
            <w:noWrap w:val="0"/>
            <w:vAlign w:val="center"/>
          </w:tcPr>
          <w:p w14:paraId="0C3B0F59">
            <w:pPr>
              <w:widowControl w:val="0"/>
              <w:spacing w:line="240" w:lineRule="auto"/>
              <w:ind w:firstLine="0"/>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4.0</w:t>
            </w:r>
          </w:p>
        </w:tc>
      </w:tr>
    </w:tbl>
    <w:p w14:paraId="72EED141">
      <w:pPr>
        <w:widowControl/>
        <w:spacing w:line="360" w:lineRule="auto"/>
        <w:ind w:left="0" w:firstLine="0"/>
        <w:rPr>
          <w:rFonts w:ascii="宋体" w:hAnsi="宋体" w:eastAsia="宋体" w:cs="Times New Roman"/>
          <w:b/>
          <w:bCs/>
          <w:color w:val="000000"/>
          <w:sz w:val="21"/>
          <w:szCs w:val="21"/>
        </w:rPr>
      </w:pPr>
      <w:r>
        <w:rPr>
          <w:rFonts w:hint="eastAsia" w:ascii="Times New Roman" w:hAnsi="Times New Roman" w:eastAsia="宋体" w:cs="Times New Roman"/>
          <w:b/>
          <w:bCs/>
          <w:color w:val="000000"/>
          <w:sz w:val="21"/>
          <w:szCs w:val="21"/>
          <w:lang w:val="en-US" w:eastAsia="zh-CN"/>
        </w:rPr>
        <w:t>备注：根据《</w:t>
      </w:r>
      <w:r>
        <w:rPr>
          <w:rFonts w:hint="eastAsia"/>
          <w:b/>
          <w:bCs/>
          <w:color w:val="000000"/>
          <w:sz w:val="21"/>
          <w:szCs w:val="21"/>
          <w:lang w:eastAsia="zh-CN"/>
        </w:rPr>
        <w:t>挥发性有机物无组织排放控制标准</w:t>
      </w:r>
      <w:r>
        <w:rPr>
          <w:rFonts w:hint="eastAsia" w:ascii="Times New Roman" w:hAnsi="Times New Roman" w:eastAsia="宋体" w:cs="Times New Roman"/>
          <w:b/>
          <w:bCs/>
          <w:color w:val="000000"/>
          <w:sz w:val="21"/>
          <w:szCs w:val="21"/>
          <w:lang w:val="en-US" w:eastAsia="zh-CN"/>
        </w:rPr>
        <w:t>》</w:t>
      </w:r>
      <w:r>
        <w:rPr>
          <w:rFonts w:hint="eastAsia" w:ascii="Times New Roman" w:hAnsi="Times New Roman" w:eastAsia="宋体" w:cs="Times New Roman"/>
          <w:b/>
          <w:bCs/>
          <w:color w:val="000000"/>
          <w:sz w:val="21"/>
          <w:szCs w:val="21"/>
          <w:lang w:eastAsia="zh-CN"/>
        </w:rPr>
        <w:t>（</w:t>
      </w:r>
      <w:r>
        <w:rPr>
          <w:rFonts w:hint="eastAsia" w:ascii="Times New Roman" w:hAnsi="Times New Roman" w:eastAsia="宋体" w:cs="Times New Roman"/>
          <w:b/>
          <w:bCs/>
          <w:color w:val="000000"/>
          <w:sz w:val="21"/>
          <w:szCs w:val="21"/>
          <w:lang w:val="en-US" w:eastAsia="zh-CN"/>
        </w:rPr>
        <w:t>GB378822-2019</w:t>
      </w:r>
      <w:r>
        <w:rPr>
          <w:rFonts w:hint="eastAsia" w:ascii="Times New Roman" w:hAnsi="Times New Roman" w:eastAsia="宋体" w:cs="Times New Roman"/>
          <w:b/>
          <w:bCs/>
          <w:color w:val="000000"/>
          <w:sz w:val="21"/>
          <w:szCs w:val="21"/>
          <w:lang w:eastAsia="zh-CN"/>
        </w:rPr>
        <w:t>）</w:t>
      </w:r>
      <w:r>
        <w:rPr>
          <w:rFonts w:hint="eastAsia" w:ascii="Times New Roman" w:hAnsi="Times New Roman" w:eastAsia="宋体" w:cs="Times New Roman"/>
          <w:b/>
          <w:bCs/>
          <w:color w:val="000000"/>
          <w:sz w:val="21"/>
          <w:szCs w:val="21"/>
          <w:lang w:val="en-US" w:eastAsia="zh-CN"/>
        </w:rPr>
        <w:t>规定，企业边界及周边</w:t>
      </w:r>
      <w:r>
        <w:rPr>
          <w:rFonts w:ascii="Times New Roman" w:hAnsi="Times New Roman" w:eastAsia="宋体" w:cs="Times New Roman"/>
          <w:b/>
          <w:bCs/>
          <w:color w:val="000000"/>
          <w:sz w:val="21"/>
          <w:szCs w:val="21"/>
        </w:rPr>
        <w:t>VOCs</w:t>
      </w:r>
      <w:r>
        <w:rPr>
          <w:rFonts w:hint="eastAsia" w:ascii="Times New Roman" w:hAnsi="Times New Roman" w:eastAsia="宋体" w:cs="Times New Roman"/>
          <w:b/>
          <w:bCs/>
          <w:color w:val="000000"/>
          <w:sz w:val="21"/>
          <w:szCs w:val="21"/>
          <w:lang w:val="en-US" w:eastAsia="zh-CN"/>
        </w:rPr>
        <w:t>监控要求执行</w:t>
      </w:r>
      <w:r>
        <w:rPr>
          <w:rFonts w:ascii="宋体" w:hAnsi="宋体" w:eastAsia="宋体" w:cs="Times New Roman"/>
          <w:b/>
          <w:bCs/>
          <w:color w:val="000000"/>
          <w:sz w:val="21"/>
          <w:szCs w:val="21"/>
        </w:rPr>
        <w:t>《大气污染物综合排放标准》（</w:t>
      </w:r>
      <w:r>
        <w:rPr>
          <w:rFonts w:ascii="Times New Roman" w:hAnsi="Times New Roman" w:eastAsia="宋体" w:cs="Times New Roman"/>
          <w:b/>
          <w:bCs/>
          <w:color w:val="000000"/>
          <w:sz w:val="21"/>
          <w:szCs w:val="21"/>
        </w:rPr>
        <w:t>GB16297-1996</w:t>
      </w:r>
      <w:r>
        <w:rPr>
          <w:rFonts w:ascii="宋体" w:hAnsi="宋体" w:eastAsia="宋体" w:cs="Times New Roman"/>
          <w:b/>
          <w:bCs/>
          <w:color w:val="000000"/>
          <w:sz w:val="21"/>
          <w:szCs w:val="21"/>
        </w:rPr>
        <w:t>）</w:t>
      </w:r>
      <w:r>
        <w:rPr>
          <w:rFonts w:hint="eastAsia" w:ascii="宋体" w:hAnsi="宋体" w:eastAsia="宋体" w:cs="Times New Roman"/>
          <w:b/>
          <w:bCs/>
          <w:color w:val="000000"/>
          <w:sz w:val="21"/>
          <w:szCs w:val="21"/>
          <w:lang w:val="en-US" w:eastAsia="zh-CN"/>
        </w:rPr>
        <w:t>标准要求</w:t>
      </w:r>
      <w:r>
        <w:rPr>
          <w:rFonts w:ascii="宋体" w:hAnsi="宋体" w:eastAsia="宋体" w:cs="Times New Roman"/>
          <w:b/>
          <w:bCs/>
          <w:color w:val="000000"/>
          <w:sz w:val="21"/>
          <w:szCs w:val="21"/>
        </w:rPr>
        <w:t>。</w:t>
      </w:r>
    </w:p>
    <w:p w14:paraId="51E83F28">
      <w:pPr>
        <w:ind w:firstLine="480"/>
        <w:rPr>
          <w:szCs w:val="22"/>
          <w:lang w:val="zh-CN"/>
        </w:rPr>
      </w:pPr>
      <w:r>
        <w:rPr>
          <w:rFonts w:hint="eastAsia" w:ascii="Calibri" w:hAnsi="Calibri" w:eastAsia="宋体" w:cs="Calibri"/>
          <w:lang w:val="en-US" w:eastAsia="zh-CN"/>
        </w:rPr>
        <w:t>（3）</w:t>
      </w:r>
      <w:r>
        <w:rPr>
          <w:szCs w:val="22"/>
          <w:lang w:val="zh-CN"/>
        </w:rPr>
        <w:t>本项目</w:t>
      </w:r>
      <w:r>
        <w:rPr>
          <w:rFonts w:hint="eastAsia"/>
          <w:szCs w:val="22"/>
          <w:lang w:val="en-US" w:eastAsia="zh-CN"/>
        </w:rPr>
        <w:t>6t/h</w:t>
      </w:r>
      <w:r>
        <w:rPr>
          <w:szCs w:val="22"/>
          <w:lang w:val="zh-CN"/>
        </w:rPr>
        <w:t>锅炉</w:t>
      </w:r>
      <w:r>
        <w:rPr>
          <w:rFonts w:hint="eastAsia"/>
          <w:szCs w:val="22"/>
          <w:lang w:val="zh-CN"/>
        </w:rPr>
        <w:t>、</w:t>
      </w:r>
      <w:r>
        <w:rPr>
          <w:rFonts w:hint="eastAsia"/>
          <w:szCs w:val="22"/>
          <w:lang w:val="en-US" w:eastAsia="zh-CN"/>
        </w:rPr>
        <w:t>热载体炉均</w:t>
      </w:r>
      <w:r>
        <w:rPr>
          <w:szCs w:val="22"/>
          <w:lang w:val="zh-CN"/>
        </w:rPr>
        <w:t>采用生物质燃料，锅炉烟气排放</w:t>
      </w:r>
      <w:r>
        <w:rPr>
          <w:rFonts w:hint="eastAsia"/>
          <w:szCs w:val="22"/>
          <w:lang w:val="en-US" w:eastAsia="zh-CN"/>
        </w:rPr>
        <w:t>分别</w:t>
      </w:r>
      <w:r>
        <w:rPr>
          <w:szCs w:val="22"/>
          <w:lang w:val="zh-CN"/>
        </w:rPr>
        <w:t>执行《锅炉大气污染物排放标准》（GB13271-2014）</w:t>
      </w:r>
      <w:r>
        <w:rPr>
          <w:rFonts w:hint="eastAsia"/>
          <w:szCs w:val="22"/>
          <w:lang w:val="en-US" w:eastAsia="zh-CN"/>
        </w:rPr>
        <w:t>在用、</w:t>
      </w:r>
      <w:r>
        <w:rPr>
          <w:szCs w:val="22"/>
          <w:lang w:val="zh-CN"/>
        </w:rPr>
        <w:t>新建锅炉大气污染物排放标准，相关标准值见表</w:t>
      </w:r>
      <w:r>
        <w:rPr>
          <w:szCs w:val="22"/>
        </w:rPr>
        <w:t>2</w:t>
      </w:r>
      <w:r>
        <w:rPr>
          <w:rFonts w:hint="eastAsia"/>
          <w:szCs w:val="22"/>
          <w:lang w:val="en-US" w:eastAsia="zh-CN"/>
        </w:rPr>
        <w:t>.4</w:t>
      </w:r>
      <w:r>
        <w:rPr>
          <w:szCs w:val="22"/>
        </w:rPr>
        <w:t>-</w:t>
      </w:r>
      <w:r>
        <w:rPr>
          <w:rFonts w:hint="eastAsia"/>
          <w:szCs w:val="22"/>
          <w:lang w:val="en-US" w:eastAsia="zh-CN"/>
        </w:rPr>
        <w:t>9</w:t>
      </w:r>
      <w:r>
        <w:rPr>
          <w:szCs w:val="22"/>
          <w:lang w:val="zh-CN"/>
        </w:rPr>
        <w:t>。</w:t>
      </w:r>
    </w:p>
    <w:p w14:paraId="3DC99582">
      <w:pPr>
        <w:ind w:firstLine="482"/>
        <w:jc w:val="center"/>
        <w:rPr>
          <w:rFonts w:hint="eastAsia" w:ascii="宋体" w:hAnsi="宋体"/>
          <w:b/>
          <w:szCs w:val="21"/>
        </w:rPr>
      </w:pPr>
      <w:r>
        <w:rPr>
          <w:b/>
          <w:szCs w:val="21"/>
        </w:rPr>
        <w:t>表</w:t>
      </w:r>
      <w:r>
        <w:rPr>
          <w:rFonts w:hint="eastAsia"/>
          <w:b/>
          <w:szCs w:val="21"/>
          <w:lang w:val="en-US" w:eastAsia="zh-CN"/>
        </w:rPr>
        <w:t>2.4-9</w:t>
      </w:r>
      <w:r>
        <w:rPr>
          <w:b/>
          <w:szCs w:val="21"/>
        </w:rPr>
        <w:t>锅炉大气污染物排放标准排放限值</w:t>
      </w:r>
      <w:r>
        <w:rPr>
          <w:rFonts w:hint="eastAsia"/>
          <w:b/>
          <w:szCs w:val="21"/>
        </w:rPr>
        <w:t xml:space="preserve">  单位：</w:t>
      </w:r>
      <w:r>
        <w:rPr>
          <w:b/>
          <w:szCs w:val="24"/>
        </w:rPr>
        <w:t>mg/m</w:t>
      </w:r>
      <w:r>
        <w:rPr>
          <w:b/>
          <w:szCs w:val="24"/>
          <w:vertAlign w:val="superscript"/>
        </w:rPr>
        <w:t>3</w:t>
      </w:r>
    </w:p>
    <w:tbl>
      <w:tblPr>
        <w:tblStyle w:val="32"/>
        <w:tblW w:w="0" w:type="auto"/>
        <w:jc w:val="center"/>
        <w:tblBorders>
          <w:top w:val="single" w:color="000000" w:sz="18" w:space="0"/>
          <w:left w:val="none" w:color="000000" w:sz="0" w:space="0"/>
          <w:bottom w:val="single" w:color="000000" w:sz="18"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1685"/>
        <w:gridCol w:w="925"/>
        <w:gridCol w:w="855"/>
        <w:gridCol w:w="1020"/>
        <w:gridCol w:w="1530"/>
        <w:gridCol w:w="1545"/>
        <w:gridCol w:w="1159"/>
      </w:tblGrid>
      <w:tr w14:paraId="64C001E2">
        <w:tblPrEx>
          <w:tblBorders>
            <w:top w:val="single" w:color="000000" w:sz="18" w:space="0"/>
            <w:left w:val="none" w:color="000000" w:sz="0" w:space="0"/>
            <w:bottom w:val="single" w:color="000000" w:sz="18"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1685" w:type="dxa"/>
            <w:noWrap w:val="0"/>
            <w:vAlign w:val="center"/>
          </w:tcPr>
          <w:p w14:paraId="1F0CE1DA">
            <w:pPr>
              <w:ind w:firstLine="0"/>
              <w:jc w:val="center"/>
              <w:rPr>
                <w:rFonts w:ascii="Times New Roman" w:hAnsi="Times New Roman" w:eastAsia="宋体" w:cs="Times New Roman"/>
                <w:b/>
                <w:bCs/>
                <w:sz w:val="21"/>
                <w:szCs w:val="21"/>
              </w:rPr>
            </w:pPr>
            <w:bookmarkStart w:id="45" w:name="_Hlk1209832"/>
            <w:r>
              <w:rPr>
                <w:rFonts w:ascii="Times New Roman" w:hAnsi="Times New Roman" w:eastAsia="宋体" w:cs="Times New Roman"/>
                <w:b/>
                <w:bCs/>
                <w:sz w:val="21"/>
                <w:szCs w:val="21"/>
              </w:rPr>
              <w:t>标准类别</w:t>
            </w:r>
          </w:p>
        </w:tc>
        <w:tc>
          <w:tcPr>
            <w:tcW w:w="925" w:type="dxa"/>
            <w:noWrap w:val="0"/>
            <w:vAlign w:val="center"/>
          </w:tcPr>
          <w:p w14:paraId="19FBF8B1">
            <w:pPr>
              <w:ind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颗粒物</w:t>
            </w:r>
          </w:p>
        </w:tc>
        <w:tc>
          <w:tcPr>
            <w:tcW w:w="855" w:type="dxa"/>
            <w:noWrap w:val="0"/>
            <w:vAlign w:val="center"/>
          </w:tcPr>
          <w:p w14:paraId="699C66EF">
            <w:pPr>
              <w:ind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NO</w:t>
            </w:r>
            <w:r>
              <w:rPr>
                <w:rFonts w:ascii="Times New Roman" w:hAnsi="Times New Roman" w:eastAsia="宋体" w:cs="Times New Roman"/>
                <w:b/>
                <w:bCs/>
                <w:sz w:val="21"/>
                <w:szCs w:val="21"/>
                <w:vertAlign w:val="subscript"/>
              </w:rPr>
              <w:t>x</w:t>
            </w:r>
          </w:p>
        </w:tc>
        <w:tc>
          <w:tcPr>
            <w:tcW w:w="1020" w:type="dxa"/>
            <w:noWrap w:val="0"/>
            <w:vAlign w:val="center"/>
          </w:tcPr>
          <w:p w14:paraId="1629E885">
            <w:pPr>
              <w:ind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SO</w:t>
            </w:r>
            <w:r>
              <w:rPr>
                <w:rFonts w:ascii="Times New Roman" w:hAnsi="Times New Roman" w:eastAsia="宋体" w:cs="Times New Roman"/>
                <w:b/>
                <w:bCs/>
                <w:sz w:val="21"/>
                <w:szCs w:val="21"/>
                <w:vertAlign w:val="subscript"/>
              </w:rPr>
              <w:t>2</w:t>
            </w:r>
          </w:p>
        </w:tc>
        <w:tc>
          <w:tcPr>
            <w:tcW w:w="1530" w:type="dxa"/>
            <w:noWrap w:val="0"/>
            <w:vAlign w:val="center"/>
          </w:tcPr>
          <w:p w14:paraId="014B3821">
            <w:pPr>
              <w:ind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汞及其化合物</w:t>
            </w:r>
          </w:p>
        </w:tc>
        <w:tc>
          <w:tcPr>
            <w:tcW w:w="1545" w:type="dxa"/>
            <w:noWrap w:val="0"/>
            <w:vAlign w:val="center"/>
          </w:tcPr>
          <w:p w14:paraId="2C0F7125">
            <w:pPr>
              <w:ind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烟气黑度</w:t>
            </w:r>
          </w:p>
          <w:p w14:paraId="4C07F553">
            <w:pPr>
              <w:ind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（林格曼黑度，级）</w:t>
            </w:r>
          </w:p>
        </w:tc>
        <w:tc>
          <w:tcPr>
            <w:tcW w:w="1159" w:type="dxa"/>
            <w:noWrap w:val="0"/>
            <w:vAlign w:val="center"/>
          </w:tcPr>
          <w:p w14:paraId="5D7BDB2E">
            <w:pPr>
              <w:ind w:firstLine="0"/>
              <w:jc w:val="center"/>
              <w:rPr>
                <w:rFonts w:ascii="Times New Roman" w:hAnsi="Times New Roman" w:eastAsia="宋体" w:cs="Times New Roman"/>
                <w:b/>
                <w:bCs/>
                <w:sz w:val="21"/>
                <w:szCs w:val="21"/>
                <w:lang w:val="en-US" w:eastAsia="zh-CN"/>
              </w:rPr>
            </w:pPr>
            <w:r>
              <w:rPr>
                <w:rFonts w:ascii="Times New Roman" w:hAnsi="Times New Roman" w:eastAsia="宋体" w:cs="Times New Roman"/>
                <w:b/>
                <w:bCs/>
                <w:sz w:val="21"/>
                <w:szCs w:val="21"/>
                <w:lang w:val="en-US" w:eastAsia="zh-CN"/>
              </w:rPr>
              <w:t>烟囱最低允许高度m</w:t>
            </w:r>
          </w:p>
        </w:tc>
      </w:tr>
      <w:tr w14:paraId="7899F153">
        <w:tblPrEx>
          <w:tblBorders>
            <w:top w:val="single" w:color="000000" w:sz="18" w:space="0"/>
            <w:left w:val="none" w:color="000000" w:sz="0" w:space="0"/>
            <w:bottom w:val="single" w:color="000000" w:sz="18"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1685" w:type="dxa"/>
            <w:noWrap w:val="0"/>
            <w:vAlign w:val="center"/>
          </w:tcPr>
          <w:p w14:paraId="476B459C">
            <w:pPr>
              <w:ind w:firstLine="0"/>
              <w:jc w:val="center"/>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lang w:val="en-US" w:eastAsia="zh-CN"/>
              </w:rPr>
              <w:t>6t/h锅炉（在用锅炉）</w:t>
            </w:r>
          </w:p>
        </w:tc>
        <w:tc>
          <w:tcPr>
            <w:tcW w:w="925" w:type="dxa"/>
            <w:noWrap w:val="0"/>
            <w:vAlign w:val="center"/>
          </w:tcPr>
          <w:p w14:paraId="49EE729E">
            <w:pPr>
              <w:ind w:firstLine="0"/>
              <w:jc w:val="center"/>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lang w:val="en-US" w:eastAsia="zh-CN"/>
              </w:rPr>
              <w:t>80</w:t>
            </w:r>
          </w:p>
        </w:tc>
        <w:tc>
          <w:tcPr>
            <w:tcW w:w="855" w:type="dxa"/>
            <w:noWrap w:val="0"/>
            <w:vAlign w:val="center"/>
          </w:tcPr>
          <w:p w14:paraId="122C83AD">
            <w:pPr>
              <w:ind w:firstLine="0"/>
              <w:jc w:val="center"/>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lang w:val="en-US" w:eastAsia="zh-CN"/>
              </w:rPr>
              <w:t>400</w:t>
            </w:r>
          </w:p>
        </w:tc>
        <w:tc>
          <w:tcPr>
            <w:tcW w:w="1020" w:type="dxa"/>
            <w:noWrap w:val="0"/>
            <w:vAlign w:val="center"/>
          </w:tcPr>
          <w:p w14:paraId="79EA0270">
            <w:pPr>
              <w:ind w:firstLine="0"/>
              <w:jc w:val="center"/>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lang w:val="en-US" w:eastAsia="zh-CN"/>
              </w:rPr>
              <w:t>400</w:t>
            </w:r>
          </w:p>
        </w:tc>
        <w:tc>
          <w:tcPr>
            <w:tcW w:w="1530" w:type="dxa"/>
            <w:noWrap w:val="0"/>
            <w:vAlign w:val="center"/>
          </w:tcPr>
          <w:p w14:paraId="142EC8E3">
            <w:pPr>
              <w:ind w:firstLine="0"/>
              <w:jc w:val="center"/>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lang w:val="en-US" w:eastAsia="zh-CN"/>
              </w:rPr>
              <w:t>0.05</w:t>
            </w:r>
          </w:p>
        </w:tc>
        <w:tc>
          <w:tcPr>
            <w:tcW w:w="1545" w:type="dxa"/>
            <w:noWrap w:val="0"/>
            <w:vAlign w:val="center"/>
          </w:tcPr>
          <w:p w14:paraId="29622307">
            <w:pPr>
              <w:ind w:firstLine="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≤1.0</w:t>
            </w:r>
          </w:p>
        </w:tc>
        <w:tc>
          <w:tcPr>
            <w:tcW w:w="1159" w:type="dxa"/>
            <w:noWrap w:val="0"/>
            <w:vAlign w:val="center"/>
          </w:tcPr>
          <w:p w14:paraId="444B2A55">
            <w:pPr>
              <w:ind w:firstLine="0"/>
              <w:jc w:val="center"/>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lang w:val="en-US" w:eastAsia="zh-CN"/>
              </w:rPr>
              <w:t>35</w:t>
            </w:r>
          </w:p>
        </w:tc>
      </w:tr>
      <w:tr w14:paraId="22B7DEF3">
        <w:tblPrEx>
          <w:tblBorders>
            <w:top w:val="single" w:color="000000" w:sz="18" w:space="0"/>
            <w:left w:val="none" w:color="000000" w:sz="0" w:space="0"/>
            <w:bottom w:val="single" w:color="000000" w:sz="18"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685" w:type="dxa"/>
            <w:noWrap w:val="0"/>
            <w:vAlign w:val="center"/>
          </w:tcPr>
          <w:p w14:paraId="7C02A040">
            <w:pPr>
              <w:ind w:firstLine="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lang w:val="en-US" w:eastAsia="zh-CN"/>
              </w:rPr>
              <w:t>热载体炉（</w:t>
            </w:r>
            <w:r>
              <w:rPr>
                <w:rFonts w:ascii="Times New Roman" w:hAnsi="Times New Roman" w:eastAsia="宋体" w:cs="Times New Roman"/>
                <w:b w:val="0"/>
                <w:bCs w:val="0"/>
                <w:sz w:val="21"/>
                <w:szCs w:val="21"/>
              </w:rPr>
              <w:t>新建锅炉</w:t>
            </w:r>
            <w:r>
              <w:rPr>
                <w:rFonts w:ascii="Times New Roman" w:hAnsi="Times New Roman" w:eastAsia="宋体" w:cs="Times New Roman"/>
                <w:b w:val="0"/>
                <w:bCs w:val="0"/>
                <w:sz w:val="21"/>
                <w:szCs w:val="21"/>
                <w:lang w:val="en-US" w:eastAsia="zh-CN"/>
              </w:rPr>
              <w:t>）</w:t>
            </w:r>
          </w:p>
        </w:tc>
        <w:tc>
          <w:tcPr>
            <w:tcW w:w="925" w:type="dxa"/>
            <w:noWrap w:val="0"/>
            <w:vAlign w:val="center"/>
          </w:tcPr>
          <w:p w14:paraId="15F88BF8">
            <w:pPr>
              <w:ind w:firstLine="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50</w:t>
            </w:r>
          </w:p>
        </w:tc>
        <w:tc>
          <w:tcPr>
            <w:tcW w:w="855" w:type="dxa"/>
            <w:noWrap w:val="0"/>
            <w:vAlign w:val="center"/>
          </w:tcPr>
          <w:p w14:paraId="0DDCC5D2">
            <w:pPr>
              <w:ind w:firstLine="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 xml:space="preserve">300 </w:t>
            </w:r>
          </w:p>
        </w:tc>
        <w:tc>
          <w:tcPr>
            <w:tcW w:w="1020" w:type="dxa"/>
            <w:noWrap w:val="0"/>
            <w:vAlign w:val="center"/>
          </w:tcPr>
          <w:p w14:paraId="1BEC09FE">
            <w:pPr>
              <w:ind w:firstLine="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300</w:t>
            </w:r>
          </w:p>
        </w:tc>
        <w:tc>
          <w:tcPr>
            <w:tcW w:w="1530" w:type="dxa"/>
            <w:noWrap w:val="0"/>
            <w:vAlign w:val="center"/>
          </w:tcPr>
          <w:p w14:paraId="7B7D5E73">
            <w:pPr>
              <w:ind w:firstLine="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0.05</w:t>
            </w:r>
          </w:p>
        </w:tc>
        <w:tc>
          <w:tcPr>
            <w:tcW w:w="1545" w:type="dxa"/>
            <w:noWrap w:val="0"/>
            <w:vAlign w:val="center"/>
          </w:tcPr>
          <w:p w14:paraId="500B3223">
            <w:pPr>
              <w:ind w:firstLine="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≤1.0</w:t>
            </w:r>
          </w:p>
        </w:tc>
        <w:tc>
          <w:tcPr>
            <w:tcW w:w="1159" w:type="dxa"/>
            <w:noWrap w:val="0"/>
            <w:vAlign w:val="center"/>
          </w:tcPr>
          <w:p w14:paraId="310CB76B">
            <w:pPr>
              <w:ind w:firstLine="0"/>
              <w:jc w:val="center"/>
              <w:rPr>
                <w:rFonts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lang w:val="en-US" w:eastAsia="zh-CN"/>
              </w:rPr>
              <w:t>45</w:t>
            </w:r>
          </w:p>
        </w:tc>
      </w:tr>
      <w:bookmarkEnd w:id="44"/>
    </w:tbl>
    <w:p w14:paraId="35FE0C2E">
      <w:pPr>
        <w:ind w:firstLine="480"/>
        <w:rPr>
          <w:rFonts w:hint="eastAsia"/>
          <w:szCs w:val="22"/>
        </w:rPr>
      </w:pPr>
      <w:r>
        <w:rPr>
          <w:rFonts w:hint="eastAsia" w:ascii="宋体" w:hAnsi="宋体" w:cs="宋体"/>
          <w:szCs w:val="24"/>
          <w:lang w:eastAsia="zh-CN"/>
        </w:rPr>
        <w:t>（</w:t>
      </w:r>
      <w:r>
        <w:rPr>
          <w:rFonts w:hint="eastAsia" w:ascii="宋体" w:hAnsi="宋体" w:cs="宋体"/>
          <w:szCs w:val="24"/>
          <w:lang w:val="en-US" w:eastAsia="zh-CN"/>
        </w:rPr>
        <w:t>4</w:t>
      </w:r>
      <w:r>
        <w:rPr>
          <w:rFonts w:hint="eastAsia" w:ascii="宋体" w:hAnsi="宋体" w:cs="宋体"/>
          <w:szCs w:val="24"/>
          <w:lang w:eastAsia="zh-CN"/>
        </w:rPr>
        <w:t>）</w:t>
      </w:r>
      <w:r>
        <w:rPr>
          <w:rFonts w:hint="eastAsia" w:ascii="宋体" w:hAnsi="宋体"/>
          <w:szCs w:val="24"/>
        </w:rPr>
        <w:t>设置</w:t>
      </w:r>
      <w:r>
        <w:rPr>
          <w:rFonts w:ascii="宋体" w:hAnsi="宋体"/>
          <w:szCs w:val="24"/>
        </w:rPr>
        <w:t>职工食堂执行《饮食业油烟排放标准（试行）》（</w:t>
      </w:r>
      <w:r>
        <w:rPr>
          <w:szCs w:val="24"/>
        </w:rPr>
        <w:t>GB18483-2001</w:t>
      </w:r>
      <w:r>
        <w:rPr>
          <w:rFonts w:ascii="宋体" w:hAnsi="宋体"/>
          <w:szCs w:val="24"/>
        </w:rPr>
        <w:t>），小型</w:t>
      </w:r>
      <w:r>
        <w:rPr>
          <w:rFonts w:hint="eastAsia" w:ascii="宋体" w:hAnsi="宋体"/>
          <w:szCs w:val="24"/>
        </w:rPr>
        <w:t>规模</w:t>
      </w:r>
      <w:r>
        <w:rPr>
          <w:rFonts w:ascii="宋体" w:hAnsi="宋体"/>
          <w:szCs w:val="24"/>
        </w:rPr>
        <w:t>，最高允许排放浓度</w:t>
      </w:r>
      <w:r>
        <w:rPr>
          <w:rFonts w:hint="eastAsia" w:ascii="宋体" w:hAnsi="宋体"/>
          <w:szCs w:val="24"/>
        </w:rPr>
        <w:t>≤</w:t>
      </w:r>
      <w:r>
        <w:rPr>
          <w:szCs w:val="24"/>
        </w:rPr>
        <w:t>2.0mg/Nm</w:t>
      </w:r>
      <w:r>
        <w:rPr>
          <w:szCs w:val="24"/>
          <w:vertAlign w:val="superscript"/>
        </w:rPr>
        <w:t>3</w:t>
      </w:r>
      <w:r>
        <w:rPr>
          <w:rFonts w:ascii="宋体" w:hAnsi="宋体"/>
          <w:szCs w:val="24"/>
        </w:rPr>
        <w:t>，净化设施最低去除率</w:t>
      </w:r>
      <w:r>
        <w:rPr>
          <w:rFonts w:hint="eastAsia" w:ascii="宋体" w:hAnsi="宋体"/>
          <w:szCs w:val="24"/>
        </w:rPr>
        <w:t>≥</w:t>
      </w:r>
      <w:r>
        <w:rPr>
          <w:szCs w:val="24"/>
        </w:rPr>
        <w:t>60%</w:t>
      </w:r>
      <w:r>
        <w:rPr>
          <w:rFonts w:ascii="宋体" w:hAnsi="宋体"/>
          <w:szCs w:val="24"/>
        </w:rPr>
        <w:t>。</w:t>
      </w:r>
    </w:p>
    <w:p w14:paraId="4BA27DD3">
      <w:pPr>
        <w:ind w:firstLine="480"/>
        <w:rPr>
          <w:rFonts w:hint="eastAsia"/>
          <w:szCs w:val="22"/>
        </w:rPr>
      </w:pPr>
      <w:r>
        <w:rPr>
          <w:rFonts w:hint="eastAsia"/>
          <w:szCs w:val="22"/>
        </w:rPr>
        <w:t>（2）废水排放标准</w:t>
      </w:r>
    </w:p>
    <w:p w14:paraId="66A1EAD5">
      <w:pPr>
        <w:spacing w:line="360" w:lineRule="auto"/>
        <w:ind w:firstLine="480"/>
        <w:rPr>
          <w:rFonts w:ascii="Times New Roman" w:hAnsi="Times New Roman" w:eastAsia="宋体" w:cs="Times New Roman"/>
          <w:b/>
          <w:bCs/>
          <w:color w:val="000000"/>
          <w:sz w:val="24"/>
          <w:szCs w:val="24"/>
        </w:rPr>
      </w:pPr>
      <w:r>
        <w:rPr>
          <w:rFonts w:ascii="宋体" w:hAnsi="宋体" w:eastAsia="宋体" w:cs="宋体"/>
          <w:color w:val="000000"/>
          <w:sz w:val="24"/>
          <w:szCs w:val="24"/>
          <w:lang w:val="zh-CN" w:eastAsia="zh-CN" w:bidi="zh-CN"/>
        </w:rPr>
        <w:t>项目</w:t>
      </w:r>
      <w:r>
        <w:rPr>
          <w:rFonts w:ascii="Times New Roman" w:hAnsi="Times New Roman" w:eastAsia="宋体" w:cs="Times New Roman"/>
          <w:color w:val="000000"/>
          <w:sz w:val="24"/>
          <w:szCs w:val="24"/>
        </w:rPr>
        <w:t>营运期</w:t>
      </w:r>
      <w:r>
        <w:rPr>
          <w:rFonts w:hint="eastAsia" w:ascii="宋体" w:hAnsi="宋体" w:eastAsia="宋体" w:cs="宋体"/>
          <w:color w:val="000000"/>
          <w:sz w:val="24"/>
          <w:szCs w:val="24"/>
          <w:lang w:val="en-US" w:eastAsia="zh-CN" w:bidi="zh-CN"/>
        </w:rPr>
        <w:t>无生产废水外排；</w:t>
      </w:r>
      <w:r>
        <w:rPr>
          <w:rFonts w:ascii="Times New Roman" w:hAnsi="Times New Roman" w:eastAsia="宋体" w:cs="Times New Roman"/>
          <w:color w:val="000000"/>
          <w:sz w:val="24"/>
          <w:szCs w:val="24"/>
          <w:lang w:val="en-US" w:eastAsia="zh-CN"/>
        </w:rPr>
        <w:t>生活污水经</w:t>
      </w:r>
      <w:r>
        <w:rPr>
          <w:rFonts w:hint="eastAsia" w:ascii="Times New Roman" w:hAnsi="Times New Roman" w:eastAsia="宋体" w:cs="Times New Roman"/>
          <w:color w:val="000000"/>
          <w:sz w:val="24"/>
          <w:szCs w:val="24"/>
          <w:lang w:val="en-US" w:eastAsia="zh-CN"/>
        </w:rPr>
        <w:t>隔油、</w:t>
      </w:r>
      <w:r>
        <w:rPr>
          <w:rFonts w:ascii="Times New Roman" w:hAnsi="Times New Roman" w:eastAsia="宋体" w:cs="Times New Roman"/>
          <w:color w:val="000000"/>
          <w:sz w:val="24"/>
          <w:szCs w:val="24"/>
          <w:lang w:val="en-US" w:eastAsia="zh-CN"/>
        </w:rPr>
        <w:t>化粪池</w:t>
      </w:r>
      <w:r>
        <w:rPr>
          <w:rFonts w:ascii="Times New Roman" w:hAnsi="Times New Roman" w:eastAsia="宋体" w:cs="Times New Roman"/>
          <w:color w:val="000000"/>
          <w:sz w:val="24"/>
          <w:szCs w:val="24"/>
        </w:rPr>
        <w:t>处理</w:t>
      </w:r>
      <w:r>
        <w:rPr>
          <w:rFonts w:ascii="Times New Roman" w:hAnsi="Times New Roman" w:eastAsia="宋体" w:cs="Times New Roman"/>
          <w:color w:val="000000"/>
          <w:sz w:val="24"/>
          <w:szCs w:val="24"/>
          <w:lang w:val="en-US" w:eastAsia="zh-CN"/>
        </w:rPr>
        <w:t>后</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外排</w:t>
      </w:r>
      <w:r>
        <w:rPr>
          <w:rFonts w:ascii="Times New Roman" w:hAnsi="Times New Roman" w:eastAsia="宋体" w:cs="Times New Roman"/>
          <w:color w:val="000000"/>
          <w:sz w:val="24"/>
          <w:szCs w:val="24"/>
        </w:rPr>
        <w:t>进入</w:t>
      </w:r>
      <w:r>
        <w:rPr>
          <w:rFonts w:hint="eastAsia" w:ascii="Times New Roman" w:hAnsi="Times New Roman" w:eastAsia="宋体" w:cs="Times New Roman"/>
          <w:color w:val="000000"/>
          <w:sz w:val="24"/>
          <w:szCs w:val="24"/>
          <w:lang w:val="en-US" w:eastAsia="zh-CN"/>
        </w:rPr>
        <w:t>市政</w:t>
      </w:r>
      <w:r>
        <w:rPr>
          <w:rFonts w:ascii="Times New Roman" w:hAnsi="Times New Roman" w:eastAsia="宋体" w:cs="Times New Roman"/>
          <w:color w:val="000000"/>
          <w:sz w:val="24"/>
        </w:rPr>
        <w:t>污水管网</w:t>
      </w:r>
      <w:r>
        <w:rPr>
          <w:rFonts w:hint="eastAsia" w:ascii="Times New Roman" w:hAnsi="Times New Roman" w:eastAsia="宋体" w:cs="Times New Roman"/>
          <w:color w:val="000000"/>
          <w:sz w:val="24"/>
          <w:lang w:val="en-US" w:eastAsia="zh-CN"/>
        </w:rPr>
        <w:t>最终</w:t>
      </w:r>
      <w:r>
        <w:rPr>
          <w:rFonts w:ascii="Times New Roman" w:hAnsi="Times New Roman" w:eastAsia="宋体" w:cs="Times New Roman"/>
          <w:color w:val="000000"/>
          <w:sz w:val="24"/>
        </w:rPr>
        <w:t>进入</w:t>
      </w:r>
      <w:r>
        <w:rPr>
          <w:rFonts w:hint="eastAsia" w:ascii="Times New Roman" w:hAnsi="Times New Roman" w:eastAsia="宋体" w:cs="Times New Roman"/>
          <w:color w:val="000000"/>
          <w:sz w:val="24"/>
          <w:lang w:val="en-US" w:eastAsia="zh-CN"/>
        </w:rPr>
        <w:t>芒市</w:t>
      </w:r>
      <w:r>
        <w:rPr>
          <w:rFonts w:ascii="Times New Roman" w:hAnsi="Times New Roman" w:eastAsia="宋体" w:cs="Times New Roman"/>
          <w:color w:val="000000"/>
          <w:sz w:val="24"/>
        </w:rPr>
        <w:t>污水处理厂进行处理</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lang w:val="en-US" w:eastAsia="zh-CN"/>
        </w:rPr>
        <w:t>项目外排废</w:t>
      </w:r>
      <w:r>
        <w:rPr>
          <w:rFonts w:ascii="Times New Roman" w:hAnsi="Times New Roman" w:eastAsia="宋体" w:cs="Times New Roman"/>
          <w:color w:val="000000"/>
          <w:sz w:val="24"/>
        </w:rPr>
        <w:t>水执行《污水综合排放标准》（GB8978-1996）表4三级标准和《污水排入城镇下水道水质标准》（GB/T 31962-2015）表</w:t>
      </w:r>
      <w:r>
        <w:rPr>
          <w:rFonts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B等级标准；具体标准详见表</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10</w:t>
      </w:r>
      <w:r>
        <w:rPr>
          <w:rFonts w:ascii="Times New Roman" w:hAnsi="Times New Roman" w:eastAsia="宋体" w:cs="Times New Roman"/>
          <w:color w:val="000000"/>
          <w:sz w:val="24"/>
        </w:rPr>
        <w:t>。</w:t>
      </w:r>
    </w:p>
    <w:p w14:paraId="730A81DC">
      <w:pPr>
        <w:spacing w:line="360" w:lineRule="auto"/>
        <w:jc w:val="center"/>
        <w:rPr>
          <w:b/>
          <w:sz w:val="24"/>
          <w:szCs w:val="24"/>
        </w:rPr>
      </w:pPr>
      <w:r>
        <w:rPr>
          <w:rFonts w:hint="eastAsia"/>
          <w:b/>
          <w:sz w:val="24"/>
          <w:szCs w:val="24"/>
        </w:rPr>
        <w:t>表</w:t>
      </w:r>
      <w:r>
        <w:rPr>
          <w:rFonts w:hint="eastAsia"/>
          <w:b/>
          <w:sz w:val="24"/>
          <w:szCs w:val="24"/>
          <w:lang w:val="en-US" w:eastAsia="zh-CN"/>
        </w:rPr>
        <w:t>2.</w:t>
      </w:r>
      <w:r>
        <w:rPr>
          <w:b/>
          <w:sz w:val="24"/>
          <w:szCs w:val="24"/>
        </w:rPr>
        <w:t>4-</w:t>
      </w:r>
      <w:r>
        <w:rPr>
          <w:rFonts w:hint="eastAsia"/>
          <w:b/>
          <w:sz w:val="24"/>
          <w:szCs w:val="24"/>
          <w:lang w:val="en-US" w:eastAsia="zh-CN"/>
        </w:rPr>
        <w:t xml:space="preserve">10  </w:t>
      </w:r>
      <w:r>
        <w:rPr>
          <w:rFonts w:hint="eastAsia"/>
          <w:b/>
          <w:sz w:val="24"/>
          <w:szCs w:val="24"/>
        </w:rPr>
        <w:t>项目外排废水执行标准标准限值（</w:t>
      </w:r>
      <w:r>
        <w:rPr>
          <w:b/>
          <w:sz w:val="24"/>
          <w:szCs w:val="24"/>
        </w:rPr>
        <w:t>mg/L</w:t>
      </w:r>
      <w:r>
        <w:rPr>
          <w:rFonts w:hint="eastAsia"/>
          <w:b/>
          <w:sz w:val="24"/>
          <w:szCs w:val="24"/>
        </w:rPr>
        <w:t>）</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0"/>
        <w:gridCol w:w="1439"/>
        <w:gridCol w:w="563"/>
        <w:gridCol w:w="829"/>
        <w:gridCol w:w="701"/>
        <w:gridCol w:w="836"/>
        <w:gridCol w:w="933"/>
        <w:gridCol w:w="647"/>
        <w:gridCol w:w="1154"/>
      </w:tblGrid>
      <w:tr w14:paraId="28781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9" w:type="dxa"/>
            <w:gridSpan w:val="2"/>
            <w:noWrap w:val="0"/>
            <w:vAlign w:val="center"/>
          </w:tcPr>
          <w:p w14:paraId="04C38E80">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标准                  项目</w:t>
            </w:r>
          </w:p>
        </w:tc>
        <w:tc>
          <w:tcPr>
            <w:tcW w:w="563" w:type="dxa"/>
            <w:noWrap w:val="0"/>
            <w:vAlign w:val="center"/>
          </w:tcPr>
          <w:p w14:paraId="25F9EF4E">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pH</w:t>
            </w:r>
          </w:p>
        </w:tc>
        <w:tc>
          <w:tcPr>
            <w:tcW w:w="829" w:type="dxa"/>
            <w:noWrap w:val="0"/>
            <w:vAlign w:val="center"/>
          </w:tcPr>
          <w:p w14:paraId="57C8BB7D">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COD</w:t>
            </w:r>
          </w:p>
        </w:tc>
        <w:tc>
          <w:tcPr>
            <w:tcW w:w="701" w:type="dxa"/>
            <w:noWrap w:val="0"/>
            <w:vAlign w:val="center"/>
          </w:tcPr>
          <w:p w14:paraId="7A8A3F46">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SS</w:t>
            </w:r>
          </w:p>
        </w:tc>
        <w:tc>
          <w:tcPr>
            <w:tcW w:w="836" w:type="dxa"/>
            <w:noWrap w:val="0"/>
            <w:vAlign w:val="center"/>
          </w:tcPr>
          <w:p w14:paraId="31D86F39">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BOD5</w:t>
            </w:r>
          </w:p>
        </w:tc>
        <w:tc>
          <w:tcPr>
            <w:tcW w:w="933" w:type="dxa"/>
            <w:noWrap w:val="0"/>
            <w:vAlign w:val="center"/>
          </w:tcPr>
          <w:p w14:paraId="2703DD5D">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NH3-N</w:t>
            </w:r>
          </w:p>
        </w:tc>
        <w:tc>
          <w:tcPr>
            <w:tcW w:w="647" w:type="dxa"/>
            <w:noWrap w:val="0"/>
            <w:vAlign w:val="center"/>
          </w:tcPr>
          <w:p w14:paraId="0A78A0D0">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TP</w:t>
            </w:r>
          </w:p>
        </w:tc>
        <w:tc>
          <w:tcPr>
            <w:tcW w:w="1154" w:type="dxa"/>
            <w:noWrap w:val="0"/>
            <w:vAlign w:val="center"/>
          </w:tcPr>
          <w:p w14:paraId="21F428B7">
            <w:pPr>
              <w:ind w:firstLine="0"/>
              <w:jc w:val="center"/>
              <w:rPr>
                <w:rFonts w:ascii="Times New Roman" w:hAnsi="Times New Roman" w:cs="Times New Roman"/>
                <w:b/>
                <w:bCs/>
                <w:sz w:val="21"/>
                <w:szCs w:val="21"/>
                <w:lang w:val="en-US" w:eastAsia="zh-CN"/>
              </w:rPr>
            </w:pPr>
            <w:r>
              <w:rPr>
                <w:rFonts w:ascii="Times New Roman" w:hAnsi="Times New Roman" w:cs="Times New Roman"/>
                <w:b/>
                <w:bCs/>
                <w:sz w:val="21"/>
                <w:szCs w:val="21"/>
                <w:lang w:val="en-US" w:eastAsia="zh-CN"/>
              </w:rPr>
              <w:t>动植物油</w:t>
            </w:r>
          </w:p>
        </w:tc>
      </w:tr>
      <w:tr w14:paraId="169BD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0" w:type="dxa"/>
            <w:noWrap w:val="0"/>
            <w:vAlign w:val="center"/>
          </w:tcPr>
          <w:p w14:paraId="31773131">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GB8978-1996</w:t>
            </w:r>
          </w:p>
        </w:tc>
        <w:tc>
          <w:tcPr>
            <w:tcW w:w="1439" w:type="dxa"/>
            <w:noWrap w:val="0"/>
            <w:vAlign w:val="center"/>
          </w:tcPr>
          <w:p w14:paraId="326D2833">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表4三级标准</w:t>
            </w:r>
          </w:p>
        </w:tc>
        <w:tc>
          <w:tcPr>
            <w:tcW w:w="563" w:type="dxa"/>
            <w:noWrap w:val="0"/>
            <w:vAlign w:val="center"/>
          </w:tcPr>
          <w:p w14:paraId="0F54AD81">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6~9</w:t>
            </w:r>
          </w:p>
        </w:tc>
        <w:tc>
          <w:tcPr>
            <w:tcW w:w="829" w:type="dxa"/>
            <w:noWrap w:val="0"/>
            <w:vAlign w:val="center"/>
          </w:tcPr>
          <w:p w14:paraId="3508387B">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≤500</w:t>
            </w:r>
          </w:p>
        </w:tc>
        <w:tc>
          <w:tcPr>
            <w:tcW w:w="701" w:type="dxa"/>
            <w:noWrap w:val="0"/>
            <w:vAlign w:val="center"/>
          </w:tcPr>
          <w:p w14:paraId="5698F7DA">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≤400</w:t>
            </w:r>
          </w:p>
        </w:tc>
        <w:tc>
          <w:tcPr>
            <w:tcW w:w="836" w:type="dxa"/>
            <w:noWrap w:val="0"/>
            <w:vAlign w:val="center"/>
          </w:tcPr>
          <w:p w14:paraId="04182313">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≤300</w:t>
            </w:r>
          </w:p>
        </w:tc>
        <w:tc>
          <w:tcPr>
            <w:tcW w:w="933" w:type="dxa"/>
            <w:noWrap w:val="0"/>
            <w:vAlign w:val="center"/>
          </w:tcPr>
          <w:p w14:paraId="6C822F9A">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w:t>
            </w:r>
          </w:p>
        </w:tc>
        <w:tc>
          <w:tcPr>
            <w:tcW w:w="647" w:type="dxa"/>
            <w:noWrap w:val="0"/>
            <w:vAlign w:val="center"/>
          </w:tcPr>
          <w:p w14:paraId="25DD6C59">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w:t>
            </w:r>
          </w:p>
        </w:tc>
        <w:tc>
          <w:tcPr>
            <w:tcW w:w="1154" w:type="dxa"/>
            <w:noWrap w:val="0"/>
            <w:vAlign w:val="center"/>
          </w:tcPr>
          <w:p w14:paraId="70692B43">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≤100</w:t>
            </w:r>
          </w:p>
        </w:tc>
      </w:tr>
      <w:tr w14:paraId="29AD5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0" w:type="dxa"/>
            <w:noWrap w:val="0"/>
            <w:vAlign w:val="center"/>
          </w:tcPr>
          <w:p w14:paraId="0A88FD55">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GB/T31962-2015</w:t>
            </w:r>
          </w:p>
        </w:tc>
        <w:tc>
          <w:tcPr>
            <w:tcW w:w="1439" w:type="dxa"/>
            <w:noWrap w:val="0"/>
            <w:vAlign w:val="center"/>
          </w:tcPr>
          <w:p w14:paraId="0786CC50">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表1标准B级</w:t>
            </w:r>
          </w:p>
        </w:tc>
        <w:tc>
          <w:tcPr>
            <w:tcW w:w="563" w:type="dxa"/>
            <w:noWrap w:val="0"/>
            <w:vAlign w:val="center"/>
          </w:tcPr>
          <w:p w14:paraId="3ACBFC3D">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w:t>
            </w:r>
          </w:p>
        </w:tc>
        <w:tc>
          <w:tcPr>
            <w:tcW w:w="829" w:type="dxa"/>
            <w:noWrap w:val="0"/>
            <w:vAlign w:val="center"/>
          </w:tcPr>
          <w:p w14:paraId="24F83C2A">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w:t>
            </w:r>
          </w:p>
        </w:tc>
        <w:tc>
          <w:tcPr>
            <w:tcW w:w="701" w:type="dxa"/>
            <w:noWrap w:val="0"/>
            <w:vAlign w:val="center"/>
          </w:tcPr>
          <w:p w14:paraId="4D6E9925">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w:t>
            </w:r>
          </w:p>
        </w:tc>
        <w:tc>
          <w:tcPr>
            <w:tcW w:w="836" w:type="dxa"/>
            <w:noWrap w:val="0"/>
            <w:vAlign w:val="center"/>
          </w:tcPr>
          <w:p w14:paraId="1FAD740B">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w:t>
            </w:r>
          </w:p>
        </w:tc>
        <w:tc>
          <w:tcPr>
            <w:tcW w:w="933" w:type="dxa"/>
            <w:noWrap w:val="0"/>
            <w:vAlign w:val="center"/>
          </w:tcPr>
          <w:p w14:paraId="3DFAAF22">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≤45</w:t>
            </w:r>
          </w:p>
        </w:tc>
        <w:tc>
          <w:tcPr>
            <w:tcW w:w="647" w:type="dxa"/>
            <w:noWrap w:val="0"/>
            <w:vAlign w:val="center"/>
          </w:tcPr>
          <w:p w14:paraId="552BFF26">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≤8</w:t>
            </w:r>
          </w:p>
        </w:tc>
        <w:tc>
          <w:tcPr>
            <w:tcW w:w="1154" w:type="dxa"/>
            <w:noWrap w:val="0"/>
            <w:vAlign w:val="center"/>
          </w:tcPr>
          <w:p w14:paraId="611453D8">
            <w:pPr>
              <w:ind w:firstLine="0"/>
              <w:jc w:val="center"/>
              <w:rPr>
                <w:rFonts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zh-CN"/>
              </w:rPr>
              <w:t>—</w:t>
            </w:r>
          </w:p>
        </w:tc>
      </w:tr>
    </w:tbl>
    <w:p w14:paraId="3AB83980">
      <w:pPr>
        <w:ind w:firstLine="480"/>
        <w:rPr>
          <w:rFonts w:hint="eastAsia"/>
        </w:rPr>
      </w:pPr>
      <w:r>
        <w:rPr>
          <w:rFonts w:hint="eastAsia"/>
        </w:rPr>
        <w:t>（3）噪声排放标准</w:t>
      </w:r>
    </w:p>
    <w:p w14:paraId="06DFDD05">
      <w:pPr>
        <w:ind w:firstLine="480"/>
        <w:rPr>
          <w:rFonts w:ascii="Times New Roman" w:hAnsi="Times New Roman" w:eastAsia="宋体" w:cs="Times New Roman"/>
          <w:lang w:val="zh-CN"/>
        </w:rPr>
      </w:pPr>
      <w:r>
        <w:rPr>
          <w:rFonts w:ascii="Times New Roman" w:hAnsi="Times New Roman" w:eastAsia="宋体" w:cs="Times New Roman"/>
          <w:lang w:val="zh-CN"/>
        </w:rPr>
        <w:t>①施工期噪声执行《建筑施工场界环境噪声排放标准》（GB12523-2011），标准限值见表</w:t>
      </w:r>
      <w:r>
        <w:rPr>
          <w:rFonts w:ascii="Times New Roman" w:hAnsi="Times New Roman" w:eastAsia="宋体" w:cs="Times New Roman"/>
        </w:rPr>
        <w:t>2</w:t>
      </w:r>
      <w:r>
        <w:rPr>
          <w:rFonts w:ascii="Times New Roman" w:hAnsi="Times New Roman" w:eastAsia="宋体" w:cs="Times New Roman"/>
          <w:lang w:val="en-US" w:eastAsia="zh-CN"/>
        </w:rPr>
        <w:t>.4</w:t>
      </w:r>
      <w:r>
        <w:rPr>
          <w:rFonts w:ascii="Times New Roman" w:hAnsi="Times New Roman" w:eastAsia="宋体" w:cs="Times New Roman"/>
        </w:rPr>
        <w:t>-1</w:t>
      </w:r>
      <w:r>
        <w:rPr>
          <w:rFonts w:ascii="Times New Roman" w:hAnsi="Times New Roman" w:eastAsia="宋体" w:cs="Times New Roman"/>
          <w:lang w:val="en-US" w:eastAsia="zh-CN"/>
        </w:rPr>
        <w:t>1</w:t>
      </w:r>
      <w:r>
        <w:rPr>
          <w:rFonts w:ascii="Times New Roman" w:hAnsi="Times New Roman" w:eastAsia="宋体" w:cs="Times New Roman"/>
        </w:rPr>
        <w:t>。</w:t>
      </w:r>
    </w:p>
    <w:p w14:paraId="14DE909E">
      <w:pPr>
        <w:spacing w:line="500" w:lineRule="exact"/>
        <w:ind w:firstLine="482"/>
        <w:jc w:val="center"/>
        <w:rPr>
          <w:b/>
          <w:bCs/>
          <w:szCs w:val="24"/>
        </w:rPr>
      </w:pPr>
      <w:r>
        <w:rPr>
          <w:b/>
          <w:bCs/>
          <w:szCs w:val="24"/>
        </w:rPr>
        <w:t>表2</w:t>
      </w:r>
      <w:r>
        <w:rPr>
          <w:rFonts w:hint="eastAsia" w:eastAsia="宋体"/>
          <w:b/>
          <w:bCs/>
          <w:szCs w:val="24"/>
          <w:lang w:val="en-US" w:eastAsia="zh-CN"/>
        </w:rPr>
        <w:t>.4</w:t>
      </w:r>
      <w:r>
        <w:rPr>
          <w:rFonts w:hint="eastAsia"/>
          <w:b/>
          <w:bCs/>
          <w:szCs w:val="24"/>
        </w:rPr>
        <w:t>-1</w:t>
      </w:r>
      <w:r>
        <w:rPr>
          <w:rFonts w:hint="eastAsia"/>
          <w:b/>
          <w:bCs/>
          <w:szCs w:val="24"/>
          <w:lang w:val="en-US" w:eastAsia="zh-CN"/>
        </w:rPr>
        <w:t>1</w:t>
      </w:r>
      <w:r>
        <w:rPr>
          <w:b/>
          <w:bCs/>
          <w:szCs w:val="24"/>
        </w:rPr>
        <w:t xml:space="preserve">   建筑施工场界环境噪声排放限值   单位：dB（A）</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8"/>
        <w:gridCol w:w="4097"/>
      </w:tblGrid>
      <w:tr w14:paraId="5FFDB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jc w:val="center"/>
        </w:trPr>
        <w:tc>
          <w:tcPr>
            <w:tcW w:w="4408" w:type="dxa"/>
            <w:noWrap w:val="0"/>
            <w:vAlign w:val="center"/>
          </w:tcPr>
          <w:p w14:paraId="3F0ED94E">
            <w:pPr>
              <w:spacing w:line="500" w:lineRule="exact"/>
              <w:ind w:firstLine="422"/>
              <w:jc w:val="center"/>
              <w:rPr>
                <w:b/>
                <w:bCs/>
                <w:sz w:val="21"/>
                <w:szCs w:val="21"/>
              </w:rPr>
            </w:pPr>
            <w:r>
              <w:rPr>
                <w:rFonts w:hint="eastAsia"/>
                <w:b/>
                <w:bCs/>
                <w:sz w:val="21"/>
                <w:szCs w:val="21"/>
              </w:rPr>
              <w:t>昼间</w:t>
            </w:r>
          </w:p>
        </w:tc>
        <w:tc>
          <w:tcPr>
            <w:tcW w:w="4097" w:type="dxa"/>
            <w:noWrap w:val="0"/>
            <w:vAlign w:val="center"/>
          </w:tcPr>
          <w:p w14:paraId="1AFAEE7B">
            <w:pPr>
              <w:spacing w:line="500" w:lineRule="exact"/>
              <w:ind w:firstLine="422"/>
              <w:jc w:val="center"/>
              <w:rPr>
                <w:b/>
                <w:bCs/>
                <w:sz w:val="21"/>
                <w:szCs w:val="21"/>
              </w:rPr>
            </w:pPr>
            <w:r>
              <w:rPr>
                <w:rFonts w:hint="eastAsia"/>
                <w:b/>
                <w:bCs/>
                <w:sz w:val="21"/>
                <w:szCs w:val="21"/>
              </w:rPr>
              <w:t>夜间</w:t>
            </w:r>
          </w:p>
        </w:tc>
      </w:tr>
      <w:tr w14:paraId="635FE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4408" w:type="dxa"/>
            <w:noWrap w:val="0"/>
            <w:vAlign w:val="center"/>
          </w:tcPr>
          <w:p w14:paraId="7FBBE921">
            <w:pPr>
              <w:spacing w:line="500" w:lineRule="exact"/>
              <w:ind w:firstLine="420"/>
              <w:jc w:val="center"/>
              <w:rPr>
                <w:sz w:val="21"/>
                <w:szCs w:val="21"/>
              </w:rPr>
            </w:pPr>
            <w:r>
              <w:rPr>
                <w:rFonts w:hint="eastAsia"/>
                <w:sz w:val="21"/>
                <w:szCs w:val="21"/>
              </w:rPr>
              <w:t>70</w:t>
            </w:r>
          </w:p>
        </w:tc>
        <w:tc>
          <w:tcPr>
            <w:tcW w:w="4097" w:type="dxa"/>
            <w:noWrap w:val="0"/>
            <w:vAlign w:val="center"/>
          </w:tcPr>
          <w:p w14:paraId="305767CE">
            <w:pPr>
              <w:spacing w:line="500" w:lineRule="exact"/>
              <w:ind w:firstLine="420"/>
              <w:jc w:val="center"/>
              <w:rPr>
                <w:sz w:val="21"/>
                <w:szCs w:val="21"/>
              </w:rPr>
            </w:pPr>
            <w:r>
              <w:rPr>
                <w:rFonts w:hint="eastAsia"/>
                <w:sz w:val="21"/>
                <w:szCs w:val="21"/>
              </w:rPr>
              <w:t>55</w:t>
            </w:r>
          </w:p>
        </w:tc>
      </w:tr>
    </w:tbl>
    <w:p w14:paraId="71E30FD3">
      <w:pPr>
        <w:ind w:firstLine="480"/>
        <w:rPr>
          <w:rFonts w:ascii="Times New Roman" w:hAnsi="Times New Roman" w:eastAsia="宋体" w:cs="Times New Roman"/>
          <w:szCs w:val="22"/>
          <w:lang w:val="zh-CN"/>
        </w:rPr>
      </w:pPr>
      <w:r>
        <w:rPr>
          <w:rFonts w:ascii="Times New Roman" w:hAnsi="Times New Roman" w:eastAsia="宋体" w:cs="Times New Roman"/>
          <w:szCs w:val="22"/>
          <w:lang w:val="zh-CN"/>
        </w:rPr>
        <w:t>②运营期厂界噪声执行GB12348-2008《工业企业厂界环境噪声排放标准》2类标准。标准值如表</w:t>
      </w:r>
      <w:r>
        <w:rPr>
          <w:rFonts w:ascii="Times New Roman" w:hAnsi="Times New Roman" w:eastAsia="宋体" w:cs="Times New Roman"/>
          <w:szCs w:val="22"/>
        </w:rPr>
        <w:t>2</w:t>
      </w:r>
      <w:r>
        <w:rPr>
          <w:rFonts w:ascii="Times New Roman" w:hAnsi="Times New Roman" w:eastAsia="宋体" w:cs="Times New Roman"/>
          <w:szCs w:val="22"/>
          <w:lang w:val="en-US" w:eastAsia="zh-CN"/>
        </w:rPr>
        <w:t>.4</w:t>
      </w:r>
      <w:r>
        <w:rPr>
          <w:rFonts w:ascii="Times New Roman" w:hAnsi="Times New Roman" w:eastAsia="宋体" w:cs="Times New Roman"/>
          <w:szCs w:val="22"/>
        </w:rPr>
        <w:t>-1</w:t>
      </w:r>
      <w:r>
        <w:rPr>
          <w:rFonts w:ascii="Times New Roman" w:hAnsi="Times New Roman" w:eastAsia="宋体" w:cs="Times New Roman"/>
          <w:szCs w:val="22"/>
          <w:lang w:val="en-US" w:eastAsia="zh-CN"/>
        </w:rPr>
        <w:t>2</w:t>
      </w:r>
      <w:r>
        <w:rPr>
          <w:rFonts w:ascii="Times New Roman" w:hAnsi="Times New Roman" w:eastAsia="宋体" w:cs="Times New Roman"/>
          <w:szCs w:val="22"/>
          <w:lang w:val="zh-CN"/>
        </w:rPr>
        <w:t>。</w:t>
      </w:r>
    </w:p>
    <w:p w14:paraId="63FB5F31">
      <w:pPr>
        <w:ind w:firstLine="482"/>
        <w:jc w:val="center"/>
        <w:rPr>
          <w:b/>
          <w:szCs w:val="24"/>
        </w:rPr>
      </w:pPr>
      <w:r>
        <w:rPr>
          <w:b/>
          <w:szCs w:val="24"/>
        </w:rPr>
        <w:t xml:space="preserve">     </w:t>
      </w:r>
      <w:r>
        <w:rPr>
          <w:b/>
          <w:szCs w:val="21"/>
        </w:rPr>
        <w:t xml:space="preserve"> 表</w:t>
      </w:r>
      <w:r>
        <w:rPr>
          <w:rFonts w:hint="eastAsia"/>
          <w:b/>
          <w:szCs w:val="21"/>
        </w:rPr>
        <w:t>2</w:t>
      </w:r>
      <w:r>
        <w:rPr>
          <w:rFonts w:hint="eastAsia" w:eastAsia="宋体"/>
          <w:b/>
          <w:szCs w:val="21"/>
          <w:lang w:val="en-US" w:eastAsia="zh-CN"/>
        </w:rPr>
        <w:t>.4</w:t>
      </w:r>
      <w:r>
        <w:rPr>
          <w:rFonts w:hint="eastAsia"/>
          <w:b/>
          <w:szCs w:val="21"/>
        </w:rPr>
        <w:t>-1</w:t>
      </w:r>
      <w:r>
        <w:rPr>
          <w:rFonts w:hint="eastAsia"/>
          <w:b/>
          <w:szCs w:val="21"/>
          <w:lang w:val="en-US" w:eastAsia="zh-CN"/>
        </w:rPr>
        <w:t>2</w:t>
      </w:r>
      <w:r>
        <w:rPr>
          <w:rFonts w:hint="eastAsia"/>
          <w:b/>
          <w:szCs w:val="21"/>
        </w:rPr>
        <w:t xml:space="preserve"> </w:t>
      </w:r>
      <w:r>
        <w:rPr>
          <w:b/>
          <w:szCs w:val="21"/>
        </w:rPr>
        <w:t xml:space="preserve"> 工业企业厂界环境噪声排放标准</w:t>
      </w:r>
      <w:r>
        <w:rPr>
          <w:rFonts w:hint="eastAsia"/>
          <w:b/>
          <w:szCs w:val="21"/>
        </w:rPr>
        <w:t xml:space="preserve">  </w:t>
      </w:r>
      <w:r>
        <w:rPr>
          <w:b/>
          <w:bCs/>
          <w:szCs w:val="24"/>
        </w:rPr>
        <w:t>单位：dB（A）</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1721"/>
        <w:gridCol w:w="3373"/>
        <w:gridCol w:w="3254"/>
      </w:tblGrid>
      <w:tr w14:paraId="27D3328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1721" w:type="dxa"/>
            <w:noWrap w:val="0"/>
            <w:vAlign w:val="center"/>
          </w:tcPr>
          <w:p w14:paraId="0C045AC2">
            <w:pPr>
              <w:ind w:right="-120" w:firstLine="0"/>
              <w:jc w:val="center"/>
              <w:rPr>
                <w:b/>
                <w:sz w:val="21"/>
                <w:szCs w:val="21"/>
              </w:rPr>
            </w:pPr>
            <w:r>
              <w:rPr>
                <w:b/>
                <w:sz w:val="21"/>
                <w:szCs w:val="21"/>
              </w:rPr>
              <w:t>类别</w:t>
            </w:r>
          </w:p>
        </w:tc>
        <w:tc>
          <w:tcPr>
            <w:tcW w:w="3373" w:type="dxa"/>
            <w:noWrap w:val="0"/>
            <w:vAlign w:val="center"/>
          </w:tcPr>
          <w:p w14:paraId="5C03D7AA">
            <w:pPr>
              <w:ind w:right="-120" w:firstLine="0"/>
              <w:jc w:val="center"/>
              <w:rPr>
                <w:b/>
                <w:sz w:val="21"/>
                <w:szCs w:val="21"/>
              </w:rPr>
            </w:pPr>
            <w:r>
              <w:rPr>
                <w:b/>
                <w:sz w:val="21"/>
                <w:szCs w:val="21"/>
              </w:rPr>
              <w:t>昼间</w:t>
            </w:r>
          </w:p>
        </w:tc>
        <w:tc>
          <w:tcPr>
            <w:tcW w:w="3254" w:type="dxa"/>
            <w:noWrap w:val="0"/>
            <w:vAlign w:val="center"/>
          </w:tcPr>
          <w:p w14:paraId="3FCF59CB">
            <w:pPr>
              <w:ind w:right="-120" w:firstLine="0"/>
              <w:jc w:val="center"/>
              <w:rPr>
                <w:b/>
                <w:sz w:val="21"/>
                <w:szCs w:val="21"/>
              </w:rPr>
            </w:pPr>
            <w:r>
              <w:rPr>
                <w:b/>
                <w:sz w:val="21"/>
                <w:szCs w:val="21"/>
              </w:rPr>
              <w:t>夜间</w:t>
            </w:r>
          </w:p>
        </w:tc>
      </w:tr>
      <w:tr w14:paraId="4279ECA1">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1721" w:type="dxa"/>
            <w:noWrap w:val="0"/>
            <w:vAlign w:val="center"/>
          </w:tcPr>
          <w:p w14:paraId="139BE5CD">
            <w:pPr>
              <w:ind w:right="-120" w:firstLine="0"/>
              <w:jc w:val="center"/>
              <w:rPr>
                <w:sz w:val="21"/>
                <w:szCs w:val="21"/>
              </w:rPr>
            </w:pPr>
            <w:r>
              <w:rPr>
                <w:sz w:val="21"/>
                <w:szCs w:val="21"/>
              </w:rPr>
              <w:t>2类</w:t>
            </w:r>
          </w:p>
        </w:tc>
        <w:tc>
          <w:tcPr>
            <w:tcW w:w="3373" w:type="dxa"/>
            <w:noWrap w:val="0"/>
            <w:vAlign w:val="center"/>
          </w:tcPr>
          <w:p w14:paraId="6E23312E">
            <w:pPr>
              <w:ind w:right="-120" w:firstLine="0"/>
              <w:jc w:val="center"/>
              <w:rPr>
                <w:sz w:val="21"/>
                <w:szCs w:val="21"/>
              </w:rPr>
            </w:pPr>
            <w:r>
              <w:rPr>
                <w:sz w:val="21"/>
                <w:szCs w:val="21"/>
              </w:rPr>
              <w:t>≤60</w:t>
            </w:r>
          </w:p>
        </w:tc>
        <w:tc>
          <w:tcPr>
            <w:tcW w:w="3254" w:type="dxa"/>
            <w:noWrap w:val="0"/>
            <w:vAlign w:val="center"/>
          </w:tcPr>
          <w:p w14:paraId="3B1E1C82">
            <w:pPr>
              <w:ind w:right="-120" w:firstLine="0"/>
              <w:jc w:val="center"/>
              <w:rPr>
                <w:sz w:val="21"/>
                <w:szCs w:val="21"/>
              </w:rPr>
            </w:pPr>
            <w:r>
              <w:rPr>
                <w:sz w:val="21"/>
                <w:szCs w:val="21"/>
              </w:rPr>
              <w:t>≤50</w:t>
            </w:r>
          </w:p>
        </w:tc>
      </w:tr>
    </w:tbl>
    <w:p w14:paraId="6DEDB80C">
      <w:pPr>
        <w:ind w:firstLine="480"/>
        <w:rPr>
          <w:rFonts w:hint="eastAsia"/>
          <w:lang w:val="zh-CN"/>
        </w:rPr>
      </w:pPr>
      <w:r>
        <w:rPr>
          <w:rFonts w:hint="eastAsia"/>
          <w:lang w:val="zh-CN"/>
        </w:rPr>
        <w:t>（</w:t>
      </w:r>
      <w:r>
        <w:rPr>
          <w:rFonts w:hint="eastAsia"/>
        </w:rPr>
        <w:t>4</w:t>
      </w:r>
      <w:r>
        <w:rPr>
          <w:rFonts w:hint="eastAsia"/>
          <w:lang w:val="zh-CN"/>
        </w:rPr>
        <w:t>）固体废物排放标准</w:t>
      </w:r>
    </w:p>
    <w:p w14:paraId="5E60DDD5">
      <w:pPr>
        <w:ind w:firstLine="480"/>
        <w:rPr>
          <w:szCs w:val="22"/>
        </w:rPr>
      </w:pPr>
      <w:r>
        <w:rPr>
          <w:szCs w:val="22"/>
        </w:rPr>
        <w:t>①一般固体废物处置执行《一般工业固体废物</w:t>
      </w:r>
      <w:r>
        <w:rPr>
          <w:rFonts w:hint="eastAsia"/>
          <w:szCs w:val="22"/>
        </w:rPr>
        <w:t>贮</w:t>
      </w:r>
      <w:r>
        <w:rPr>
          <w:szCs w:val="22"/>
        </w:rPr>
        <w:t>存、处置场污染控制标准》（GB18599-2001）及2013年修改单要求</w:t>
      </w:r>
      <w:r>
        <w:rPr>
          <w:rFonts w:hint="eastAsia"/>
          <w:szCs w:val="22"/>
        </w:rPr>
        <w:t>。</w:t>
      </w:r>
    </w:p>
    <w:p w14:paraId="253F1E07">
      <w:pPr>
        <w:ind w:firstLine="480"/>
        <w:rPr>
          <w:rFonts w:hint="eastAsia"/>
          <w:szCs w:val="22"/>
        </w:rPr>
      </w:pPr>
      <w:r>
        <w:rPr>
          <w:szCs w:val="22"/>
        </w:rPr>
        <w:t>②危险废物贮存执行《危险废物贮存污染控制标准》（GB18597-2001）及其2013年修改单要求</w:t>
      </w:r>
      <w:r>
        <w:rPr>
          <w:rFonts w:hint="eastAsia"/>
          <w:szCs w:val="22"/>
        </w:rPr>
        <w:t>。</w:t>
      </w:r>
    </w:p>
    <w:p w14:paraId="68677EA8">
      <w:pPr>
        <w:pStyle w:val="187"/>
        <w:rPr>
          <w:rFonts w:ascii="Times New Roman" w:hAnsi="Times New Roman"/>
        </w:rPr>
      </w:pPr>
      <w:bookmarkStart w:id="46" w:name="_Toc6066"/>
      <w:r>
        <w:rPr>
          <w:rFonts w:hint="eastAsia" w:ascii="Times New Roman" w:hAnsi="Times New Roman"/>
        </w:rPr>
        <w:t>2.</w:t>
      </w:r>
      <w:r>
        <w:rPr>
          <w:rFonts w:hint="eastAsia" w:ascii="Times New Roman" w:hAnsi="Times New Roman"/>
          <w:lang w:val="en-US" w:eastAsia="zh-CN"/>
        </w:rPr>
        <w:t>5</w:t>
      </w:r>
      <w:r>
        <w:rPr>
          <w:rFonts w:ascii="Times New Roman" w:hAnsi="Times New Roman"/>
        </w:rPr>
        <w:t xml:space="preserve"> </w:t>
      </w:r>
      <w:r>
        <w:rPr>
          <w:rFonts w:hint="eastAsia" w:ascii="Times New Roman" w:hAnsi="Times New Roman"/>
        </w:rPr>
        <w:t>评价工作等级和评价范围</w:t>
      </w:r>
      <w:bookmarkEnd w:id="45"/>
    </w:p>
    <w:p w14:paraId="38D6C87A">
      <w:pPr>
        <w:pStyle w:val="188"/>
        <w:rPr>
          <w:rFonts w:hint="eastAsia"/>
        </w:rPr>
      </w:pPr>
      <w:r>
        <w:rPr>
          <w:rFonts w:hint="eastAsia"/>
        </w:rPr>
        <w:t>2.</w:t>
      </w:r>
      <w:r>
        <w:rPr>
          <w:rFonts w:hint="eastAsia"/>
          <w:lang w:val="en-US" w:eastAsia="zh-CN"/>
        </w:rPr>
        <w:t>5</w:t>
      </w:r>
      <w:r>
        <w:rPr>
          <w:rFonts w:hint="eastAsia"/>
        </w:rPr>
        <w:t>.1 评价工作等级</w:t>
      </w:r>
    </w:p>
    <w:p w14:paraId="11257780">
      <w:pPr>
        <w:pStyle w:val="282"/>
        <w:rPr>
          <w:rFonts w:hint="eastAsia"/>
        </w:rPr>
      </w:pPr>
      <w:r>
        <w:rPr>
          <w:rFonts w:hint="eastAsia"/>
        </w:rPr>
        <w:t>2.</w:t>
      </w:r>
      <w:r>
        <w:rPr>
          <w:rFonts w:hint="eastAsia"/>
          <w:lang w:val="en-US" w:eastAsia="zh-CN"/>
        </w:rPr>
        <w:t>5</w:t>
      </w:r>
      <w:r>
        <w:rPr>
          <w:rFonts w:hint="eastAsia"/>
        </w:rPr>
        <w:t>.1.1 生态环境评价</w:t>
      </w:r>
    </w:p>
    <w:p w14:paraId="1C6196EC">
      <w:pPr>
        <w:ind w:firstLine="480"/>
      </w:pPr>
      <w:r>
        <w:rPr>
          <w:rFonts w:hint="eastAsia"/>
          <w:lang w:val="zh-CN"/>
        </w:rPr>
        <w:t>项目评价范围内生物量及物种的多样性一般，区域内</w:t>
      </w:r>
      <w:r>
        <w:rPr>
          <w:rFonts w:hint="eastAsia"/>
        </w:rPr>
        <w:t>无</w:t>
      </w:r>
      <w:r>
        <w:rPr>
          <w:rFonts w:hint="eastAsia"/>
          <w:lang w:val="zh-CN"/>
        </w:rPr>
        <w:t>国家珍稀濒危物种，</w:t>
      </w:r>
      <w:r>
        <w:rPr>
          <w:rFonts w:hint="eastAsia"/>
        </w:rPr>
        <w:t>也无自然保护区及风景名胜区等敏感区，</w:t>
      </w:r>
      <w:r>
        <w:rPr>
          <w:rFonts w:hint="eastAsia" w:eastAsia="宋体"/>
          <w:lang w:val="en-US" w:eastAsia="zh-CN"/>
        </w:rPr>
        <w:t>项目用地属于工业用地，</w:t>
      </w:r>
      <w:r>
        <w:rPr>
          <w:rFonts w:hint="eastAsia"/>
          <w:lang w:val="zh-CN"/>
        </w:rPr>
        <w:t>属一般区域。</w:t>
      </w:r>
      <w:r>
        <w:rPr>
          <w:bCs/>
          <w:spacing w:val="4"/>
          <w:szCs w:val="24"/>
        </w:rPr>
        <w:t>项目</w:t>
      </w:r>
      <w:r>
        <w:rPr>
          <w:rFonts w:hint="eastAsia" w:eastAsia="宋体"/>
          <w:bCs/>
          <w:spacing w:val="4"/>
          <w:szCs w:val="24"/>
          <w:lang w:val="en-US" w:eastAsia="zh-CN"/>
        </w:rPr>
        <w:t>扩建完成后</w:t>
      </w:r>
      <w:r>
        <w:rPr>
          <w:bCs/>
          <w:spacing w:val="4"/>
          <w:szCs w:val="24"/>
        </w:rPr>
        <w:t>总用地面积77042.6m</w:t>
      </w:r>
      <w:r>
        <w:rPr>
          <w:bCs/>
          <w:spacing w:val="4"/>
          <w:szCs w:val="24"/>
          <w:vertAlign w:val="superscript"/>
        </w:rPr>
        <w:t>2</w:t>
      </w:r>
      <w:r>
        <w:rPr>
          <w:rFonts w:hint="eastAsia"/>
        </w:rPr>
        <w:t>，即小于</w:t>
      </w:r>
      <w:r>
        <w:t>2km</w:t>
      </w:r>
      <w:r>
        <w:rPr>
          <w:vertAlign w:val="superscript"/>
        </w:rPr>
        <w:t>2</w:t>
      </w:r>
      <w:r>
        <w:t>。根据《环境影响评价技术导则</w:t>
      </w:r>
      <w:r>
        <w:rPr>
          <w:rFonts w:hint="eastAsia"/>
        </w:rPr>
        <w:t xml:space="preserve"> </w:t>
      </w:r>
      <w:r>
        <w:t>生态</w:t>
      </w:r>
      <w:r>
        <w:rPr>
          <w:rFonts w:hint="eastAsia"/>
        </w:rPr>
        <w:t>影响</w:t>
      </w:r>
      <w:r>
        <w:t>》</w:t>
      </w:r>
      <w:r>
        <w:rPr>
          <w:rFonts w:hint="eastAsia" w:eastAsia="宋体"/>
          <w:lang w:eastAsia="zh-CN"/>
        </w:rPr>
        <w:t>（</w:t>
      </w:r>
      <w:r>
        <w:t>HJ19-</w:t>
      </w:r>
      <w:r>
        <w:rPr>
          <w:rFonts w:hint="eastAsia"/>
        </w:rPr>
        <w:t>2011</w:t>
      </w:r>
      <w:r>
        <w:rPr>
          <w:rFonts w:hint="eastAsia" w:eastAsia="宋体"/>
          <w:lang w:eastAsia="zh-CN"/>
        </w:rPr>
        <w:t>）</w:t>
      </w:r>
      <w:r>
        <w:rPr>
          <w:rFonts w:hint="eastAsia"/>
        </w:rPr>
        <w:t>中的划分原则，见</w:t>
      </w:r>
      <w:r>
        <w:t>表</w:t>
      </w:r>
      <w:r>
        <w:rPr>
          <w:rFonts w:hint="eastAsia"/>
        </w:rPr>
        <w:t>2-12，确定本项目</w:t>
      </w:r>
      <w:r>
        <w:t>生态环境影响评价等级为三级。</w:t>
      </w:r>
    </w:p>
    <w:p w14:paraId="4EF318B7">
      <w:pPr>
        <w:pStyle w:val="336"/>
        <w:ind w:firstLine="482"/>
        <w:rPr>
          <w:rFonts w:hint="eastAsia"/>
          <w:color w:val="000000"/>
        </w:rPr>
      </w:pPr>
      <w:r>
        <w:rPr>
          <w:rFonts w:hint="eastAsia"/>
          <w:color w:val="000000"/>
        </w:rPr>
        <w:t xml:space="preserve">              </w:t>
      </w:r>
      <w:r>
        <w:rPr>
          <w:color w:val="000000"/>
        </w:rPr>
        <w:t>表</w:t>
      </w:r>
      <w:r>
        <w:rPr>
          <w:rFonts w:hint="eastAsia"/>
          <w:color w:val="000000"/>
        </w:rPr>
        <w:t>2</w:t>
      </w:r>
      <w:r>
        <w:rPr>
          <w:rFonts w:hint="eastAsia" w:eastAsia="宋体"/>
          <w:color w:val="000000"/>
          <w:lang w:val="en-US" w:eastAsia="zh-CN"/>
        </w:rPr>
        <w:t>.5</w:t>
      </w:r>
      <w:r>
        <w:rPr>
          <w:rFonts w:hint="eastAsia"/>
          <w:color w:val="000000"/>
        </w:rPr>
        <w:t>-1 生态环境影响</w:t>
      </w:r>
      <w:r>
        <w:rPr>
          <w:color w:val="000000"/>
        </w:rPr>
        <w:t>评价工作</w:t>
      </w:r>
      <w:r>
        <w:rPr>
          <w:rFonts w:hint="eastAsia"/>
          <w:color w:val="000000"/>
        </w:rPr>
        <w:t>等级划分原则</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03"/>
        <w:gridCol w:w="2184"/>
        <w:gridCol w:w="2593"/>
        <w:gridCol w:w="1821"/>
      </w:tblGrid>
      <w:tr w14:paraId="1663D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8" w:hRule="atLeast"/>
          <w:jc w:val="center"/>
        </w:trPr>
        <w:tc>
          <w:tcPr>
            <w:tcW w:w="1803" w:type="dxa"/>
            <w:vMerge w:val="restart"/>
            <w:noWrap w:val="0"/>
            <w:tcMar>
              <w:top w:w="0" w:type="dxa"/>
              <w:left w:w="108" w:type="dxa"/>
              <w:bottom w:w="0" w:type="dxa"/>
              <w:right w:w="108" w:type="dxa"/>
            </w:tcMar>
            <w:vAlign w:val="center"/>
          </w:tcPr>
          <w:p w14:paraId="7E2D8CEA">
            <w:pPr>
              <w:pStyle w:val="251"/>
              <w:rPr>
                <w:b/>
                <w:bCs w:val="0"/>
                <w:lang w:val="en-US" w:eastAsia="zh-CN"/>
              </w:rPr>
            </w:pPr>
            <w:r>
              <w:rPr>
                <w:rFonts w:hint="eastAsia"/>
                <w:b/>
                <w:bCs w:val="0"/>
                <w:lang w:val="en-US" w:eastAsia="zh-CN"/>
              </w:rPr>
              <w:t>类别</w:t>
            </w:r>
          </w:p>
        </w:tc>
        <w:tc>
          <w:tcPr>
            <w:tcW w:w="6598" w:type="dxa"/>
            <w:gridSpan w:val="3"/>
            <w:noWrap w:val="0"/>
            <w:tcMar>
              <w:top w:w="0" w:type="dxa"/>
              <w:left w:w="108" w:type="dxa"/>
              <w:bottom w:w="0" w:type="dxa"/>
              <w:right w:w="108" w:type="dxa"/>
            </w:tcMar>
            <w:vAlign w:val="center"/>
          </w:tcPr>
          <w:p w14:paraId="7E7B38B7">
            <w:pPr>
              <w:pStyle w:val="251"/>
              <w:rPr>
                <w:b/>
                <w:bCs w:val="0"/>
                <w:szCs w:val="21"/>
                <w:lang w:val="en-US" w:eastAsia="zh-CN"/>
              </w:rPr>
            </w:pPr>
            <w:r>
              <w:rPr>
                <w:rFonts w:hint="eastAsia" w:cs="宋体"/>
                <w:b/>
                <w:bCs w:val="0"/>
                <w:szCs w:val="21"/>
                <w:lang w:val="en-US" w:eastAsia="zh-CN"/>
              </w:rPr>
              <w:t>工程占地（水域）范围</w:t>
            </w:r>
          </w:p>
        </w:tc>
      </w:tr>
      <w:tr w14:paraId="5818E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4" w:hRule="atLeast"/>
          <w:jc w:val="center"/>
        </w:trPr>
        <w:tc>
          <w:tcPr>
            <w:tcW w:w="1803" w:type="dxa"/>
            <w:vMerge w:val="continue"/>
            <w:noWrap w:val="0"/>
            <w:tcMar>
              <w:top w:w="0" w:type="dxa"/>
              <w:left w:w="108" w:type="dxa"/>
              <w:bottom w:w="0" w:type="dxa"/>
              <w:right w:w="108" w:type="dxa"/>
            </w:tcMar>
            <w:vAlign w:val="center"/>
          </w:tcPr>
          <w:p w14:paraId="5DCAE095">
            <w:pPr>
              <w:pStyle w:val="251"/>
              <w:rPr>
                <w:b/>
                <w:bCs w:val="0"/>
                <w:lang w:val="en-US" w:eastAsia="zh-CN"/>
              </w:rPr>
            </w:pPr>
          </w:p>
        </w:tc>
        <w:tc>
          <w:tcPr>
            <w:tcW w:w="2184" w:type="dxa"/>
            <w:noWrap w:val="0"/>
            <w:tcMar>
              <w:top w:w="0" w:type="dxa"/>
              <w:left w:w="108" w:type="dxa"/>
              <w:bottom w:w="0" w:type="dxa"/>
              <w:right w:w="108" w:type="dxa"/>
            </w:tcMar>
            <w:vAlign w:val="center"/>
          </w:tcPr>
          <w:p w14:paraId="34BF05D4">
            <w:pPr>
              <w:pStyle w:val="251"/>
              <w:rPr>
                <w:b/>
                <w:bCs w:val="0"/>
                <w:lang w:val="en-US" w:eastAsia="zh-CN"/>
              </w:rPr>
            </w:pPr>
            <w:r>
              <w:rPr>
                <w:rFonts w:hint="eastAsia" w:cs="宋体"/>
                <w:b/>
                <w:bCs w:val="0"/>
                <w:szCs w:val="21"/>
                <w:lang w:val="en-US" w:eastAsia="zh-CN"/>
              </w:rPr>
              <w:t>面积≥</w:t>
            </w:r>
            <w:r>
              <w:rPr>
                <w:b/>
                <w:bCs w:val="0"/>
                <w:szCs w:val="21"/>
                <w:lang w:val="en-US" w:eastAsia="zh-CN"/>
              </w:rPr>
              <w:t>20km</w:t>
            </w:r>
            <w:r>
              <w:rPr>
                <w:b/>
                <w:bCs w:val="0"/>
                <w:vertAlign w:val="superscript"/>
                <w:lang w:val="en-US" w:eastAsia="zh-CN"/>
              </w:rPr>
              <w:t>2</w:t>
            </w:r>
          </w:p>
          <w:p w14:paraId="1101568F">
            <w:pPr>
              <w:pStyle w:val="251"/>
              <w:rPr>
                <w:b/>
                <w:bCs w:val="0"/>
                <w:szCs w:val="21"/>
                <w:lang w:val="en-US" w:eastAsia="zh-CN"/>
              </w:rPr>
            </w:pPr>
            <w:r>
              <w:rPr>
                <w:rFonts w:hint="eastAsia" w:cs="宋体"/>
                <w:b/>
                <w:bCs w:val="0"/>
                <w:szCs w:val="21"/>
                <w:lang w:val="en-US" w:eastAsia="zh-CN"/>
              </w:rPr>
              <w:t>或长度≥</w:t>
            </w:r>
            <w:r>
              <w:rPr>
                <w:b/>
                <w:bCs w:val="0"/>
                <w:szCs w:val="21"/>
                <w:lang w:val="en-US" w:eastAsia="zh-CN"/>
              </w:rPr>
              <w:t>100km</w:t>
            </w:r>
          </w:p>
        </w:tc>
        <w:tc>
          <w:tcPr>
            <w:tcW w:w="2593" w:type="dxa"/>
            <w:noWrap w:val="0"/>
            <w:tcMar>
              <w:top w:w="0" w:type="dxa"/>
              <w:left w:w="108" w:type="dxa"/>
              <w:bottom w:w="0" w:type="dxa"/>
              <w:right w:w="108" w:type="dxa"/>
            </w:tcMar>
            <w:vAlign w:val="center"/>
          </w:tcPr>
          <w:p w14:paraId="0EDD6C16">
            <w:pPr>
              <w:pStyle w:val="251"/>
              <w:rPr>
                <w:b/>
                <w:bCs w:val="0"/>
                <w:lang w:val="en-US" w:eastAsia="zh-CN"/>
              </w:rPr>
            </w:pPr>
            <w:r>
              <w:rPr>
                <w:rFonts w:hint="eastAsia" w:cs="宋体"/>
                <w:b/>
                <w:bCs w:val="0"/>
                <w:szCs w:val="21"/>
                <w:lang w:val="en-US" w:eastAsia="zh-CN"/>
              </w:rPr>
              <w:t>面积</w:t>
            </w:r>
            <w:r>
              <w:rPr>
                <w:rFonts w:hint="eastAsia" w:cs="宋体"/>
                <w:b/>
                <w:bCs w:val="0"/>
                <w:sz w:val="8"/>
                <w:szCs w:val="8"/>
                <w:lang w:val="en-US" w:eastAsia="zh-CN"/>
              </w:rPr>
              <w:t xml:space="preserve"> </w:t>
            </w:r>
            <w:r>
              <w:rPr>
                <w:b/>
                <w:bCs w:val="0"/>
                <w:szCs w:val="21"/>
                <w:lang w:val="en-US" w:eastAsia="zh-CN"/>
              </w:rPr>
              <w:t>2km</w:t>
            </w:r>
            <w:r>
              <w:rPr>
                <w:rFonts w:hint="eastAsia"/>
                <w:b/>
                <w:bCs w:val="0"/>
                <w:szCs w:val="21"/>
                <w:vertAlign w:val="superscript"/>
                <w:lang w:val="en-US" w:eastAsia="zh-CN"/>
              </w:rPr>
              <w:t>2</w:t>
            </w:r>
            <w:r>
              <w:rPr>
                <w:rFonts w:hint="eastAsia" w:cs="宋体"/>
                <w:b/>
                <w:bCs w:val="0"/>
                <w:szCs w:val="21"/>
                <w:lang w:val="en-US" w:eastAsia="zh-CN"/>
              </w:rPr>
              <w:t>～</w:t>
            </w:r>
            <w:r>
              <w:rPr>
                <w:b/>
                <w:bCs w:val="0"/>
                <w:szCs w:val="21"/>
                <w:lang w:val="en-US" w:eastAsia="zh-CN"/>
              </w:rPr>
              <w:t>20km</w:t>
            </w:r>
            <w:r>
              <w:rPr>
                <w:b/>
                <w:bCs w:val="0"/>
                <w:vertAlign w:val="superscript"/>
                <w:lang w:val="en-US" w:eastAsia="zh-CN"/>
              </w:rPr>
              <w:t>2</w:t>
            </w:r>
          </w:p>
          <w:p w14:paraId="5FFDDA55">
            <w:pPr>
              <w:pStyle w:val="251"/>
              <w:rPr>
                <w:b/>
                <w:bCs w:val="0"/>
                <w:szCs w:val="21"/>
                <w:lang w:val="en-US" w:eastAsia="zh-CN"/>
              </w:rPr>
            </w:pPr>
            <w:r>
              <w:rPr>
                <w:rFonts w:hint="eastAsia" w:cs="宋体"/>
                <w:b/>
                <w:bCs w:val="0"/>
                <w:szCs w:val="21"/>
                <w:lang w:val="en-US" w:eastAsia="zh-CN"/>
              </w:rPr>
              <w:t>或长度</w:t>
            </w:r>
            <w:r>
              <w:rPr>
                <w:rFonts w:hint="eastAsia" w:cs="宋体"/>
                <w:b/>
                <w:bCs w:val="0"/>
                <w:sz w:val="8"/>
                <w:szCs w:val="8"/>
                <w:lang w:val="en-US" w:eastAsia="zh-CN"/>
              </w:rPr>
              <w:t xml:space="preserve"> </w:t>
            </w:r>
            <w:r>
              <w:rPr>
                <w:b/>
                <w:bCs w:val="0"/>
                <w:szCs w:val="21"/>
                <w:lang w:val="en-US" w:eastAsia="zh-CN"/>
              </w:rPr>
              <w:t>50km</w:t>
            </w:r>
            <w:r>
              <w:rPr>
                <w:rFonts w:hint="eastAsia" w:cs="宋体"/>
                <w:b/>
                <w:bCs w:val="0"/>
                <w:szCs w:val="21"/>
                <w:lang w:val="en-US" w:eastAsia="zh-CN"/>
              </w:rPr>
              <w:t>～</w:t>
            </w:r>
            <w:r>
              <w:rPr>
                <w:b/>
                <w:bCs w:val="0"/>
                <w:szCs w:val="21"/>
                <w:lang w:val="en-US" w:eastAsia="zh-CN"/>
              </w:rPr>
              <w:t>100km</w:t>
            </w:r>
          </w:p>
        </w:tc>
        <w:tc>
          <w:tcPr>
            <w:tcW w:w="1821" w:type="dxa"/>
            <w:noWrap w:val="0"/>
            <w:tcMar>
              <w:top w:w="0" w:type="dxa"/>
              <w:left w:w="108" w:type="dxa"/>
              <w:bottom w:w="0" w:type="dxa"/>
              <w:right w:w="108" w:type="dxa"/>
            </w:tcMar>
            <w:vAlign w:val="center"/>
          </w:tcPr>
          <w:p w14:paraId="19BF4885">
            <w:pPr>
              <w:pStyle w:val="251"/>
              <w:rPr>
                <w:b/>
                <w:bCs w:val="0"/>
                <w:lang w:val="en-US" w:eastAsia="zh-CN"/>
              </w:rPr>
            </w:pPr>
            <w:r>
              <w:rPr>
                <w:rFonts w:hint="eastAsia" w:cs="宋体"/>
                <w:b/>
                <w:bCs w:val="0"/>
                <w:szCs w:val="21"/>
                <w:lang w:val="en-US" w:eastAsia="zh-CN"/>
              </w:rPr>
              <w:t>面积≤</w:t>
            </w:r>
            <w:r>
              <w:rPr>
                <w:b/>
                <w:bCs w:val="0"/>
                <w:szCs w:val="21"/>
                <w:lang w:val="en-US" w:eastAsia="zh-CN"/>
              </w:rPr>
              <w:t>2km</w:t>
            </w:r>
            <w:r>
              <w:rPr>
                <w:b/>
                <w:bCs w:val="0"/>
                <w:vertAlign w:val="superscript"/>
                <w:lang w:val="en-US" w:eastAsia="zh-CN"/>
              </w:rPr>
              <w:t>2</w:t>
            </w:r>
          </w:p>
          <w:p w14:paraId="773C54FC">
            <w:pPr>
              <w:pStyle w:val="251"/>
              <w:rPr>
                <w:b/>
                <w:bCs w:val="0"/>
                <w:szCs w:val="21"/>
                <w:lang w:val="en-US" w:eastAsia="zh-CN"/>
              </w:rPr>
            </w:pPr>
            <w:r>
              <w:rPr>
                <w:rFonts w:hint="eastAsia" w:cs="宋体"/>
                <w:b/>
                <w:bCs w:val="0"/>
                <w:szCs w:val="21"/>
                <w:lang w:val="en-US" w:eastAsia="zh-CN"/>
              </w:rPr>
              <w:t>或长度≤</w:t>
            </w:r>
            <w:r>
              <w:rPr>
                <w:b/>
                <w:bCs w:val="0"/>
                <w:szCs w:val="21"/>
                <w:lang w:val="en-US" w:eastAsia="zh-CN"/>
              </w:rPr>
              <w:t>50km</w:t>
            </w:r>
          </w:p>
        </w:tc>
      </w:tr>
      <w:tr w14:paraId="6DEFF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jc w:val="center"/>
        </w:trPr>
        <w:tc>
          <w:tcPr>
            <w:tcW w:w="1803" w:type="dxa"/>
            <w:noWrap w:val="0"/>
            <w:tcMar>
              <w:top w:w="0" w:type="dxa"/>
              <w:left w:w="108" w:type="dxa"/>
              <w:bottom w:w="0" w:type="dxa"/>
              <w:right w:w="108" w:type="dxa"/>
            </w:tcMar>
            <w:vAlign w:val="center"/>
          </w:tcPr>
          <w:p w14:paraId="03DBB025">
            <w:pPr>
              <w:pStyle w:val="251"/>
              <w:rPr>
                <w:szCs w:val="21"/>
                <w:lang w:val="en-US" w:eastAsia="zh-CN"/>
              </w:rPr>
            </w:pPr>
            <w:r>
              <w:rPr>
                <w:rFonts w:hint="eastAsia" w:cs="宋体"/>
                <w:szCs w:val="21"/>
                <w:lang w:val="en-US" w:eastAsia="zh-CN"/>
              </w:rPr>
              <w:t>特殊生态敏感区</w:t>
            </w:r>
          </w:p>
        </w:tc>
        <w:tc>
          <w:tcPr>
            <w:tcW w:w="2184" w:type="dxa"/>
            <w:noWrap w:val="0"/>
            <w:tcMar>
              <w:top w:w="0" w:type="dxa"/>
              <w:left w:w="108" w:type="dxa"/>
              <w:bottom w:w="0" w:type="dxa"/>
              <w:right w:w="108" w:type="dxa"/>
            </w:tcMar>
            <w:vAlign w:val="center"/>
          </w:tcPr>
          <w:p w14:paraId="35011019">
            <w:pPr>
              <w:pStyle w:val="251"/>
              <w:rPr>
                <w:szCs w:val="21"/>
                <w:lang w:val="en-US" w:eastAsia="zh-CN"/>
              </w:rPr>
            </w:pPr>
            <w:r>
              <w:rPr>
                <w:rFonts w:hint="eastAsia" w:cs="宋体"/>
                <w:szCs w:val="21"/>
                <w:lang w:val="en-US" w:eastAsia="zh-CN"/>
              </w:rPr>
              <w:t>一级</w:t>
            </w:r>
          </w:p>
        </w:tc>
        <w:tc>
          <w:tcPr>
            <w:tcW w:w="2593" w:type="dxa"/>
            <w:noWrap w:val="0"/>
            <w:tcMar>
              <w:top w:w="0" w:type="dxa"/>
              <w:left w:w="108" w:type="dxa"/>
              <w:bottom w:w="0" w:type="dxa"/>
              <w:right w:w="108" w:type="dxa"/>
            </w:tcMar>
            <w:vAlign w:val="center"/>
          </w:tcPr>
          <w:p w14:paraId="4B17A282">
            <w:pPr>
              <w:pStyle w:val="251"/>
              <w:rPr>
                <w:szCs w:val="21"/>
                <w:lang w:val="en-US" w:eastAsia="zh-CN"/>
              </w:rPr>
            </w:pPr>
            <w:r>
              <w:rPr>
                <w:rFonts w:hint="eastAsia" w:cs="宋体"/>
                <w:szCs w:val="21"/>
                <w:lang w:val="en-US" w:eastAsia="zh-CN"/>
              </w:rPr>
              <w:t>一级</w:t>
            </w:r>
          </w:p>
        </w:tc>
        <w:tc>
          <w:tcPr>
            <w:tcW w:w="1821" w:type="dxa"/>
            <w:noWrap w:val="0"/>
            <w:tcMar>
              <w:top w:w="0" w:type="dxa"/>
              <w:left w:w="108" w:type="dxa"/>
              <w:bottom w:w="0" w:type="dxa"/>
              <w:right w:w="108" w:type="dxa"/>
            </w:tcMar>
            <w:vAlign w:val="center"/>
          </w:tcPr>
          <w:p w14:paraId="75B49066">
            <w:pPr>
              <w:pStyle w:val="251"/>
              <w:rPr>
                <w:szCs w:val="21"/>
                <w:lang w:val="en-US" w:eastAsia="zh-CN"/>
              </w:rPr>
            </w:pPr>
            <w:r>
              <w:rPr>
                <w:rFonts w:hint="eastAsia" w:cs="宋体"/>
                <w:szCs w:val="21"/>
                <w:lang w:val="en-US" w:eastAsia="zh-CN"/>
              </w:rPr>
              <w:t>一级</w:t>
            </w:r>
          </w:p>
        </w:tc>
      </w:tr>
      <w:tr w14:paraId="43073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jc w:val="center"/>
        </w:trPr>
        <w:tc>
          <w:tcPr>
            <w:tcW w:w="1803" w:type="dxa"/>
            <w:noWrap w:val="0"/>
            <w:tcMar>
              <w:top w:w="0" w:type="dxa"/>
              <w:left w:w="108" w:type="dxa"/>
              <w:bottom w:w="0" w:type="dxa"/>
              <w:right w:w="108" w:type="dxa"/>
            </w:tcMar>
            <w:vAlign w:val="center"/>
          </w:tcPr>
          <w:p w14:paraId="7F0D75B3">
            <w:pPr>
              <w:pStyle w:val="251"/>
              <w:rPr>
                <w:szCs w:val="21"/>
                <w:lang w:val="en-US" w:eastAsia="zh-CN"/>
              </w:rPr>
            </w:pPr>
            <w:r>
              <w:rPr>
                <w:rFonts w:hint="eastAsia" w:cs="宋体"/>
                <w:szCs w:val="21"/>
                <w:lang w:val="en-US" w:eastAsia="zh-CN"/>
              </w:rPr>
              <w:t>重要生态敏感区</w:t>
            </w:r>
          </w:p>
        </w:tc>
        <w:tc>
          <w:tcPr>
            <w:tcW w:w="2184" w:type="dxa"/>
            <w:noWrap w:val="0"/>
            <w:tcMar>
              <w:top w:w="0" w:type="dxa"/>
              <w:left w:w="108" w:type="dxa"/>
              <w:bottom w:w="0" w:type="dxa"/>
              <w:right w:w="108" w:type="dxa"/>
            </w:tcMar>
            <w:vAlign w:val="center"/>
          </w:tcPr>
          <w:p w14:paraId="306803BD">
            <w:pPr>
              <w:pStyle w:val="251"/>
              <w:rPr>
                <w:szCs w:val="21"/>
                <w:lang w:val="en-US" w:eastAsia="zh-CN"/>
              </w:rPr>
            </w:pPr>
            <w:r>
              <w:rPr>
                <w:rFonts w:hint="eastAsia" w:cs="宋体"/>
                <w:szCs w:val="21"/>
                <w:lang w:val="en-US" w:eastAsia="zh-CN"/>
              </w:rPr>
              <w:t>一级</w:t>
            </w:r>
          </w:p>
        </w:tc>
        <w:tc>
          <w:tcPr>
            <w:tcW w:w="2593" w:type="dxa"/>
            <w:noWrap w:val="0"/>
            <w:tcMar>
              <w:top w:w="0" w:type="dxa"/>
              <w:left w:w="108" w:type="dxa"/>
              <w:bottom w:w="0" w:type="dxa"/>
              <w:right w:w="108" w:type="dxa"/>
            </w:tcMar>
            <w:vAlign w:val="center"/>
          </w:tcPr>
          <w:p w14:paraId="22655CFF">
            <w:pPr>
              <w:pStyle w:val="251"/>
              <w:rPr>
                <w:szCs w:val="21"/>
                <w:lang w:val="en-US" w:eastAsia="zh-CN"/>
              </w:rPr>
            </w:pPr>
            <w:r>
              <w:rPr>
                <w:rFonts w:hint="eastAsia" w:cs="宋体"/>
                <w:szCs w:val="21"/>
                <w:lang w:val="en-US" w:eastAsia="zh-CN"/>
              </w:rPr>
              <w:t>二级</w:t>
            </w:r>
          </w:p>
        </w:tc>
        <w:tc>
          <w:tcPr>
            <w:tcW w:w="1821" w:type="dxa"/>
            <w:noWrap w:val="0"/>
            <w:tcMar>
              <w:top w:w="0" w:type="dxa"/>
              <w:left w:w="108" w:type="dxa"/>
              <w:bottom w:w="0" w:type="dxa"/>
              <w:right w:w="108" w:type="dxa"/>
            </w:tcMar>
            <w:vAlign w:val="center"/>
          </w:tcPr>
          <w:p w14:paraId="3FEF7E49">
            <w:pPr>
              <w:pStyle w:val="251"/>
              <w:rPr>
                <w:szCs w:val="21"/>
                <w:lang w:val="en-US" w:eastAsia="zh-CN"/>
              </w:rPr>
            </w:pPr>
            <w:r>
              <w:rPr>
                <w:rFonts w:hint="eastAsia" w:cs="宋体"/>
                <w:szCs w:val="21"/>
                <w:lang w:val="en-US" w:eastAsia="zh-CN"/>
              </w:rPr>
              <w:t>三级</w:t>
            </w:r>
          </w:p>
        </w:tc>
      </w:tr>
      <w:tr w14:paraId="265B7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jc w:val="center"/>
        </w:trPr>
        <w:tc>
          <w:tcPr>
            <w:tcW w:w="1803" w:type="dxa"/>
            <w:noWrap w:val="0"/>
            <w:tcMar>
              <w:top w:w="0" w:type="dxa"/>
              <w:left w:w="108" w:type="dxa"/>
              <w:bottom w:w="0" w:type="dxa"/>
              <w:right w:w="108" w:type="dxa"/>
            </w:tcMar>
            <w:vAlign w:val="center"/>
          </w:tcPr>
          <w:p w14:paraId="3DBE6252">
            <w:pPr>
              <w:pStyle w:val="251"/>
              <w:rPr>
                <w:szCs w:val="21"/>
                <w:lang w:val="en-US" w:eastAsia="zh-CN"/>
              </w:rPr>
            </w:pPr>
            <w:r>
              <w:rPr>
                <w:rFonts w:hint="eastAsia" w:cs="宋体"/>
                <w:szCs w:val="21"/>
                <w:lang w:val="en-US" w:eastAsia="zh-CN"/>
              </w:rPr>
              <w:t>一般区域</w:t>
            </w:r>
          </w:p>
        </w:tc>
        <w:tc>
          <w:tcPr>
            <w:tcW w:w="2184" w:type="dxa"/>
            <w:noWrap w:val="0"/>
            <w:tcMar>
              <w:top w:w="0" w:type="dxa"/>
              <w:left w:w="108" w:type="dxa"/>
              <w:bottom w:w="0" w:type="dxa"/>
              <w:right w:w="108" w:type="dxa"/>
            </w:tcMar>
            <w:vAlign w:val="center"/>
          </w:tcPr>
          <w:p w14:paraId="6D6C97CB">
            <w:pPr>
              <w:pStyle w:val="251"/>
              <w:rPr>
                <w:szCs w:val="21"/>
                <w:lang w:val="en-US" w:eastAsia="zh-CN"/>
              </w:rPr>
            </w:pPr>
            <w:r>
              <w:rPr>
                <w:rFonts w:hint="eastAsia" w:cs="宋体"/>
                <w:szCs w:val="21"/>
                <w:lang w:val="en-US" w:eastAsia="zh-CN"/>
              </w:rPr>
              <w:t>二级</w:t>
            </w:r>
          </w:p>
        </w:tc>
        <w:tc>
          <w:tcPr>
            <w:tcW w:w="2593" w:type="dxa"/>
            <w:noWrap w:val="0"/>
            <w:tcMar>
              <w:top w:w="0" w:type="dxa"/>
              <w:left w:w="108" w:type="dxa"/>
              <w:bottom w:w="0" w:type="dxa"/>
              <w:right w:w="108" w:type="dxa"/>
            </w:tcMar>
            <w:vAlign w:val="center"/>
          </w:tcPr>
          <w:p w14:paraId="3E339EFD">
            <w:pPr>
              <w:pStyle w:val="251"/>
              <w:rPr>
                <w:szCs w:val="21"/>
                <w:lang w:val="en-US" w:eastAsia="zh-CN"/>
              </w:rPr>
            </w:pPr>
            <w:r>
              <w:rPr>
                <w:rFonts w:hint="eastAsia" w:cs="宋体"/>
                <w:szCs w:val="21"/>
                <w:lang w:val="en-US" w:eastAsia="zh-CN"/>
              </w:rPr>
              <w:t>三级</w:t>
            </w:r>
          </w:p>
        </w:tc>
        <w:tc>
          <w:tcPr>
            <w:tcW w:w="1821" w:type="dxa"/>
            <w:noWrap w:val="0"/>
            <w:tcMar>
              <w:top w:w="0" w:type="dxa"/>
              <w:left w:w="108" w:type="dxa"/>
              <w:bottom w:w="0" w:type="dxa"/>
              <w:right w:w="108" w:type="dxa"/>
            </w:tcMar>
            <w:vAlign w:val="center"/>
          </w:tcPr>
          <w:p w14:paraId="54242048">
            <w:pPr>
              <w:pStyle w:val="251"/>
              <w:rPr>
                <w:b/>
                <w:szCs w:val="21"/>
                <w:lang w:val="en-US" w:eastAsia="zh-CN"/>
              </w:rPr>
            </w:pPr>
            <w:r>
              <w:rPr>
                <w:rFonts w:hint="eastAsia" w:cs="宋体"/>
                <w:b/>
                <w:szCs w:val="21"/>
                <w:lang w:val="en-US" w:eastAsia="zh-CN"/>
              </w:rPr>
              <w:t>三级（本项目）</w:t>
            </w:r>
          </w:p>
        </w:tc>
      </w:tr>
    </w:tbl>
    <w:p w14:paraId="67B2C0AC">
      <w:pPr>
        <w:pStyle w:val="282"/>
        <w:rPr>
          <w:rFonts w:hint="eastAsia"/>
        </w:rPr>
      </w:pPr>
      <w:r>
        <w:rPr>
          <w:rFonts w:hint="eastAsia"/>
        </w:rPr>
        <w:t>2.4.1.2 声环境评价</w:t>
      </w:r>
    </w:p>
    <w:p w14:paraId="03DCEF69">
      <w:pPr>
        <w:ind w:firstLine="480"/>
      </w:pPr>
      <w:r>
        <w:rPr>
          <w:rFonts w:hint="eastAsia"/>
        </w:rPr>
        <w:t>项目的主要噪声为机械设备噪声和交通车辆噪声等，噪声评价等级按照项目所在地的环境功能区划、建设规模及建成后的声环境变化来确定。项目所在区域声环境功能区现状为2类地区，项目建设后敏感点噪声级增高量在3 dB(A)以下，且受噪声影响的人口数量无明显变化。</w:t>
      </w:r>
      <w:r>
        <w:t>根据《环境影响评价技术导则</w:t>
      </w:r>
      <w:r>
        <w:rPr>
          <w:rFonts w:hint="eastAsia"/>
        </w:rPr>
        <w:t xml:space="preserve"> </w:t>
      </w:r>
      <w:r>
        <w:t>声环境》（HJ2.4-2009）</w:t>
      </w:r>
      <w:r>
        <w:rPr>
          <w:rFonts w:hint="eastAsia"/>
        </w:rPr>
        <w:t>中有关规定</w:t>
      </w:r>
      <w:r>
        <w:t>，</w:t>
      </w:r>
      <w:r>
        <w:rPr>
          <w:rFonts w:hint="eastAsia"/>
        </w:rPr>
        <w:t>见表2</w:t>
      </w:r>
      <w:r>
        <w:rPr>
          <w:rFonts w:hint="eastAsia" w:eastAsia="宋体"/>
          <w:lang w:val="en-US" w:eastAsia="zh-CN"/>
        </w:rPr>
        <w:t>.5</w:t>
      </w:r>
      <w:r>
        <w:rPr>
          <w:rFonts w:hint="eastAsia"/>
        </w:rPr>
        <w:t>-</w:t>
      </w:r>
      <w:r>
        <w:rPr>
          <w:rFonts w:hint="eastAsia" w:eastAsia="宋体"/>
          <w:lang w:val="en-US" w:eastAsia="zh-CN"/>
        </w:rPr>
        <w:t>2</w:t>
      </w:r>
      <w:r>
        <w:t>，</w:t>
      </w:r>
      <w:r>
        <w:rPr>
          <w:rFonts w:hint="eastAsia"/>
        </w:rPr>
        <w:t>确定本项目</w:t>
      </w:r>
      <w:r>
        <w:t>声环境</w:t>
      </w:r>
      <w:r>
        <w:rPr>
          <w:rFonts w:hint="eastAsia"/>
        </w:rPr>
        <w:t>影响</w:t>
      </w:r>
      <w:r>
        <w:t>评价</w:t>
      </w:r>
      <w:r>
        <w:rPr>
          <w:rFonts w:hint="eastAsia"/>
        </w:rPr>
        <w:t>工作等级</w:t>
      </w:r>
      <w:r>
        <w:t>为</w:t>
      </w:r>
      <w:r>
        <w:rPr>
          <w:rFonts w:hint="eastAsia"/>
        </w:rPr>
        <w:t>三</w:t>
      </w:r>
      <w:r>
        <w:t>级</w:t>
      </w:r>
      <w:r>
        <w:rPr>
          <w:rFonts w:hint="eastAsia"/>
        </w:rPr>
        <w:t>。</w:t>
      </w:r>
    </w:p>
    <w:p w14:paraId="6AB255E9">
      <w:pPr>
        <w:pStyle w:val="336"/>
        <w:ind w:firstLine="482"/>
        <w:rPr>
          <w:color w:val="000000"/>
        </w:rPr>
      </w:pPr>
      <w:r>
        <w:rPr>
          <w:rFonts w:hint="eastAsia"/>
          <w:color w:val="000000"/>
        </w:rPr>
        <w:t xml:space="preserve">              表2</w:t>
      </w:r>
      <w:r>
        <w:rPr>
          <w:rFonts w:hint="eastAsia" w:eastAsia="宋体"/>
          <w:color w:val="000000"/>
          <w:lang w:val="en-US" w:eastAsia="zh-CN"/>
        </w:rPr>
        <w:t>.5-2</w:t>
      </w:r>
      <w:r>
        <w:rPr>
          <w:rFonts w:hint="eastAsia"/>
          <w:color w:val="000000"/>
        </w:rPr>
        <w:t>声环境影响评价工作等级一览表</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Layout w:type="fixed"/>
        <w:tblCellMar>
          <w:top w:w="0" w:type="dxa"/>
          <w:left w:w="10" w:type="dxa"/>
          <w:bottom w:w="0" w:type="dxa"/>
          <w:right w:w="10" w:type="dxa"/>
        </w:tblCellMar>
      </w:tblPr>
      <w:tblGrid>
        <w:gridCol w:w="719"/>
        <w:gridCol w:w="3034"/>
        <w:gridCol w:w="4573"/>
      </w:tblGrid>
      <w:tr w14:paraId="0BE5EEEF">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 w:type="dxa"/>
            <w:bottom w:w="0" w:type="dxa"/>
            <w:right w:w="10" w:type="dxa"/>
          </w:tblCellMar>
        </w:tblPrEx>
        <w:trPr>
          <w:trHeight w:val="390" w:hRule="atLeast"/>
          <w:jc w:val="center"/>
        </w:trPr>
        <w:tc>
          <w:tcPr>
            <w:tcW w:w="719" w:type="dxa"/>
            <w:noWrap w:val="0"/>
            <w:vAlign w:val="center"/>
          </w:tcPr>
          <w:p w14:paraId="0EFB503C">
            <w:pPr>
              <w:pStyle w:val="363"/>
              <w:rPr>
                <w:b/>
                <w:szCs w:val="21"/>
                <w:lang w:val="en-US" w:eastAsia="zh-CN"/>
              </w:rPr>
            </w:pPr>
            <w:r>
              <w:rPr>
                <w:rFonts w:hint="eastAsia"/>
                <w:b/>
                <w:szCs w:val="21"/>
                <w:lang w:val="en-US" w:eastAsia="zh-CN"/>
              </w:rPr>
              <w:t>序号</w:t>
            </w:r>
          </w:p>
        </w:tc>
        <w:tc>
          <w:tcPr>
            <w:tcW w:w="3034" w:type="dxa"/>
            <w:noWrap w:val="0"/>
            <w:vAlign w:val="center"/>
          </w:tcPr>
          <w:p w14:paraId="747D75CE">
            <w:pPr>
              <w:pStyle w:val="363"/>
              <w:rPr>
                <w:b/>
                <w:szCs w:val="21"/>
                <w:lang w:val="en-US" w:eastAsia="zh-CN"/>
              </w:rPr>
            </w:pPr>
            <w:r>
              <w:rPr>
                <w:rFonts w:hint="eastAsia"/>
                <w:b/>
                <w:szCs w:val="21"/>
                <w:lang w:val="en-US" w:eastAsia="zh-CN"/>
              </w:rPr>
              <w:t>项目</w:t>
            </w:r>
          </w:p>
        </w:tc>
        <w:tc>
          <w:tcPr>
            <w:tcW w:w="4573" w:type="dxa"/>
            <w:noWrap w:val="0"/>
            <w:vAlign w:val="center"/>
          </w:tcPr>
          <w:p w14:paraId="6DB43671">
            <w:pPr>
              <w:pStyle w:val="363"/>
              <w:rPr>
                <w:b/>
                <w:szCs w:val="21"/>
                <w:lang w:val="en-US" w:eastAsia="zh-CN"/>
              </w:rPr>
            </w:pPr>
            <w:r>
              <w:rPr>
                <w:rFonts w:hint="eastAsia"/>
                <w:b/>
                <w:szCs w:val="21"/>
                <w:lang w:val="en-US" w:eastAsia="zh-CN"/>
              </w:rPr>
              <w:t>内容</w:t>
            </w:r>
          </w:p>
        </w:tc>
      </w:tr>
      <w:tr w14:paraId="5BECC2BA">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 w:type="dxa"/>
            <w:bottom w:w="0" w:type="dxa"/>
            <w:right w:w="10" w:type="dxa"/>
          </w:tblCellMar>
        </w:tblPrEx>
        <w:trPr>
          <w:trHeight w:val="390" w:hRule="atLeast"/>
          <w:jc w:val="center"/>
        </w:trPr>
        <w:tc>
          <w:tcPr>
            <w:tcW w:w="719" w:type="dxa"/>
            <w:noWrap w:val="0"/>
            <w:vAlign w:val="center"/>
          </w:tcPr>
          <w:p w14:paraId="71C8637C">
            <w:pPr>
              <w:pStyle w:val="363"/>
              <w:rPr>
                <w:szCs w:val="21"/>
                <w:lang w:val="en-US" w:eastAsia="zh-CN"/>
              </w:rPr>
            </w:pPr>
            <w:r>
              <w:rPr>
                <w:rFonts w:hint="eastAsia"/>
                <w:szCs w:val="21"/>
                <w:lang w:val="en-US" w:eastAsia="zh-CN"/>
              </w:rPr>
              <w:t>1</w:t>
            </w:r>
          </w:p>
        </w:tc>
        <w:tc>
          <w:tcPr>
            <w:tcW w:w="3034" w:type="dxa"/>
            <w:noWrap w:val="0"/>
            <w:vAlign w:val="center"/>
          </w:tcPr>
          <w:p w14:paraId="1BBFE53C">
            <w:pPr>
              <w:pStyle w:val="363"/>
              <w:rPr>
                <w:szCs w:val="21"/>
                <w:lang w:val="en-US" w:eastAsia="zh-CN"/>
              </w:rPr>
            </w:pPr>
            <w:r>
              <w:rPr>
                <w:szCs w:val="21"/>
                <w:lang w:val="en-US" w:eastAsia="zh-CN"/>
              </w:rPr>
              <w:t>所处声环境功能区</w:t>
            </w:r>
          </w:p>
        </w:tc>
        <w:tc>
          <w:tcPr>
            <w:tcW w:w="4573" w:type="dxa"/>
            <w:noWrap w:val="0"/>
            <w:vAlign w:val="center"/>
          </w:tcPr>
          <w:p w14:paraId="6FF61C80">
            <w:pPr>
              <w:pStyle w:val="363"/>
              <w:rPr>
                <w:szCs w:val="21"/>
                <w:lang w:val="en-US" w:eastAsia="zh-CN"/>
              </w:rPr>
            </w:pPr>
            <w:r>
              <w:rPr>
                <w:szCs w:val="21"/>
                <w:lang w:val="en-US" w:eastAsia="zh-CN"/>
              </w:rPr>
              <w:t>《声环境质量标准》</w:t>
            </w:r>
            <w:r>
              <w:rPr>
                <w:rFonts w:hint="eastAsia"/>
                <w:szCs w:val="21"/>
                <w:lang w:val="en-US" w:eastAsia="zh-CN"/>
              </w:rPr>
              <w:t>（</w:t>
            </w:r>
            <w:r>
              <w:rPr>
                <w:szCs w:val="21"/>
                <w:lang w:val="en-US" w:eastAsia="zh-CN"/>
              </w:rPr>
              <w:t>GB3096-2008</w:t>
            </w:r>
            <w:r>
              <w:rPr>
                <w:rFonts w:hint="eastAsia"/>
                <w:szCs w:val="21"/>
                <w:lang w:val="en-US" w:eastAsia="zh-CN"/>
              </w:rPr>
              <w:t>）2类地区</w:t>
            </w:r>
          </w:p>
        </w:tc>
      </w:tr>
      <w:tr w14:paraId="1246CFEA">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 w:type="dxa"/>
            <w:bottom w:w="0" w:type="dxa"/>
            <w:right w:w="10" w:type="dxa"/>
          </w:tblCellMar>
        </w:tblPrEx>
        <w:trPr>
          <w:trHeight w:val="390" w:hRule="atLeast"/>
          <w:jc w:val="center"/>
        </w:trPr>
        <w:tc>
          <w:tcPr>
            <w:tcW w:w="719" w:type="dxa"/>
            <w:noWrap w:val="0"/>
            <w:vAlign w:val="center"/>
          </w:tcPr>
          <w:p w14:paraId="3EB66C1F">
            <w:pPr>
              <w:pStyle w:val="363"/>
              <w:rPr>
                <w:szCs w:val="21"/>
                <w:lang w:val="en-US" w:eastAsia="zh-CN"/>
              </w:rPr>
            </w:pPr>
            <w:r>
              <w:rPr>
                <w:rFonts w:hint="eastAsia"/>
                <w:szCs w:val="21"/>
                <w:lang w:val="en-US" w:eastAsia="zh-CN"/>
              </w:rPr>
              <w:t>2</w:t>
            </w:r>
          </w:p>
        </w:tc>
        <w:tc>
          <w:tcPr>
            <w:tcW w:w="3034" w:type="dxa"/>
            <w:noWrap w:val="0"/>
            <w:vAlign w:val="center"/>
          </w:tcPr>
          <w:p w14:paraId="5EEEB897">
            <w:pPr>
              <w:pStyle w:val="363"/>
              <w:rPr>
                <w:szCs w:val="21"/>
                <w:lang w:val="en-US" w:eastAsia="zh-CN"/>
              </w:rPr>
            </w:pPr>
            <w:r>
              <w:rPr>
                <w:rFonts w:hint="eastAsia"/>
                <w:szCs w:val="21"/>
                <w:lang w:val="en-US" w:eastAsia="zh-CN"/>
              </w:rPr>
              <w:t>项目建设前后噪声级变化情况</w:t>
            </w:r>
          </w:p>
        </w:tc>
        <w:tc>
          <w:tcPr>
            <w:tcW w:w="4573" w:type="dxa"/>
            <w:noWrap w:val="0"/>
            <w:vAlign w:val="center"/>
          </w:tcPr>
          <w:p w14:paraId="2FAC0DD6">
            <w:pPr>
              <w:pStyle w:val="363"/>
              <w:rPr>
                <w:szCs w:val="21"/>
                <w:lang w:val="en-US" w:eastAsia="zh-CN"/>
              </w:rPr>
            </w:pPr>
            <w:r>
              <w:rPr>
                <w:rFonts w:hint="eastAsia"/>
                <w:szCs w:val="21"/>
                <w:lang w:val="en-US" w:eastAsia="zh-CN"/>
              </w:rPr>
              <w:t>3dB（A）以下</w:t>
            </w:r>
          </w:p>
        </w:tc>
      </w:tr>
      <w:tr w14:paraId="0838E433">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 w:type="dxa"/>
            <w:bottom w:w="0" w:type="dxa"/>
            <w:right w:w="10" w:type="dxa"/>
          </w:tblCellMar>
        </w:tblPrEx>
        <w:trPr>
          <w:trHeight w:val="390" w:hRule="atLeast"/>
          <w:jc w:val="center"/>
        </w:trPr>
        <w:tc>
          <w:tcPr>
            <w:tcW w:w="719" w:type="dxa"/>
            <w:noWrap w:val="0"/>
            <w:vAlign w:val="center"/>
          </w:tcPr>
          <w:p w14:paraId="3419DD36">
            <w:pPr>
              <w:pStyle w:val="363"/>
              <w:rPr>
                <w:rFonts w:hint="eastAsia"/>
                <w:szCs w:val="21"/>
                <w:lang w:val="en-US" w:eastAsia="zh-CN"/>
              </w:rPr>
            </w:pPr>
            <w:r>
              <w:rPr>
                <w:rFonts w:hint="eastAsia"/>
                <w:szCs w:val="21"/>
                <w:lang w:val="en-US" w:eastAsia="zh-CN"/>
              </w:rPr>
              <w:t>3</w:t>
            </w:r>
          </w:p>
        </w:tc>
        <w:tc>
          <w:tcPr>
            <w:tcW w:w="3034" w:type="dxa"/>
            <w:noWrap w:val="0"/>
            <w:vAlign w:val="center"/>
          </w:tcPr>
          <w:p w14:paraId="00D34A06">
            <w:pPr>
              <w:pStyle w:val="363"/>
              <w:rPr>
                <w:rFonts w:hint="eastAsia"/>
                <w:szCs w:val="21"/>
                <w:lang w:val="en-US" w:eastAsia="zh-CN"/>
              </w:rPr>
            </w:pPr>
            <w:r>
              <w:rPr>
                <w:rFonts w:hint="eastAsia"/>
                <w:szCs w:val="21"/>
                <w:lang w:val="en-US" w:eastAsia="zh-CN"/>
              </w:rPr>
              <w:t>受噪声影响人口数量</w:t>
            </w:r>
          </w:p>
        </w:tc>
        <w:tc>
          <w:tcPr>
            <w:tcW w:w="4573" w:type="dxa"/>
            <w:noWrap w:val="0"/>
            <w:vAlign w:val="center"/>
          </w:tcPr>
          <w:p w14:paraId="54E30B73">
            <w:pPr>
              <w:pStyle w:val="363"/>
              <w:rPr>
                <w:rFonts w:hint="eastAsia"/>
                <w:szCs w:val="21"/>
                <w:lang w:val="en-US" w:eastAsia="zh-CN"/>
              </w:rPr>
            </w:pPr>
            <w:r>
              <w:rPr>
                <w:rFonts w:hint="eastAsia"/>
                <w:szCs w:val="21"/>
                <w:lang w:val="en-US" w:eastAsia="zh-CN"/>
              </w:rPr>
              <w:t>增加不大</w:t>
            </w:r>
          </w:p>
        </w:tc>
      </w:tr>
      <w:tr w14:paraId="010618F8">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0" w:type="dxa"/>
            <w:left w:w="10" w:type="dxa"/>
            <w:bottom w:w="0" w:type="dxa"/>
            <w:right w:w="10" w:type="dxa"/>
          </w:tblCellMar>
        </w:tblPrEx>
        <w:trPr>
          <w:trHeight w:val="390" w:hRule="atLeast"/>
          <w:jc w:val="center"/>
        </w:trPr>
        <w:tc>
          <w:tcPr>
            <w:tcW w:w="3753" w:type="dxa"/>
            <w:gridSpan w:val="2"/>
            <w:noWrap w:val="0"/>
            <w:vAlign w:val="center"/>
          </w:tcPr>
          <w:p w14:paraId="1DA906FC">
            <w:pPr>
              <w:pStyle w:val="363"/>
              <w:rPr>
                <w:b/>
                <w:bCs w:val="0"/>
                <w:szCs w:val="21"/>
                <w:lang w:val="en-US" w:eastAsia="zh-CN"/>
              </w:rPr>
            </w:pPr>
            <w:r>
              <w:rPr>
                <w:rFonts w:hint="eastAsia"/>
                <w:b/>
                <w:bCs w:val="0"/>
                <w:szCs w:val="21"/>
                <w:lang w:val="en-US" w:eastAsia="zh-CN"/>
              </w:rPr>
              <w:t>评价级别</w:t>
            </w:r>
          </w:p>
        </w:tc>
        <w:tc>
          <w:tcPr>
            <w:tcW w:w="4573" w:type="dxa"/>
            <w:noWrap w:val="0"/>
            <w:vAlign w:val="center"/>
          </w:tcPr>
          <w:p w14:paraId="5B056A09">
            <w:pPr>
              <w:pStyle w:val="363"/>
              <w:rPr>
                <w:b/>
                <w:bCs w:val="0"/>
                <w:szCs w:val="21"/>
                <w:lang w:val="en-US" w:eastAsia="zh-CN"/>
              </w:rPr>
            </w:pPr>
            <w:r>
              <w:rPr>
                <w:rFonts w:hint="eastAsia"/>
                <w:b/>
                <w:bCs w:val="0"/>
                <w:szCs w:val="21"/>
                <w:lang w:val="en-US" w:eastAsia="zh-CN"/>
              </w:rPr>
              <w:t>三级</w:t>
            </w:r>
          </w:p>
        </w:tc>
      </w:tr>
    </w:tbl>
    <w:p w14:paraId="0BAA0804">
      <w:pPr>
        <w:pStyle w:val="282"/>
        <w:rPr>
          <w:rFonts w:hint="eastAsia"/>
        </w:rPr>
      </w:pPr>
      <w:r>
        <w:rPr>
          <w:rFonts w:hint="eastAsia"/>
        </w:rPr>
        <w:t>2.</w:t>
      </w:r>
      <w:r>
        <w:rPr>
          <w:rFonts w:hint="eastAsia"/>
          <w:lang w:val="en-US" w:eastAsia="zh-CN"/>
        </w:rPr>
        <w:t>5</w:t>
      </w:r>
      <w:r>
        <w:rPr>
          <w:rFonts w:hint="eastAsia"/>
        </w:rPr>
        <w:t>.1.3 地表水环境评价</w:t>
      </w:r>
    </w:p>
    <w:p w14:paraId="5B8BB103">
      <w:pPr>
        <w:pStyle w:val="219"/>
        <w:spacing w:after="0"/>
        <w:ind w:firstLine="480"/>
        <w:rPr>
          <w:rFonts w:hint="eastAsia" w:eastAsia="宋体"/>
          <w:color w:val="000000"/>
          <w:sz w:val="24"/>
          <w:szCs w:val="22"/>
          <w:lang w:val="en-US" w:eastAsia="zh-CN"/>
        </w:rPr>
      </w:pPr>
      <w:r>
        <w:rPr>
          <w:sz w:val="24"/>
          <w:szCs w:val="22"/>
        </w:rPr>
        <w:t>根据《</w:t>
      </w:r>
      <w:r>
        <w:rPr>
          <w:rFonts w:hint="eastAsia"/>
          <w:sz w:val="24"/>
          <w:szCs w:val="22"/>
        </w:rPr>
        <w:t>环境影响评价技术导则 地表水环境</w:t>
      </w:r>
      <w:r>
        <w:rPr>
          <w:sz w:val="24"/>
          <w:szCs w:val="22"/>
        </w:rPr>
        <w:t>》（</w:t>
      </w:r>
      <w:r>
        <w:rPr>
          <w:rFonts w:hint="eastAsia"/>
          <w:sz w:val="24"/>
          <w:szCs w:val="22"/>
        </w:rPr>
        <w:t>HJ2.3-2018</w:t>
      </w:r>
      <w:r>
        <w:rPr>
          <w:sz w:val="24"/>
          <w:szCs w:val="22"/>
        </w:rPr>
        <w:t>）规定，地表水评价工作等级的划分</w:t>
      </w:r>
      <w:r>
        <w:rPr>
          <w:rFonts w:hint="eastAsia"/>
          <w:sz w:val="24"/>
          <w:szCs w:val="22"/>
        </w:rPr>
        <w:t>按照影响</w:t>
      </w:r>
      <w:r>
        <w:rPr>
          <w:rFonts w:hint="eastAsia"/>
          <w:color w:val="000000"/>
          <w:sz w:val="24"/>
          <w:szCs w:val="22"/>
        </w:rPr>
        <w:t>类型、排放方式、排放量或影响情况、受纳水体环境质量现状、水环境目标等综合确定。</w:t>
      </w:r>
      <w:r>
        <w:rPr>
          <w:color w:val="000000"/>
          <w:sz w:val="24"/>
          <w:szCs w:val="22"/>
        </w:rPr>
        <w:t>本项目运营期</w:t>
      </w:r>
      <w:r>
        <w:rPr>
          <w:rFonts w:hint="eastAsia" w:eastAsia="宋体"/>
          <w:color w:val="000000"/>
          <w:sz w:val="24"/>
          <w:szCs w:val="22"/>
          <w:lang w:val="en-US" w:eastAsia="zh-CN"/>
        </w:rPr>
        <w:t>无生产废水外排</w:t>
      </w:r>
      <w:r>
        <w:rPr>
          <w:color w:val="000000"/>
          <w:sz w:val="24"/>
          <w:szCs w:val="22"/>
        </w:rPr>
        <w:t>；</w:t>
      </w:r>
      <w:r>
        <w:rPr>
          <w:rFonts w:hint="eastAsia" w:eastAsia="宋体"/>
          <w:color w:val="000000"/>
          <w:sz w:val="24"/>
          <w:szCs w:val="22"/>
          <w:lang w:val="en-US" w:eastAsia="zh-CN"/>
        </w:rPr>
        <w:t>仅有</w:t>
      </w:r>
      <w:r>
        <w:rPr>
          <w:color w:val="000000"/>
          <w:sz w:val="24"/>
          <w:szCs w:val="22"/>
        </w:rPr>
        <w:t>生活污水</w:t>
      </w:r>
      <w:r>
        <w:rPr>
          <w:rFonts w:hint="eastAsia" w:eastAsia="宋体"/>
          <w:color w:val="000000"/>
          <w:sz w:val="24"/>
          <w:szCs w:val="22"/>
          <w:lang w:val="en-US" w:eastAsia="zh-CN"/>
        </w:rPr>
        <w:t>经过处理后外排进入市政污水管网，最终排入芒市污水处理厂集中处理</w:t>
      </w:r>
      <w:r>
        <w:rPr>
          <w:color w:val="000000"/>
          <w:sz w:val="24"/>
          <w:szCs w:val="22"/>
        </w:rPr>
        <w:t>。根据《</w:t>
      </w:r>
      <w:r>
        <w:rPr>
          <w:rFonts w:hint="eastAsia"/>
          <w:color w:val="000000"/>
          <w:sz w:val="24"/>
          <w:szCs w:val="22"/>
        </w:rPr>
        <w:t>环境影响评价技术导则 地表水环境</w:t>
      </w:r>
      <w:r>
        <w:rPr>
          <w:color w:val="000000"/>
          <w:sz w:val="24"/>
          <w:szCs w:val="22"/>
        </w:rPr>
        <w:t>》（</w:t>
      </w:r>
      <w:r>
        <w:rPr>
          <w:rFonts w:hint="eastAsia"/>
          <w:color w:val="000000"/>
          <w:sz w:val="24"/>
          <w:szCs w:val="22"/>
        </w:rPr>
        <w:t>HJ2.3-2018</w:t>
      </w:r>
      <w:r>
        <w:rPr>
          <w:color w:val="000000"/>
          <w:sz w:val="24"/>
          <w:szCs w:val="22"/>
        </w:rPr>
        <w:t>），本项目</w:t>
      </w:r>
      <w:r>
        <w:rPr>
          <w:rFonts w:hint="eastAsia" w:eastAsia="宋体"/>
          <w:color w:val="000000"/>
          <w:sz w:val="24"/>
          <w:szCs w:val="22"/>
          <w:lang w:val="en-US" w:eastAsia="zh-CN"/>
        </w:rPr>
        <w:t>影响类型为水污染影响型，间接排放，项目</w:t>
      </w:r>
      <w:r>
        <w:rPr>
          <w:color w:val="000000"/>
          <w:sz w:val="24"/>
          <w:szCs w:val="22"/>
        </w:rPr>
        <w:t>地表水评价</w:t>
      </w:r>
      <w:r>
        <w:rPr>
          <w:rFonts w:hint="eastAsia" w:eastAsia="宋体"/>
          <w:color w:val="000000"/>
          <w:sz w:val="24"/>
          <w:szCs w:val="22"/>
          <w:lang w:val="en-US" w:eastAsia="zh-CN"/>
        </w:rPr>
        <w:t>等级为三级B</w:t>
      </w:r>
      <w:r>
        <w:rPr>
          <w:color w:val="000000"/>
          <w:sz w:val="24"/>
          <w:szCs w:val="22"/>
        </w:rPr>
        <w:t>。</w:t>
      </w:r>
      <w:r>
        <w:rPr>
          <w:rFonts w:hint="eastAsia" w:eastAsia="宋体"/>
          <w:color w:val="000000"/>
          <w:sz w:val="24"/>
          <w:szCs w:val="22"/>
          <w:lang w:val="en-US" w:eastAsia="zh-CN"/>
        </w:rPr>
        <w:t>其评价等级判定依据见下表。</w:t>
      </w:r>
    </w:p>
    <w:p w14:paraId="2555456A">
      <w:pPr>
        <w:widowControl w:val="0"/>
        <w:spacing w:before="2" w:after="0" w:line="240" w:lineRule="auto"/>
        <w:ind w:left="0" w:right="1357"/>
        <w:jc w:val="center"/>
        <w:rPr>
          <w:rFonts w:hint="eastAsia"/>
          <w:b/>
          <w:color w:val="000000"/>
          <w:sz w:val="24"/>
          <w:szCs w:val="22"/>
          <w:lang w:val="zh-CN" w:eastAsia="zh-CN" w:bidi="ar-SA"/>
        </w:rPr>
      </w:pPr>
      <w:r>
        <w:rPr>
          <w:rFonts w:hint="eastAsia"/>
          <w:b/>
          <w:color w:val="000000"/>
          <w:sz w:val="24"/>
          <w:szCs w:val="22"/>
          <w:lang w:val="en-US" w:eastAsia="zh-CN" w:bidi="ar-SA"/>
        </w:rPr>
        <w:t xml:space="preserve">         </w:t>
      </w:r>
      <w:r>
        <w:rPr>
          <w:rFonts w:hint="eastAsia"/>
          <w:b/>
          <w:color w:val="000000"/>
          <w:sz w:val="24"/>
          <w:szCs w:val="22"/>
          <w:lang w:val="zh-CN" w:eastAsia="zh-CN" w:bidi="ar-SA"/>
        </w:rPr>
        <w:t xml:space="preserve">表 </w:t>
      </w:r>
      <w:r>
        <w:rPr>
          <w:rFonts w:hint="eastAsia"/>
          <w:b/>
          <w:color w:val="000000"/>
          <w:sz w:val="24"/>
          <w:szCs w:val="22"/>
          <w:lang w:val="en-US" w:eastAsia="zh-CN" w:bidi="ar-SA"/>
        </w:rPr>
        <w:t>2.5</w:t>
      </w:r>
      <w:r>
        <w:rPr>
          <w:rFonts w:hint="eastAsia"/>
          <w:b/>
          <w:color w:val="000000"/>
          <w:sz w:val="24"/>
          <w:szCs w:val="22"/>
          <w:lang w:val="zh-CN" w:eastAsia="zh-CN" w:bidi="ar-SA"/>
        </w:rPr>
        <w:t>-</w:t>
      </w:r>
      <w:r>
        <w:rPr>
          <w:rFonts w:hint="eastAsia"/>
          <w:b/>
          <w:color w:val="000000"/>
          <w:sz w:val="24"/>
          <w:szCs w:val="22"/>
          <w:lang w:val="en-US" w:eastAsia="zh-CN" w:bidi="ar-SA"/>
        </w:rPr>
        <w:t>3</w:t>
      </w:r>
      <w:r>
        <w:rPr>
          <w:rFonts w:hint="eastAsia"/>
          <w:b/>
          <w:color w:val="000000"/>
          <w:sz w:val="24"/>
          <w:szCs w:val="22"/>
          <w:lang w:val="zh-CN" w:eastAsia="zh-CN" w:bidi="ar-SA"/>
        </w:rPr>
        <w:t xml:space="preserve"> 水污染影响型建设项目评价等级判定（录）</w:t>
      </w:r>
    </w:p>
    <w:tbl>
      <w:tblPr>
        <w:tblStyle w:val="32"/>
        <w:tblW w:w="8220" w:type="dxa"/>
        <w:tblInd w:w="16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94"/>
        <w:gridCol w:w="2865"/>
        <w:gridCol w:w="3261"/>
      </w:tblGrid>
      <w:tr w14:paraId="5676B0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2094" w:type="dxa"/>
            <w:vMerge w:val="restart"/>
            <w:noWrap w:val="0"/>
            <w:vAlign w:val="top"/>
          </w:tcPr>
          <w:p w14:paraId="4E810F96">
            <w:pPr>
              <w:pStyle w:val="363"/>
              <w:rPr>
                <w:rFonts w:hint="eastAsia"/>
                <w:b/>
                <w:bCs/>
                <w:szCs w:val="21"/>
                <w:lang w:val="zh-CN" w:eastAsia="zh-CN"/>
              </w:rPr>
            </w:pPr>
          </w:p>
          <w:p w14:paraId="38BD0D6E">
            <w:pPr>
              <w:pStyle w:val="363"/>
              <w:rPr>
                <w:rFonts w:hint="eastAsia"/>
                <w:b/>
                <w:bCs/>
                <w:szCs w:val="21"/>
                <w:lang w:val="zh-CN" w:eastAsia="zh-CN"/>
              </w:rPr>
            </w:pPr>
            <w:r>
              <w:rPr>
                <w:rFonts w:hint="eastAsia"/>
                <w:b/>
                <w:bCs/>
                <w:szCs w:val="21"/>
                <w:lang w:val="zh-CN" w:eastAsia="zh-CN"/>
              </w:rPr>
              <w:t>评价等级</w:t>
            </w:r>
          </w:p>
        </w:tc>
        <w:tc>
          <w:tcPr>
            <w:tcW w:w="6126" w:type="dxa"/>
            <w:gridSpan w:val="2"/>
            <w:noWrap w:val="0"/>
            <w:vAlign w:val="top"/>
          </w:tcPr>
          <w:p w14:paraId="57156286">
            <w:pPr>
              <w:pStyle w:val="363"/>
              <w:rPr>
                <w:rFonts w:hint="eastAsia"/>
                <w:b/>
                <w:bCs/>
                <w:szCs w:val="21"/>
                <w:lang w:val="zh-CN" w:eastAsia="zh-CN"/>
              </w:rPr>
            </w:pPr>
            <w:r>
              <w:rPr>
                <w:rFonts w:hint="eastAsia"/>
                <w:b/>
                <w:bCs/>
                <w:szCs w:val="21"/>
                <w:lang w:val="zh-CN" w:eastAsia="zh-CN"/>
              </w:rPr>
              <w:t>判定依据</w:t>
            </w:r>
          </w:p>
        </w:tc>
      </w:tr>
      <w:tr w14:paraId="46A25C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6" w:hRule="atLeast"/>
        </w:trPr>
        <w:tc>
          <w:tcPr>
            <w:tcW w:w="2094" w:type="dxa"/>
            <w:vMerge w:val="continue"/>
            <w:noWrap w:val="0"/>
            <w:vAlign w:val="top"/>
          </w:tcPr>
          <w:p w14:paraId="6D99ED63">
            <w:pPr>
              <w:pStyle w:val="363"/>
              <w:rPr>
                <w:rFonts w:hint="eastAsia"/>
                <w:b/>
                <w:bCs/>
                <w:szCs w:val="21"/>
                <w:lang w:val="zh-CN" w:eastAsia="zh-CN"/>
              </w:rPr>
            </w:pPr>
          </w:p>
        </w:tc>
        <w:tc>
          <w:tcPr>
            <w:tcW w:w="2865" w:type="dxa"/>
            <w:noWrap w:val="0"/>
            <w:vAlign w:val="top"/>
          </w:tcPr>
          <w:p w14:paraId="22933A63">
            <w:pPr>
              <w:pStyle w:val="363"/>
              <w:rPr>
                <w:rFonts w:hint="eastAsia"/>
                <w:b/>
                <w:bCs/>
                <w:szCs w:val="21"/>
                <w:lang w:val="zh-CN" w:eastAsia="zh-CN"/>
              </w:rPr>
            </w:pPr>
          </w:p>
          <w:p w14:paraId="306B5E1D">
            <w:pPr>
              <w:pStyle w:val="363"/>
              <w:rPr>
                <w:rFonts w:hint="eastAsia"/>
                <w:b/>
                <w:bCs/>
                <w:szCs w:val="21"/>
                <w:lang w:val="zh-CN" w:eastAsia="zh-CN"/>
              </w:rPr>
            </w:pPr>
            <w:r>
              <w:rPr>
                <w:rFonts w:hint="eastAsia"/>
                <w:b/>
                <w:bCs/>
                <w:szCs w:val="21"/>
                <w:lang w:val="zh-CN" w:eastAsia="zh-CN"/>
              </w:rPr>
              <w:t>排放方式</w:t>
            </w:r>
          </w:p>
        </w:tc>
        <w:tc>
          <w:tcPr>
            <w:tcW w:w="3261" w:type="dxa"/>
            <w:noWrap w:val="0"/>
            <w:vAlign w:val="top"/>
          </w:tcPr>
          <w:p w14:paraId="7438AC0D">
            <w:pPr>
              <w:pStyle w:val="363"/>
              <w:rPr>
                <w:rFonts w:hint="eastAsia"/>
                <w:b/>
                <w:bCs/>
                <w:szCs w:val="21"/>
                <w:lang w:val="zh-CN" w:eastAsia="zh-CN"/>
              </w:rPr>
            </w:pPr>
            <w:r>
              <w:rPr>
                <w:rFonts w:hint="eastAsia"/>
                <w:b/>
                <w:bCs/>
                <w:szCs w:val="21"/>
                <w:lang w:val="zh-CN" w:eastAsia="zh-CN"/>
              </w:rPr>
              <w:t>废水排放量 Q/（m</w:t>
            </w:r>
            <w:r>
              <w:rPr>
                <w:rFonts w:hint="eastAsia"/>
                <w:b/>
                <w:bCs/>
                <w:szCs w:val="21"/>
                <w:vertAlign w:val="superscript"/>
                <w:lang w:val="zh-CN" w:eastAsia="zh-CN"/>
              </w:rPr>
              <w:t>3</w:t>
            </w:r>
            <w:r>
              <w:rPr>
                <w:rFonts w:hint="eastAsia"/>
                <w:b/>
                <w:bCs/>
                <w:szCs w:val="21"/>
                <w:lang w:val="zh-CN" w:eastAsia="zh-CN"/>
              </w:rPr>
              <w:t>/d）；</w:t>
            </w:r>
          </w:p>
          <w:p w14:paraId="2FEEA5A0">
            <w:pPr>
              <w:pStyle w:val="363"/>
              <w:rPr>
                <w:rFonts w:hint="eastAsia"/>
                <w:b/>
                <w:bCs/>
                <w:szCs w:val="21"/>
                <w:lang w:val="zh-CN" w:eastAsia="zh-CN"/>
              </w:rPr>
            </w:pPr>
            <w:r>
              <w:rPr>
                <w:rFonts w:hint="eastAsia"/>
                <w:b/>
                <w:bCs/>
                <w:szCs w:val="21"/>
                <w:lang w:val="zh-CN" w:eastAsia="zh-CN"/>
              </w:rPr>
              <w:t>水污染物当量数 W/（无量纲）</w:t>
            </w:r>
          </w:p>
        </w:tc>
      </w:tr>
      <w:tr w14:paraId="48C4DC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7" w:hRule="atLeast"/>
        </w:trPr>
        <w:tc>
          <w:tcPr>
            <w:tcW w:w="2094" w:type="dxa"/>
            <w:noWrap w:val="0"/>
            <w:vAlign w:val="center"/>
          </w:tcPr>
          <w:p w14:paraId="0F875938">
            <w:pPr>
              <w:pStyle w:val="363"/>
              <w:jc w:val="center"/>
              <w:rPr>
                <w:rFonts w:hint="eastAsia"/>
                <w:b w:val="0"/>
                <w:bCs w:val="0"/>
                <w:szCs w:val="21"/>
                <w:lang w:val="zh-CN" w:eastAsia="zh-CN"/>
              </w:rPr>
            </w:pPr>
            <w:r>
              <w:rPr>
                <w:rFonts w:hint="eastAsia"/>
                <w:b w:val="0"/>
                <w:bCs w:val="0"/>
                <w:szCs w:val="21"/>
                <w:lang w:val="zh-CN" w:eastAsia="zh-CN"/>
              </w:rPr>
              <w:t>一级</w:t>
            </w:r>
          </w:p>
        </w:tc>
        <w:tc>
          <w:tcPr>
            <w:tcW w:w="2865" w:type="dxa"/>
            <w:noWrap w:val="0"/>
            <w:vAlign w:val="center"/>
          </w:tcPr>
          <w:p w14:paraId="07133ADB">
            <w:pPr>
              <w:pStyle w:val="363"/>
              <w:jc w:val="center"/>
              <w:rPr>
                <w:rFonts w:hint="eastAsia"/>
                <w:b w:val="0"/>
                <w:bCs w:val="0"/>
                <w:szCs w:val="21"/>
                <w:lang w:val="zh-CN" w:eastAsia="zh-CN"/>
              </w:rPr>
            </w:pPr>
            <w:r>
              <w:rPr>
                <w:rFonts w:hint="eastAsia"/>
                <w:b w:val="0"/>
                <w:bCs w:val="0"/>
                <w:szCs w:val="21"/>
                <w:lang w:val="zh-CN" w:eastAsia="zh-CN"/>
              </w:rPr>
              <w:t>直接排放</w:t>
            </w:r>
          </w:p>
        </w:tc>
        <w:tc>
          <w:tcPr>
            <w:tcW w:w="3261" w:type="dxa"/>
            <w:noWrap w:val="0"/>
            <w:vAlign w:val="center"/>
          </w:tcPr>
          <w:p w14:paraId="20AB7AA3">
            <w:pPr>
              <w:pStyle w:val="363"/>
              <w:jc w:val="center"/>
              <w:rPr>
                <w:rFonts w:hint="eastAsia"/>
                <w:b w:val="0"/>
                <w:bCs w:val="0"/>
                <w:szCs w:val="21"/>
                <w:lang w:val="zh-CN" w:eastAsia="zh-CN"/>
              </w:rPr>
            </w:pPr>
            <w:r>
              <w:rPr>
                <w:rFonts w:hint="eastAsia"/>
                <w:b w:val="0"/>
                <w:bCs w:val="0"/>
                <w:szCs w:val="21"/>
                <w:lang w:val="zh-CN" w:eastAsia="zh-CN"/>
              </w:rPr>
              <w:t>Q≥20000 或 W≥600000</w:t>
            </w:r>
          </w:p>
        </w:tc>
      </w:tr>
      <w:tr w14:paraId="6C14E8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 w:hRule="atLeast"/>
        </w:trPr>
        <w:tc>
          <w:tcPr>
            <w:tcW w:w="2094" w:type="dxa"/>
            <w:noWrap w:val="0"/>
            <w:vAlign w:val="center"/>
          </w:tcPr>
          <w:p w14:paraId="4AED6C76">
            <w:pPr>
              <w:pStyle w:val="363"/>
              <w:jc w:val="center"/>
              <w:rPr>
                <w:rFonts w:hint="eastAsia"/>
                <w:b w:val="0"/>
                <w:bCs w:val="0"/>
                <w:szCs w:val="21"/>
                <w:lang w:val="zh-CN" w:eastAsia="zh-CN"/>
              </w:rPr>
            </w:pPr>
            <w:r>
              <w:rPr>
                <w:rFonts w:hint="eastAsia"/>
                <w:b w:val="0"/>
                <w:bCs w:val="0"/>
                <w:szCs w:val="21"/>
                <w:lang w:val="zh-CN" w:eastAsia="zh-CN"/>
              </w:rPr>
              <w:t>二级</w:t>
            </w:r>
          </w:p>
        </w:tc>
        <w:tc>
          <w:tcPr>
            <w:tcW w:w="2865" w:type="dxa"/>
            <w:noWrap w:val="0"/>
            <w:vAlign w:val="center"/>
          </w:tcPr>
          <w:p w14:paraId="4BBFAD84">
            <w:pPr>
              <w:pStyle w:val="363"/>
              <w:jc w:val="center"/>
              <w:rPr>
                <w:rFonts w:hint="eastAsia"/>
                <w:b w:val="0"/>
                <w:bCs w:val="0"/>
                <w:szCs w:val="21"/>
                <w:lang w:val="zh-CN" w:eastAsia="zh-CN"/>
              </w:rPr>
            </w:pPr>
            <w:r>
              <w:rPr>
                <w:rFonts w:hint="eastAsia"/>
                <w:b w:val="0"/>
                <w:bCs w:val="0"/>
                <w:szCs w:val="21"/>
                <w:lang w:val="zh-CN" w:eastAsia="zh-CN"/>
              </w:rPr>
              <w:t>直接排放</w:t>
            </w:r>
          </w:p>
        </w:tc>
        <w:tc>
          <w:tcPr>
            <w:tcW w:w="3261" w:type="dxa"/>
            <w:noWrap w:val="0"/>
            <w:vAlign w:val="center"/>
          </w:tcPr>
          <w:p w14:paraId="71BA0FF5">
            <w:pPr>
              <w:pStyle w:val="363"/>
              <w:jc w:val="center"/>
              <w:rPr>
                <w:rFonts w:hint="eastAsia"/>
                <w:b w:val="0"/>
                <w:bCs w:val="0"/>
                <w:szCs w:val="21"/>
                <w:lang w:val="zh-CN" w:eastAsia="zh-CN"/>
              </w:rPr>
            </w:pPr>
            <w:r>
              <w:rPr>
                <w:rFonts w:hint="eastAsia"/>
                <w:b w:val="0"/>
                <w:bCs w:val="0"/>
                <w:szCs w:val="21"/>
                <w:lang w:val="zh-CN" w:eastAsia="zh-CN"/>
              </w:rPr>
              <w:t>其他</w:t>
            </w:r>
          </w:p>
        </w:tc>
      </w:tr>
      <w:tr w14:paraId="236033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2094" w:type="dxa"/>
            <w:noWrap w:val="0"/>
            <w:vAlign w:val="center"/>
          </w:tcPr>
          <w:p w14:paraId="12E28DD8">
            <w:pPr>
              <w:pStyle w:val="363"/>
              <w:jc w:val="center"/>
              <w:rPr>
                <w:rFonts w:hint="eastAsia"/>
                <w:b w:val="0"/>
                <w:bCs w:val="0"/>
                <w:szCs w:val="21"/>
                <w:lang w:val="zh-CN" w:eastAsia="zh-CN"/>
              </w:rPr>
            </w:pPr>
            <w:r>
              <w:rPr>
                <w:rFonts w:hint="eastAsia"/>
                <w:b w:val="0"/>
                <w:bCs w:val="0"/>
                <w:szCs w:val="21"/>
                <w:lang w:val="zh-CN" w:eastAsia="zh-CN"/>
              </w:rPr>
              <w:t>三级A</w:t>
            </w:r>
          </w:p>
        </w:tc>
        <w:tc>
          <w:tcPr>
            <w:tcW w:w="2865" w:type="dxa"/>
            <w:noWrap w:val="0"/>
            <w:vAlign w:val="center"/>
          </w:tcPr>
          <w:p w14:paraId="64CFBFBD">
            <w:pPr>
              <w:pStyle w:val="363"/>
              <w:jc w:val="center"/>
              <w:rPr>
                <w:rFonts w:hint="eastAsia"/>
                <w:b w:val="0"/>
                <w:bCs w:val="0"/>
                <w:szCs w:val="21"/>
                <w:lang w:val="zh-CN" w:eastAsia="zh-CN"/>
              </w:rPr>
            </w:pPr>
            <w:r>
              <w:rPr>
                <w:rFonts w:hint="eastAsia"/>
                <w:b w:val="0"/>
                <w:bCs w:val="0"/>
                <w:szCs w:val="21"/>
                <w:lang w:val="zh-CN" w:eastAsia="zh-CN"/>
              </w:rPr>
              <w:t>直接排放</w:t>
            </w:r>
          </w:p>
        </w:tc>
        <w:tc>
          <w:tcPr>
            <w:tcW w:w="3261" w:type="dxa"/>
            <w:noWrap w:val="0"/>
            <w:vAlign w:val="center"/>
          </w:tcPr>
          <w:p w14:paraId="056D6CEF">
            <w:pPr>
              <w:pStyle w:val="363"/>
              <w:jc w:val="center"/>
              <w:rPr>
                <w:rFonts w:hint="eastAsia"/>
                <w:b w:val="0"/>
                <w:bCs w:val="0"/>
                <w:szCs w:val="21"/>
                <w:lang w:val="zh-CN" w:eastAsia="zh-CN"/>
              </w:rPr>
            </w:pPr>
            <w:r>
              <w:rPr>
                <w:rFonts w:hint="eastAsia"/>
                <w:b w:val="0"/>
                <w:bCs w:val="0"/>
                <w:szCs w:val="21"/>
                <w:lang w:val="zh-CN" w:eastAsia="zh-CN"/>
              </w:rPr>
              <w:t>Q＜200 且 Q＜6000</w:t>
            </w:r>
          </w:p>
        </w:tc>
      </w:tr>
      <w:tr w14:paraId="38C35F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7" w:hRule="atLeast"/>
        </w:trPr>
        <w:tc>
          <w:tcPr>
            <w:tcW w:w="2094" w:type="dxa"/>
            <w:noWrap w:val="0"/>
            <w:vAlign w:val="center"/>
          </w:tcPr>
          <w:p w14:paraId="700C7A41">
            <w:pPr>
              <w:pStyle w:val="363"/>
              <w:jc w:val="center"/>
              <w:rPr>
                <w:b w:val="0"/>
                <w:bCs w:val="0"/>
                <w:szCs w:val="21"/>
                <w:lang w:val="en-US" w:eastAsia="zh-CN"/>
              </w:rPr>
            </w:pPr>
            <w:r>
              <w:rPr>
                <w:rFonts w:hint="eastAsia"/>
                <w:b w:val="0"/>
                <w:bCs w:val="0"/>
                <w:szCs w:val="21"/>
                <w:lang w:val="en-US" w:eastAsia="zh-CN"/>
              </w:rPr>
              <w:t>三级B</w:t>
            </w:r>
          </w:p>
        </w:tc>
        <w:tc>
          <w:tcPr>
            <w:tcW w:w="2865" w:type="dxa"/>
            <w:noWrap w:val="0"/>
            <w:vAlign w:val="center"/>
          </w:tcPr>
          <w:p w14:paraId="0303FE3B">
            <w:pPr>
              <w:pStyle w:val="363"/>
              <w:jc w:val="center"/>
              <w:rPr>
                <w:b w:val="0"/>
                <w:bCs w:val="0"/>
                <w:szCs w:val="21"/>
                <w:lang w:val="en-US" w:eastAsia="zh-CN"/>
              </w:rPr>
            </w:pPr>
            <w:r>
              <w:rPr>
                <w:rFonts w:hint="eastAsia"/>
                <w:b w:val="0"/>
                <w:bCs w:val="0"/>
                <w:szCs w:val="21"/>
                <w:lang w:val="en-US" w:eastAsia="zh-CN"/>
              </w:rPr>
              <w:t>间接排放</w:t>
            </w:r>
          </w:p>
        </w:tc>
        <w:tc>
          <w:tcPr>
            <w:tcW w:w="3261" w:type="dxa"/>
            <w:noWrap w:val="0"/>
            <w:vAlign w:val="center"/>
          </w:tcPr>
          <w:p w14:paraId="2778F500">
            <w:pPr>
              <w:pStyle w:val="363"/>
              <w:jc w:val="center"/>
              <w:rPr>
                <w:rFonts w:hint="eastAsia"/>
                <w:b w:val="0"/>
                <w:bCs w:val="0"/>
                <w:szCs w:val="21"/>
                <w:lang w:val="zh-CN" w:eastAsia="zh-CN"/>
              </w:rPr>
            </w:pPr>
            <w:r>
              <w:rPr>
                <w:rFonts w:hint="eastAsia"/>
                <w:b w:val="0"/>
                <w:bCs w:val="0"/>
                <w:szCs w:val="21"/>
                <w:lang w:val="zh-CN" w:eastAsia="zh-CN"/>
              </w:rPr>
              <w:t>——</w:t>
            </w:r>
          </w:p>
        </w:tc>
      </w:tr>
    </w:tbl>
    <w:p w14:paraId="26DCABF9">
      <w:pPr>
        <w:pStyle w:val="282"/>
        <w:rPr>
          <w:rFonts w:hint="eastAsia"/>
        </w:rPr>
      </w:pPr>
      <w:r>
        <w:rPr>
          <w:rFonts w:hint="eastAsia"/>
        </w:rPr>
        <w:t>2.</w:t>
      </w:r>
      <w:r>
        <w:rPr>
          <w:rFonts w:hint="eastAsia"/>
          <w:lang w:val="en-US" w:eastAsia="zh-CN"/>
        </w:rPr>
        <w:t>5</w:t>
      </w:r>
      <w:r>
        <w:rPr>
          <w:rFonts w:hint="eastAsia"/>
        </w:rPr>
        <w:t>.1.4 地下水环境评价</w:t>
      </w:r>
    </w:p>
    <w:p w14:paraId="1FAFFC89">
      <w:pPr>
        <w:ind w:firstLine="480"/>
        <w:rPr>
          <w:rFonts w:hint="eastAsia" w:hAnsi="宋体"/>
        </w:rPr>
      </w:pPr>
      <w:r>
        <w:rPr>
          <w:rFonts w:hint="eastAsia" w:hAnsi="宋体"/>
        </w:rPr>
        <w:t>根据《环境影响评价技术导则 地下水环境》（HJ610-2016）中建设项目分类及评价工作等级的判定标准，同时结合项目建设工程特点，来确定地下水评价等级。</w:t>
      </w:r>
    </w:p>
    <w:p w14:paraId="4C84DF21">
      <w:pPr>
        <w:ind w:firstLine="480"/>
        <w:rPr>
          <w:rFonts w:hint="eastAsia" w:hAnsi="宋体"/>
        </w:rPr>
      </w:pPr>
      <w:r>
        <w:rPr>
          <w:rFonts w:hint="eastAsia" w:hAnsi="宋体"/>
        </w:rPr>
        <w:t>项目所在区域不属于集中式生活供水水源地准保护区、不属于热水、矿泉水、温泉等特殊地下水源保护区、也不属于补给径流区，因此项目场地地下水敏感程度为不敏感。</w:t>
      </w:r>
    </w:p>
    <w:p w14:paraId="19DA478F">
      <w:pPr>
        <w:ind w:firstLine="480"/>
        <w:rPr>
          <w:rFonts w:hint="eastAsia" w:hAnsi="宋体"/>
        </w:rPr>
      </w:pPr>
      <w:r>
        <w:rPr>
          <w:rFonts w:hint="eastAsia" w:hAnsi="宋体"/>
        </w:rPr>
        <w:t>综上，项目属于</w:t>
      </w:r>
      <w:r>
        <w:rPr>
          <w:rFonts w:ascii="Times New Roman" w:hAnsi="Times New Roman" w:cs="Times New Roman"/>
        </w:rPr>
        <w:t>Ⅰ</w:t>
      </w:r>
      <w:r>
        <w:rPr>
          <w:rFonts w:hint="eastAsia" w:hAnsi="宋体"/>
        </w:rPr>
        <w:t>类项目，场地地下水敏感程度为不敏感，根据《环境影响评价技术导则 地下水环境》（HJ610-2016）中表2划分，项目地下水环境影响评价等级为</w:t>
      </w:r>
      <w:r>
        <w:rPr>
          <w:rFonts w:hint="eastAsia" w:hAnsi="宋体" w:eastAsia="宋体"/>
          <w:lang w:val="en-US" w:eastAsia="zh-CN"/>
        </w:rPr>
        <w:t>二</w:t>
      </w:r>
      <w:r>
        <w:rPr>
          <w:rFonts w:hint="eastAsia" w:hAnsi="宋体"/>
        </w:rPr>
        <w:t>级。</w:t>
      </w:r>
    </w:p>
    <w:p w14:paraId="4B14CB42">
      <w:pPr>
        <w:widowControl w:val="0"/>
        <w:tabs>
          <w:tab w:val="left" w:pos="1159"/>
        </w:tabs>
        <w:spacing w:before="3" w:after="0" w:line="240" w:lineRule="auto"/>
        <w:ind w:left="0" w:right="1357"/>
        <w:jc w:val="center"/>
        <w:rPr>
          <w:rFonts w:hint="eastAsia"/>
          <w:b/>
          <w:color w:val="000000"/>
          <w:sz w:val="24"/>
          <w:szCs w:val="22"/>
          <w:lang w:val="zh-CN" w:eastAsia="zh-CN" w:bidi="ar-SA"/>
        </w:rPr>
      </w:pPr>
      <w:r>
        <w:rPr>
          <w:rFonts w:hint="eastAsia"/>
          <w:b/>
          <w:color w:val="000000"/>
          <w:sz w:val="24"/>
          <w:szCs w:val="22"/>
          <w:lang w:val="en-US" w:eastAsia="zh-CN" w:bidi="ar-SA"/>
        </w:rPr>
        <w:t xml:space="preserve">       </w:t>
      </w:r>
      <w:r>
        <w:rPr>
          <w:rFonts w:hint="eastAsia"/>
          <w:b/>
          <w:color w:val="000000"/>
          <w:sz w:val="24"/>
          <w:szCs w:val="22"/>
          <w:lang w:val="zh-CN" w:eastAsia="zh-CN" w:bidi="ar-SA"/>
        </w:rPr>
        <w:t xml:space="preserve">表 </w:t>
      </w:r>
      <w:r>
        <w:rPr>
          <w:rFonts w:hint="eastAsia"/>
          <w:b/>
          <w:color w:val="000000"/>
          <w:sz w:val="24"/>
          <w:szCs w:val="22"/>
          <w:lang w:val="en-US" w:eastAsia="zh-CN" w:bidi="ar-SA"/>
        </w:rPr>
        <w:t>2.5</w:t>
      </w:r>
      <w:r>
        <w:rPr>
          <w:rFonts w:hint="eastAsia"/>
          <w:b/>
          <w:color w:val="000000"/>
          <w:sz w:val="24"/>
          <w:szCs w:val="22"/>
          <w:lang w:val="zh-CN" w:eastAsia="zh-CN" w:bidi="ar-SA"/>
        </w:rPr>
        <w:t>-</w:t>
      </w:r>
      <w:r>
        <w:rPr>
          <w:rFonts w:hint="eastAsia"/>
          <w:b/>
          <w:color w:val="000000"/>
          <w:sz w:val="24"/>
          <w:szCs w:val="22"/>
          <w:lang w:val="en-US" w:eastAsia="zh-CN" w:bidi="ar-SA"/>
        </w:rPr>
        <w:t>4</w:t>
      </w:r>
      <w:r>
        <w:rPr>
          <w:rFonts w:hint="eastAsia"/>
          <w:b/>
          <w:color w:val="000000"/>
          <w:sz w:val="24"/>
          <w:szCs w:val="22"/>
          <w:lang w:val="zh-CN" w:eastAsia="zh-CN" w:bidi="ar-SA"/>
        </w:rPr>
        <w:tab/>
      </w:r>
      <w:r>
        <w:rPr>
          <w:rFonts w:hint="eastAsia"/>
          <w:b/>
          <w:color w:val="000000"/>
          <w:sz w:val="24"/>
          <w:szCs w:val="22"/>
          <w:lang w:val="zh-CN" w:eastAsia="zh-CN" w:bidi="ar-SA"/>
        </w:rPr>
        <w:t>地下水评价工作等级分级表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3177"/>
        <w:gridCol w:w="1775"/>
        <w:gridCol w:w="1775"/>
        <w:gridCol w:w="1777"/>
      </w:tblGrid>
      <w:tr w14:paraId="7509DD3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3177" w:type="dxa"/>
            <w:noWrap w:val="0"/>
            <w:vAlign w:val="center"/>
          </w:tcPr>
          <w:p w14:paraId="1AC072CB">
            <w:pPr>
              <w:pStyle w:val="363"/>
              <w:jc w:val="center"/>
              <w:rPr>
                <w:rFonts w:hint="eastAsia"/>
                <w:b/>
                <w:bCs/>
                <w:szCs w:val="21"/>
                <w:lang w:val="en-US" w:eastAsia="zh-CN"/>
              </w:rPr>
            </w:pPr>
            <w:r>
              <w:rPr>
                <w:rFonts w:hint="eastAsia"/>
                <w:b/>
                <w:bCs/>
                <w:szCs w:val="21"/>
                <w:lang w:val="en-US" w:eastAsia="zh-CN"/>
              </w:rPr>
              <w:t xml:space="preserve">     </w:t>
            </w:r>
          </w:p>
          <w:p w14:paraId="6FCE0428">
            <w:pPr>
              <w:pStyle w:val="363"/>
              <w:jc w:val="center"/>
              <w:rPr>
                <w:rFonts w:hint="eastAsia"/>
                <w:b/>
                <w:bCs/>
                <w:szCs w:val="21"/>
                <w:lang w:val="en-US" w:eastAsia="zh-CN"/>
              </w:rPr>
            </w:pPr>
          </w:p>
          <w:p w14:paraId="322E6584">
            <w:pPr>
              <w:pStyle w:val="363"/>
              <w:spacing w:line="240" w:lineRule="auto"/>
              <w:jc w:val="center"/>
              <w:rPr>
                <w:rFonts w:hint="eastAsia"/>
                <w:b/>
                <w:bCs/>
                <w:szCs w:val="21"/>
                <w:lang w:val="zh-CN" w:eastAsia="zh-CN"/>
              </w:rPr>
            </w:pPr>
            <w:r>
              <w:rPr>
                <w:rFonts w:hint="eastAsia"/>
                <w:b/>
                <w:bCs/>
                <w:szCs w:val="21"/>
                <w:lang w:val="zh-CN" w:eastAsia="zh-CN"/>
              </w:rPr>
              <w:t>环境敏感程度</w:t>
            </w:r>
          </w:p>
          <w:p w14:paraId="600F5CE1">
            <w:pPr>
              <w:pStyle w:val="363"/>
              <w:jc w:val="center"/>
              <w:rPr>
                <w:rFonts w:hint="eastAsia"/>
                <w:b/>
                <w:bCs/>
                <w:szCs w:val="21"/>
                <w:lang w:val="zh-CN" w:eastAsia="zh-CN"/>
              </w:rPr>
            </w:pPr>
            <w:r>
              <w:rPr>
                <w:rFonts w:hint="eastAsia"/>
                <w:b/>
                <w:bCs/>
                <w:szCs w:val="21"/>
                <w:lang w:val="en-US" w:eastAsia="zh-CN"/>
              </w:rPr>
              <w:t xml:space="preserve">      项</w:t>
            </w:r>
            <w:r>
              <w:rPr>
                <w:rFonts w:hint="eastAsia"/>
                <w:b/>
                <w:bCs/>
                <w:szCs w:val="21"/>
                <w:lang w:val="zh-CN" w:eastAsia="zh-CN"/>
              </w:rPr>
              <w:t>目类别</w:t>
            </w:r>
          </w:p>
          <w:p w14:paraId="2399BACB">
            <w:pPr>
              <w:pStyle w:val="363"/>
              <w:jc w:val="center"/>
              <w:rPr>
                <w:b/>
                <w:bCs/>
                <w:szCs w:val="21"/>
                <w:lang w:val="en-US" w:eastAsia="zh-CN"/>
              </w:rPr>
            </w:pPr>
          </w:p>
        </w:tc>
        <w:tc>
          <w:tcPr>
            <w:tcW w:w="1775" w:type="dxa"/>
            <w:noWrap w:val="0"/>
            <w:vAlign w:val="center"/>
          </w:tcPr>
          <w:p w14:paraId="0E5437A0">
            <w:pPr>
              <w:pStyle w:val="363"/>
              <w:jc w:val="center"/>
              <w:rPr>
                <w:rFonts w:hint="eastAsia"/>
                <w:b/>
                <w:bCs/>
                <w:szCs w:val="21"/>
                <w:lang w:val="zh-CN" w:eastAsia="zh-CN"/>
              </w:rPr>
            </w:pPr>
            <w:r>
              <w:rPr>
                <w:rFonts w:hint="eastAsia"/>
                <w:b/>
                <w:bCs/>
                <w:szCs w:val="21"/>
                <w:lang w:val="zh-CN" w:eastAsia="zh-CN"/>
              </w:rPr>
              <w:t>Ⅰ类项目</w:t>
            </w:r>
          </w:p>
        </w:tc>
        <w:tc>
          <w:tcPr>
            <w:tcW w:w="1775" w:type="dxa"/>
            <w:noWrap w:val="0"/>
            <w:vAlign w:val="center"/>
          </w:tcPr>
          <w:p w14:paraId="3D5735E0">
            <w:pPr>
              <w:pStyle w:val="363"/>
              <w:jc w:val="center"/>
              <w:rPr>
                <w:rFonts w:hint="eastAsia"/>
                <w:b/>
                <w:bCs/>
                <w:szCs w:val="21"/>
                <w:lang w:val="zh-CN" w:eastAsia="zh-CN"/>
              </w:rPr>
            </w:pPr>
            <w:r>
              <w:rPr>
                <w:rFonts w:hint="eastAsia"/>
                <w:b/>
                <w:bCs/>
                <w:szCs w:val="21"/>
                <w:lang w:val="zh-CN" w:eastAsia="zh-CN"/>
              </w:rPr>
              <w:t>Ⅱ类项目</w:t>
            </w:r>
          </w:p>
        </w:tc>
        <w:tc>
          <w:tcPr>
            <w:tcW w:w="1777" w:type="dxa"/>
            <w:noWrap w:val="0"/>
            <w:vAlign w:val="center"/>
          </w:tcPr>
          <w:p w14:paraId="05A297F2">
            <w:pPr>
              <w:pStyle w:val="363"/>
              <w:jc w:val="center"/>
              <w:rPr>
                <w:rFonts w:hint="eastAsia"/>
                <w:b/>
                <w:bCs/>
                <w:szCs w:val="21"/>
                <w:lang w:val="zh-CN" w:eastAsia="zh-CN"/>
              </w:rPr>
            </w:pPr>
            <w:r>
              <w:rPr>
                <w:rFonts w:hint="eastAsia"/>
                <w:b/>
                <w:bCs/>
                <w:szCs w:val="21"/>
                <w:lang w:val="zh-CN" w:eastAsia="zh-CN"/>
              </w:rPr>
              <w:t>Ⅲ类项目</w:t>
            </w:r>
          </w:p>
        </w:tc>
      </w:tr>
      <w:tr w14:paraId="672D30B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77" w:type="dxa"/>
            <w:noWrap w:val="0"/>
            <w:vAlign w:val="center"/>
          </w:tcPr>
          <w:p w14:paraId="31C450B4">
            <w:pPr>
              <w:pStyle w:val="363"/>
              <w:jc w:val="center"/>
              <w:rPr>
                <w:rFonts w:hint="eastAsia"/>
                <w:b w:val="0"/>
                <w:bCs w:val="0"/>
                <w:szCs w:val="21"/>
                <w:lang w:val="zh-CN" w:eastAsia="zh-CN"/>
              </w:rPr>
            </w:pPr>
            <w:r>
              <w:rPr>
                <w:rFonts w:hint="eastAsia"/>
                <w:b w:val="0"/>
                <w:bCs w:val="0"/>
                <w:szCs w:val="21"/>
                <w:lang w:val="zh-CN" w:eastAsia="zh-CN"/>
              </w:rPr>
              <w:t>敏感</w:t>
            </w:r>
          </w:p>
        </w:tc>
        <w:tc>
          <w:tcPr>
            <w:tcW w:w="1775" w:type="dxa"/>
            <w:noWrap w:val="0"/>
            <w:vAlign w:val="center"/>
          </w:tcPr>
          <w:p w14:paraId="59DFBC0D">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一</w:t>
            </w:r>
          </w:p>
        </w:tc>
        <w:tc>
          <w:tcPr>
            <w:tcW w:w="1775" w:type="dxa"/>
            <w:noWrap w:val="0"/>
            <w:vAlign w:val="center"/>
          </w:tcPr>
          <w:p w14:paraId="1475C2CA">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一</w:t>
            </w:r>
          </w:p>
        </w:tc>
        <w:tc>
          <w:tcPr>
            <w:tcW w:w="1777" w:type="dxa"/>
            <w:noWrap w:val="0"/>
            <w:vAlign w:val="center"/>
          </w:tcPr>
          <w:p w14:paraId="280BFD94">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二</w:t>
            </w:r>
          </w:p>
        </w:tc>
      </w:tr>
      <w:tr w14:paraId="59660EE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77" w:type="dxa"/>
            <w:noWrap w:val="0"/>
            <w:vAlign w:val="center"/>
          </w:tcPr>
          <w:p w14:paraId="375ED078">
            <w:pPr>
              <w:pStyle w:val="363"/>
              <w:jc w:val="center"/>
              <w:rPr>
                <w:rFonts w:hint="eastAsia"/>
                <w:b w:val="0"/>
                <w:bCs w:val="0"/>
                <w:szCs w:val="21"/>
                <w:lang w:val="zh-CN" w:eastAsia="zh-CN"/>
              </w:rPr>
            </w:pPr>
            <w:r>
              <w:rPr>
                <w:rFonts w:hint="eastAsia"/>
                <w:b w:val="0"/>
                <w:bCs w:val="0"/>
                <w:szCs w:val="21"/>
                <w:lang w:val="zh-CN" w:eastAsia="zh-CN"/>
              </w:rPr>
              <w:t>较敏感</w:t>
            </w:r>
          </w:p>
        </w:tc>
        <w:tc>
          <w:tcPr>
            <w:tcW w:w="1775" w:type="dxa"/>
            <w:noWrap w:val="0"/>
            <w:vAlign w:val="center"/>
          </w:tcPr>
          <w:p w14:paraId="28E9C9A3">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一</w:t>
            </w:r>
          </w:p>
        </w:tc>
        <w:tc>
          <w:tcPr>
            <w:tcW w:w="1775" w:type="dxa"/>
            <w:noWrap w:val="0"/>
            <w:vAlign w:val="center"/>
          </w:tcPr>
          <w:p w14:paraId="6F98D5A8">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二</w:t>
            </w:r>
          </w:p>
        </w:tc>
        <w:tc>
          <w:tcPr>
            <w:tcW w:w="1777" w:type="dxa"/>
            <w:noWrap w:val="0"/>
            <w:vAlign w:val="center"/>
          </w:tcPr>
          <w:p w14:paraId="679781A7">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三</w:t>
            </w:r>
          </w:p>
        </w:tc>
      </w:tr>
      <w:tr w14:paraId="3F541A9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77" w:type="dxa"/>
            <w:noWrap w:val="0"/>
            <w:vAlign w:val="center"/>
          </w:tcPr>
          <w:p w14:paraId="1D3A607F">
            <w:pPr>
              <w:pStyle w:val="363"/>
              <w:jc w:val="center"/>
              <w:rPr>
                <w:rFonts w:hint="eastAsia"/>
                <w:b w:val="0"/>
                <w:bCs w:val="0"/>
                <w:szCs w:val="21"/>
                <w:lang w:val="zh-CN" w:eastAsia="zh-CN"/>
              </w:rPr>
            </w:pPr>
            <w:r>
              <w:rPr>
                <w:rFonts w:hint="eastAsia"/>
                <w:b w:val="0"/>
                <w:bCs w:val="0"/>
                <w:szCs w:val="21"/>
                <w:lang w:val="zh-CN" w:eastAsia="zh-CN"/>
              </w:rPr>
              <w:t>不敏感</w:t>
            </w:r>
          </w:p>
        </w:tc>
        <w:tc>
          <w:tcPr>
            <w:tcW w:w="1775" w:type="dxa"/>
            <w:noWrap w:val="0"/>
            <w:vAlign w:val="center"/>
          </w:tcPr>
          <w:p w14:paraId="727F44F0">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bCs/>
                <w:szCs w:val="21"/>
                <w:lang w:val="zh-CN" w:eastAsia="zh-CN"/>
              </w:rPr>
              <w:t>二</w:t>
            </w:r>
          </w:p>
        </w:tc>
        <w:tc>
          <w:tcPr>
            <w:tcW w:w="1775" w:type="dxa"/>
            <w:noWrap w:val="0"/>
            <w:vAlign w:val="center"/>
          </w:tcPr>
          <w:p w14:paraId="17FAB28D">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三</w:t>
            </w:r>
          </w:p>
        </w:tc>
        <w:tc>
          <w:tcPr>
            <w:tcW w:w="1777" w:type="dxa"/>
            <w:noWrap w:val="0"/>
            <w:vAlign w:val="center"/>
          </w:tcPr>
          <w:p w14:paraId="098A2900">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三</w:t>
            </w:r>
          </w:p>
        </w:tc>
      </w:tr>
    </w:tbl>
    <w:p w14:paraId="5661E837">
      <w:pPr>
        <w:pStyle w:val="282"/>
        <w:rPr>
          <w:rFonts w:hint="eastAsia"/>
        </w:rPr>
      </w:pPr>
      <w:r>
        <w:rPr>
          <w:rFonts w:hint="eastAsia"/>
        </w:rPr>
        <w:t>2.</w:t>
      </w:r>
      <w:r>
        <w:rPr>
          <w:rFonts w:hint="eastAsia"/>
          <w:lang w:val="en-US" w:eastAsia="zh-CN"/>
        </w:rPr>
        <w:t>5</w:t>
      </w:r>
      <w:r>
        <w:rPr>
          <w:rFonts w:hint="eastAsia"/>
        </w:rPr>
        <w:t>.1.5 大气环境评价</w:t>
      </w:r>
    </w:p>
    <w:p w14:paraId="66FE2F9D">
      <w:pPr>
        <w:ind w:firstLine="480"/>
        <w:rPr>
          <w:rFonts w:hint="eastAsia" w:hAnsi="宋体"/>
          <w:szCs w:val="22"/>
          <w:highlight w:val="red"/>
        </w:rPr>
      </w:pPr>
      <w:r>
        <w:rPr>
          <w:rFonts w:hint="eastAsia" w:hAnsi="宋体"/>
          <w:szCs w:val="22"/>
        </w:rPr>
        <w:t>根据《环境影响评价技术导则 大气环境》（HJ2.2-20</w:t>
      </w:r>
      <w:r>
        <w:rPr>
          <w:rFonts w:hAnsi="宋体"/>
          <w:szCs w:val="22"/>
        </w:rPr>
        <w:t>1</w:t>
      </w:r>
      <w:r>
        <w:rPr>
          <w:rFonts w:hint="eastAsia" w:hAnsi="宋体"/>
          <w:szCs w:val="22"/>
        </w:rPr>
        <w:t>8），本项目大气评价污染</w:t>
      </w:r>
      <w:r>
        <w:rPr>
          <w:rFonts w:hint="eastAsia" w:hAnsi="宋体"/>
          <w:szCs w:val="22"/>
          <w:highlight w:val="none"/>
        </w:rPr>
        <w:t>物涉及</w:t>
      </w:r>
      <w:r>
        <w:rPr>
          <w:rFonts w:hAnsi="宋体"/>
          <w:szCs w:val="22"/>
          <w:highlight w:val="none"/>
        </w:rPr>
        <w:t>TSP</w:t>
      </w:r>
      <w:r>
        <w:rPr>
          <w:rFonts w:hint="eastAsia" w:hAnsi="宋体"/>
          <w:szCs w:val="22"/>
          <w:highlight w:val="none"/>
        </w:rPr>
        <w:t>、</w:t>
      </w:r>
      <w:r>
        <w:rPr>
          <w:rFonts w:hAnsi="宋体"/>
          <w:szCs w:val="22"/>
          <w:highlight w:val="none"/>
        </w:rPr>
        <w:t>SO</w:t>
      </w:r>
      <w:r>
        <w:rPr>
          <w:rFonts w:hAnsi="宋体"/>
          <w:szCs w:val="22"/>
          <w:highlight w:val="none"/>
          <w:vertAlign w:val="subscript"/>
        </w:rPr>
        <w:t>2</w:t>
      </w:r>
      <w:r>
        <w:rPr>
          <w:rFonts w:hint="eastAsia" w:hAnsi="宋体"/>
          <w:szCs w:val="22"/>
          <w:highlight w:val="none"/>
        </w:rPr>
        <w:t>、N</w:t>
      </w:r>
      <w:r>
        <w:rPr>
          <w:rFonts w:hAnsi="宋体"/>
          <w:szCs w:val="22"/>
          <w:highlight w:val="none"/>
        </w:rPr>
        <w:t>O</w:t>
      </w:r>
      <w:r>
        <w:rPr>
          <w:rFonts w:hAnsi="宋体"/>
          <w:szCs w:val="22"/>
          <w:highlight w:val="none"/>
          <w:vertAlign w:val="subscript"/>
        </w:rPr>
        <w:t>X</w:t>
      </w:r>
      <w:r>
        <w:rPr>
          <w:rFonts w:hint="eastAsia" w:hAnsi="宋体"/>
          <w:szCs w:val="22"/>
          <w:highlight w:val="none"/>
          <w:lang w:eastAsia="zh-CN"/>
        </w:rPr>
        <w:t>、</w:t>
      </w:r>
      <w:r>
        <w:rPr>
          <w:rFonts w:hint="eastAsia" w:hAnsi="宋体"/>
          <w:szCs w:val="22"/>
          <w:highlight w:val="none"/>
          <w:lang w:val="en-US" w:eastAsia="zh-CN"/>
        </w:rPr>
        <w:t>甲醛、酚类、氨、非甲烷总烃</w:t>
      </w:r>
      <w:r>
        <w:rPr>
          <w:rFonts w:hint="eastAsia" w:hAnsi="宋体"/>
          <w:szCs w:val="22"/>
          <w:highlight w:val="none"/>
        </w:rPr>
        <w:t>等，经过预测最大占标率Pmax:</w:t>
      </w:r>
      <w:r>
        <w:rPr>
          <w:rFonts w:hint="eastAsia" w:hAnsi="宋体" w:eastAsia="宋体"/>
          <w:szCs w:val="22"/>
          <w:highlight w:val="none"/>
          <w:lang w:val="en-US" w:eastAsia="zh-CN"/>
        </w:rPr>
        <w:t>7.43</w:t>
      </w:r>
      <w:r>
        <w:rPr>
          <w:rFonts w:hint="eastAsia" w:hAnsi="宋体"/>
          <w:szCs w:val="22"/>
          <w:highlight w:val="none"/>
        </w:rPr>
        <w:t>% (</w:t>
      </w:r>
      <w:r>
        <w:rPr>
          <w:rFonts w:hint="eastAsia" w:hAnsi="宋体" w:eastAsia="宋体"/>
          <w:szCs w:val="22"/>
          <w:highlight w:val="none"/>
          <w:lang w:val="en-US" w:eastAsia="zh-CN"/>
        </w:rPr>
        <w:t>酚类</w:t>
      </w:r>
      <w:r>
        <w:rPr>
          <w:rFonts w:hint="eastAsia" w:hAnsi="宋体"/>
          <w:szCs w:val="22"/>
          <w:highlight w:val="none"/>
        </w:rPr>
        <w:t xml:space="preserve">)，建议评价等级：二级。 </w:t>
      </w:r>
    </w:p>
    <w:p w14:paraId="487A3AB2">
      <w:pPr>
        <w:pStyle w:val="282"/>
        <w:rPr>
          <w:rFonts w:hint="eastAsia"/>
        </w:rPr>
      </w:pPr>
      <w:r>
        <w:rPr>
          <w:rFonts w:hint="eastAsia"/>
        </w:rPr>
        <w:t>2.</w:t>
      </w:r>
      <w:r>
        <w:rPr>
          <w:rFonts w:hint="eastAsia"/>
          <w:lang w:val="en-US" w:eastAsia="zh-CN"/>
        </w:rPr>
        <w:t>5</w:t>
      </w:r>
      <w:r>
        <w:rPr>
          <w:rFonts w:hint="eastAsia"/>
        </w:rPr>
        <w:t>.1.6环境风险评价</w:t>
      </w:r>
    </w:p>
    <w:p w14:paraId="612BE72B">
      <w:pPr>
        <w:keepNext w:val="0"/>
        <w:keepLines w:val="0"/>
        <w:pageBreakBefore w:val="0"/>
        <w:widowControl w:val="0"/>
        <w:spacing w:before="0" w:after="0" w:line="360" w:lineRule="auto"/>
        <w:ind w:left="0" w:right="0" w:firstLine="480"/>
        <w:jc w:val="both"/>
        <w:rPr>
          <w:rFonts w:ascii="Times New Roman" w:hAnsi="Times New Roman" w:eastAsia="宋体" w:cs="Times New Roman"/>
          <w:sz w:val="24"/>
          <w:szCs w:val="22"/>
          <w:lang w:val="zh-CN" w:eastAsia="zh-CN" w:bidi="ar-SA"/>
        </w:rPr>
      </w:pPr>
      <w:r>
        <w:rPr>
          <w:rFonts w:ascii="Times New Roman" w:hAnsi="Times New Roman" w:eastAsia="宋体" w:cs="Times New Roman"/>
          <w:sz w:val="24"/>
          <w:szCs w:val="22"/>
          <w:lang w:val="zh-CN" w:eastAsia="zh-CN" w:bidi="ar-SA"/>
        </w:rPr>
        <w:t>项目环境风险评价等级根据《建设项目环境风险评价技术导则》（HJ169-2018） 要求进行评定。</w:t>
      </w:r>
    </w:p>
    <w:p w14:paraId="478AA09C">
      <w:pPr>
        <w:keepNext w:val="0"/>
        <w:keepLines w:val="0"/>
        <w:pageBreakBefore w:val="0"/>
        <w:widowControl w:val="0"/>
        <w:spacing w:before="0" w:after="0" w:line="360" w:lineRule="auto"/>
        <w:ind w:left="0" w:right="0" w:firstLine="480"/>
        <w:jc w:val="both"/>
        <w:rPr>
          <w:rFonts w:ascii="Times New Roman" w:hAnsi="Times New Roman" w:eastAsia="宋体" w:cs="Times New Roman"/>
          <w:sz w:val="24"/>
          <w:szCs w:val="22"/>
          <w:lang w:val="zh-CN" w:eastAsia="zh-CN" w:bidi="ar-SA"/>
        </w:rPr>
      </w:pPr>
      <w:r>
        <w:rPr>
          <w:rFonts w:ascii="Times New Roman" w:hAnsi="Times New Roman" w:eastAsia="宋体" w:cs="Times New Roman"/>
          <w:sz w:val="24"/>
          <w:szCs w:val="22"/>
          <w:lang w:val="zh-CN" w:eastAsia="zh-CN" w:bidi="ar-SA"/>
        </w:rPr>
        <w:t>项目生产及贮运过程涉及的化学品主要有甲醛、尿素、三聚氰胺、苯酚、聚乙烯醇、甲酸、氢氧化钠溶液等原料以及脲醛树脂胶、酚醛树脂胶等产品。</w:t>
      </w:r>
    </w:p>
    <w:p w14:paraId="4BF115E1">
      <w:pPr>
        <w:keepNext w:val="0"/>
        <w:keepLines w:val="0"/>
        <w:pageBreakBefore w:val="0"/>
        <w:widowControl w:val="0"/>
        <w:spacing w:before="0" w:after="0" w:line="360" w:lineRule="auto"/>
        <w:ind w:left="0" w:right="0" w:firstLine="480"/>
        <w:jc w:val="both"/>
        <w:rPr>
          <w:rFonts w:ascii="Times New Roman" w:hAnsi="Times New Roman" w:eastAsia="宋体" w:cs="Times New Roman"/>
          <w:sz w:val="24"/>
          <w:szCs w:val="22"/>
          <w:lang w:val="zh-CN" w:eastAsia="zh-CN" w:bidi="ar-SA"/>
        </w:rPr>
      </w:pPr>
      <w:r>
        <w:rPr>
          <w:rFonts w:ascii="Times New Roman" w:hAnsi="Times New Roman" w:eastAsia="宋体" w:cs="Times New Roman"/>
          <w:sz w:val="24"/>
          <w:szCs w:val="22"/>
          <w:lang w:val="zh-CN" w:eastAsia="zh-CN" w:bidi="ar-SA"/>
        </w:rPr>
        <w:t>项目涉及的化</w:t>
      </w:r>
      <w:r>
        <w:rPr>
          <w:rFonts w:ascii="Times New Roman" w:hAnsi="Times New Roman" w:eastAsia="宋体" w:cs="Times New Roman"/>
          <w:sz w:val="24"/>
          <w:szCs w:val="22"/>
          <w:highlight w:val="none"/>
          <w:lang w:val="zh-CN" w:eastAsia="zh-CN" w:bidi="ar-SA"/>
        </w:rPr>
        <w:t>学品中，甲醛、苯酚、甲酸属《建设项目环境风险评价技术导则》（HJ169-2018）附录 B 重点关注的危险物质，</w:t>
      </w:r>
      <w:r>
        <w:rPr>
          <w:rFonts w:hint="eastAsia" w:ascii="Times New Roman" w:hAnsi="Times New Roman" w:eastAsia="宋体" w:cs="Times New Roman"/>
          <w:sz w:val="24"/>
          <w:szCs w:val="22"/>
          <w:highlight w:val="none"/>
          <w:lang w:val="en-US" w:eastAsia="zh-CN" w:bidi="ar-SA"/>
        </w:rPr>
        <w:t>其临界量分别为0.5t、5t、10t</w:t>
      </w:r>
      <w:r>
        <w:rPr>
          <w:rFonts w:ascii="Times New Roman" w:hAnsi="Times New Roman" w:eastAsia="宋体" w:cs="Times New Roman"/>
          <w:sz w:val="24"/>
          <w:szCs w:val="22"/>
          <w:highlight w:val="none"/>
          <w:lang w:val="zh-CN" w:eastAsia="zh-CN" w:bidi="ar-SA"/>
        </w:rPr>
        <w:t>根据计算，危险物质数量与临界量比值（Q）=</w:t>
      </w:r>
      <w:r>
        <w:rPr>
          <w:rFonts w:hint="eastAsia" w:ascii="Times New Roman" w:hAnsi="Times New Roman" w:eastAsia="宋体" w:cs="Times New Roman"/>
          <w:sz w:val="24"/>
          <w:szCs w:val="22"/>
          <w:highlight w:val="none"/>
          <w:lang w:val="en-US" w:eastAsia="zh-CN" w:bidi="ar-SA"/>
        </w:rPr>
        <w:t>43.005</w:t>
      </w:r>
      <w:r>
        <w:rPr>
          <w:rFonts w:ascii="Times New Roman" w:hAnsi="Times New Roman" w:eastAsia="宋体" w:cs="Times New Roman"/>
          <w:sz w:val="24"/>
          <w:szCs w:val="22"/>
          <w:highlight w:val="none"/>
          <w:lang w:val="zh-CN" w:eastAsia="zh-CN" w:bidi="ar-SA"/>
        </w:rPr>
        <w:t>。根据项</w:t>
      </w:r>
      <w:r>
        <w:rPr>
          <w:rFonts w:ascii="Times New Roman" w:hAnsi="Times New Roman" w:eastAsia="宋体" w:cs="Times New Roman"/>
          <w:sz w:val="24"/>
          <w:szCs w:val="22"/>
          <w:lang w:val="zh-CN" w:eastAsia="zh-CN" w:bidi="ar-SA"/>
        </w:rPr>
        <w:t>目工艺特点，计算项目行业及生产工艺（M）=</w:t>
      </w:r>
      <w:r>
        <w:rPr>
          <w:rFonts w:hint="eastAsia" w:ascii="Times New Roman" w:hAnsi="Times New Roman" w:eastAsia="宋体" w:cs="Times New Roman"/>
          <w:sz w:val="24"/>
          <w:szCs w:val="22"/>
          <w:lang w:val="en-US" w:eastAsia="zh-CN" w:bidi="ar-SA"/>
        </w:rPr>
        <w:t>25</w:t>
      </w:r>
      <w:r>
        <w:rPr>
          <w:rFonts w:ascii="Times New Roman" w:hAnsi="Times New Roman" w:eastAsia="宋体" w:cs="Times New Roman"/>
          <w:sz w:val="24"/>
          <w:szCs w:val="22"/>
          <w:lang w:val="zh-CN" w:eastAsia="zh-CN" w:bidi="ar-SA"/>
        </w:rPr>
        <w:t>，以 M1 表示。根据项目 Q 值及 M 值确定危险物质及工艺系统危险性（P）分级， 如下表所示。</w:t>
      </w:r>
    </w:p>
    <w:p w14:paraId="0815B771">
      <w:pPr>
        <w:widowControl w:val="0"/>
        <w:tabs>
          <w:tab w:val="left" w:pos="1079"/>
        </w:tabs>
        <w:spacing w:before="0" w:after="0" w:line="240" w:lineRule="auto"/>
        <w:ind w:left="40" w:right="0"/>
        <w:jc w:val="center"/>
        <w:rPr>
          <w:b/>
          <w:color w:val="000000"/>
          <w:sz w:val="24"/>
          <w:szCs w:val="22"/>
          <w:lang w:val="zh-CN" w:eastAsia="zh-CN" w:bidi="ar-SA"/>
        </w:rPr>
      </w:pPr>
      <w:r>
        <w:rPr>
          <w:b/>
          <w:color w:val="000000"/>
          <w:sz w:val="24"/>
          <w:szCs w:val="22"/>
          <w:lang w:val="zh-CN" w:eastAsia="zh-CN" w:bidi="ar-SA"/>
        </w:rPr>
        <w:t>表</w:t>
      </w:r>
      <w:r>
        <w:rPr>
          <w:b/>
          <w:color w:val="000000"/>
          <w:sz w:val="24"/>
          <w:szCs w:val="22"/>
          <w:lang w:val="en-US" w:eastAsia="zh-CN" w:bidi="ar-SA"/>
        </w:rPr>
        <w:t>2.5-5</w:t>
      </w:r>
      <w:r>
        <w:rPr>
          <w:b/>
          <w:color w:val="000000"/>
          <w:sz w:val="24"/>
          <w:szCs w:val="22"/>
          <w:lang w:val="zh-CN" w:eastAsia="zh-CN" w:bidi="ar-SA"/>
        </w:rPr>
        <w:tab/>
      </w:r>
      <w:r>
        <w:rPr>
          <w:b/>
          <w:color w:val="000000"/>
          <w:sz w:val="24"/>
          <w:szCs w:val="22"/>
          <w:lang w:val="zh-CN" w:eastAsia="zh-CN" w:bidi="ar-SA"/>
        </w:rPr>
        <w:t>危险物质及工艺系统危险性等级判断（P）</w:t>
      </w:r>
    </w:p>
    <w:tbl>
      <w:tblPr>
        <w:tblStyle w:val="32"/>
        <w:tblW w:w="827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91"/>
        <w:gridCol w:w="1720"/>
        <w:gridCol w:w="1487"/>
        <w:gridCol w:w="1485"/>
        <w:gridCol w:w="1896"/>
      </w:tblGrid>
      <w:tr w14:paraId="057E2A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4" w:hRule="atLeast"/>
          <w:jc w:val="center"/>
        </w:trPr>
        <w:tc>
          <w:tcPr>
            <w:tcW w:w="1691" w:type="dxa"/>
            <w:vMerge w:val="restart"/>
            <w:noWrap w:val="0"/>
            <w:vAlign w:val="top"/>
          </w:tcPr>
          <w:p w14:paraId="3F2D89A9">
            <w:pPr>
              <w:pStyle w:val="363"/>
              <w:jc w:val="center"/>
              <w:rPr>
                <w:rFonts w:hint="eastAsia"/>
                <w:b/>
                <w:bCs/>
                <w:szCs w:val="21"/>
                <w:lang w:val="zh-CN" w:eastAsia="zh-CN"/>
              </w:rPr>
            </w:pPr>
            <w:r>
              <w:rPr>
                <w:rFonts w:hint="eastAsia"/>
                <w:b/>
                <w:bCs/>
                <w:szCs w:val="21"/>
                <w:lang w:val="zh-CN" w:eastAsia="zh-CN"/>
              </w:rPr>
              <w:t>危险物质数量与临界量比值（Q）</w:t>
            </w:r>
          </w:p>
        </w:tc>
        <w:tc>
          <w:tcPr>
            <w:tcW w:w="6588" w:type="dxa"/>
            <w:gridSpan w:val="4"/>
            <w:noWrap w:val="0"/>
            <w:vAlign w:val="top"/>
          </w:tcPr>
          <w:p w14:paraId="09DD2F81">
            <w:pPr>
              <w:pStyle w:val="363"/>
              <w:jc w:val="center"/>
              <w:rPr>
                <w:rFonts w:hint="eastAsia"/>
                <w:b/>
                <w:bCs/>
                <w:szCs w:val="21"/>
                <w:lang w:val="zh-CN" w:eastAsia="zh-CN"/>
              </w:rPr>
            </w:pPr>
            <w:r>
              <w:rPr>
                <w:rFonts w:hint="eastAsia"/>
                <w:b/>
                <w:bCs/>
                <w:szCs w:val="21"/>
                <w:lang w:val="zh-CN" w:eastAsia="zh-CN"/>
              </w:rPr>
              <w:t>行业及生产工艺（M）</w:t>
            </w:r>
          </w:p>
        </w:tc>
      </w:tr>
      <w:tr w14:paraId="4A201C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5" w:hRule="atLeast"/>
          <w:jc w:val="center"/>
        </w:trPr>
        <w:tc>
          <w:tcPr>
            <w:tcW w:w="1691" w:type="dxa"/>
            <w:vMerge w:val="continue"/>
            <w:noWrap w:val="0"/>
            <w:vAlign w:val="top"/>
          </w:tcPr>
          <w:p w14:paraId="098BFB1E">
            <w:pPr>
              <w:pStyle w:val="363"/>
              <w:jc w:val="center"/>
              <w:rPr>
                <w:rFonts w:hint="eastAsia"/>
                <w:b/>
                <w:bCs/>
                <w:szCs w:val="21"/>
                <w:lang w:val="zh-CN" w:eastAsia="zh-CN"/>
              </w:rPr>
            </w:pPr>
          </w:p>
        </w:tc>
        <w:tc>
          <w:tcPr>
            <w:tcW w:w="1720" w:type="dxa"/>
            <w:noWrap w:val="0"/>
            <w:vAlign w:val="top"/>
          </w:tcPr>
          <w:p w14:paraId="2D20218E">
            <w:pPr>
              <w:pStyle w:val="363"/>
              <w:jc w:val="center"/>
              <w:rPr>
                <w:rFonts w:hint="eastAsia"/>
                <w:b/>
                <w:bCs/>
                <w:szCs w:val="21"/>
                <w:lang w:val="zh-CN" w:eastAsia="zh-CN"/>
              </w:rPr>
            </w:pPr>
            <w:r>
              <w:rPr>
                <w:rFonts w:hint="eastAsia"/>
                <w:b/>
                <w:bCs/>
                <w:szCs w:val="21"/>
                <w:lang w:val="zh-CN" w:eastAsia="zh-CN"/>
              </w:rPr>
              <w:t>M1</w:t>
            </w:r>
          </w:p>
        </w:tc>
        <w:tc>
          <w:tcPr>
            <w:tcW w:w="1487" w:type="dxa"/>
            <w:noWrap w:val="0"/>
            <w:vAlign w:val="top"/>
          </w:tcPr>
          <w:p w14:paraId="225DDDCD">
            <w:pPr>
              <w:pStyle w:val="363"/>
              <w:jc w:val="center"/>
              <w:rPr>
                <w:rFonts w:hint="eastAsia"/>
                <w:b/>
                <w:bCs/>
                <w:szCs w:val="21"/>
                <w:lang w:val="zh-CN" w:eastAsia="zh-CN"/>
              </w:rPr>
            </w:pPr>
            <w:r>
              <w:rPr>
                <w:rFonts w:hint="eastAsia"/>
                <w:b/>
                <w:bCs/>
                <w:szCs w:val="21"/>
                <w:lang w:val="zh-CN" w:eastAsia="zh-CN"/>
              </w:rPr>
              <w:t>M2</w:t>
            </w:r>
          </w:p>
        </w:tc>
        <w:tc>
          <w:tcPr>
            <w:tcW w:w="1485" w:type="dxa"/>
            <w:noWrap w:val="0"/>
            <w:vAlign w:val="top"/>
          </w:tcPr>
          <w:p w14:paraId="6B271F7F">
            <w:pPr>
              <w:pStyle w:val="363"/>
              <w:jc w:val="center"/>
              <w:rPr>
                <w:rFonts w:hint="eastAsia"/>
                <w:b/>
                <w:bCs/>
                <w:szCs w:val="21"/>
                <w:lang w:val="zh-CN" w:eastAsia="zh-CN"/>
              </w:rPr>
            </w:pPr>
            <w:r>
              <w:rPr>
                <w:rFonts w:hint="eastAsia"/>
                <w:b/>
                <w:bCs/>
                <w:szCs w:val="21"/>
                <w:lang w:val="zh-CN" w:eastAsia="zh-CN"/>
              </w:rPr>
              <w:t>M3</w:t>
            </w:r>
          </w:p>
        </w:tc>
        <w:tc>
          <w:tcPr>
            <w:tcW w:w="1896" w:type="dxa"/>
            <w:noWrap w:val="0"/>
            <w:vAlign w:val="top"/>
          </w:tcPr>
          <w:p w14:paraId="00EAEBCD">
            <w:pPr>
              <w:pStyle w:val="363"/>
              <w:jc w:val="center"/>
              <w:rPr>
                <w:rFonts w:hint="eastAsia"/>
                <w:b/>
                <w:bCs/>
                <w:szCs w:val="21"/>
                <w:lang w:val="zh-CN" w:eastAsia="zh-CN"/>
              </w:rPr>
            </w:pPr>
            <w:r>
              <w:rPr>
                <w:rFonts w:hint="eastAsia"/>
                <w:b/>
                <w:bCs/>
                <w:szCs w:val="21"/>
                <w:lang w:val="zh-CN" w:eastAsia="zh-CN"/>
              </w:rPr>
              <w:t>M4</w:t>
            </w:r>
          </w:p>
        </w:tc>
      </w:tr>
      <w:tr w14:paraId="6E8BE5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5" w:hRule="atLeast"/>
          <w:jc w:val="center"/>
        </w:trPr>
        <w:tc>
          <w:tcPr>
            <w:tcW w:w="1691" w:type="dxa"/>
            <w:noWrap w:val="0"/>
            <w:vAlign w:val="center"/>
          </w:tcPr>
          <w:p w14:paraId="5BF82AE9">
            <w:pPr>
              <w:pStyle w:val="363"/>
              <w:jc w:val="center"/>
              <w:rPr>
                <w:rFonts w:hint="eastAsia"/>
                <w:b w:val="0"/>
                <w:bCs w:val="0"/>
                <w:szCs w:val="21"/>
                <w:lang w:val="zh-CN" w:eastAsia="zh-CN"/>
              </w:rPr>
            </w:pPr>
            <w:r>
              <w:rPr>
                <w:rFonts w:hint="eastAsia"/>
                <w:b w:val="0"/>
                <w:bCs w:val="0"/>
                <w:szCs w:val="21"/>
                <w:lang w:val="zh-CN" w:eastAsia="zh-CN"/>
              </w:rPr>
              <w:t>Q≥100</w:t>
            </w:r>
          </w:p>
        </w:tc>
        <w:tc>
          <w:tcPr>
            <w:tcW w:w="1720" w:type="dxa"/>
            <w:noWrap w:val="0"/>
            <w:vAlign w:val="top"/>
          </w:tcPr>
          <w:p w14:paraId="43A50595">
            <w:pPr>
              <w:pStyle w:val="363"/>
              <w:jc w:val="center"/>
              <w:rPr>
                <w:rFonts w:hint="eastAsia"/>
                <w:b w:val="0"/>
                <w:bCs w:val="0"/>
                <w:szCs w:val="21"/>
                <w:lang w:val="zh-CN" w:eastAsia="zh-CN"/>
              </w:rPr>
            </w:pPr>
            <w:r>
              <w:rPr>
                <w:rFonts w:hint="eastAsia"/>
                <w:b w:val="0"/>
                <w:bCs w:val="0"/>
                <w:szCs w:val="21"/>
                <w:lang w:val="zh-CN" w:eastAsia="zh-CN"/>
              </w:rPr>
              <w:t>P1</w:t>
            </w:r>
          </w:p>
        </w:tc>
        <w:tc>
          <w:tcPr>
            <w:tcW w:w="1487" w:type="dxa"/>
            <w:noWrap w:val="0"/>
            <w:vAlign w:val="top"/>
          </w:tcPr>
          <w:p w14:paraId="3C6CC7A6">
            <w:pPr>
              <w:pStyle w:val="363"/>
              <w:jc w:val="center"/>
              <w:rPr>
                <w:rFonts w:hint="eastAsia"/>
                <w:b w:val="0"/>
                <w:bCs w:val="0"/>
                <w:szCs w:val="21"/>
                <w:lang w:val="zh-CN" w:eastAsia="zh-CN"/>
              </w:rPr>
            </w:pPr>
            <w:r>
              <w:rPr>
                <w:rFonts w:hint="eastAsia"/>
                <w:b w:val="0"/>
                <w:bCs w:val="0"/>
                <w:szCs w:val="21"/>
                <w:lang w:val="zh-CN" w:eastAsia="zh-CN"/>
              </w:rPr>
              <w:t>P1</w:t>
            </w:r>
          </w:p>
        </w:tc>
        <w:tc>
          <w:tcPr>
            <w:tcW w:w="1485" w:type="dxa"/>
            <w:noWrap w:val="0"/>
            <w:vAlign w:val="top"/>
          </w:tcPr>
          <w:p w14:paraId="50C8D40B">
            <w:pPr>
              <w:pStyle w:val="363"/>
              <w:jc w:val="center"/>
              <w:rPr>
                <w:rFonts w:hint="eastAsia"/>
                <w:b w:val="0"/>
                <w:bCs w:val="0"/>
                <w:szCs w:val="21"/>
                <w:lang w:val="zh-CN" w:eastAsia="zh-CN"/>
              </w:rPr>
            </w:pPr>
            <w:r>
              <w:rPr>
                <w:rFonts w:hint="eastAsia"/>
                <w:b w:val="0"/>
                <w:bCs w:val="0"/>
                <w:szCs w:val="21"/>
                <w:lang w:val="zh-CN" w:eastAsia="zh-CN"/>
              </w:rPr>
              <w:t>P2</w:t>
            </w:r>
          </w:p>
        </w:tc>
        <w:tc>
          <w:tcPr>
            <w:tcW w:w="1896" w:type="dxa"/>
            <w:noWrap w:val="0"/>
            <w:vAlign w:val="top"/>
          </w:tcPr>
          <w:p w14:paraId="34B343F1">
            <w:pPr>
              <w:pStyle w:val="363"/>
              <w:jc w:val="center"/>
              <w:rPr>
                <w:rFonts w:hint="eastAsia"/>
                <w:b w:val="0"/>
                <w:bCs w:val="0"/>
                <w:szCs w:val="21"/>
                <w:lang w:val="zh-CN" w:eastAsia="zh-CN"/>
              </w:rPr>
            </w:pPr>
            <w:r>
              <w:rPr>
                <w:rFonts w:hint="eastAsia"/>
                <w:b w:val="0"/>
                <w:bCs w:val="0"/>
                <w:szCs w:val="21"/>
                <w:lang w:val="zh-CN" w:eastAsia="zh-CN"/>
              </w:rPr>
              <w:t>P3</w:t>
            </w:r>
          </w:p>
        </w:tc>
      </w:tr>
      <w:tr w14:paraId="640A50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5" w:hRule="atLeast"/>
          <w:jc w:val="center"/>
        </w:trPr>
        <w:tc>
          <w:tcPr>
            <w:tcW w:w="1691" w:type="dxa"/>
            <w:noWrap w:val="0"/>
            <w:vAlign w:val="center"/>
          </w:tcPr>
          <w:p w14:paraId="23F03A4E">
            <w:pPr>
              <w:pStyle w:val="363"/>
              <w:jc w:val="center"/>
              <w:rPr>
                <w:rFonts w:hint="eastAsia"/>
                <w:b w:val="0"/>
                <w:bCs w:val="0"/>
                <w:szCs w:val="21"/>
                <w:lang w:val="zh-CN" w:eastAsia="zh-CN"/>
              </w:rPr>
            </w:pPr>
            <w:r>
              <w:rPr>
                <w:rFonts w:hint="eastAsia"/>
                <w:b w:val="0"/>
                <w:bCs w:val="0"/>
                <w:szCs w:val="21"/>
                <w:lang w:val="zh-CN" w:eastAsia="zh-CN"/>
              </w:rPr>
              <w:t>10≤Q＜100</w:t>
            </w:r>
          </w:p>
        </w:tc>
        <w:tc>
          <w:tcPr>
            <w:tcW w:w="1720" w:type="dxa"/>
            <w:noWrap w:val="0"/>
            <w:vAlign w:val="top"/>
          </w:tcPr>
          <w:p w14:paraId="2259139C">
            <w:pPr>
              <w:pStyle w:val="363"/>
              <w:jc w:val="center"/>
              <w:rPr>
                <w:rFonts w:hint="eastAsia"/>
                <w:b w:val="0"/>
                <w:bCs w:val="0"/>
                <w:szCs w:val="21"/>
                <w:lang w:val="zh-CN" w:eastAsia="zh-CN"/>
              </w:rPr>
            </w:pPr>
            <w:r>
              <w:rPr>
                <w:rFonts w:hint="eastAsia"/>
                <w:b w:val="0"/>
                <w:bCs w:val="0"/>
                <w:szCs w:val="21"/>
                <w:lang w:val="zh-CN" w:eastAsia="zh-CN"/>
              </w:rPr>
              <w:t>P1</w:t>
            </w:r>
          </w:p>
        </w:tc>
        <w:tc>
          <w:tcPr>
            <w:tcW w:w="1487" w:type="dxa"/>
            <w:noWrap w:val="0"/>
            <w:vAlign w:val="top"/>
          </w:tcPr>
          <w:p w14:paraId="1E28281A">
            <w:pPr>
              <w:pStyle w:val="363"/>
              <w:jc w:val="center"/>
              <w:rPr>
                <w:rFonts w:hint="eastAsia"/>
                <w:b w:val="0"/>
                <w:bCs w:val="0"/>
                <w:szCs w:val="21"/>
                <w:lang w:val="zh-CN" w:eastAsia="zh-CN"/>
              </w:rPr>
            </w:pPr>
            <w:r>
              <w:rPr>
                <w:rFonts w:hint="eastAsia"/>
                <w:b w:val="0"/>
                <w:bCs w:val="0"/>
                <w:szCs w:val="21"/>
                <w:lang w:val="zh-CN" w:eastAsia="zh-CN"/>
              </w:rPr>
              <w:t>P2</w:t>
            </w:r>
          </w:p>
        </w:tc>
        <w:tc>
          <w:tcPr>
            <w:tcW w:w="1485" w:type="dxa"/>
            <w:noWrap w:val="0"/>
            <w:vAlign w:val="top"/>
          </w:tcPr>
          <w:p w14:paraId="420900F0">
            <w:pPr>
              <w:pStyle w:val="363"/>
              <w:jc w:val="center"/>
              <w:rPr>
                <w:rFonts w:hint="eastAsia"/>
                <w:b w:val="0"/>
                <w:bCs w:val="0"/>
                <w:szCs w:val="21"/>
                <w:lang w:val="zh-CN" w:eastAsia="zh-CN"/>
              </w:rPr>
            </w:pPr>
            <w:r>
              <w:rPr>
                <w:rFonts w:hint="eastAsia"/>
                <w:b w:val="0"/>
                <w:bCs w:val="0"/>
                <w:szCs w:val="21"/>
                <w:lang w:val="zh-CN" w:eastAsia="zh-CN"/>
              </w:rPr>
              <w:t>P3</w:t>
            </w:r>
          </w:p>
        </w:tc>
        <w:tc>
          <w:tcPr>
            <w:tcW w:w="1896" w:type="dxa"/>
            <w:noWrap w:val="0"/>
            <w:vAlign w:val="top"/>
          </w:tcPr>
          <w:p w14:paraId="3B4AF854">
            <w:pPr>
              <w:pStyle w:val="363"/>
              <w:jc w:val="center"/>
              <w:rPr>
                <w:rFonts w:hint="eastAsia"/>
                <w:b w:val="0"/>
                <w:bCs w:val="0"/>
                <w:szCs w:val="21"/>
                <w:lang w:val="zh-CN" w:eastAsia="zh-CN"/>
              </w:rPr>
            </w:pPr>
            <w:r>
              <w:rPr>
                <w:rFonts w:hint="eastAsia"/>
                <w:b w:val="0"/>
                <w:bCs w:val="0"/>
                <w:szCs w:val="21"/>
                <w:lang w:val="zh-CN" w:eastAsia="zh-CN"/>
              </w:rPr>
              <w:t>P4</w:t>
            </w:r>
          </w:p>
        </w:tc>
      </w:tr>
      <w:tr w14:paraId="6B1D00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jc w:val="center"/>
        </w:trPr>
        <w:tc>
          <w:tcPr>
            <w:tcW w:w="1691" w:type="dxa"/>
            <w:noWrap w:val="0"/>
            <w:vAlign w:val="center"/>
          </w:tcPr>
          <w:p w14:paraId="6232007A">
            <w:pPr>
              <w:pStyle w:val="363"/>
              <w:jc w:val="center"/>
              <w:rPr>
                <w:rFonts w:hint="eastAsia"/>
                <w:b w:val="0"/>
                <w:bCs w:val="0"/>
                <w:szCs w:val="21"/>
                <w:lang w:val="zh-CN" w:eastAsia="zh-CN"/>
              </w:rPr>
            </w:pPr>
            <w:r>
              <w:rPr>
                <w:rFonts w:hint="eastAsia"/>
                <w:b w:val="0"/>
                <w:bCs w:val="0"/>
                <w:szCs w:val="21"/>
                <w:lang w:val="zh-CN" w:eastAsia="zh-CN"/>
              </w:rPr>
              <w:t>1≤Q＜10</w:t>
            </w:r>
          </w:p>
        </w:tc>
        <w:tc>
          <w:tcPr>
            <w:tcW w:w="1720" w:type="dxa"/>
            <w:noWrap w:val="0"/>
            <w:vAlign w:val="top"/>
          </w:tcPr>
          <w:p w14:paraId="14295F02">
            <w:pPr>
              <w:pStyle w:val="363"/>
              <w:jc w:val="center"/>
              <w:rPr>
                <w:rFonts w:hint="eastAsia"/>
                <w:b w:val="0"/>
                <w:bCs w:val="0"/>
                <w:szCs w:val="21"/>
                <w:lang w:val="zh-CN" w:eastAsia="zh-CN"/>
              </w:rPr>
            </w:pPr>
            <w:r>
              <w:rPr>
                <w:rFonts w:hint="eastAsia"/>
                <w:b w:val="0"/>
                <w:bCs w:val="0"/>
                <w:szCs w:val="21"/>
                <w:lang w:val="zh-CN" w:eastAsia="zh-CN"/>
              </w:rPr>
              <w:t>P2</w:t>
            </w:r>
          </w:p>
        </w:tc>
        <w:tc>
          <w:tcPr>
            <w:tcW w:w="1487" w:type="dxa"/>
            <w:noWrap w:val="0"/>
            <w:vAlign w:val="top"/>
          </w:tcPr>
          <w:p w14:paraId="685C2C90">
            <w:pPr>
              <w:pStyle w:val="363"/>
              <w:jc w:val="center"/>
              <w:rPr>
                <w:rFonts w:hint="eastAsia"/>
                <w:b w:val="0"/>
                <w:bCs w:val="0"/>
                <w:szCs w:val="21"/>
                <w:lang w:val="zh-CN" w:eastAsia="zh-CN"/>
              </w:rPr>
            </w:pPr>
            <w:r>
              <w:rPr>
                <w:rFonts w:hint="eastAsia"/>
                <w:b w:val="0"/>
                <w:bCs w:val="0"/>
                <w:szCs w:val="21"/>
                <w:lang w:val="zh-CN" w:eastAsia="zh-CN"/>
              </w:rPr>
              <w:t>P3</w:t>
            </w:r>
          </w:p>
        </w:tc>
        <w:tc>
          <w:tcPr>
            <w:tcW w:w="1485" w:type="dxa"/>
            <w:noWrap w:val="0"/>
            <w:vAlign w:val="top"/>
          </w:tcPr>
          <w:p w14:paraId="24EDED59">
            <w:pPr>
              <w:pStyle w:val="363"/>
              <w:jc w:val="center"/>
              <w:rPr>
                <w:rFonts w:hint="eastAsia"/>
                <w:b w:val="0"/>
                <w:bCs w:val="0"/>
                <w:szCs w:val="21"/>
                <w:lang w:val="zh-CN" w:eastAsia="zh-CN"/>
              </w:rPr>
            </w:pPr>
            <w:r>
              <w:rPr>
                <w:rFonts w:hint="eastAsia"/>
                <w:b w:val="0"/>
                <w:bCs w:val="0"/>
                <w:szCs w:val="21"/>
                <w:lang w:val="zh-CN" w:eastAsia="zh-CN"/>
              </w:rPr>
              <w:t>P4</w:t>
            </w:r>
          </w:p>
        </w:tc>
        <w:tc>
          <w:tcPr>
            <w:tcW w:w="1896" w:type="dxa"/>
            <w:noWrap w:val="0"/>
            <w:vAlign w:val="top"/>
          </w:tcPr>
          <w:p w14:paraId="68B85103">
            <w:pPr>
              <w:pStyle w:val="363"/>
              <w:jc w:val="center"/>
              <w:rPr>
                <w:rFonts w:hint="eastAsia"/>
                <w:b w:val="0"/>
                <w:bCs w:val="0"/>
                <w:szCs w:val="21"/>
                <w:lang w:val="zh-CN" w:eastAsia="zh-CN"/>
              </w:rPr>
            </w:pPr>
            <w:r>
              <w:rPr>
                <w:rFonts w:hint="eastAsia"/>
                <w:b w:val="0"/>
                <w:bCs w:val="0"/>
                <w:szCs w:val="21"/>
                <w:lang w:val="zh-CN" w:eastAsia="zh-CN"/>
              </w:rPr>
              <w:t>P4</w:t>
            </w:r>
          </w:p>
        </w:tc>
      </w:tr>
    </w:tbl>
    <w:p w14:paraId="3490C1E6">
      <w:pPr>
        <w:keepNext w:val="0"/>
        <w:keepLines w:val="0"/>
        <w:pageBreakBefore w:val="0"/>
        <w:widowControl w:val="0"/>
        <w:spacing w:before="0" w:after="0" w:line="360" w:lineRule="auto"/>
        <w:ind w:right="0"/>
        <w:jc w:val="both"/>
        <w:rPr>
          <w:rFonts w:ascii="Times New Roman" w:hAnsi="Times New Roman" w:eastAsia="宋体" w:cs="Times New Roman"/>
          <w:sz w:val="24"/>
          <w:szCs w:val="22"/>
          <w:lang w:val="zh-CN" w:eastAsia="zh-CN" w:bidi="ar-SA"/>
        </w:rPr>
      </w:pPr>
      <w:r>
        <w:rPr>
          <w:rFonts w:ascii="Times New Roman" w:hAnsi="Times New Roman" w:eastAsia="宋体" w:cs="Times New Roman"/>
          <w:sz w:val="24"/>
          <w:szCs w:val="22"/>
          <w:lang w:val="zh-CN" w:eastAsia="zh-CN" w:bidi="ar-SA"/>
        </w:rPr>
        <w:t>根据以上计算结果结合上表得出，本项目危险物质及工艺系统危险性等级为 P1。</w:t>
      </w:r>
    </w:p>
    <w:p w14:paraId="068CEFF6">
      <w:pPr>
        <w:keepNext w:val="0"/>
        <w:keepLines w:val="0"/>
        <w:pageBreakBefore w:val="0"/>
        <w:widowControl w:val="0"/>
        <w:spacing w:before="0" w:after="0" w:line="360" w:lineRule="auto"/>
        <w:ind w:right="299"/>
        <w:jc w:val="both"/>
        <w:rPr>
          <w:rFonts w:ascii="宋体" w:hAnsi="宋体" w:eastAsia="宋体" w:cs="宋体"/>
          <w:sz w:val="24"/>
          <w:szCs w:val="24"/>
          <w:lang w:val="zh-CN" w:eastAsia="zh-CN" w:bidi="zh-CN"/>
        </w:rPr>
      </w:pPr>
      <w:r>
        <w:rPr>
          <w:rFonts w:ascii="Times New Roman" w:hAnsi="Times New Roman" w:eastAsia="宋体" w:cs="Times New Roman"/>
          <w:sz w:val="24"/>
          <w:szCs w:val="22"/>
          <w:lang w:val="zh-CN" w:eastAsia="zh-CN" w:bidi="ar-SA"/>
        </w:rPr>
        <w:t>本项目危险物质影响环境的主要途径为大气环境和水环境，本项目危险物质及工艺系统危险性等级为 P1，根据《建设项目环境风险评价技术导则》（HJ 169-2018） 判定本项目大气环境敏感性、地表水环境敏感程度及地下水环境敏感程度，大气环境敏感程度为 E1，地表水环境敏感程度分级为 E3，地下水环境敏感程度分级为 E</w:t>
      </w:r>
      <w:r>
        <w:rPr>
          <w:rFonts w:ascii="Times New Roman" w:hAnsi="Times New Roman" w:eastAsia="Times New Roman" w:cs="宋体"/>
          <w:spacing w:val="-5"/>
          <w:sz w:val="24"/>
          <w:szCs w:val="24"/>
          <w:lang w:val="zh-CN" w:eastAsia="zh-CN" w:bidi="zh-CN"/>
        </w:rPr>
        <w:t>3</w:t>
      </w:r>
      <w:r>
        <w:rPr>
          <w:rFonts w:ascii="宋体" w:hAnsi="宋体" w:eastAsia="宋体" w:cs="宋体"/>
          <w:spacing w:val="-5"/>
          <w:sz w:val="24"/>
          <w:szCs w:val="24"/>
          <w:lang w:val="zh-CN" w:eastAsia="zh-CN" w:bidi="zh-CN"/>
        </w:rPr>
        <w:t xml:space="preserve">， </w:t>
      </w:r>
      <w:r>
        <w:rPr>
          <w:rFonts w:ascii="宋体" w:hAnsi="宋体" w:eastAsia="宋体" w:cs="宋体"/>
          <w:sz w:val="24"/>
          <w:szCs w:val="24"/>
          <w:lang w:val="zh-CN" w:eastAsia="zh-CN" w:bidi="zh-CN"/>
        </w:rPr>
        <w:t>因此项目环境风险潜势为Ⅳ</w:t>
      </w:r>
      <w:r>
        <w:rPr>
          <w:rFonts w:ascii="Times New Roman" w:hAnsi="Times New Roman" w:eastAsia="Times New Roman" w:cs="宋体"/>
          <w:position w:val="8"/>
          <w:sz w:val="15"/>
          <w:szCs w:val="24"/>
          <w:lang w:val="zh-CN" w:eastAsia="zh-CN" w:bidi="zh-CN"/>
        </w:rPr>
        <w:t>+</w:t>
      </w:r>
      <w:r>
        <w:rPr>
          <w:rFonts w:ascii="宋体" w:hAnsi="宋体" w:eastAsia="宋体" w:cs="宋体"/>
          <w:sz w:val="24"/>
          <w:szCs w:val="24"/>
          <w:lang w:val="zh-CN" w:eastAsia="zh-CN" w:bidi="zh-CN"/>
        </w:rPr>
        <w:t>，本项目环境风险评价等级为一级。</w:t>
      </w:r>
    </w:p>
    <w:p w14:paraId="56A3711E">
      <w:pPr>
        <w:widowControl w:val="0"/>
        <w:tabs>
          <w:tab w:val="left" w:pos="1079"/>
        </w:tabs>
        <w:spacing w:before="0" w:after="0" w:line="240" w:lineRule="auto"/>
        <w:ind w:left="40" w:right="0"/>
        <w:jc w:val="center"/>
        <w:rPr>
          <w:rFonts w:hint="eastAsia"/>
          <w:b/>
          <w:color w:val="000000"/>
          <w:sz w:val="24"/>
          <w:szCs w:val="22"/>
          <w:lang w:val="zh-CN" w:eastAsia="zh-CN" w:bidi="ar-SA"/>
        </w:rPr>
      </w:pPr>
      <w:r>
        <w:rPr>
          <w:rFonts w:hint="eastAsia"/>
          <w:b/>
          <w:color w:val="000000"/>
          <w:sz w:val="24"/>
          <w:szCs w:val="22"/>
          <w:lang w:val="zh-CN" w:eastAsia="zh-CN" w:bidi="ar-SA"/>
        </w:rPr>
        <w:t>表</w:t>
      </w:r>
      <w:r>
        <w:rPr>
          <w:rFonts w:hint="eastAsia"/>
          <w:b/>
          <w:color w:val="000000"/>
          <w:sz w:val="24"/>
          <w:szCs w:val="22"/>
          <w:lang w:val="en-US" w:eastAsia="zh-CN" w:bidi="ar-SA"/>
        </w:rPr>
        <w:t>2.5</w:t>
      </w:r>
      <w:r>
        <w:rPr>
          <w:b/>
          <w:color w:val="000000"/>
          <w:sz w:val="24"/>
          <w:szCs w:val="22"/>
          <w:lang w:val="zh-CN" w:eastAsia="zh-CN" w:bidi="ar-SA"/>
        </w:rPr>
        <w:t>-</w:t>
      </w:r>
      <w:r>
        <w:rPr>
          <w:rFonts w:hint="eastAsia"/>
          <w:b/>
          <w:color w:val="000000"/>
          <w:sz w:val="24"/>
          <w:szCs w:val="22"/>
          <w:lang w:val="en-US" w:eastAsia="zh-CN" w:bidi="ar-SA"/>
        </w:rPr>
        <w:t>6</w:t>
      </w:r>
      <w:r>
        <w:rPr>
          <w:b/>
          <w:color w:val="000000"/>
          <w:sz w:val="24"/>
          <w:szCs w:val="22"/>
          <w:lang w:val="zh-CN" w:eastAsia="zh-CN" w:bidi="ar-SA"/>
        </w:rPr>
        <w:t xml:space="preserve"> </w:t>
      </w:r>
      <w:r>
        <w:rPr>
          <w:rFonts w:hint="eastAsia"/>
          <w:b/>
          <w:color w:val="000000"/>
          <w:sz w:val="24"/>
          <w:szCs w:val="22"/>
          <w:lang w:val="zh-CN" w:eastAsia="zh-CN" w:bidi="ar-SA"/>
        </w:rPr>
        <w:t>建设项目环境风险潜势划分</w:t>
      </w:r>
    </w:p>
    <w:tbl>
      <w:tblPr>
        <w:tblStyle w:val="32"/>
        <w:tblW w:w="811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88"/>
        <w:gridCol w:w="1481"/>
        <w:gridCol w:w="1522"/>
        <w:gridCol w:w="1478"/>
        <w:gridCol w:w="1550"/>
      </w:tblGrid>
      <w:tr w14:paraId="2A97BE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jc w:val="center"/>
        </w:trPr>
        <w:tc>
          <w:tcPr>
            <w:tcW w:w="2088" w:type="dxa"/>
            <w:vMerge w:val="restart"/>
            <w:noWrap w:val="0"/>
            <w:vAlign w:val="center"/>
          </w:tcPr>
          <w:p w14:paraId="37105F5C">
            <w:pPr>
              <w:pStyle w:val="363"/>
              <w:jc w:val="center"/>
              <w:rPr>
                <w:b/>
                <w:bCs/>
                <w:szCs w:val="21"/>
                <w:lang w:val="zh-CN" w:eastAsia="zh-CN"/>
              </w:rPr>
            </w:pPr>
            <w:r>
              <w:rPr>
                <w:b/>
                <w:bCs/>
                <w:szCs w:val="21"/>
                <w:lang w:val="zh-CN" w:eastAsia="zh-CN"/>
              </w:rPr>
              <w:t>环境敏感程度（E）</w:t>
            </w:r>
          </w:p>
        </w:tc>
        <w:tc>
          <w:tcPr>
            <w:tcW w:w="6031" w:type="dxa"/>
            <w:gridSpan w:val="4"/>
            <w:noWrap w:val="0"/>
            <w:vAlign w:val="top"/>
          </w:tcPr>
          <w:p w14:paraId="19D50614">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危险物质及工艺系统危害性（P）</w:t>
            </w:r>
          </w:p>
        </w:tc>
      </w:tr>
      <w:tr w14:paraId="392055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2088" w:type="dxa"/>
            <w:vMerge w:val="continue"/>
            <w:noWrap w:val="0"/>
            <w:vAlign w:val="center"/>
          </w:tcPr>
          <w:p w14:paraId="60F86A72">
            <w:pPr>
              <w:pStyle w:val="363"/>
              <w:jc w:val="center"/>
              <w:rPr>
                <w:b/>
                <w:bCs/>
                <w:szCs w:val="21"/>
                <w:lang w:val="zh-CN" w:eastAsia="zh-CN"/>
              </w:rPr>
            </w:pPr>
          </w:p>
        </w:tc>
        <w:tc>
          <w:tcPr>
            <w:tcW w:w="1481" w:type="dxa"/>
            <w:noWrap w:val="0"/>
            <w:vAlign w:val="top"/>
          </w:tcPr>
          <w:p w14:paraId="737AA99D">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极高危害（P1）</w:t>
            </w:r>
          </w:p>
        </w:tc>
        <w:tc>
          <w:tcPr>
            <w:tcW w:w="1522" w:type="dxa"/>
            <w:noWrap w:val="0"/>
            <w:vAlign w:val="top"/>
          </w:tcPr>
          <w:p w14:paraId="5D006F1A">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高度危害（P2）</w:t>
            </w:r>
          </w:p>
        </w:tc>
        <w:tc>
          <w:tcPr>
            <w:tcW w:w="1478" w:type="dxa"/>
            <w:noWrap w:val="0"/>
            <w:vAlign w:val="top"/>
          </w:tcPr>
          <w:p w14:paraId="348F72A8">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中度危害（P3）</w:t>
            </w:r>
          </w:p>
        </w:tc>
        <w:tc>
          <w:tcPr>
            <w:tcW w:w="1550" w:type="dxa"/>
            <w:noWrap w:val="0"/>
            <w:vAlign w:val="top"/>
          </w:tcPr>
          <w:p w14:paraId="3D293ED8">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轻度危害（P4）</w:t>
            </w:r>
          </w:p>
        </w:tc>
      </w:tr>
      <w:tr w14:paraId="7A72C3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9" w:hRule="atLeast"/>
          <w:jc w:val="center"/>
        </w:trPr>
        <w:tc>
          <w:tcPr>
            <w:tcW w:w="2088" w:type="dxa"/>
            <w:noWrap w:val="0"/>
            <w:vAlign w:val="center"/>
          </w:tcPr>
          <w:p w14:paraId="7C0E9E60">
            <w:pPr>
              <w:pStyle w:val="363"/>
              <w:jc w:val="center"/>
              <w:rPr>
                <w:b w:val="0"/>
                <w:bCs w:val="0"/>
                <w:szCs w:val="21"/>
                <w:lang w:val="zh-CN" w:eastAsia="zh-CN"/>
              </w:rPr>
            </w:pPr>
            <w:r>
              <w:rPr>
                <w:b w:val="0"/>
                <w:bCs w:val="0"/>
                <w:szCs w:val="21"/>
                <w:lang w:val="zh-CN" w:eastAsia="zh-CN"/>
              </w:rPr>
              <w:t>环境高度敏感区（E1）</w:t>
            </w:r>
          </w:p>
        </w:tc>
        <w:tc>
          <w:tcPr>
            <w:tcW w:w="1481" w:type="dxa"/>
            <w:noWrap w:val="0"/>
            <w:vAlign w:val="top"/>
          </w:tcPr>
          <w:p w14:paraId="1B22AE6A">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Ⅳ</w:t>
            </w:r>
            <w:r>
              <w:rPr>
                <w:rFonts w:ascii="Times New Roman" w:hAnsi="Times New Roman" w:eastAsia="宋体" w:cs="Times New Roman"/>
                <w:b w:val="0"/>
                <w:bCs w:val="0"/>
                <w:szCs w:val="21"/>
                <w:vertAlign w:val="superscript"/>
                <w:lang w:val="zh-CN" w:eastAsia="zh-CN"/>
              </w:rPr>
              <w:t>+</w:t>
            </w:r>
          </w:p>
        </w:tc>
        <w:tc>
          <w:tcPr>
            <w:tcW w:w="1522" w:type="dxa"/>
            <w:noWrap w:val="0"/>
            <w:vAlign w:val="top"/>
          </w:tcPr>
          <w:p w14:paraId="3036E8E2">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Ⅳ</w:t>
            </w:r>
          </w:p>
        </w:tc>
        <w:tc>
          <w:tcPr>
            <w:tcW w:w="1478" w:type="dxa"/>
            <w:noWrap w:val="0"/>
            <w:vAlign w:val="top"/>
          </w:tcPr>
          <w:p w14:paraId="315D6B75">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550" w:type="dxa"/>
            <w:noWrap w:val="0"/>
            <w:vAlign w:val="top"/>
          </w:tcPr>
          <w:p w14:paraId="536356BF">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r>
      <w:tr w14:paraId="60A3D8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2088" w:type="dxa"/>
            <w:noWrap w:val="0"/>
            <w:vAlign w:val="center"/>
          </w:tcPr>
          <w:p w14:paraId="3B79DDF4">
            <w:pPr>
              <w:pStyle w:val="363"/>
              <w:jc w:val="center"/>
              <w:rPr>
                <w:b w:val="0"/>
                <w:bCs w:val="0"/>
                <w:szCs w:val="21"/>
                <w:lang w:val="zh-CN" w:eastAsia="zh-CN"/>
              </w:rPr>
            </w:pPr>
            <w:r>
              <w:rPr>
                <w:b w:val="0"/>
                <w:bCs w:val="0"/>
                <w:szCs w:val="21"/>
                <w:lang w:val="zh-CN" w:eastAsia="zh-CN"/>
              </w:rPr>
              <w:t>环境中度敏感区（E2）</w:t>
            </w:r>
          </w:p>
        </w:tc>
        <w:tc>
          <w:tcPr>
            <w:tcW w:w="1481" w:type="dxa"/>
            <w:noWrap w:val="0"/>
            <w:vAlign w:val="top"/>
          </w:tcPr>
          <w:p w14:paraId="5FD2EFAA">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Ⅳ</w:t>
            </w:r>
          </w:p>
        </w:tc>
        <w:tc>
          <w:tcPr>
            <w:tcW w:w="1522" w:type="dxa"/>
            <w:noWrap w:val="0"/>
            <w:vAlign w:val="top"/>
          </w:tcPr>
          <w:p w14:paraId="41BA35AB">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478" w:type="dxa"/>
            <w:noWrap w:val="0"/>
            <w:vAlign w:val="top"/>
          </w:tcPr>
          <w:p w14:paraId="09AC2356">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550" w:type="dxa"/>
            <w:noWrap w:val="0"/>
            <w:vAlign w:val="top"/>
          </w:tcPr>
          <w:p w14:paraId="19ACD245">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Ⅱ</w:t>
            </w:r>
          </w:p>
        </w:tc>
      </w:tr>
      <w:tr w14:paraId="20FEA0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jc w:val="center"/>
        </w:trPr>
        <w:tc>
          <w:tcPr>
            <w:tcW w:w="2088" w:type="dxa"/>
            <w:noWrap w:val="0"/>
            <w:vAlign w:val="center"/>
          </w:tcPr>
          <w:p w14:paraId="75E77C1B">
            <w:pPr>
              <w:pStyle w:val="363"/>
              <w:jc w:val="center"/>
              <w:rPr>
                <w:b w:val="0"/>
                <w:bCs w:val="0"/>
                <w:szCs w:val="21"/>
                <w:lang w:val="zh-CN" w:eastAsia="zh-CN"/>
              </w:rPr>
            </w:pPr>
            <w:r>
              <w:rPr>
                <w:b w:val="0"/>
                <w:bCs w:val="0"/>
                <w:szCs w:val="21"/>
                <w:lang w:val="zh-CN" w:eastAsia="zh-CN"/>
              </w:rPr>
              <w:t>环境低度敏感区（E3）</w:t>
            </w:r>
          </w:p>
        </w:tc>
        <w:tc>
          <w:tcPr>
            <w:tcW w:w="1481" w:type="dxa"/>
            <w:noWrap w:val="0"/>
            <w:vAlign w:val="top"/>
          </w:tcPr>
          <w:p w14:paraId="38D31008">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522" w:type="dxa"/>
            <w:noWrap w:val="0"/>
            <w:vAlign w:val="top"/>
          </w:tcPr>
          <w:p w14:paraId="09C4C58D">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478" w:type="dxa"/>
            <w:noWrap w:val="0"/>
            <w:vAlign w:val="top"/>
          </w:tcPr>
          <w:p w14:paraId="4CE9BA4A">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Ⅱ</w:t>
            </w:r>
          </w:p>
        </w:tc>
        <w:tc>
          <w:tcPr>
            <w:tcW w:w="1550" w:type="dxa"/>
            <w:noWrap w:val="0"/>
            <w:vAlign w:val="top"/>
          </w:tcPr>
          <w:p w14:paraId="3DAD59C6">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Ⅰ</w:t>
            </w:r>
          </w:p>
        </w:tc>
      </w:tr>
    </w:tbl>
    <w:p w14:paraId="46F38EB1">
      <w:pPr>
        <w:widowControl w:val="0"/>
        <w:tabs>
          <w:tab w:val="left" w:pos="1079"/>
        </w:tabs>
        <w:spacing w:before="0" w:after="0" w:line="240" w:lineRule="auto"/>
        <w:ind w:left="40" w:right="0"/>
        <w:jc w:val="center"/>
        <w:rPr>
          <w:rFonts w:hint="eastAsia"/>
          <w:b/>
          <w:color w:val="000000"/>
          <w:sz w:val="24"/>
          <w:szCs w:val="22"/>
          <w:lang w:val="zh-CN" w:eastAsia="zh-CN" w:bidi="ar-SA"/>
        </w:rPr>
      </w:pPr>
      <w:r>
        <w:rPr>
          <w:rFonts w:hint="eastAsia"/>
          <w:b/>
          <w:color w:val="000000"/>
          <w:sz w:val="24"/>
          <w:szCs w:val="22"/>
          <w:lang w:val="zh-CN" w:eastAsia="zh-CN" w:bidi="ar-SA"/>
        </w:rPr>
        <w:t>表</w:t>
      </w:r>
      <w:r>
        <w:rPr>
          <w:rFonts w:hint="eastAsia"/>
          <w:b/>
          <w:color w:val="000000"/>
          <w:sz w:val="24"/>
          <w:szCs w:val="22"/>
          <w:lang w:val="en-US" w:eastAsia="zh-CN" w:bidi="ar-SA"/>
        </w:rPr>
        <w:t>2.5-7</w:t>
      </w:r>
      <w:r>
        <w:rPr>
          <w:rFonts w:hint="eastAsia"/>
          <w:b/>
          <w:color w:val="000000"/>
          <w:sz w:val="24"/>
          <w:szCs w:val="22"/>
          <w:lang w:val="zh-CN" w:eastAsia="zh-CN" w:bidi="ar-SA"/>
        </w:rPr>
        <w:t xml:space="preserve">  环境风险评价工作等级划分</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5"/>
        <w:gridCol w:w="1705"/>
        <w:gridCol w:w="1706"/>
        <w:gridCol w:w="1706"/>
        <w:gridCol w:w="1706"/>
      </w:tblGrid>
      <w:tr w14:paraId="23803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noWrap w:val="0"/>
            <w:vAlign w:val="top"/>
          </w:tcPr>
          <w:p w14:paraId="33945502">
            <w:pPr>
              <w:pStyle w:val="363"/>
              <w:widowControl w:val="0"/>
              <w:jc w:val="center"/>
              <w:rPr>
                <w:b/>
                <w:bCs/>
                <w:szCs w:val="21"/>
                <w:lang w:val="zh-CN" w:eastAsia="zh-CN"/>
              </w:rPr>
            </w:pPr>
            <w:r>
              <w:rPr>
                <w:b/>
                <w:bCs/>
                <w:szCs w:val="21"/>
                <w:lang w:val="zh-CN" w:eastAsia="zh-CN"/>
              </w:rPr>
              <w:t>环境风险潜势</w:t>
            </w:r>
          </w:p>
        </w:tc>
        <w:tc>
          <w:tcPr>
            <w:tcW w:w="1705" w:type="dxa"/>
            <w:noWrap w:val="0"/>
            <w:vAlign w:val="top"/>
          </w:tcPr>
          <w:p w14:paraId="566D1A2E">
            <w:pPr>
              <w:pStyle w:val="363"/>
              <w:widowControl w:val="0"/>
              <w:jc w:val="center"/>
              <w:rPr>
                <w:b/>
                <w:bCs/>
                <w:szCs w:val="21"/>
                <w:lang w:val="zh-CN" w:eastAsia="zh-CN"/>
              </w:rPr>
            </w:pPr>
            <w:r>
              <w:rPr>
                <w:b/>
                <w:bCs/>
                <w:szCs w:val="21"/>
                <w:lang w:val="zh-CN" w:eastAsia="zh-CN"/>
              </w:rPr>
              <w:t>Ⅳ、Ⅳ+</w:t>
            </w:r>
          </w:p>
        </w:tc>
        <w:tc>
          <w:tcPr>
            <w:tcW w:w="1706" w:type="dxa"/>
            <w:noWrap w:val="0"/>
            <w:vAlign w:val="top"/>
          </w:tcPr>
          <w:p w14:paraId="7EB43BBF">
            <w:pPr>
              <w:pStyle w:val="363"/>
              <w:widowControl w:val="0"/>
              <w:jc w:val="center"/>
              <w:rPr>
                <w:b/>
                <w:bCs/>
                <w:szCs w:val="21"/>
                <w:lang w:val="zh-CN" w:eastAsia="zh-CN"/>
              </w:rPr>
            </w:pPr>
            <w:r>
              <w:rPr>
                <w:b/>
                <w:bCs/>
                <w:szCs w:val="21"/>
                <w:lang w:val="zh-CN" w:eastAsia="zh-CN"/>
              </w:rPr>
              <w:t>Ⅲ</w:t>
            </w:r>
          </w:p>
        </w:tc>
        <w:tc>
          <w:tcPr>
            <w:tcW w:w="1706" w:type="dxa"/>
            <w:noWrap w:val="0"/>
            <w:vAlign w:val="top"/>
          </w:tcPr>
          <w:p w14:paraId="4D440F31">
            <w:pPr>
              <w:pStyle w:val="363"/>
              <w:widowControl w:val="0"/>
              <w:jc w:val="center"/>
              <w:rPr>
                <w:b/>
                <w:bCs/>
                <w:szCs w:val="21"/>
                <w:lang w:val="zh-CN" w:eastAsia="zh-CN"/>
              </w:rPr>
            </w:pPr>
            <w:r>
              <w:rPr>
                <w:b/>
                <w:bCs/>
                <w:szCs w:val="21"/>
                <w:lang w:val="zh-CN" w:eastAsia="zh-CN"/>
              </w:rPr>
              <w:t>Ⅱ</w:t>
            </w:r>
          </w:p>
        </w:tc>
        <w:tc>
          <w:tcPr>
            <w:tcW w:w="1706" w:type="dxa"/>
            <w:noWrap w:val="0"/>
            <w:vAlign w:val="center"/>
          </w:tcPr>
          <w:p w14:paraId="1C5DF0AC">
            <w:pPr>
              <w:pStyle w:val="363"/>
              <w:widowControl w:val="0"/>
              <w:jc w:val="center"/>
              <w:rPr>
                <w:b/>
                <w:bCs/>
                <w:szCs w:val="21"/>
                <w:lang w:val="zh-CN" w:eastAsia="zh-CN"/>
              </w:rPr>
            </w:pPr>
            <w:r>
              <w:rPr>
                <w:b/>
                <w:bCs/>
                <w:szCs w:val="21"/>
                <w:lang w:val="zh-CN" w:eastAsia="zh-CN"/>
              </w:rPr>
              <w:t>Ⅰ</w:t>
            </w:r>
          </w:p>
        </w:tc>
      </w:tr>
      <w:tr w14:paraId="4A45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noWrap w:val="0"/>
            <w:vAlign w:val="top"/>
          </w:tcPr>
          <w:p w14:paraId="2F7B2829">
            <w:pPr>
              <w:pStyle w:val="363"/>
              <w:widowControl w:val="0"/>
              <w:jc w:val="center"/>
              <w:rPr>
                <w:b w:val="0"/>
                <w:bCs w:val="0"/>
                <w:szCs w:val="21"/>
                <w:lang w:val="zh-CN" w:eastAsia="zh-CN"/>
              </w:rPr>
            </w:pPr>
            <w:r>
              <w:rPr>
                <w:b w:val="0"/>
                <w:bCs w:val="0"/>
                <w:szCs w:val="21"/>
                <w:lang w:val="zh-CN" w:eastAsia="zh-CN"/>
              </w:rPr>
              <w:t>评价工作等级</w:t>
            </w:r>
          </w:p>
        </w:tc>
        <w:tc>
          <w:tcPr>
            <w:tcW w:w="1705" w:type="dxa"/>
            <w:noWrap w:val="0"/>
            <w:vAlign w:val="top"/>
          </w:tcPr>
          <w:p w14:paraId="674669A6">
            <w:pPr>
              <w:pStyle w:val="363"/>
              <w:widowControl w:val="0"/>
              <w:jc w:val="center"/>
              <w:rPr>
                <w:b w:val="0"/>
                <w:bCs w:val="0"/>
                <w:szCs w:val="21"/>
                <w:lang w:val="zh-CN" w:eastAsia="zh-CN"/>
              </w:rPr>
            </w:pPr>
            <w:r>
              <w:rPr>
                <w:b w:val="0"/>
                <w:bCs w:val="0"/>
                <w:szCs w:val="21"/>
                <w:lang w:val="zh-CN" w:eastAsia="zh-CN"/>
              </w:rPr>
              <w:t>一</w:t>
            </w:r>
          </w:p>
        </w:tc>
        <w:tc>
          <w:tcPr>
            <w:tcW w:w="1706" w:type="dxa"/>
            <w:noWrap w:val="0"/>
            <w:vAlign w:val="top"/>
          </w:tcPr>
          <w:p w14:paraId="201516BF">
            <w:pPr>
              <w:pStyle w:val="363"/>
              <w:widowControl w:val="0"/>
              <w:jc w:val="center"/>
              <w:rPr>
                <w:b w:val="0"/>
                <w:bCs w:val="0"/>
                <w:szCs w:val="21"/>
                <w:lang w:val="zh-CN" w:eastAsia="zh-CN"/>
              </w:rPr>
            </w:pPr>
            <w:r>
              <w:rPr>
                <w:b w:val="0"/>
                <w:bCs w:val="0"/>
                <w:szCs w:val="21"/>
                <w:lang w:val="zh-CN" w:eastAsia="zh-CN"/>
              </w:rPr>
              <w:t>二</w:t>
            </w:r>
          </w:p>
        </w:tc>
        <w:tc>
          <w:tcPr>
            <w:tcW w:w="1706" w:type="dxa"/>
            <w:noWrap w:val="0"/>
            <w:vAlign w:val="top"/>
          </w:tcPr>
          <w:p w14:paraId="713BD93D">
            <w:pPr>
              <w:pStyle w:val="363"/>
              <w:widowControl w:val="0"/>
              <w:jc w:val="center"/>
              <w:rPr>
                <w:b w:val="0"/>
                <w:bCs w:val="0"/>
                <w:szCs w:val="21"/>
                <w:lang w:val="zh-CN" w:eastAsia="zh-CN"/>
              </w:rPr>
            </w:pPr>
            <w:r>
              <w:rPr>
                <w:b w:val="0"/>
                <w:bCs w:val="0"/>
                <w:szCs w:val="21"/>
                <w:lang w:val="zh-CN" w:eastAsia="zh-CN"/>
              </w:rPr>
              <w:t>三</w:t>
            </w:r>
          </w:p>
        </w:tc>
        <w:tc>
          <w:tcPr>
            <w:tcW w:w="1706" w:type="dxa"/>
            <w:noWrap w:val="0"/>
            <w:vAlign w:val="center"/>
          </w:tcPr>
          <w:p w14:paraId="1A52BB10">
            <w:pPr>
              <w:pStyle w:val="363"/>
              <w:widowControl w:val="0"/>
              <w:jc w:val="center"/>
              <w:rPr>
                <w:b w:val="0"/>
                <w:bCs w:val="0"/>
                <w:szCs w:val="21"/>
                <w:lang w:val="zh-CN" w:eastAsia="zh-CN"/>
              </w:rPr>
            </w:pPr>
            <w:r>
              <w:rPr>
                <w:b w:val="0"/>
                <w:bCs w:val="0"/>
                <w:szCs w:val="21"/>
                <w:lang w:val="zh-CN" w:eastAsia="zh-CN"/>
              </w:rPr>
              <w:t>简单分析 a</w:t>
            </w:r>
          </w:p>
        </w:tc>
      </w:tr>
      <w:tr w14:paraId="329EA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5"/>
            <w:noWrap w:val="0"/>
            <w:vAlign w:val="top"/>
          </w:tcPr>
          <w:p w14:paraId="32FC2594">
            <w:pPr>
              <w:pStyle w:val="363"/>
              <w:widowControl w:val="0"/>
              <w:jc w:val="left"/>
              <w:rPr>
                <w:b w:val="0"/>
                <w:bCs w:val="0"/>
                <w:szCs w:val="21"/>
                <w:lang w:val="zh-CN" w:eastAsia="zh-CN"/>
              </w:rPr>
            </w:pPr>
            <w:r>
              <w:rPr>
                <w:b w:val="0"/>
                <w:bCs w:val="0"/>
                <w:szCs w:val="21"/>
                <w:lang w:val="zh-CN" w:eastAsia="zh-CN"/>
              </w:rPr>
              <w:t>a 是相对于详细评价工作内容而言，在描述危险物质、环境影响途径、环境危害后果、风险防范措施等方面给出定性的说明。见附录 A。</w:t>
            </w:r>
          </w:p>
        </w:tc>
      </w:tr>
    </w:tbl>
    <w:p w14:paraId="57711569">
      <w:pPr>
        <w:pStyle w:val="282"/>
        <w:rPr>
          <w:rFonts w:hint="eastAsia"/>
          <w:b w:val="0"/>
          <w:bCs/>
          <w:lang w:val="en-US" w:eastAsia="zh-CN"/>
        </w:rPr>
      </w:pPr>
      <w:r>
        <w:rPr>
          <w:rFonts w:hint="eastAsia"/>
          <w:b w:val="0"/>
          <w:bCs/>
          <w:lang w:val="en-US" w:eastAsia="zh-CN"/>
        </w:rPr>
        <w:t>2.5.1.7土壤环境评价</w:t>
      </w:r>
    </w:p>
    <w:p w14:paraId="5977BFA2">
      <w:pPr>
        <w:jc w:val="center"/>
        <w:rPr>
          <w:rFonts w:hint="eastAsia"/>
          <w:b/>
          <w:bCs/>
          <w:lang w:val="en-US" w:eastAsia="zh-CN"/>
        </w:rPr>
      </w:pPr>
      <w:r>
        <w:rPr>
          <w:rFonts w:hint="eastAsia"/>
          <w:b/>
          <w:bCs/>
          <w:lang w:val="en-US" w:eastAsia="zh-CN"/>
        </w:rPr>
        <w:t>表2.5-8污染影响型敏感程度分级表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5"/>
        <w:gridCol w:w="6353"/>
      </w:tblGrid>
      <w:tr w14:paraId="2CF46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75" w:type="dxa"/>
            <w:noWrap w:val="0"/>
            <w:vAlign w:val="center"/>
          </w:tcPr>
          <w:p w14:paraId="0FEF976F">
            <w:pPr>
              <w:pStyle w:val="2"/>
              <w:widowControl w:val="0"/>
              <w:ind w:left="0" w:firstLine="0"/>
              <w:jc w:val="center"/>
              <w:rPr>
                <w:b/>
                <w:bCs/>
                <w:vertAlign w:val="baseline"/>
                <w:lang w:val="en-US" w:eastAsia="zh-CN"/>
              </w:rPr>
            </w:pPr>
            <w:r>
              <w:rPr>
                <w:rFonts w:hint="eastAsia"/>
                <w:b/>
                <w:bCs/>
                <w:vertAlign w:val="baseline"/>
                <w:lang w:val="en-US" w:eastAsia="zh-CN"/>
              </w:rPr>
              <w:t>敏感程度</w:t>
            </w:r>
          </w:p>
        </w:tc>
        <w:tc>
          <w:tcPr>
            <w:tcW w:w="6353" w:type="dxa"/>
            <w:noWrap w:val="0"/>
            <w:vAlign w:val="top"/>
          </w:tcPr>
          <w:p w14:paraId="39BB3E83">
            <w:pPr>
              <w:pStyle w:val="2"/>
              <w:widowControl w:val="0"/>
              <w:ind w:left="0" w:firstLine="0"/>
              <w:jc w:val="center"/>
              <w:rPr>
                <w:b/>
                <w:bCs/>
                <w:vertAlign w:val="baseline"/>
                <w:lang w:val="en-US" w:eastAsia="zh-CN"/>
              </w:rPr>
            </w:pPr>
            <w:r>
              <w:rPr>
                <w:rFonts w:hint="eastAsia"/>
                <w:b/>
                <w:bCs/>
                <w:vertAlign w:val="baseline"/>
                <w:lang w:val="en-US" w:eastAsia="zh-CN"/>
              </w:rPr>
              <w:t>判别依据</w:t>
            </w:r>
          </w:p>
        </w:tc>
      </w:tr>
      <w:tr w14:paraId="0BE9D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75" w:type="dxa"/>
            <w:noWrap w:val="0"/>
            <w:vAlign w:val="center"/>
          </w:tcPr>
          <w:p w14:paraId="226A9D86">
            <w:pPr>
              <w:pStyle w:val="2"/>
              <w:widowControl w:val="0"/>
              <w:ind w:left="0" w:firstLine="0"/>
              <w:jc w:val="center"/>
              <w:rPr>
                <w:vertAlign w:val="baseline"/>
                <w:lang w:val="en-US" w:eastAsia="zh-CN"/>
              </w:rPr>
            </w:pPr>
            <w:r>
              <w:rPr>
                <w:rFonts w:hint="eastAsia"/>
                <w:vertAlign w:val="baseline"/>
                <w:lang w:val="en-US" w:eastAsia="zh-CN"/>
              </w:rPr>
              <w:t>敏感</w:t>
            </w:r>
          </w:p>
        </w:tc>
        <w:tc>
          <w:tcPr>
            <w:tcW w:w="6353" w:type="dxa"/>
            <w:noWrap w:val="0"/>
            <w:vAlign w:val="top"/>
          </w:tcPr>
          <w:p w14:paraId="41366ED7">
            <w:pPr>
              <w:pStyle w:val="2"/>
              <w:widowControl w:val="0"/>
              <w:ind w:left="0" w:firstLine="0"/>
              <w:rPr>
                <w:vertAlign w:val="baseline"/>
                <w:lang w:val="en-US" w:eastAsia="zh-CN"/>
              </w:rPr>
            </w:pPr>
            <w:r>
              <w:rPr>
                <w:rFonts w:hint="eastAsia"/>
                <w:vertAlign w:val="baseline"/>
                <w:lang w:val="en-US" w:eastAsia="zh-CN"/>
              </w:rPr>
              <w:t>建设项目周边存在耕地、园地、牧草地、饮用水水源地或居民区、学校、医院、疗养院、养老院等土壤环境敏感目标的</w:t>
            </w:r>
          </w:p>
        </w:tc>
      </w:tr>
      <w:tr w14:paraId="64066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2175" w:type="dxa"/>
            <w:noWrap w:val="0"/>
            <w:vAlign w:val="center"/>
          </w:tcPr>
          <w:p w14:paraId="0D0AC945">
            <w:pPr>
              <w:pStyle w:val="2"/>
              <w:widowControl w:val="0"/>
              <w:ind w:left="0" w:firstLine="0"/>
              <w:jc w:val="center"/>
              <w:rPr>
                <w:vertAlign w:val="baseline"/>
                <w:lang w:val="en-US" w:eastAsia="zh-CN"/>
              </w:rPr>
            </w:pPr>
            <w:r>
              <w:rPr>
                <w:rFonts w:hint="eastAsia"/>
                <w:vertAlign w:val="baseline"/>
                <w:lang w:val="en-US" w:eastAsia="zh-CN"/>
              </w:rPr>
              <w:t>较敏感</w:t>
            </w:r>
          </w:p>
        </w:tc>
        <w:tc>
          <w:tcPr>
            <w:tcW w:w="6353" w:type="dxa"/>
            <w:noWrap w:val="0"/>
            <w:vAlign w:val="top"/>
          </w:tcPr>
          <w:p w14:paraId="79847B6C">
            <w:pPr>
              <w:pStyle w:val="2"/>
              <w:widowControl w:val="0"/>
              <w:ind w:left="0" w:firstLine="0"/>
              <w:rPr>
                <w:vertAlign w:val="baseline"/>
                <w:lang w:val="en-US" w:eastAsia="zh-CN"/>
              </w:rPr>
            </w:pPr>
            <w:r>
              <w:rPr>
                <w:rFonts w:hint="eastAsia"/>
                <w:vertAlign w:val="baseline"/>
                <w:lang w:val="en-US" w:eastAsia="zh-CN"/>
              </w:rPr>
              <w:t>建设项目周边存在其他土壤环境敏感目标的</w:t>
            </w:r>
          </w:p>
        </w:tc>
      </w:tr>
      <w:tr w14:paraId="1889D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75" w:type="dxa"/>
            <w:noWrap w:val="0"/>
            <w:vAlign w:val="center"/>
          </w:tcPr>
          <w:p w14:paraId="07F77E9C">
            <w:pPr>
              <w:pStyle w:val="2"/>
              <w:widowControl w:val="0"/>
              <w:ind w:left="0" w:firstLine="0"/>
              <w:jc w:val="center"/>
              <w:rPr>
                <w:vertAlign w:val="baseline"/>
                <w:lang w:val="en-US" w:eastAsia="zh-CN"/>
              </w:rPr>
            </w:pPr>
            <w:r>
              <w:rPr>
                <w:rFonts w:hint="eastAsia"/>
                <w:vertAlign w:val="baseline"/>
                <w:lang w:val="en-US" w:eastAsia="zh-CN"/>
              </w:rPr>
              <w:t>不敏感</w:t>
            </w:r>
          </w:p>
        </w:tc>
        <w:tc>
          <w:tcPr>
            <w:tcW w:w="6353" w:type="dxa"/>
            <w:noWrap w:val="0"/>
            <w:vAlign w:val="top"/>
          </w:tcPr>
          <w:p w14:paraId="05829DE2">
            <w:pPr>
              <w:pStyle w:val="2"/>
              <w:widowControl w:val="0"/>
              <w:ind w:left="0" w:firstLine="0"/>
              <w:rPr>
                <w:vertAlign w:val="baseline"/>
                <w:lang w:val="en-US" w:eastAsia="zh-CN"/>
              </w:rPr>
            </w:pPr>
            <w:r>
              <w:rPr>
                <w:rFonts w:hint="eastAsia"/>
                <w:vertAlign w:val="baseline"/>
                <w:lang w:val="en-US" w:eastAsia="zh-CN"/>
              </w:rPr>
              <w:t>其他情况</w:t>
            </w:r>
          </w:p>
        </w:tc>
      </w:tr>
    </w:tbl>
    <w:p w14:paraId="5F63B2C5">
      <w:pPr>
        <w:jc w:val="center"/>
        <w:rPr>
          <w:b/>
          <w:bCs/>
          <w:szCs w:val="22"/>
          <w:lang w:val="en-US" w:eastAsia="zh-CN"/>
        </w:rPr>
      </w:pPr>
      <w:r>
        <w:rPr>
          <w:rFonts w:hint="eastAsia"/>
          <w:b/>
          <w:bCs/>
          <w:szCs w:val="22"/>
          <w:lang w:val="en-US" w:eastAsia="zh-CN"/>
        </w:rPr>
        <w:t>表2.5-9污染影响型评价工作等级划分表</w:t>
      </w:r>
    </w:p>
    <w:tbl>
      <w:tblPr>
        <w:tblStyle w:val="258"/>
        <w:tblW w:w="5296"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46"/>
        <w:gridCol w:w="977"/>
        <w:gridCol w:w="981"/>
        <w:gridCol w:w="750"/>
        <w:gridCol w:w="640"/>
        <w:gridCol w:w="679"/>
        <w:gridCol w:w="841"/>
        <w:gridCol w:w="675"/>
        <w:gridCol w:w="675"/>
        <w:gridCol w:w="870"/>
      </w:tblGrid>
      <w:tr w14:paraId="48A85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9" w:hRule="atLeast"/>
        </w:trPr>
        <w:tc>
          <w:tcPr>
            <w:tcW w:w="1077" w:type="dxa"/>
            <w:vMerge w:val="restart"/>
            <w:noWrap w:val="0"/>
            <w:vAlign w:val="top"/>
          </w:tcPr>
          <w:p w14:paraId="19C028C0">
            <w:pPr>
              <w:pStyle w:val="2"/>
              <w:widowControl w:val="0"/>
              <w:ind w:left="0" w:firstLine="0"/>
              <w:jc w:val="center"/>
              <w:rPr>
                <w:rFonts w:hint="eastAsia" w:hAnsi="Courier New" w:cs="Courier New"/>
                <w:vertAlign w:val="baseline"/>
                <w:lang w:val="en-US" w:eastAsia="zh-CN"/>
              </w:rPr>
            </w:pPr>
          </w:p>
          <w:p w14:paraId="76274ED5">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敏感程度</w:t>
            </w:r>
          </w:p>
          <w:p w14:paraId="2F613DCB">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评价工作等级</w:t>
            </w:r>
          </w:p>
          <w:p w14:paraId="4028E3D5">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占地规模</w:t>
            </w:r>
          </w:p>
        </w:tc>
        <w:tc>
          <w:tcPr>
            <w:tcW w:w="2708" w:type="dxa"/>
            <w:gridSpan w:val="3"/>
            <w:noWrap w:val="0"/>
            <w:vAlign w:val="center"/>
          </w:tcPr>
          <w:p w14:paraId="5649FD4A">
            <w:pPr>
              <w:pStyle w:val="2"/>
              <w:widowControl w:val="0"/>
              <w:ind w:left="0" w:firstLine="0"/>
              <w:jc w:val="center"/>
              <w:rPr>
                <w:rFonts w:hAnsi="Courier New" w:cs="Courier New"/>
                <w:vertAlign w:val="baseline"/>
                <w:lang w:val="en-US" w:eastAsia="zh-CN"/>
              </w:rPr>
            </w:pPr>
            <w:r>
              <w:rPr>
                <w:rFonts w:hAnsi="Courier New" w:cs="Courier New"/>
                <w:vertAlign w:val="baseline"/>
                <w:lang w:val="en-US" w:eastAsia="zh-CN"/>
              </w:rPr>
              <w:t>Ⅰ</w:t>
            </w:r>
            <w:r>
              <w:rPr>
                <w:rFonts w:hint="eastAsia" w:hAnsi="Courier New" w:cs="Courier New"/>
                <w:vertAlign w:val="baseline"/>
                <w:lang w:val="en-US" w:eastAsia="zh-CN"/>
              </w:rPr>
              <w:t>类</w:t>
            </w:r>
          </w:p>
        </w:tc>
        <w:tc>
          <w:tcPr>
            <w:tcW w:w="2160" w:type="dxa"/>
            <w:gridSpan w:val="3"/>
            <w:noWrap w:val="0"/>
            <w:vAlign w:val="center"/>
          </w:tcPr>
          <w:p w14:paraId="7D67D887">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Ⅱ类</w:t>
            </w:r>
          </w:p>
        </w:tc>
        <w:tc>
          <w:tcPr>
            <w:tcW w:w="2220" w:type="dxa"/>
            <w:gridSpan w:val="3"/>
            <w:noWrap w:val="0"/>
            <w:vAlign w:val="center"/>
          </w:tcPr>
          <w:p w14:paraId="3C55CD28">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Ⅲ类</w:t>
            </w:r>
          </w:p>
        </w:tc>
      </w:tr>
      <w:tr w14:paraId="259F9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1077" w:type="dxa"/>
            <w:vMerge w:val="continue"/>
            <w:noWrap w:val="0"/>
            <w:vAlign w:val="top"/>
          </w:tcPr>
          <w:p w14:paraId="694B2BDF">
            <w:pPr>
              <w:pStyle w:val="2"/>
              <w:widowControl w:val="0"/>
              <w:ind w:left="0" w:firstLine="0"/>
              <w:jc w:val="center"/>
              <w:rPr>
                <w:rFonts w:hint="eastAsia" w:hAnsi="Courier New" w:cs="Courier New"/>
                <w:vertAlign w:val="baseline"/>
                <w:lang w:val="en-US" w:eastAsia="zh-CN"/>
              </w:rPr>
            </w:pPr>
          </w:p>
        </w:tc>
        <w:tc>
          <w:tcPr>
            <w:tcW w:w="540" w:type="dxa"/>
            <w:noWrap w:val="0"/>
            <w:vAlign w:val="top"/>
          </w:tcPr>
          <w:p w14:paraId="2ED2D3FE">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大</w:t>
            </w:r>
          </w:p>
        </w:tc>
        <w:tc>
          <w:tcPr>
            <w:tcW w:w="542" w:type="dxa"/>
            <w:noWrap w:val="0"/>
            <w:vAlign w:val="top"/>
          </w:tcPr>
          <w:p w14:paraId="5919D247">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中</w:t>
            </w:r>
          </w:p>
        </w:tc>
        <w:tc>
          <w:tcPr>
            <w:tcW w:w="415" w:type="dxa"/>
            <w:noWrap w:val="0"/>
            <w:vAlign w:val="top"/>
          </w:tcPr>
          <w:p w14:paraId="389ED35B">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小</w:t>
            </w:r>
          </w:p>
        </w:tc>
        <w:tc>
          <w:tcPr>
            <w:tcW w:w="354" w:type="dxa"/>
            <w:noWrap w:val="0"/>
            <w:vAlign w:val="top"/>
          </w:tcPr>
          <w:p w14:paraId="2C09059A">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大</w:t>
            </w:r>
          </w:p>
        </w:tc>
        <w:tc>
          <w:tcPr>
            <w:tcW w:w="375" w:type="dxa"/>
            <w:noWrap w:val="0"/>
            <w:vAlign w:val="top"/>
          </w:tcPr>
          <w:p w14:paraId="7045757B">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中</w:t>
            </w:r>
          </w:p>
        </w:tc>
        <w:tc>
          <w:tcPr>
            <w:tcW w:w="465" w:type="dxa"/>
            <w:noWrap w:val="0"/>
            <w:vAlign w:val="top"/>
          </w:tcPr>
          <w:p w14:paraId="1D55E035">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小</w:t>
            </w:r>
          </w:p>
        </w:tc>
        <w:tc>
          <w:tcPr>
            <w:tcW w:w="373" w:type="dxa"/>
            <w:noWrap w:val="0"/>
            <w:vAlign w:val="top"/>
          </w:tcPr>
          <w:p w14:paraId="2C9EA0C7">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大</w:t>
            </w:r>
          </w:p>
        </w:tc>
        <w:tc>
          <w:tcPr>
            <w:tcW w:w="373" w:type="dxa"/>
            <w:noWrap w:val="0"/>
            <w:vAlign w:val="top"/>
          </w:tcPr>
          <w:p w14:paraId="66E91378">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中</w:t>
            </w:r>
          </w:p>
        </w:tc>
        <w:tc>
          <w:tcPr>
            <w:tcW w:w="481" w:type="dxa"/>
            <w:noWrap w:val="0"/>
            <w:vAlign w:val="top"/>
          </w:tcPr>
          <w:p w14:paraId="7DB35544">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小</w:t>
            </w:r>
          </w:p>
        </w:tc>
      </w:tr>
      <w:tr w14:paraId="50269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7" w:type="dxa"/>
            <w:noWrap w:val="0"/>
            <w:vAlign w:val="center"/>
          </w:tcPr>
          <w:p w14:paraId="1F088C21">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敏感</w:t>
            </w:r>
          </w:p>
        </w:tc>
        <w:tc>
          <w:tcPr>
            <w:tcW w:w="540" w:type="dxa"/>
            <w:noWrap w:val="0"/>
            <w:vAlign w:val="center"/>
          </w:tcPr>
          <w:p w14:paraId="2ADA095B">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一级</w:t>
            </w:r>
          </w:p>
        </w:tc>
        <w:tc>
          <w:tcPr>
            <w:tcW w:w="542" w:type="dxa"/>
            <w:noWrap w:val="0"/>
            <w:vAlign w:val="center"/>
          </w:tcPr>
          <w:p w14:paraId="6204437E">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一级</w:t>
            </w:r>
          </w:p>
        </w:tc>
        <w:tc>
          <w:tcPr>
            <w:tcW w:w="415" w:type="dxa"/>
            <w:noWrap w:val="0"/>
            <w:vAlign w:val="center"/>
          </w:tcPr>
          <w:p w14:paraId="3622D750">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一级</w:t>
            </w:r>
          </w:p>
        </w:tc>
        <w:tc>
          <w:tcPr>
            <w:tcW w:w="354" w:type="dxa"/>
            <w:noWrap w:val="0"/>
            <w:vAlign w:val="center"/>
          </w:tcPr>
          <w:p w14:paraId="05C3268F">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二级</w:t>
            </w:r>
          </w:p>
        </w:tc>
        <w:tc>
          <w:tcPr>
            <w:tcW w:w="375" w:type="dxa"/>
            <w:noWrap w:val="0"/>
            <w:vAlign w:val="center"/>
          </w:tcPr>
          <w:p w14:paraId="4E2EE1AB">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二级</w:t>
            </w:r>
          </w:p>
        </w:tc>
        <w:tc>
          <w:tcPr>
            <w:tcW w:w="465" w:type="dxa"/>
            <w:noWrap w:val="0"/>
            <w:vAlign w:val="center"/>
          </w:tcPr>
          <w:p w14:paraId="6C91D7C2">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二级</w:t>
            </w:r>
          </w:p>
        </w:tc>
        <w:tc>
          <w:tcPr>
            <w:tcW w:w="373" w:type="dxa"/>
            <w:noWrap w:val="0"/>
            <w:vAlign w:val="center"/>
          </w:tcPr>
          <w:p w14:paraId="1422E096">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373" w:type="dxa"/>
            <w:noWrap w:val="0"/>
            <w:vAlign w:val="center"/>
          </w:tcPr>
          <w:p w14:paraId="1217FA82">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481" w:type="dxa"/>
            <w:noWrap w:val="0"/>
            <w:vAlign w:val="center"/>
          </w:tcPr>
          <w:p w14:paraId="18B07ED8">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r>
      <w:tr w14:paraId="6B25D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7" w:type="dxa"/>
            <w:noWrap w:val="0"/>
            <w:vAlign w:val="center"/>
          </w:tcPr>
          <w:p w14:paraId="3C47039A">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较敏感</w:t>
            </w:r>
          </w:p>
        </w:tc>
        <w:tc>
          <w:tcPr>
            <w:tcW w:w="540" w:type="dxa"/>
            <w:noWrap w:val="0"/>
            <w:vAlign w:val="center"/>
          </w:tcPr>
          <w:p w14:paraId="6A49F1EF">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一级</w:t>
            </w:r>
          </w:p>
        </w:tc>
        <w:tc>
          <w:tcPr>
            <w:tcW w:w="542" w:type="dxa"/>
            <w:noWrap w:val="0"/>
            <w:vAlign w:val="center"/>
          </w:tcPr>
          <w:p w14:paraId="4C723527">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一级</w:t>
            </w:r>
          </w:p>
        </w:tc>
        <w:tc>
          <w:tcPr>
            <w:tcW w:w="415" w:type="dxa"/>
            <w:noWrap w:val="0"/>
            <w:vAlign w:val="center"/>
          </w:tcPr>
          <w:p w14:paraId="12342DB9">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二级</w:t>
            </w:r>
          </w:p>
        </w:tc>
        <w:tc>
          <w:tcPr>
            <w:tcW w:w="354" w:type="dxa"/>
            <w:noWrap w:val="0"/>
            <w:vAlign w:val="center"/>
          </w:tcPr>
          <w:p w14:paraId="6AEDAC7A">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二级</w:t>
            </w:r>
          </w:p>
        </w:tc>
        <w:tc>
          <w:tcPr>
            <w:tcW w:w="375" w:type="dxa"/>
            <w:noWrap w:val="0"/>
            <w:vAlign w:val="center"/>
          </w:tcPr>
          <w:p w14:paraId="332655EF">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二级</w:t>
            </w:r>
          </w:p>
        </w:tc>
        <w:tc>
          <w:tcPr>
            <w:tcW w:w="465" w:type="dxa"/>
            <w:noWrap w:val="0"/>
            <w:vAlign w:val="center"/>
          </w:tcPr>
          <w:p w14:paraId="13BC0A18">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373" w:type="dxa"/>
            <w:noWrap w:val="0"/>
            <w:vAlign w:val="center"/>
          </w:tcPr>
          <w:p w14:paraId="669AFA49">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373" w:type="dxa"/>
            <w:noWrap w:val="0"/>
            <w:vAlign w:val="center"/>
          </w:tcPr>
          <w:p w14:paraId="715017A8">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481" w:type="dxa"/>
            <w:noWrap w:val="0"/>
            <w:vAlign w:val="center"/>
          </w:tcPr>
          <w:p w14:paraId="6C7CA65E">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w:t>
            </w:r>
          </w:p>
        </w:tc>
      </w:tr>
      <w:tr w14:paraId="27A7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7" w:type="dxa"/>
            <w:noWrap w:val="0"/>
            <w:vAlign w:val="center"/>
          </w:tcPr>
          <w:p w14:paraId="635CDEBA">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不敏感</w:t>
            </w:r>
          </w:p>
        </w:tc>
        <w:tc>
          <w:tcPr>
            <w:tcW w:w="540" w:type="dxa"/>
            <w:noWrap w:val="0"/>
            <w:vAlign w:val="center"/>
          </w:tcPr>
          <w:p w14:paraId="097E45D9">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一级</w:t>
            </w:r>
          </w:p>
        </w:tc>
        <w:tc>
          <w:tcPr>
            <w:tcW w:w="542" w:type="dxa"/>
            <w:noWrap w:val="0"/>
            <w:vAlign w:val="center"/>
          </w:tcPr>
          <w:p w14:paraId="35F14BCA">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二级</w:t>
            </w:r>
          </w:p>
        </w:tc>
        <w:tc>
          <w:tcPr>
            <w:tcW w:w="415" w:type="dxa"/>
            <w:noWrap w:val="0"/>
            <w:vAlign w:val="center"/>
          </w:tcPr>
          <w:p w14:paraId="451F9F67">
            <w:pPr>
              <w:pStyle w:val="2"/>
              <w:widowControl w:val="0"/>
              <w:ind w:left="0" w:firstLine="0"/>
              <w:jc w:val="center"/>
              <w:rPr>
                <w:rFonts w:hAnsi="Courier New" w:cs="Courier New"/>
                <w:vertAlign w:val="baseline"/>
                <w:lang w:val="en-US" w:eastAsia="zh-CN"/>
              </w:rPr>
            </w:pPr>
            <w:r>
              <w:rPr>
                <w:rFonts w:hint="eastAsia" w:hAnsi="Courier New" w:cs="Courier New"/>
                <w:vertAlign w:val="baseline"/>
                <w:lang w:val="en-US" w:eastAsia="zh-CN"/>
              </w:rPr>
              <w:t>二级</w:t>
            </w:r>
          </w:p>
        </w:tc>
        <w:tc>
          <w:tcPr>
            <w:tcW w:w="354" w:type="dxa"/>
            <w:noWrap w:val="0"/>
            <w:vAlign w:val="center"/>
          </w:tcPr>
          <w:p w14:paraId="5D70043C">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二级</w:t>
            </w:r>
          </w:p>
        </w:tc>
        <w:tc>
          <w:tcPr>
            <w:tcW w:w="375" w:type="dxa"/>
            <w:noWrap w:val="0"/>
            <w:vAlign w:val="center"/>
          </w:tcPr>
          <w:p w14:paraId="2AC83FD0">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465" w:type="dxa"/>
            <w:noWrap w:val="0"/>
            <w:vAlign w:val="center"/>
          </w:tcPr>
          <w:p w14:paraId="408422EA">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373" w:type="dxa"/>
            <w:noWrap w:val="0"/>
            <w:vAlign w:val="center"/>
          </w:tcPr>
          <w:p w14:paraId="612A1ABF">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三级</w:t>
            </w:r>
          </w:p>
        </w:tc>
        <w:tc>
          <w:tcPr>
            <w:tcW w:w="373" w:type="dxa"/>
            <w:noWrap w:val="0"/>
            <w:vAlign w:val="center"/>
          </w:tcPr>
          <w:p w14:paraId="586B6F43">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w:t>
            </w:r>
          </w:p>
        </w:tc>
        <w:tc>
          <w:tcPr>
            <w:tcW w:w="481" w:type="dxa"/>
            <w:noWrap w:val="0"/>
            <w:vAlign w:val="center"/>
          </w:tcPr>
          <w:p w14:paraId="53739DE3">
            <w:pPr>
              <w:pStyle w:val="2"/>
              <w:widowControl w:val="0"/>
              <w:ind w:left="0" w:firstLine="0"/>
              <w:jc w:val="center"/>
              <w:rPr>
                <w:rFonts w:hint="eastAsia" w:hAnsi="Courier New" w:cs="Courier New"/>
                <w:vertAlign w:val="baseline"/>
                <w:lang w:val="en-US" w:eastAsia="zh-CN"/>
              </w:rPr>
            </w:pPr>
            <w:r>
              <w:rPr>
                <w:rFonts w:hint="eastAsia" w:hAnsi="Courier New" w:cs="Courier New"/>
                <w:vertAlign w:val="baseline"/>
                <w:lang w:val="en-US" w:eastAsia="zh-CN"/>
              </w:rPr>
              <w:t>——</w:t>
            </w:r>
          </w:p>
        </w:tc>
      </w:tr>
    </w:tbl>
    <w:p w14:paraId="7EA0D65E">
      <w:pPr>
        <w:pStyle w:val="2"/>
        <w:rPr>
          <w:rFonts w:ascii="Times New Roman" w:hAnsi="Times New Roman" w:cs="Times New Roman"/>
          <w:color w:val="000000"/>
          <w:sz w:val="24"/>
          <w:szCs w:val="24"/>
          <w:lang w:val="en-US" w:eastAsia="zh-CN"/>
        </w:rPr>
      </w:pPr>
      <w:r>
        <w:rPr>
          <w:rFonts w:ascii="Times New Roman" w:hAnsi="Times New Roman" w:cs="Times New Roman"/>
          <w:color w:val="000000"/>
          <w:sz w:val="24"/>
          <w:szCs w:val="24"/>
          <w:lang w:val="en-US" w:eastAsia="zh-CN"/>
        </w:rPr>
        <w:t>根据《环境影响评价技术导则 土壤环境（试行）》（HJ964-2018）附录A，本项目属于Ⅰ类项目类别，本项目属于敏感区，占地规模为77042.6m</w:t>
      </w:r>
      <w:r>
        <w:rPr>
          <w:rFonts w:ascii="Times New Roman" w:hAnsi="Times New Roman" w:cs="Times New Roman"/>
          <w:color w:val="000000"/>
          <w:sz w:val="24"/>
          <w:szCs w:val="24"/>
          <w:vertAlign w:val="superscript"/>
          <w:lang w:val="en-US" w:eastAsia="zh-CN"/>
        </w:rPr>
        <w:t>2</w:t>
      </w:r>
      <w:r>
        <w:rPr>
          <w:rFonts w:ascii="Times New Roman" w:hAnsi="Times New Roman" w:cs="Times New Roman"/>
          <w:color w:val="000000"/>
          <w:sz w:val="24"/>
          <w:szCs w:val="24"/>
          <w:lang w:val="en-US" w:eastAsia="zh-CN"/>
        </w:rPr>
        <w:t>，属于中型（5~50hm</w:t>
      </w:r>
      <w:r>
        <w:rPr>
          <w:rFonts w:ascii="Times New Roman" w:hAnsi="Times New Roman" w:cs="Times New Roman"/>
          <w:color w:val="000000"/>
          <w:sz w:val="24"/>
          <w:szCs w:val="24"/>
          <w:vertAlign w:val="superscript"/>
          <w:lang w:val="en-US" w:eastAsia="zh-CN"/>
        </w:rPr>
        <w:t>2</w:t>
      </w:r>
      <w:r>
        <w:rPr>
          <w:rFonts w:ascii="Times New Roman" w:hAnsi="Times New Roman" w:cs="Times New Roman"/>
          <w:color w:val="000000"/>
          <w:sz w:val="24"/>
          <w:szCs w:val="24"/>
          <w:lang w:val="en-US" w:eastAsia="zh-CN"/>
        </w:rPr>
        <w:t>），因此评价工作等级为一级。</w:t>
      </w:r>
    </w:p>
    <w:p w14:paraId="448CB294">
      <w:pPr>
        <w:pStyle w:val="188"/>
      </w:pPr>
      <w:r>
        <w:rPr>
          <w:rFonts w:hint="eastAsia"/>
        </w:rPr>
        <w:t>2.</w:t>
      </w:r>
      <w:r>
        <w:rPr>
          <w:rFonts w:hint="eastAsia"/>
          <w:lang w:val="en-US" w:eastAsia="zh-CN"/>
        </w:rPr>
        <w:t>5</w:t>
      </w:r>
      <w:r>
        <w:rPr>
          <w:rFonts w:hint="eastAsia"/>
        </w:rPr>
        <w:t>.2 评价范围</w:t>
      </w:r>
    </w:p>
    <w:p w14:paraId="23DAB97B">
      <w:pPr>
        <w:ind w:firstLine="480"/>
        <w:rPr>
          <w:rFonts w:hint="eastAsia"/>
        </w:rPr>
      </w:pPr>
      <w:r>
        <w:rPr>
          <w:rFonts w:hint="eastAsia"/>
        </w:rPr>
        <w:t>根据项目评价等级，结合项目所在区域自然环境特征，确定本项目的评价范围见表2</w:t>
      </w:r>
      <w:r>
        <w:rPr>
          <w:rFonts w:hint="eastAsia"/>
          <w:lang w:val="en-US" w:eastAsia="zh-CN"/>
        </w:rPr>
        <w:t>.5</w:t>
      </w:r>
      <w:r>
        <w:rPr>
          <w:rFonts w:hint="eastAsia"/>
        </w:rPr>
        <w:t>-</w:t>
      </w:r>
      <w:r>
        <w:rPr>
          <w:rFonts w:hint="eastAsia"/>
          <w:lang w:val="en-US" w:eastAsia="zh-CN"/>
        </w:rPr>
        <w:t>10</w:t>
      </w:r>
      <w:r>
        <w:rPr>
          <w:rFonts w:hint="eastAsia"/>
        </w:rPr>
        <w:t>。</w:t>
      </w:r>
    </w:p>
    <w:p w14:paraId="030C1102">
      <w:pPr>
        <w:pStyle w:val="336"/>
        <w:ind w:firstLine="482"/>
        <w:rPr>
          <w:rFonts w:hint="eastAsia"/>
          <w:color w:val="000000"/>
        </w:rPr>
      </w:pPr>
      <w:r>
        <w:rPr>
          <w:rFonts w:hint="eastAsia"/>
          <w:color w:val="000000"/>
        </w:rPr>
        <w:t xml:space="preserve">           表2</w:t>
      </w:r>
      <w:r>
        <w:rPr>
          <w:rFonts w:hint="eastAsia" w:eastAsia="宋体"/>
          <w:color w:val="000000"/>
          <w:lang w:val="en-US" w:eastAsia="zh-CN"/>
        </w:rPr>
        <w:t>.5-10</w:t>
      </w:r>
      <w:r>
        <w:rPr>
          <w:color w:val="000000"/>
        </w:rPr>
        <w:t xml:space="preserve"> </w:t>
      </w:r>
      <w:r>
        <w:rPr>
          <w:rFonts w:hint="eastAsia"/>
          <w:color w:val="000000"/>
        </w:rPr>
        <w:t>项目环境影响评价范围一览表</w:t>
      </w:r>
    </w:p>
    <w:tbl>
      <w:tblPr>
        <w:tblStyle w:val="32"/>
        <w:tblW w:w="0" w:type="auto"/>
        <w:tblInd w:w="-108" w:type="dxa"/>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Layout w:type="fixed"/>
        <w:tblCellMar>
          <w:top w:w="57" w:type="dxa"/>
          <w:left w:w="108" w:type="dxa"/>
          <w:bottom w:w="57" w:type="dxa"/>
          <w:right w:w="108" w:type="dxa"/>
        </w:tblCellMar>
      </w:tblPr>
      <w:tblGrid>
        <w:gridCol w:w="1669"/>
        <w:gridCol w:w="6853"/>
      </w:tblGrid>
      <w:tr w14:paraId="25C8EA07">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top"/>
          </w:tcPr>
          <w:p w14:paraId="1DA14134">
            <w:pPr>
              <w:widowControl w:val="0"/>
              <w:spacing w:line="240" w:lineRule="auto"/>
              <w:ind w:firstLine="0"/>
              <w:jc w:val="center"/>
              <w:rPr>
                <w:b/>
                <w:bCs/>
                <w:sz w:val="21"/>
                <w:szCs w:val="32"/>
              </w:rPr>
            </w:pPr>
            <w:r>
              <w:rPr>
                <w:rFonts w:hint="eastAsia"/>
                <w:b/>
                <w:bCs/>
                <w:sz w:val="21"/>
                <w:szCs w:val="32"/>
              </w:rPr>
              <w:t>评价内容</w:t>
            </w:r>
          </w:p>
        </w:tc>
        <w:tc>
          <w:tcPr>
            <w:tcW w:w="6853" w:type="dxa"/>
            <w:noWrap w:val="0"/>
            <w:vAlign w:val="top"/>
          </w:tcPr>
          <w:p w14:paraId="1A3EF67E">
            <w:pPr>
              <w:widowControl w:val="0"/>
              <w:spacing w:line="240" w:lineRule="auto"/>
              <w:ind w:firstLine="0"/>
              <w:jc w:val="center"/>
              <w:rPr>
                <w:b/>
                <w:bCs/>
                <w:sz w:val="21"/>
                <w:szCs w:val="32"/>
              </w:rPr>
            </w:pPr>
            <w:r>
              <w:rPr>
                <w:rFonts w:hint="eastAsia"/>
                <w:b/>
                <w:bCs/>
                <w:sz w:val="21"/>
                <w:szCs w:val="32"/>
              </w:rPr>
              <w:t>评价范围</w:t>
            </w:r>
          </w:p>
        </w:tc>
      </w:tr>
      <w:tr w14:paraId="0744D65B">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4EB10C69">
            <w:pPr>
              <w:widowControl w:val="0"/>
              <w:spacing w:line="240" w:lineRule="auto"/>
              <w:ind w:firstLine="0"/>
              <w:jc w:val="center"/>
              <w:rPr>
                <w:bCs/>
                <w:sz w:val="21"/>
                <w:szCs w:val="32"/>
              </w:rPr>
            </w:pPr>
            <w:r>
              <w:rPr>
                <w:rFonts w:hint="eastAsia"/>
                <w:bCs/>
                <w:sz w:val="21"/>
                <w:szCs w:val="32"/>
              </w:rPr>
              <w:t>社会环境</w:t>
            </w:r>
          </w:p>
        </w:tc>
        <w:tc>
          <w:tcPr>
            <w:tcW w:w="6853" w:type="dxa"/>
            <w:noWrap w:val="0"/>
            <w:vAlign w:val="center"/>
          </w:tcPr>
          <w:p w14:paraId="0D99ACF0">
            <w:pPr>
              <w:widowControl w:val="0"/>
              <w:spacing w:line="240" w:lineRule="auto"/>
              <w:ind w:firstLine="0"/>
              <w:jc w:val="center"/>
              <w:rPr>
                <w:rFonts w:hint="eastAsia"/>
                <w:bCs/>
                <w:sz w:val="21"/>
                <w:szCs w:val="21"/>
              </w:rPr>
            </w:pPr>
            <w:r>
              <w:rPr>
                <w:rFonts w:hint="eastAsia"/>
                <w:bCs/>
                <w:sz w:val="21"/>
                <w:szCs w:val="21"/>
              </w:rPr>
              <w:t>本工程直接影响区域。</w:t>
            </w:r>
          </w:p>
        </w:tc>
      </w:tr>
      <w:tr w14:paraId="09DB8394">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46E628F1">
            <w:pPr>
              <w:widowControl w:val="0"/>
              <w:spacing w:line="240" w:lineRule="auto"/>
              <w:ind w:firstLine="0"/>
              <w:jc w:val="center"/>
              <w:rPr>
                <w:bCs/>
                <w:sz w:val="21"/>
                <w:szCs w:val="32"/>
              </w:rPr>
            </w:pPr>
            <w:r>
              <w:rPr>
                <w:rFonts w:hint="eastAsia"/>
                <w:bCs/>
                <w:sz w:val="21"/>
                <w:szCs w:val="32"/>
              </w:rPr>
              <w:t>生态环境</w:t>
            </w:r>
          </w:p>
        </w:tc>
        <w:tc>
          <w:tcPr>
            <w:tcW w:w="6853" w:type="dxa"/>
            <w:noWrap w:val="0"/>
            <w:vAlign w:val="center"/>
          </w:tcPr>
          <w:p w14:paraId="0DBE4301">
            <w:pPr>
              <w:widowControl w:val="0"/>
              <w:spacing w:line="240" w:lineRule="auto"/>
              <w:ind w:firstLine="0"/>
              <w:jc w:val="center"/>
              <w:rPr>
                <w:bCs/>
                <w:sz w:val="21"/>
                <w:szCs w:val="21"/>
              </w:rPr>
            </w:pPr>
            <w:r>
              <w:rPr>
                <w:spacing w:val="-4"/>
                <w:sz w:val="21"/>
                <w:szCs w:val="21"/>
              </w:rPr>
              <w:t xml:space="preserve">项目场地及厂界外 </w:t>
            </w:r>
            <w:r>
              <w:rPr>
                <w:rFonts w:ascii="Times New Roman" w:eastAsia="Times New Roman"/>
                <w:sz w:val="21"/>
                <w:szCs w:val="21"/>
              </w:rPr>
              <w:t xml:space="preserve">200m </w:t>
            </w:r>
            <w:r>
              <w:rPr>
                <w:sz w:val="21"/>
                <w:szCs w:val="21"/>
              </w:rPr>
              <w:t>范围</w:t>
            </w:r>
          </w:p>
        </w:tc>
      </w:tr>
      <w:tr w14:paraId="30886715">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1ED87F67">
            <w:pPr>
              <w:widowControl w:val="0"/>
              <w:spacing w:line="240" w:lineRule="auto"/>
              <w:ind w:firstLine="0"/>
              <w:jc w:val="center"/>
              <w:rPr>
                <w:bCs/>
                <w:sz w:val="21"/>
                <w:szCs w:val="32"/>
              </w:rPr>
            </w:pPr>
            <w:r>
              <w:rPr>
                <w:rFonts w:hint="eastAsia"/>
                <w:bCs/>
                <w:sz w:val="21"/>
                <w:szCs w:val="32"/>
              </w:rPr>
              <w:t>声环境</w:t>
            </w:r>
          </w:p>
        </w:tc>
        <w:tc>
          <w:tcPr>
            <w:tcW w:w="6853" w:type="dxa"/>
            <w:noWrap w:val="0"/>
            <w:vAlign w:val="center"/>
          </w:tcPr>
          <w:p w14:paraId="5E446D2B">
            <w:pPr>
              <w:widowControl w:val="0"/>
              <w:spacing w:line="240" w:lineRule="auto"/>
              <w:ind w:firstLine="0"/>
              <w:jc w:val="center"/>
              <w:rPr>
                <w:rFonts w:hint="eastAsia"/>
                <w:bCs/>
                <w:sz w:val="21"/>
                <w:szCs w:val="21"/>
              </w:rPr>
            </w:pPr>
            <w:r>
              <w:rPr>
                <w:rFonts w:hint="eastAsia" w:hAnsi="宋体"/>
                <w:sz w:val="21"/>
                <w:szCs w:val="21"/>
              </w:rPr>
              <w:t>项目厂址</w:t>
            </w:r>
            <w:r>
              <w:rPr>
                <w:rFonts w:hint="eastAsia"/>
                <w:bCs/>
                <w:sz w:val="21"/>
                <w:szCs w:val="21"/>
              </w:rPr>
              <w:t>边界并向外延伸200m及敏感点。</w:t>
            </w:r>
          </w:p>
        </w:tc>
      </w:tr>
      <w:tr w14:paraId="05E16089">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2EB200BA">
            <w:pPr>
              <w:widowControl w:val="0"/>
              <w:spacing w:line="240" w:lineRule="auto"/>
              <w:ind w:firstLine="0"/>
              <w:jc w:val="center"/>
              <w:rPr>
                <w:bCs/>
                <w:sz w:val="21"/>
                <w:szCs w:val="32"/>
              </w:rPr>
            </w:pPr>
            <w:r>
              <w:rPr>
                <w:rFonts w:hint="eastAsia"/>
                <w:bCs/>
                <w:sz w:val="21"/>
                <w:szCs w:val="32"/>
              </w:rPr>
              <w:t>地表水环境</w:t>
            </w:r>
          </w:p>
        </w:tc>
        <w:tc>
          <w:tcPr>
            <w:tcW w:w="6853" w:type="dxa"/>
            <w:noWrap w:val="0"/>
            <w:vAlign w:val="center"/>
          </w:tcPr>
          <w:p w14:paraId="290C1F9F">
            <w:pPr>
              <w:pStyle w:val="219"/>
              <w:spacing w:before="8" w:line="220" w:lineRule="auto"/>
              <w:ind w:right="356" w:firstLine="0"/>
              <w:jc w:val="center"/>
              <w:rPr>
                <w:rFonts w:hint="eastAsia"/>
                <w:bCs/>
                <w:sz w:val="21"/>
                <w:szCs w:val="21"/>
              </w:rPr>
            </w:pPr>
            <w:r>
              <w:rPr>
                <w:rFonts w:ascii="Times New Roman" w:hAnsi="Times New Roman" w:eastAsia="宋体" w:cs="Times New Roman"/>
                <w:sz w:val="21"/>
                <w:szCs w:val="21"/>
                <w:highlight w:val="none"/>
              </w:rPr>
              <w:t>厂区</w:t>
            </w:r>
            <w:r>
              <w:rPr>
                <w:rFonts w:ascii="Times New Roman" w:hAnsi="Times New Roman" w:eastAsia="宋体" w:cs="Times New Roman"/>
                <w:sz w:val="21"/>
                <w:szCs w:val="21"/>
                <w:highlight w:val="none"/>
                <w:lang w:val="en-US" w:eastAsia="zh-CN"/>
              </w:rPr>
              <w:t>北侧芒市大河</w:t>
            </w:r>
            <w:r>
              <w:rPr>
                <w:rFonts w:ascii="Times New Roman" w:hAnsi="Times New Roman" w:eastAsia="宋体" w:cs="Times New Roman"/>
                <w:sz w:val="21"/>
                <w:szCs w:val="21"/>
                <w:highlight w:val="none"/>
              </w:rPr>
              <w:t>3km 范围。</w:t>
            </w:r>
          </w:p>
        </w:tc>
      </w:tr>
      <w:tr w14:paraId="0327FD20">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7868CC19">
            <w:pPr>
              <w:widowControl w:val="0"/>
              <w:spacing w:line="240" w:lineRule="auto"/>
              <w:ind w:firstLine="0"/>
              <w:jc w:val="center"/>
              <w:rPr>
                <w:rFonts w:hint="eastAsia"/>
                <w:bCs/>
                <w:sz w:val="21"/>
                <w:szCs w:val="32"/>
              </w:rPr>
            </w:pPr>
            <w:r>
              <w:rPr>
                <w:rFonts w:hint="eastAsia"/>
                <w:bCs/>
                <w:sz w:val="21"/>
                <w:szCs w:val="32"/>
              </w:rPr>
              <w:t>地下水环境</w:t>
            </w:r>
          </w:p>
        </w:tc>
        <w:tc>
          <w:tcPr>
            <w:tcW w:w="6853" w:type="dxa"/>
            <w:noWrap w:val="0"/>
            <w:vAlign w:val="center"/>
          </w:tcPr>
          <w:p w14:paraId="3A781986">
            <w:pPr>
              <w:widowControl w:val="0"/>
              <w:spacing w:line="240" w:lineRule="auto"/>
              <w:ind w:firstLine="0"/>
              <w:jc w:val="center"/>
              <w:rPr>
                <w:rFonts w:hint="eastAsia"/>
                <w:bCs/>
                <w:sz w:val="21"/>
                <w:szCs w:val="21"/>
              </w:rPr>
            </w:pPr>
            <w:r>
              <w:rPr>
                <w:rFonts w:hAnsi="宋体"/>
                <w:sz w:val="21"/>
                <w:szCs w:val="21"/>
              </w:rPr>
              <w:t>项目所在区域水文地质单元</w:t>
            </w:r>
            <w:r>
              <w:rPr>
                <w:rFonts w:hint="eastAsia" w:hAnsi="宋体"/>
                <w:sz w:val="21"/>
                <w:szCs w:val="21"/>
              </w:rPr>
              <w:t>6km</w:t>
            </w:r>
            <w:r>
              <w:rPr>
                <w:rFonts w:hint="eastAsia" w:hAnsi="宋体"/>
                <w:sz w:val="21"/>
                <w:szCs w:val="21"/>
                <w:vertAlign w:val="superscript"/>
              </w:rPr>
              <w:t>2</w:t>
            </w:r>
            <w:r>
              <w:rPr>
                <w:rFonts w:hint="eastAsia" w:hAnsi="宋体"/>
                <w:sz w:val="21"/>
                <w:szCs w:val="21"/>
              </w:rPr>
              <w:t>。</w:t>
            </w:r>
          </w:p>
        </w:tc>
      </w:tr>
      <w:tr w14:paraId="20A84670">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664DD095">
            <w:pPr>
              <w:widowControl w:val="0"/>
              <w:spacing w:line="240" w:lineRule="auto"/>
              <w:ind w:firstLine="0"/>
              <w:jc w:val="center"/>
              <w:rPr>
                <w:bCs/>
                <w:sz w:val="21"/>
                <w:szCs w:val="32"/>
              </w:rPr>
            </w:pPr>
            <w:r>
              <w:rPr>
                <w:rFonts w:hint="eastAsia"/>
                <w:bCs/>
                <w:sz w:val="21"/>
                <w:szCs w:val="32"/>
              </w:rPr>
              <w:t>环境空气</w:t>
            </w:r>
          </w:p>
        </w:tc>
        <w:tc>
          <w:tcPr>
            <w:tcW w:w="6853" w:type="dxa"/>
            <w:noWrap w:val="0"/>
            <w:vAlign w:val="center"/>
          </w:tcPr>
          <w:p w14:paraId="172B0F5D">
            <w:pPr>
              <w:widowControl w:val="0"/>
              <w:spacing w:line="240" w:lineRule="auto"/>
              <w:ind w:firstLine="0"/>
              <w:jc w:val="center"/>
              <w:rPr>
                <w:rFonts w:hAnsi="宋体"/>
                <w:sz w:val="21"/>
                <w:szCs w:val="21"/>
              </w:rPr>
            </w:pPr>
            <w:r>
              <w:rPr>
                <w:sz w:val="21"/>
                <w:szCs w:val="21"/>
              </w:rPr>
              <w:t>以厂区为中心、</w:t>
            </w:r>
            <w:r>
              <w:rPr>
                <w:spacing w:val="-15"/>
                <w:sz w:val="21"/>
                <w:szCs w:val="21"/>
              </w:rPr>
              <w:t xml:space="preserve">边长为 </w:t>
            </w:r>
            <w:r>
              <w:rPr>
                <w:rFonts w:ascii="Times New Roman" w:eastAsia="Times New Roman"/>
                <w:sz w:val="21"/>
                <w:szCs w:val="21"/>
              </w:rPr>
              <w:t>5km</w:t>
            </w:r>
            <w:r>
              <w:rPr>
                <w:rFonts w:hint="eastAsia" w:ascii="Times New Roman" w:eastAsia="宋体"/>
                <w:sz w:val="21"/>
                <w:szCs w:val="21"/>
                <w:lang w:val="en-US" w:eastAsia="zh-CN"/>
              </w:rPr>
              <w:t>的范围。</w:t>
            </w:r>
          </w:p>
        </w:tc>
      </w:tr>
      <w:tr w14:paraId="653F8B2E">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05391F17">
            <w:pPr>
              <w:widowControl w:val="0"/>
              <w:spacing w:line="240" w:lineRule="auto"/>
              <w:ind w:firstLine="0"/>
              <w:jc w:val="center"/>
              <w:rPr>
                <w:rFonts w:hint="eastAsia"/>
                <w:bCs/>
                <w:sz w:val="21"/>
                <w:szCs w:val="32"/>
              </w:rPr>
            </w:pPr>
            <w:r>
              <w:rPr>
                <w:rFonts w:hint="eastAsia"/>
                <w:bCs/>
                <w:sz w:val="21"/>
                <w:szCs w:val="32"/>
              </w:rPr>
              <w:t>风险评价</w:t>
            </w:r>
          </w:p>
        </w:tc>
        <w:tc>
          <w:tcPr>
            <w:tcW w:w="6853" w:type="dxa"/>
            <w:noWrap w:val="0"/>
            <w:vAlign w:val="center"/>
          </w:tcPr>
          <w:p w14:paraId="03F51D06">
            <w:pPr>
              <w:widowControl w:val="0"/>
              <w:spacing w:line="240" w:lineRule="auto"/>
              <w:ind w:firstLine="0"/>
              <w:jc w:val="center"/>
              <w:rPr>
                <w:sz w:val="21"/>
                <w:szCs w:val="21"/>
              </w:rPr>
            </w:pPr>
            <w:r>
              <w:rPr>
                <w:sz w:val="21"/>
                <w:szCs w:val="21"/>
              </w:rPr>
              <w:t>确定环境风险大气</w:t>
            </w:r>
            <w:r>
              <w:rPr>
                <w:spacing w:val="-4"/>
                <w:sz w:val="21"/>
                <w:szCs w:val="21"/>
              </w:rPr>
              <w:t xml:space="preserve">环境影响评价范围为项目边界 </w:t>
            </w:r>
            <w:r>
              <w:rPr>
                <w:rFonts w:ascii="Times New Roman" w:eastAsia="Times New Roman"/>
                <w:sz w:val="21"/>
                <w:szCs w:val="21"/>
              </w:rPr>
              <w:t xml:space="preserve">5km </w:t>
            </w:r>
            <w:r>
              <w:rPr>
                <w:spacing w:val="-1"/>
                <w:sz w:val="21"/>
                <w:szCs w:val="21"/>
              </w:rPr>
              <w:t>的范围，地表水环境影响评价范围与地表水评价</w:t>
            </w:r>
            <w:r>
              <w:rPr>
                <w:sz w:val="21"/>
                <w:szCs w:val="21"/>
              </w:rPr>
              <w:t>范围相同，地下水环境风险评价范围与地下水评价范围相同</w:t>
            </w:r>
            <w:r>
              <w:rPr>
                <w:rFonts w:hint="eastAsia" w:eastAsia="宋体"/>
                <w:sz w:val="21"/>
                <w:szCs w:val="21"/>
                <w:lang w:eastAsia="zh-CN"/>
              </w:rPr>
              <w:t>。</w:t>
            </w:r>
          </w:p>
        </w:tc>
      </w:tr>
      <w:tr w14:paraId="453147CE">
        <w:tblPrEx>
          <w:tblBorders>
            <w:top w:val="single" w:color="000000" w:sz="12" w:space="0"/>
            <w:left w:val="none" w:color="000000" w:sz="0" w:space="0"/>
            <w:bottom w:val="single" w:color="000000" w:sz="12" w:space="0"/>
            <w:right w:val="none" w:color="000000" w:sz="0" w:space="0"/>
            <w:insideH w:val="single" w:color="000000" w:sz="6" w:space="0"/>
            <w:insideV w:val="single" w:color="000000" w:sz="6" w:space="0"/>
          </w:tblBorders>
          <w:tblCellMar>
            <w:top w:w="57" w:type="dxa"/>
            <w:left w:w="108" w:type="dxa"/>
            <w:bottom w:w="57" w:type="dxa"/>
            <w:right w:w="108" w:type="dxa"/>
          </w:tblCellMar>
        </w:tblPrEx>
        <w:tc>
          <w:tcPr>
            <w:tcW w:w="1669" w:type="dxa"/>
            <w:noWrap w:val="0"/>
            <w:vAlign w:val="center"/>
          </w:tcPr>
          <w:p w14:paraId="4B80BF4E">
            <w:pPr>
              <w:widowControl w:val="0"/>
              <w:spacing w:line="240" w:lineRule="auto"/>
              <w:ind w:firstLine="0"/>
              <w:jc w:val="center"/>
              <w:rPr>
                <w:bCs/>
                <w:sz w:val="21"/>
                <w:szCs w:val="32"/>
                <w:lang w:val="en-US" w:eastAsia="zh-CN"/>
              </w:rPr>
            </w:pPr>
            <w:r>
              <w:rPr>
                <w:rFonts w:hint="eastAsia"/>
                <w:bCs/>
                <w:sz w:val="21"/>
                <w:szCs w:val="32"/>
                <w:lang w:val="en-US" w:eastAsia="zh-CN"/>
              </w:rPr>
              <w:t>土壤环境</w:t>
            </w:r>
          </w:p>
        </w:tc>
        <w:tc>
          <w:tcPr>
            <w:tcW w:w="6853" w:type="dxa"/>
            <w:noWrap w:val="0"/>
            <w:vAlign w:val="center"/>
          </w:tcPr>
          <w:p w14:paraId="5E08F29E">
            <w:pPr>
              <w:widowControl w:val="0"/>
              <w:spacing w:line="240" w:lineRule="auto"/>
              <w:ind w:firstLine="0"/>
              <w:jc w:val="center"/>
              <w:rPr>
                <w:rFonts w:hint="eastAsia"/>
                <w:bCs/>
                <w:sz w:val="21"/>
                <w:szCs w:val="32"/>
              </w:rPr>
            </w:pPr>
            <w:r>
              <w:rPr>
                <w:rFonts w:hint="eastAsia"/>
                <w:bCs/>
                <w:sz w:val="21"/>
                <w:szCs w:val="32"/>
                <w:lang w:val="en-US" w:eastAsia="zh-CN"/>
              </w:rPr>
              <w:t>项目占地范围内及占地范围外1km范围内。</w:t>
            </w:r>
          </w:p>
        </w:tc>
      </w:tr>
    </w:tbl>
    <w:p w14:paraId="00A4415E">
      <w:pPr>
        <w:pStyle w:val="2"/>
        <w:ind w:firstLine="0"/>
        <w:rPr>
          <w:rFonts w:hint="eastAsia"/>
        </w:rPr>
      </w:pPr>
    </w:p>
    <w:p w14:paraId="5410F25E">
      <w:pPr>
        <w:pStyle w:val="187"/>
        <w:rPr>
          <w:rFonts w:ascii="Times New Roman" w:hAnsi="Times New Roman"/>
        </w:rPr>
      </w:pPr>
      <w:bookmarkStart w:id="47" w:name="_Toc471998588"/>
      <w:bookmarkStart w:id="48" w:name="_Toc29710"/>
      <w:r>
        <w:rPr>
          <w:rFonts w:ascii="Times New Roman" w:hAnsi="Times New Roman"/>
        </w:rPr>
        <w:t xml:space="preserve">2.6 </w:t>
      </w:r>
      <w:r>
        <w:rPr>
          <w:rFonts w:hint="eastAsia" w:ascii="Times New Roman" w:hAnsi="Times New Roman"/>
        </w:rPr>
        <w:t>主要环境保护目标</w:t>
      </w:r>
      <w:bookmarkEnd w:id="46"/>
      <w:bookmarkEnd w:id="47"/>
    </w:p>
    <w:bookmarkEnd w:id="48"/>
    <w:p w14:paraId="0EE11C43">
      <w:pPr>
        <w:pStyle w:val="210"/>
        <w:ind w:firstLine="480"/>
        <w:rPr>
          <w:rFonts w:hint="eastAsia"/>
          <w:sz w:val="24"/>
        </w:rPr>
      </w:pPr>
      <w:r>
        <w:rPr>
          <w:rFonts w:hint="eastAsia"/>
          <w:sz w:val="24"/>
        </w:rPr>
        <w:t>根据工程工可资料及现场实地踏勘和调查，确定了噪声、环境空气、地表水环境、地下水环境、生态环境以及社会环境的环境保护目标。</w:t>
      </w:r>
    </w:p>
    <w:p w14:paraId="7ACEC1C3">
      <w:pPr>
        <w:pStyle w:val="210"/>
        <w:ind w:firstLine="482"/>
        <w:jc w:val="center"/>
        <w:rPr>
          <w:rFonts w:hint="eastAsia"/>
          <w:b/>
          <w:bCs/>
          <w:color w:val="000000"/>
          <w:sz w:val="24"/>
        </w:rPr>
      </w:pPr>
      <w:r>
        <w:rPr>
          <w:rFonts w:hint="eastAsia"/>
          <w:b/>
          <w:bCs/>
          <w:color w:val="000000"/>
          <w:sz w:val="24"/>
        </w:rPr>
        <w:t>表2</w:t>
      </w:r>
      <w:r>
        <w:rPr>
          <w:rFonts w:hint="eastAsia" w:eastAsia="宋体"/>
          <w:b/>
          <w:bCs/>
          <w:color w:val="000000"/>
          <w:sz w:val="24"/>
          <w:lang w:val="en-US" w:eastAsia="zh-CN"/>
        </w:rPr>
        <w:t>.6</w:t>
      </w:r>
      <w:r>
        <w:rPr>
          <w:rFonts w:hint="eastAsia"/>
          <w:b/>
          <w:bCs/>
          <w:color w:val="000000"/>
          <w:sz w:val="24"/>
        </w:rPr>
        <w:t>-1</w:t>
      </w:r>
      <w:r>
        <w:rPr>
          <w:b/>
          <w:bCs/>
          <w:color w:val="000000"/>
          <w:sz w:val="24"/>
        </w:rPr>
        <w:t xml:space="preserve">  </w:t>
      </w:r>
      <w:r>
        <w:rPr>
          <w:rFonts w:hint="eastAsia"/>
          <w:b/>
          <w:bCs/>
          <w:color w:val="000000"/>
          <w:sz w:val="24"/>
        </w:rPr>
        <w:t>项目主要环境保护目标一览表</w:t>
      </w:r>
    </w:p>
    <w:tbl>
      <w:tblPr>
        <w:tblStyle w:val="32"/>
        <w:tblW w:w="8752"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688"/>
        <w:gridCol w:w="900"/>
        <w:gridCol w:w="1500"/>
        <w:gridCol w:w="1760"/>
        <w:gridCol w:w="2268"/>
      </w:tblGrid>
      <w:tr w14:paraId="6270A75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636" w:type="dxa"/>
            <w:noWrap w:val="0"/>
            <w:vAlign w:val="center"/>
          </w:tcPr>
          <w:p w14:paraId="41FE4C92">
            <w:pPr>
              <w:widowControl w:val="0"/>
              <w:spacing w:line="240" w:lineRule="auto"/>
              <w:ind w:firstLine="0"/>
              <w:jc w:val="center"/>
              <w:rPr>
                <w:b/>
                <w:sz w:val="21"/>
                <w:szCs w:val="21"/>
              </w:rPr>
            </w:pPr>
            <w:r>
              <w:rPr>
                <w:b/>
                <w:sz w:val="21"/>
                <w:szCs w:val="21"/>
              </w:rPr>
              <w:t>环境</w:t>
            </w:r>
          </w:p>
          <w:p w14:paraId="417497A0">
            <w:pPr>
              <w:widowControl w:val="0"/>
              <w:spacing w:line="240" w:lineRule="auto"/>
              <w:ind w:firstLine="0"/>
              <w:jc w:val="center"/>
              <w:rPr>
                <w:b/>
                <w:sz w:val="21"/>
                <w:szCs w:val="21"/>
              </w:rPr>
            </w:pPr>
            <w:r>
              <w:rPr>
                <w:b/>
                <w:sz w:val="21"/>
                <w:szCs w:val="21"/>
              </w:rPr>
              <w:t>要素</w:t>
            </w:r>
          </w:p>
        </w:tc>
        <w:tc>
          <w:tcPr>
            <w:tcW w:w="1688" w:type="dxa"/>
            <w:noWrap w:val="0"/>
            <w:vAlign w:val="center"/>
          </w:tcPr>
          <w:p w14:paraId="1AF111C2">
            <w:pPr>
              <w:widowControl w:val="0"/>
              <w:spacing w:line="240" w:lineRule="auto"/>
              <w:ind w:firstLine="0"/>
              <w:jc w:val="center"/>
              <w:rPr>
                <w:b/>
                <w:sz w:val="21"/>
                <w:szCs w:val="21"/>
              </w:rPr>
            </w:pPr>
            <w:r>
              <w:rPr>
                <w:b/>
                <w:sz w:val="21"/>
                <w:szCs w:val="21"/>
              </w:rPr>
              <w:t>环境保护对象名</w:t>
            </w:r>
          </w:p>
          <w:p w14:paraId="4F42FD39">
            <w:pPr>
              <w:widowControl w:val="0"/>
              <w:spacing w:line="240" w:lineRule="auto"/>
              <w:ind w:firstLine="0"/>
              <w:jc w:val="center"/>
              <w:rPr>
                <w:b/>
                <w:sz w:val="21"/>
                <w:szCs w:val="21"/>
              </w:rPr>
            </w:pPr>
            <w:r>
              <w:rPr>
                <w:b/>
                <w:sz w:val="21"/>
                <w:szCs w:val="21"/>
              </w:rPr>
              <w:t>称</w:t>
            </w:r>
          </w:p>
        </w:tc>
        <w:tc>
          <w:tcPr>
            <w:tcW w:w="900" w:type="dxa"/>
            <w:noWrap w:val="0"/>
            <w:vAlign w:val="center"/>
          </w:tcPr>
          <w:p w14:paraId="3C9031D3">
            <w:pPr>
              <w:widowControl w:val="0"/>
              <w:spacing w:line="240" w:lineRule="auto"/>
              <w:ind w:firstLine="0"/>
              <w:jc w:val="center"/>
              <w:rPr>
                <w:b/>
                <w:sz w:val="21"/>
                <w:szCs w:val="21"/>
              </w:rPr>
            </w:pPr>
            <w:r>
              <w:rPr>
                <w:b/>
                <w:sz w:val="21"/>
                <w:szCs w:val="21"/>
              </w:rPr>
              <w:t>方位</w:t>
            </w:r>
          </w:p>
        </w:tc>
        <w:tc>
          <w:tcPr>
            <w:tcW w:w="1500" w:type="dxa"/>
            <w:noWrap w:val="0"/>
            <w:vAlign w:val="center"/>
          </w:tcPr>
          <w:p w14:paraId="4A011E6C">
            <w:pPr>
              <w:widowControl w:val="0"/>
              <w:spacing w:line="240" w:lineRule="auto"/>
              <w:ind w:firstLine="0"/>
              <w:jc w:val="center"/>
              <w:rPr>
                <w:b/>
                <w:sz w:val="21"/>
                <w:szCs w:val="21"/>
              </w:rPr>
            </w:pPr>
            <w:r>
              <w:rPr>
                <w:b/>
                <w:sz w:val="21"/>
                <w:szCs w:val="21"/>
              </w:rPr>
              <w:t>距离</w:t>
            </w:r>
          </w:p>
        </w:tc>
        <w:tc>
          <w:tcPr>
            <w:tcW w:w="1760" w:type="dxa"/>
            <w:noWrap w:val="0"/>
            <w:vAlign w:val="center"/>
          </w:tcPr>
          <w:p w14:paraId="68EB576C">
            <w:pPr>
              <w:widowControl w:val="0"/>
              <w:spacing w:line="240" w:lineRule="auto"/>
              <w:ind w:firstLine="0"/>
              <w:jc w:val="center"/>
              <w:rPr>
                <w:b/>
                <w:sz w:val="21"/>
                <w:szCs w:val="21"/>
              </w:rPr>
            </w:pPr>
            <w:r>
              <w:rPr>
                <w:b/>
                <w:sz w:val="21"/>
                <w:szCs w:val="21"/>
              </w:rPr>
              <w:t xml:space="preserve">人数 </w:t>
            </w:r>
          </w:p>
        </w:tc>
        <w:tc>
          <w:tcPr>
            <w:tcW w:w="2268" w:type="dxa"/>
            <w:noWrap w:val="0"/>
            <w:vAlign w:val="center"/>
          </w:tcPr>
          <w:p w14:paraId="17DAF30B">
            <w:pPr>
              <w:pStyle w:val="421"/>
              <w:spacing w:before="157"/>
              <w:ind w:left="665" w:firstLine="420"/>
              <w:jc w:val="left"/>
              <w:rPr>
                <w:b/>
                <w:sz w:val="21"/>
                <w:szCs w:val="21"/>
              </w:rPr>
            </w:pPr>
            <w:r>
              <w:rPr>
                <w:b/>
                <w:sz w:val="21"/>
                <w:szCs w:val="21"/>
              </w:rPr>
              <w:t>环境功能</w:t>
            </w:r>
          </w:p>
        </w:tc>
      </w:tr>
      <w:tr w14:paraId="0C991FC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36" w:type="dxa"/>
            <w:vMerge w:val="restart"/>
            <w:noWrap w:val="0"/>
            <w:vAlign w:val="center"/>
          </w:tcPr>
          <w:p w14:paraId="0F4569D6">
            <w:pPr>
              <w:widowControl w:val="0"/>
              <w:spacing w:line="240" w:lineRule="auto"/>
              <w:ind w:firstLine="0"/>
              <w:jc w:val="center"/>
              <w:rPr>
                <w:sz w:val="21"/>
                <w:szCs w:val="21"/>
              </w:rPr>
            </w:pPr>
          </w:p>
          <w:p w14:paraId="5D6A7F43">
            <w:pPr>
              <w:widowControl w:val="0"/>
              <w:spacing w:line="240" w:lineRule="auto"/>
              <w:ind w:firstLine="0"/>
              <w:jc w:val="center"/>
              <w:rPr>
                <w:sz w:val="21"/>
                <w:szCs w:val="21"/>
              </w:rPr>
            </w:pPr>
            <w:r>
              <w:rPr>
                <w:sz w:val="21"/>
                <w:szCs w:val="21"/>
              </w:rPr>
              <w:t>大气环境</w:t>
            </w:r>
          </w:p>
        </w:tc>
        <w:tc>
          <w:tcPr>
            <w:tcW w:w="1688" w:type="dxa"/>
            <w:vMerge w:val="restart"/>
            <w:noWrap w:val="0"/>
            <w:vAlign w:val="center"/>
          </w:tcPr>
          <w:p w14:paraId="00F2E61B">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双红新村</w:t>
            </w:r>
          </w:p>
        </w:tc>
        <w:tc>
          <w:tcPr>
            <w:tcW w:w="900" w:type="dxa"/>
            <w:noWrap w:val="0"/>
            <w:vAlign w:val="center"/>
          </w:tcPr>
          <w:p w14:paraId="03A6E4F2">
            <w:pPr>
              <w:widowControl w:val="0"/>
              <w:spacing w:line="240" w:lineRule="auto"/>
              <w:ind w:firstLine="0"/>
              <w:jc w:val="center"/>
              <w:rPr>
                <w:rFonts w:eastAsia="宋体"/>
                <w:color w:val="000000"/>
                <w:sz w:val="21"/>
                <w:szCs w:val="21"/>
                <w:lang w:val="en-US" w:eastAsia="zh-CN"/>
              </w:rPr>
            </w:pPr>
            <w:r>
              <w:rPr>
                <w:rFonts w:hint="eastAsia"/>
                <w:color w:val="000000"/>
                <w:sz w:val="21"/>
                <w:szCs w:val="21"/>
              </w:rPr>
              <w:t>南</w:t>
            </w:r>
            <w:r>
              <w:rPr>
                <w:rFonts w:hint="eastAsia" w:eastAsia="宋体"/>
                <w:color w:val="000000"/>
                <w:sz w:val="21"/>
                <w:szCs w:val="21"/>
                <w:lang w:eastAsia="zh-CN"/>
              </w:rPr>
              <w:t>、</w:t>
            </w:r>
            <w:r>
              <w:rPr>
                <w:rFonts w:hint="eastAsia" w:eastAsia="宋体"/>
                <w:color w:val="000000"/>
                <w:sz w:val="21"/>
                <w:szCs w:val="21"/>
                <w:lang w:val="en-US" w:eastAsia="zh-CN"/>
              </w:rPr>
              <w:t>西</w:t>
            </w:r>
          </w:p>
        </w:tc>
        <w:tc>
          <w:tcPr>
            <w:tcW w:w="1500" w:type="dxa"/>
            <w:noWrap w:val="0"/>
            <w:vAlign w:val="center"/>
          </w:tcPr>
          <w:p w14:paraId="4DD695AF">
            <w:pPr>
              <w:widowControl w:val="0"/>
              <w:spacing w:line="240" w:lineRule="auto"/>
              <w:ind w:firstLine="0"/>
              <w:jc w:val="center"/>
              <w:rPr>
                <w:color w:val="000000"/>
                <w:sz w:val="21"/>
                <w:szCs w:val="21"/>
              </w:rPr>
            </w:pPr>
            <w:r>
              <w:rPr>
                <w:rFonts w:hint="eastAsia" w:eastAsia="宋体"/>
                <w:color w:val="000000"/>
                <w:sz w:val="21"/>
                <w:szCs w:val="21"/>
                <w:lang w:val="en-US" w:eastAsia="zh-CN"/>
              </w:rPr>
              <w:t>10</w:t>
            </w:r>
            <w:r>
              <w:rPr>
                <w:color w:val="000000"/>
                <w:sz w:val="21"/>
                <w:szCs w:val="21"/>
              </w:rPr>
              <w:t>m</w:t>
            </w:r>
          </w:p>
        </w:tc>
        <w:tc>
          <w:tcPr>
            <w:tcW w:w="1760" w:type="dxa"/>
            <w:vMerge w:val="restart"/>
            <w:noWrap w:val="0"/>
            <w:vAlign w:val="center"/>
          </w:tcPr>
          <w:p w14:paraId="02911196">
            <w:pPr>
              <w:widowControl w:val="0"/>
              <w:spacing w:line="240" w:lineRule="auto"/>
              <w:ind w:firstLine="0"/>
              <w:jc w:val="center"/>
              <w:rPr>
                <w:color w:val="000000"/>
                <w:sz w:val="21"/>
                <w:szCs w:val="21"/>
              </w:rPr>
            </w:pPr>
            <w:r>
              <w:rPr>
                <w:rFonts w:hint="eastAsia" w:eastAsia="宋体"/>
                <w:color w:val="000000"/>
                <w:sz w:val="21"/>
                <w:szCs w:val="21"/>
                <w:lang w:val="en-US" w:eastAsia="zh-CN"/>
              </w:rPr>
              <w:t>350</w:t>
            </w:r>
            <w:r>
              <w:rPr>
                <w:color w:val="000000"/>
                <w:sz w:val="21"/>
                <w:szCs w:val="21"/>
              </w:rPr>
              <w:t>人</w:t>
            </w:r>
          </w:p>
        </w:tc>
        <w:tc>
          <w:tcPr>
            <w:tcW w:w="2268" w:type="dxa"/>
            <w:vMerge w:val="restart"/>
            <w:noWrap w:val="0"/>
            <w:vAlign w:val="center"/>
          </w:tcPr>
          <w:p w14:paraId="5F313203">
            <w:pPr>
              <w:pStyle w:val="421"/>
              <w:spacing w:before="36" w:line="194" w:lineRule="auto"/>
              <w:ind w:right="10" w:firstLine="0"/>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《环境空气质量标 准》（GB3095-2012）二级标准及其修改单</w:t>
            </w:r>
          </w:p>
          <w:p w14:paraId="472DCF24">
            <w:pPr>
              <w:pStyle w:val="421"/>
              <w:spacing w:before="36" w:line="194" w:lineRule="auto"/>
              <w:ind w:left="108" w:right="10" w:firstLine="408"/>
              <w:rPr>
                <w:rFonts w:ascii="Times New Roman" w:hAnsi="Times New Roman" w:eastAsia="宋体" w:cs="Times New Roman"/>
                <w:spacing w:val="-3"/>
                <w:sz w:val="21"/>
                <w:szCs w:val="21"/>
              </w:rPr>
            </w:pPr>
          </w:p>
        </w:tc>
      </w:tr>
      <w:tr w14:paraId="5986649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36" w:type="dxa"/>
            <w:vMerge w:val="continue"/>
            <w:noWrap w:val="0"/>
            <w:vAlign w:val="center"/>
          </w:tcPr>
          <w:p w14:paraId="096F4C35">
            <w:pPr>
              <w:widowControl w:val="0"/>
              <w:spacing w:line="240" w:lineRule="auto"/>
              <w:ind w:firstLine="0"/>
              <w:jc w:val="center"/>
              <w:rPr>
                <w:sz w:val="21"/>
                <w:szCs w:val="21"/>
              </w:rPr>
            </w:pPr>
          </w:p>
        </w:tc>
        <w:tc>
          <w:tcPr>
            <w:tcW w:w="1688" w:type="dxa"/>
            <w:vMerge w:val="continue"/>
            <w:noWrap w:val="0"/>
            <w:vAlign w:val="center"/>
          </w:tcPr>
          <w:p w14:paraId="6C69A515">
            <w:pPr>
              <w:widowControl w:val="0"/>
              <w:spacing w:line="240" w:lineRule="auto"/>
              <w:ind w:firstLine="0"/>
              <w:jc w:val="center"/>
              <w:rPr>
                <w:rFonts w:hint="eastAsia" w:eastAsia="宋体"/>
                <w:color w:val="000000"/>
                <w:sz w:val="21"/>
                <w:szCs w:val="21"/>
                <w:lang w:val="en-US" w:eastAsia="zh-CN"/>
              </w:rPr>
            </w:pPr>
          </w:p>
        </w:tc>
        <w:tc>
          <w:tcPr>
            <w:tcW w:w="900" w:type="dxa"/>
            <w:noWrap w:val="0"/>
            <w:vAlign w:val="center"/>
          </w:tcPr>
          <w:p w14:paraId="606F9542">
            <w:pPr>
              <w:widowControl w:val="0"/>
              <w:spacing w:line="240" w:lineRule="auto"/>
              <w:ind w:firstLine="0"/>
              <w:jc w:val="center"/>
              <w:rPr>
                <w:rFonts w:hint="eastAsia" w:eastAsia="宋体"/>
                <w:color w:val="000000"/>
                <w:sz w:val="21"/>
                <w:szCs w:val="21"/>
                <w:lang w:val="en-US" w:eastAsia="zh-CN"/>
              </w:rPr>
            </w:pPr>
            <w:r>
              <w:rPr>
                <w:rFonts w:hint="eastAsia"/>
                <w:color w:val="000000"/>
                <w:sz w:val="21"/>
                <w:szCs w:val="21"/>
                <w:lang w:val="en-US" w:eastAsia="zh-CN"/>
              </w:rPr>
              <w:t>西北</w:t>
            </w:r>
          </w:p>
        </w:tc>
        <w:tc>
          <w:tcPr>
            <w:tcW w:w="1500" w:type="dxa"/>
            <w:noWrap w:val="0"/>
            <w:vAlign w:val="center"/>
          </w:tcPr>
          <w:p w14:paraId="05EEA8AF">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65m</w:t>
            </w:r>
          </w:p>
        </w:tc>
        <w:tc>
          <w:tcPr>
            <w:tcW w:w="1760" w:type="dxa"/>
            <w:vMerge w:val="continue"/>
            <w:noWrap w:val="0"/>
            <w:vAlign w:val="center"/>
          </w:tcPr>
          <w:p w14:paraId="3FB25916">
            <w:pPr>
              <w:widowControl w:val="0"/>
              <w:spacing w:line="240" w:lineRule="auto"/>
              <w:ind w:firstLine="0"/>
              <w:jc w:val="center"/>
              <w:rPr>
                <w:rFonts w:hint="eastAsia" w:eastAsia="宋体"/>
                <w:color w:val="000000"/>
                <w:sz w:val="21"/>
                <w:szCs w:val="21"/>
                <w:lang w:val="en-US" w:eastAsia="zh-CN"/>
              </w:rPr>
            </w:pPr>
          </w:p>
        </w:tc>
        <w:tc>
          <w:tcPr>
            <w:tcW w:w="2268" w:type="dxa"/>
            <w:vMerge w:val="continue"/>
            <w:noWrap w:val="0"/>
            <w:vAlign w:val="center"/>
          </w:tcPr>
          <w:p w14:paraId="5B95A8D9">
            <w:pPr>
              <w:pStyle w:val="421"/>
              <w:spacing w:before="36" w:line="194" w:lineRule="auto"/>
              <w:ind w:left="108" w:right="10" w:firstLine="408"/>
              <w:rPr>
                <w:rFonts w:ascii="Times New Roman" w:hAnsi="Times New Roman" w:eastAsia="宋体" w:cs="Times New Roman"/>
                <w:spacing w:val="-3"/>
                <w:sz w:val="21"/>
                <w:szCs w:val="21"/>
              </w:rPr>
            </w:pPr>
          </w:p>
        </w:tc>
      </w:tr>
      <w:tr w14:paraId="109FED4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36" w:type="dxa"/>
            <w:vMerge w:val="continue"/>
            <w:noWrap w:val="0"/>
            <w:vAlign w:val="top"/>
          </w:tcPr>
          <w:p w14:paraId="129C0C57">
            <w:pPr>
              <w:widowControl w:val="0"/>
              <w:spacing w:line="240" w:lineRule="auto"/>
              <w:ind w:firstLine="0"/>
              <w:jc w:val="center"/>
              <w:rPr>
                <w:sz w:val="21"/>
                <w:szCs w:val="21"/>
              </w:rPr>
            </w:pPr>
          </w:p>
        </w:tc>
        <w:tc>
          <w:tcPr>
            <w:tcW w:w="1688" w:type="dxa"/>
            <w:noWrap w:val="0"/>
            <w:vAlign w:val="center"/>
          </w:tcPr>
          <w:p w14:paraId="700436B6">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中东灰窑新村</w:t>
            </w:r>
          </w:p>
        </w:tc>
        <w:tc>
          <w:tcPr>
            <w:tcW w:w="900" w:type="dxa"/>
            <w:noWrap w:val="0"/>
            <w:vAlign w:val="center"/>
          </w:tcPr>
          <w:p w14:paraId="7FC766C2">
            <w:pPr>
              <w:widowControl w:val="0"/>
              <w:spacing w:line="240" w:lineRule="auto"/>
              <w:ind w:firstLine="0"/>
              <w:jc w:val="center"/>
              <w:rPr>
                <w:rFonts w:hint="eastAsia" w:eastAsia="宋体"/>
                <w:color w:val="000000"/>
                <w:sz w:val="21"/>
                <w:szCs w:val="21"/>
                <w:lang w:eastAsia="zh-CN"/>
              </w:rPr>
            </w:pPr>
            <w:r>
              <w:rPr>
                <w:rFonts w:hint="eastAsia" w:eastAsia="宋体"/>
                <w:color w:val="000000"/>
                <w:sz w:val="21"/>
                <w:szCs w:val="21"/>
                <w:lang w:val="en-US" w:eastAsia="zh-CN"/>
              </w:rPr>
              <w:t>东北</w:t>
            </w:r>
          </w:p>
        </w:tc>
        <w:tc>
          <w:tcPr>
            <w:tcW w:w="1500" w:type="dxa"/>
            <w:noWrap w:val="0"/>
            <w:vAlign w:val="center"/>
          </w:tcPr>
          <w:p w14:paraId="305AB17F">
            <w:pPr>
              <w:widowControl w:val="0"/>
              <w:spacing w:line="240" w:lineRule="auto"/>
              <w:ind w:firstLine="0"/>
              <w:jc w:val="center"/>
              <w:rPr>
                <w:color w:val="000000"/>
                <w:sz w:val="21"/>
                <w:szCs w:val="21"/>
              </w:rPr>
            </w:pPr>
            <w:r>
              <w:rPr>
                <w:rFonts w:hint="eastAsia" w:eastAsia="宋体"/>
                <w:color w:val="000000"/>
                <w:sz w:val="21"/>
                <w:szCs w:val="21"/>
                <w:lang w:val="en-US" w:eastAsia="zh-CN"/>
              </w:rPr>
              <w:t>90</w:t>
            </w:r>
            <w:r>
              <w:rPr>
                <w:color w:val="000000"/>
                <w:sz w:val="21"/>
                <w:szCs w:val="21"/>
              </w:rPr>
              <w:t>m</w:t>
            </w:r>
          </w:p>
        </w:tc>
        <w:tc>
          <w:tcPr>
            <w:tcW w:w="1760" w:type="dxa"/>
            <w:noWrap w:val="0"/>
            <w:vAlign w:val="center"/>
          </w:tcPr>
          <w:p w14:paraId="45BA6F2F">
            <w:pPr>
              <w:widowControl w:val="0"/>
              <w:spacing w:line="240" w:lineRule="auto"/>
              <w:ind w:firstLine="0"/>
              <w:jc w:val="center"/>
              <w:rPr>
                <w:color w:val="000000"/>
                <w:sz w:val="21"/>
                <w:szCs w:val="21"/>
              </w:rPr>
            </w:pPr>
            <w:r>
              <w:rPr>
                <w:rFonts w:hint="eastAsia" w:eastAsia="宋体"/>
                <w:color w:val="000000"/>
                <w:sz w:val="21"/>
                <w:szCs w:val="21"/>
                <w:lang w:val="en-US" w:eastAsia="zh-CN"/>
              </w:rPr>
              <w:t>256</w:t>
            </w:r>
            <w:r>
              <w:rPr>
                <w:color w:val="000000"/>
                <w:sz w:val="21"/>
                <w:szCs w:val="21"/>
              </w:rPr>
              <w:t>人</w:t>
            </w:r>
          </w:p>
        </w:tc>
        <w:tc>
          <w:tcPr>
            <w:tcW w:w="2268" w:type="dxa"/>
            <w:vMerge w:val="continue"/>
            <w:noWrap w:val="0"/>
            <w:vAlign w:val="top"/>
          </w:tcPr>
          <w:p w14:paraId="156ECD54">
            <w:pPr>
              <w:ind w:firstLine="420"/>
              <w:rPr>
                <w:sz w:val="21"/>
                <w:szCs w:val="21"/>
              </w:rPr>
            </w:pPr>
          </w:p>
        </w:tc>
      </w:tr>
      <w:tr w14:paraId="2CD14D9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636" w:type="dxa"/>
            <w:vMerge w:val="continue"/>
            <w:noWrap w:val="0"/>
            <w:vAlign w:val="top"/>
          </w:tcPr>
          <w:p w14:paraId="1BBCA311">
            <w:pPr>
              <w:widowControl w:val="0"/>
              <w:spacing w:line="240" w:lineRule="auto"/>
              <w:ind w:firstLine="0"/>
              <w:jc w:val="center"/>
              <w:rPr>
                <w:sz w:val="21"/>
                <w:szCs w:val="21"/>
              </w:rPr>
            </w:pPr>
          </w:p>
        </w:tc>
        <w:tc>
          <w:tcPr>
            <w:tcW w:w="1688" w:type="dxa"/>
            <w:noWrap w:val="0"/>
            <w:vAlign w:val="center"/>
          </w:tcPr>
          <w:p w14:paraId="49C86B12">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盛世佳园</w:t>
            </w:r>
          </w:p>
        </w:tc>
        <w:tc>
          <w:tcPr>
            <w:tcW w:w="900" w:type="dxa"/>
            <w:noWrap w:val="0"/>
            <w:vAlign w:val="center"/>
          </w:tcPr>
          <w:p w14:paraId="3AB08454">
            <w:pPr>
              <w:widowControl w:val="0"/>
              <w:spacing w:line="240" w:lineRule="auto"/>
              <w:ind w:firstLine="0"/>
              <w:jc w:val="center"/>
              <w:rPr>
                <w:color w:val="000000"/>
                <w:sz w:val="21"/>
                <w:szCs w:val="21"/>
              </w:rPr>
            </w:pPr>
            <w:r>
              <w:rPr>
                <w:rFonts w:hint="eastAsia"/>
                <w:color w:val="000000"/>
                <w:sz w:val="21"/>
                <w:szCs w:val="21"/>
              </w:rPr>
              <w:t>西</w:t>
            </w:r>
          </w:p>
        </w:tc>
        <w:tc>
          <w:tcPr>
            <w:tcW w:w="1500" w:type="dxa"/>
            <w:noWrap w:val="0"/>
            <w:vAlign w:val="center"/>
          </w:tcPr>
          <w:p w14:paraId="78536AC3">
            <w:pPr>
              <w:widowControl w:val="0"/>
              <w:spacing w:line="240" w:lineRule="auto"/>
              <w:ind w:firstLine="0"/>
              <w:jc w:val="center"/>
              <w:rPr>
                <w:color w:val="000000"/>
                <w:sz w:val="21"/>
                <w:szCs w:val="21"/>
              </w:rPr>
            </w:pPr>
            <w:r>
              <w:rPr>
                <w:rFonts w:hint="eastAsia" w:eastAsia="宋体"/>
                <w:color w:val="000000"/>
                <w:sz w:val="21"/>
                <w:szCs w:val="21"/>
                <w:lang w:val="en-US" w:eastAsia="zh-CN"/>
              </w:rPr>
              <w:t>70</w:t>
            </w:r>
            <w:r>
              <w:rPr>
                <w:color w:val="000000"/>
                <w:sz w:val="21"/>
                <w:szCs w:val="21"/>
              </w:rPr>
              <w:t>m</w:t>
            </w:r>
          </w:p>
        </w:tc>
        <w:tc>
          <w:tcPr>
            <w:tcW w:w="1760" w:type="dxa"/>
            <w:noWrap w:val="0"/>
            <w:vAlign w:val="center"/>
          </w:tcPr>
          <w:p w14:paraId="64361C67">
            <w:pPr>
              <w:widowControl w:val="0"/>
              <w:spacing w:line="240" w:lineRule="auto"/>
              <w:ind w:firstLine="0"/>
              <w:jc w:val="center"/>
              <w:rPr>
                <w:color w:val="000000"/>
                <w:sz w:val="21"/>
                <w:szCs w:val="21"/>
              </w:rPr>
            </w:pPr>
            <w:r>
              <w:rPr>
                <w:rFonts w:hint="eastAsia" w:eastAsia="宋体"/>
                <w:color w:val="000000"/>
                <w:sz w:val="21"/>
                <w:szCs w:val="21"/>
                <w:lang w:val="en-US" w:eastAsia="zh-CN"/>
              </w:rPr>
              <w:t>1500</w:t>
            </w:r>
            <w:r>
              <w:rPr>
                <w:color w:val="000000"/>
                <w:sz w:val="21"/>
                <w:szCs w:val="21"/>
              </w:rPr>
              <w:t>人</w:t>
            </w:r>
          </w:p>
        </w:tc>
        <w:tc>
          <w:tcPr>
            <w:tcW w:w="2268" w:type="dxa"/>
            <w:vMerge w:val="continue"/>
            <w:noWrap w:val="0"/>
            <w:vAlign w:val="top"/>
          </w:tcPr>
          <w:p w14:paraId="07DF146F">
            <w:pPr>
              <w:ind w:firstLine="420"/>
              <w:rPr>
                <w:sz w:val="21"/>
                <w:szCs w:val="21"/>
              </w:rPr>
            </w:pPr>
          </w:p>
        </w:tc>
      </w:tr>
      <w:tr w14:paraId="3B727A4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187" w:hRule="atLeast"/>
          <w:jc w:val="center"/>
        </w:trPr>
        <w:tc>
          <w:tcPr>
            <w:tcW w:w="636" w:type="dxa"/>
            <w:vMerge w:val="continue"/>
            <w:noWrap w:val="0"/>
            <w:vAlign w:val="top"/>
          </w:tcPr>
          <w:p w14:paraId="18D606AD">
            <w:pPr>
              <w:widowControl w:val="0"/>
              <w:spacing w:line="240" w:lineRule="auto"/>
              <w:ind w:firstLine="0"/>
              <w:jc w:val="center"/>
              <w:rPr>
                <w:sz w:val="21"/>
                <w:szCs w:val="21"/>
              </w:rPr>
            </w:pPr>
          </w:p>
        </w:tc>
        <w:tc>
          <w:tcPr>
            <w:tcW w:w="1688" w:type="dxa"/>
            <w:noWrap w:val="0"/>
            <w:vAlign w:val="center"/>
          </w:tcPr>
          <w:p w14:paraId="7F1FDD4C">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芒市城区</w:t>
            </w:r>
          </w:p>
        </w:tc>
        <w:tc>
          <w:tcPr>
            <w:tcW w:w="900" w:type="dxa"/>
            <w:noWrap w:val="0"/>
            <w:vAlign w:val="center"/>
          </w:tcPr>
          <w:p w14:paraId="0176FCFB">
            <w:pPr>
              <w:widowControl w:val="0"/>
              <w:spacing w:line="240" w:lineRule="auto"/>
              <w:ind w:firstLine="0"/>
              <w:jc w:val="center"/>
              <w:rPr>
                <w:rFonts w:hint="eastAsia" w:eastAsia="宋体"/>
                <w:color w:val="000000"/>
                <w:sz w:val="21"/>
                <w:szCs w:val="21"/>
                <w:lang w:eastAsia="zh-CN"/>
              </w:rPr>
            </w:pPr>
            <w:r>
              <w:rPr>
                <w:color w:val="000000"/>
                <w:sz w:val="21"/>
                <w:szCs w:val="21"/>
              </w:rPr>
              <w:t>西</w:t>
            </w:r>
            <w:r>
              <w:rPr>
                <w:rFonts w:hint="eastAsia" w:eastAsia="宋体"/>
                <w:color w:val="000000"/>
                <w:sz w:val="21"/>
                <w:szCs w:val="21"/>
                <w:lang w:val="en-US" w:eastAsia="zh-CN"/>
              </w:rPr>
              <w:t>南</w:t>
            </w:r>
          </w:p>
        </w:tc>
        <w:tc>
          <w:tcPr>
            <w:tcW w:w="1500" w:type="dxa"/>
            <w:noWrap w:val="0"/>
            <w:vAlign w:val="center"/>
          </w:tcPr>
          <w:p w14:paraId="419A31D4">
            <w:pPr>
              <w:widowControl w:val="0"/>
              <w:spacing w:line="240" w:lineRule="auto"/>
              <w:ind w:firstLine="0"/>
              <w:jc w:val="center"/>
              <w:rPr>
                <w:color w:val="000000"/>
                <w:sz w:val="21"/>
                <w:szCs w:val="21"/>
              </w:rPr>
            </w:pPr>
            <w:r>
              <w:rPr>
                <w:rFonts w:hint="eastAsia"/>
                <w:color w:val="000000"/>
                <w:sz w:val="21"/>
                <w:szCs w:val="21"/>
              </w:rPr>
              <w:t>5</w:t>
            </w:r>
            <w:r>
              <w:rPr>
                <w:rFonts w:hint="eastAsia" w:eastAsia="宋体"/>
                <w:color w:val="000000"/>
                <w:sz w:val="21"/>
                <w:szCs w:val="21"/>
                <w:lang w:val="en-US" w:eastAsia="zh-CN"/>
              </w:rPr>
              <w:t>50</w:t>
            </w:r>
            <w:r>
              <w:rPr>
                <w:color w:val="000000"/>
                <w:sz w:val="21"/>
                <w:szCs w:val="21"/>
              </w:rPr>
              <w:t>m</w:t>
            </w:r>
          </w:p>
        </w:tc>
        <w:tc>
          <w:tcPr>
            <w:tcW w:w="1760" w:type="dxa"/>
            <w:noWrap w:val="0"/>
            <w:vAlign w:val="center"/>
          </w:tcPr>
          <w:p w14:paraId="5177B224">
            <w:pPr>
              <w:widowControl w:val="0"/>
              <w:spacing w:line="240" w:lineRule="auto"/>
              <w:ind w:firstLine="0"/>
              <w:jc w:val="center"/>
              <w:rPr>
                <w:color w:val="000000"/>
                <w:sz w:val="21"/>
                <w:szCs w:val="21"/>
              </w:rPr>
            </w:pPr>
            <w:r>
              <w:rPr>
                <w:rFonts w:hint="eastAsia" w:eastAsia="宋体"/>
                <w:color w:val="000000"/>
                <w:sz w:val="21"/>
                <w:szCs w:val="21"/>
                <w:lang w:val="en-US" w:eastAsia="zh-CN"/>
              </w:rPr>
              <w:t>25</w:t>
            </w:r>
            <w:r>
              <w:rPr>
                <w:rFonts w:hint="eastAsia"/>
                <w:color w:val="000000"/>
                <w:sz w:val="21"/>
                <w:szCs w:val="21"/>
              </w:rPr>
              <w:t>00</w:t>
            </w:r>
            <w:r>
              <w:rPr>
                <w:color w:val="000000"/>
                <w:sz w:val="21"/>
                <w:szCs w:val="21"/>
              </w:rPr>
              <w:t>人</w:t>
            </w:r>
          </w:p>
        </w:tc>
        <w:tc>
          <w:tcPr>
            <w:tcW w:w="2268" w:type="dxa"/>
            <w:vMerge w:val="continue"/>
            <w:noWrap w:val="0"/>
            <w:vAlign w:val="top"/>
          </w:tcPr>
          <w:p w14:paraId="7E499BC7">
            <w:pPr>
              <w:ind w:firstLine="420"/>
              <w:rPr>
                <w:sz w:val="21"/>
                <w:szCs w:val="21"/>
              </w:rPr>
            </w:pPr>
          </w:p>
        </w:tc>
      </w:tr>
      <w:tr w14:paraId="1EA523C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6E90AEE4">
            <w:pPr>
              <w:widowControl w:val="0"/>
              <w:spacing w:line="240" w:lineRule="auto"/>
              <w:ind w:firstLine="0"/>
              <w:jc w:val="center"/>
              <w:rPr>
                <w:sz w:val="21"/>
                <w:szCs w:val="21"/>
              </w:rPr>
            </w:pPr>
          </w:p>
        </w:tc>
        <w:tc>
          <w:tcPr>
            <w:tcW w:w="1688" w:type="dxa"/>
            <w:noWrap w:val="0"/>
            <w:vAlign w:val="center"/>
          </w:tcPr>
          <w:p w14:paraId="565E4081">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大湾村</w:t>
            </w:r>
          </w:p>
        </w:tc>
        <w:tc>
          <w:tcPr>
            <w:tcW w:w="900" w:type="dxa"/>
            <w:noWrap w:val="0"/>
            <w:vAlign w:val="center"/>
          </w:tcPr>
          <w:p w14:paraId="1D8948C3">
            <w:pPr>
              <w:widowControl w:val="0"/>
              <w:spacing w:line="240" w:lineRule="auto"/>
              <w:ind w:firstLine="0"/>
              <w:jc w:val="center"/>
              <w:rPr>
                <w:color w:val="000000"/>
                <w:sz w:val="21"/>
                <w:szCs w:val="21"/>
              </w:rPr>
            </w:pPr>
            <w:r>
              <w:rPr>
                <w:rFonts w:hint="eastAsia" w:eastAsia="宋体"/>
                <w:color w:val="000000"/>
                <w:sz w:val="21"/>
                <w:szCs w:val="21"/>
                <w:lang w:val="en-US" w:eastAsia="zh-CN"/>
              </w:rPr>
              <w:t>东</w:t>
            </w:r>
            <w:r>
              <w:rPr>
                <w:rFonts w:hint="eastAsia"/>
                <w:color w:val="000000"/>
                <w:sz w:val="21"/>
                <w:szCs w:val="21"/>
              </w:rPr>
              <w:t>北</w:t>
            </w:r>
          </w:p>
        </w:tc>
        <w:tc>
          <w:tcPr>
            <w:tcW w:w="1500" w:type="dxa"/>
            <w:noWrap w:val="0"/>
            <w:vAlign w:val="center"/>
          </w:tcPr>
          <w:p w14:paraId="2BC1949D">
            <w:pPr>
              <w:widowControl w:val="0"/>
              <w:spacing w:line="240" w:lineRule="auto"/>
              <w:ind w:firstLine="0"/>
              <w:jc w:val="center"/>
              <w:rPr>
                <w:color w:val="000000"/>
                <w:sz w:val="21"/>
                <w:szCs w:val="21"/>
              </w:rPr>
            </w:pPr>
            <w:r>
              <w:rPr>
                <w:rFonts w:hint="eastAsia" w:eastAsia="宋体"/>
                <w:color w:val="000000"/>
                <w:sz w:val="21"/>
                <w:szCs w:val="21"/>
                <w:lang w:val="en-US" w:eastAsia="zh-CN"/>
              </w:rPr>
              <w:t>1500</w:t>
            </w:r>
            <w:r>
              <w:rPr>
                <w:rFonts w:hint="eastAsia"/>
                <w:color w:val="000000"/>
                <w:sz w:val="21"/>
                <w:szCs w:val="21"/>
              </w:rPr>
              <w:t>m</w:t>
            </w:r>
          </w:p>
        </w:tc>
        <w:tc>
          <w:tcPr>
            <w:tcW w:w="1760" w:type="dxa"/>
            <w:noWrap w:val="0"/>
            <w:vAlign w:val="center"/>
          </w:tcPr>
          <w:p w14:paraId="30A8FFD2">
            <w:pPr>
              <w:widowControl w:val="0"/>
              <w:spacing w:line="240" w:lineRule="auto"/>
              <w:ind w:firstLine="0"/>
              <w:jc w:val="center"/>
              <w:rPr>
                <w:color w:val="000000"/>
                <w:sz w:val="21"/>
                <w:szCs w:val="21"/>
              </w:rPr>
            </w:pPr>
            <w:r>
              <w:rPr>
                <w:rFonts w:hint="eastAsia" w:eastAsia="宋体"/>
                <w:color w:val="000000"/>
                <w:sz w:val="21"/>
                <w:szCs w:val="21"/>
                <w:lang w:val="en-US" w:eastAsia="zh-CN"/>
              </w:rPr>
              <w:t>1345</w:t>
            </w:r>
            <w:r>
              <w:rPr>
                <w:rFonts w:hint="eastAsia"/>
                <w:color w:val="000000"/>
                <w:sz w:val="21"/>
                <w:szCs w:val="21"/>
              </w:rPr>
              <w:t>人</w:t>
            </w:r>
          </w:p>
        </w:tc>
        <w:tc>
          <w:tcPr>
            <w:tcW w:w="2268" w:type="dxa"/>
            <w:vMerge w:val="continue"/>
            <w:noWrap w:val="0"/>
            <w:vAlign w:val="top"/>
          </w:tcPr>
          <w:p w14:paraId="17E149D0">
            <w:pPr>
              <w:ind w:firstLine="420"/>
              <w:rPr>
                <w:sz w:val="21"/>
                <w:szCs w:val="21"/>
              </w:rPr>
            </w:pPr>
          </w:p>
        </w:tc>
      </w:tr>
      <w:tr w14:paraId="12C874D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2BAD144F">
            <w:pPr>
              <w:widowControl w:val="0"/>
              <w:spacing w:line="240" w:lineRule="auto"/>
              <w:ind w:firstLine="0"/>
              <w:jc w:val="center"/>
              <w:rPr>
                <w:sz w:val="21"/>
                <w:szCs w:val="21"/>
              </w:rPr>
            </w:pPr>
          </w:p>
        </w:tc>
        <w:tc>
          <w:tcPr>
            <w:tcW w:w="1688" w:type="dxa"/>
            <w:noWrap w:val="0"/>
            <w:vAlign w:val="center"/>
          </w:tcPr>
          <w:p w14:paraId="064E14FA">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遮告</w:t>
            </w:r>
          </w:p>
        </w:tc>
        <w:tc>
          <w:tcPr>
            <w:tcW w:w="900" w:type="dxa"/>
            <w:noWrap w:val="0"/>
            <w:vAlign w:val="center"/>
          </w:tcPr>
          <w:p w14:paraId="70E1691A">
            <w:pPr>
              <w:widowControl w:val="0"/>
              <w:spacing w:line="240" w:lineRule="auto"/>
              <w:ind w:firstLine="0"/>
              <w:jc w:val="center"/>
              <w:rPr>
                <w:rFonts w:hint="eastAsia" w:eastAsia="宋体"/>
                <w:color w:val="000000"/>
                <w:sz w:val="21"/>
                <w:szCs w:val="21"/>
                <w:lang w:eastAsia="zh-CN"/>
              </w:rPr>
            </w:pPr>
            <w:r>
              <w:rPr>
                <w:rFonts w:hint="eastAsia" w:eastAsia="宋体"/>
                <w:color w:val="000000"/>
                <w:sz w:val="21"/>
                <w:szCs w:val="21"/>
                <w:lang w:val="en-US" w:eastAsia="zh-CN"/>
              </w:rPr>
              <w:t>北</w:t>
            </w:r>
          </w:p>
        </w:tc>
        <w:tc>
          <w:tcPr>
            <w:tcW w:w="1500" w:type="dxa"/>
            <w:noWrap w:val="0"/>
            <w:vAlign w:val="center"/>
          </w:tcPr>
          <w:p w14:paraId="53978ED0">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1327</w:t>
            </w:r>
            <w:r>
              <w:rPr>
                <w:rFonts w:hint="eastAsia"/>
                <w:color w:val="000000"/>
                <w:sz w:val="21"/>
                <w:szCs w:val="21"/>
              </w:rPr>
              <w:t>m</w:t>
            </w:r>
          </w:p>
        </w:tc>
        <w:tc>
          <w:tcPr>
            <w:tcW w:w="1760" w:type="dxa"/>
            <w:noWrap w:val="0"/>
            <w:vAlign w:val="center"/>
          </w:tcPr>
          <w:p w14:paraId="470DC84C">
            <w:pPr>
              <w:widowControl w:val="0"/>
              <w:spacing w:line="240" w:lineRule="auto"/>
              <w:ind w:firstLine="0"/>
              <w:jc w:val="center"/>
              <w:rPr>
                <w:color w:val="000000"/>
                <w:sz w:val="21"/>
                <w:szCs w:val="21"/>
              </w:rPr>
            </w:pPr>
            <w:r>
              <w:rPr>
                <w:rFonts w:hint="eastAsia" w:eastAsia="宋体"/>
                <w:color w:val="000000"/>
                <w:sz w:val="21"/>
                <w:szCs w:val="21"/>
                <w:lang w:val="en-US" w:eastAsia="zh-CN"/>
              </w:rPr>
              <w:t>5</w:t>
            </w:r>
            <w:r>
              <w:rPr>
                <w:rFonts w:hint="eastAsia"/>
                <w:color w:val="000000"/>
                <w:sz w:val="21"/>
                <w:szCs w:val="21"/>
              </w:rPr>
              <w:t>10人</w:t>
            </w:r>
          </w:p>
        </w:tc>
        <w:tc>
          <w:tcPr>
            <w:tcW w:w="2268" w:type="dxa"/>
            <w:vMerge w:val="continue"/>
            <w:noWrap w:val="0"/>
            <w:vAlign w:val="top"/>
          </w:tcPr>
          <w:p w14:paraId="34D31A66">
            <w:pPr>
              <w:ind w:firstLine="420"/>
              <w:rPr>
                <w:sz w:val="21"/>
                <w:szCs w:val="21"/>
              </w:rPr>
            </w:pPr>
          </w:p>
        </w:tc>
      </w:tr>
      <w:tr w14:paraId="6F4B682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7E15F386">
            <w:pPr>
              <w:widowControl w:val="0"/>
              <w:spacing w:line="240" w:lineRule="auto"/>
              <w:ind w:firstLine="0"/>
              <w:jc w:val="center"/>
              <w:rPr>
                <w:sz w:val="21"/>
                <w:szCs w:val="21"/>
              </w:rPr>
            </w:pPr>
          </w:p>
        </w:tc>
        <w:tc>
          <w:tcPr>
            <w:tcW w:w="1688" w:type="dxa"/>
            <w:noWrap w:val="0"/>
            <w:vAlign w:val="center"/>
          </w:tcPr>
          <w:p w14:paraId="57417BB4">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那怀</w:t>
            </w:r>
          </w:p>
        </w:tc>
        <w:tc>
          <w:tcPr>
            <w:tcW w:w="900" w:type="dxa"/>
            <w:noWrap w:val="0"/>
            <w:vAlign w:val="center"/>
          </w:tcPr>
          <w:p w14:paraId="40301805">
            <w:pPr>
              <w:widowControl w:val="0"/>
              <w:spacing w:line="240" w:lineRule="auto"/>
              <w:ind w:firstLine="0"/>
              <w:jc w:val="center"/>
              <w:rPr>
                <w:rFonts w:hint="eastAsia" w:eastAsia="宋体"/>
                <w:color w:val="000000"/>
                <w:sz w:val="21"/>
                <w:szCs w:val="21"/>
                <w:lang w:eastAsia="zh-CN"/>
              </w:rPr>
            </w:pPr>
            <w:r>
              <w:rPr>
                <w:rFonts w:hint="eastAsia"/>
                <w:color w:val="000000"/>
                <w:sz w:val="21"/>
                <w:szCs w:val="21"/>
              </w:rPr>
              <w:t>西</w:t>
            </w:r>
            <w:r>
              <w:rPr>
                <w:rFonts w:hint="eastAsia" w:eastAsia="宋体"/>
                <w:color w:val="000000"/>
                <w:sz w:val="21"/>
                <w:szCs w:val="21"/>
                <w:lang w:val="en-US" w:eastAsia="zh-CN"/>
              </w:rPr>
              <w:t>北</w:t>
            </w:r>
          </w:p>
        </w:tc>
        <w:tc>
          <w:tcPr>
            <w:tcW w:w="1500" w:type="dxa"/>
            <w:noWrap w:val="0"/>
            <w:vAlign w:val="center"/>
          </w:tcPr>
          <w:p w14:paraId="069D541F">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2147</w:t>
            </w:r>
            <w:r>
              <w:rPr>
                <w:rFonts w:hint="eastAsia"/>
                <w:color w:val="000000"/>
                <w:sz w:val="21"/>
                <w:szCs w:val="21"/>
              </w:rPr>
              <w:t>m</w:t>
            </w:r>
          </w:p>
        </w:tc>
        <w:tc>
          <w:tcPr>
            <w:tcW w:w="1760" w:type="dxa"/>
            <w:noWrap w:val="0"/>
            <w:vAlign w:val="center"/>
          </w:tcPr>
          <w:p w14:paraId="2AEA5B5E">
            <w:pPr>
              <w:widowControl w:val="0"/>
              <w:spacing w:line="240" w:lineRule="auto"/>
              <w:ind w:firstLine="0"/>
              <w:jc w:val="center"/>
              <w:rPr>
                <w:color w:val="000000"/>
                <w:sz w:val="21"/>
                <w:szCs w:val="21"/>
              </w:rPr>
            </w:pPr>
            <w:r>
              <w:rPr>
                <w:rFonts w:hint="eastAsia" w:eastAsia="宋体"/>
                <w:color w:val="000000"/>
                <w:sz w:val="21"/>
                <w:szCs w:val="21"/>
                <w:lang w:val="en-US" w:eastAsia="zh-CN"/>
              </w:rPr>
              <w:t>690</w:t>
            </w:r>
            <w:r>
              <w:rPr>
                <w:rFonts w:hint="eastAsia"/>
                <w:color w:val="000000"/>
                <w:sz w:val="21"/>
                <w:szCs w:val="21"/>
              </w:rPr>
              <w:t>人</w:t>
            </w:r>
          </w:p>
        </w:tc>
        <w:tc>
          <w:tcPr>
            <w:tcW w:w="2268" w:type="dxa"/>
            <w:vMerge w:val="continue"/>
            <w:noWrap w:val="0"/>
            <w:vAlign w:val="top"/>
          </w:tcPr>
          <w:p w14:paraId="01DD6917">
            <w:pPr>
              <w:ind w:firstLine="420"/>
              <w:rPr>
                <w:sz w:val="21"/>
                <w:szCs w:val="21"/>
              </w:rPr>
            </w:pPr>
          </w:p>
        </w:tc>
      </w:tr>
      <w:tr w14:paraId="4C11D14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763EF8D4">
            <w:pPr>
              <w:widowControl w:val="0"/>
              <w:spacing w:line="240" w:lineRule="auto"/>
              <w:ind w:firstLine="0"/>
              <w:jc w:val="center"/>
              <w:rPr>
                <w:sz w:val="21"/>
                <w:szCs w:val="21"/>
              </w:rPr>
            </w:pPr>
          </w:p>
        </w:tc>
        <w:tc>
          <w:tcPr>
            <w:tcW w:w="1688" w:type="dxa"/>
            <w:noWrap w:val="0"/>
            <w:vAlign w:val="center"/>
          </w:tcPr>
          <w:p w14:paraId="787B98DA">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洞坎</w:t>
            </w:r>
          </w:p>
        </w:tc>
        <w:tc>
          <w:tcPr>
            <w:tcW w:w="900" w:type="dxa"/>
            <w:noWrap w:val="0"/>
            <w:vAlign w:val="center"/>
          </w:tcPr>
          <w:p w14:paraId="2E07551D">
            <w:pPr>
              <w:widowControl w:val="0"/>
              <w:spacing w:line="240" w:lineRule="auto"/>
              <w:ind w:firstLine="0"/>
              <w:jc w:val="center"/>
              <w:rPr>
                <w:rFonts w:hint="eastAsia" w:eastAsia="宋体"/>
                <w:color w:val="000000"/>
                <w:sz w:val="21"/>
                <w:szCs w:val="21"/>
                <w:lang w:eastAsia="zh-CN"/>
              </w:rPr>
            </w:pPr>
            <w:r>
              <w:rPr>
                <w:rFonts w:hint="eastAsia" w:eastAsia="宋体"/>
                <w:color w:val="000000"/>
                <w:sz w:val="21"/>
                <w:szCs w:val="21"/>
                <w:lang w:val="en-US" w:eastAsia="zh-CN"/>
              </w:rPr>
              <w:t>西北</w:t>
            </w:r>
          </w:p>
        </w:tc>
        <w:tc>
          <w:tcPr>
            <w:tcW w:w="1500" w:type="dxa"/>
            <w:noWrap w:val="0"/>
            <w:vAlign w:val="center"/>
          </w:tcPr>
          <w:p w14:paraId="71F3FDC9">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2761</w:t>
            </w:r>
            <w:r>
              <w:rPr>
                <w:rFonts w:hint="eastAsia"/>
                <w:color w:val="000000"/>
                <w:sz w:val="21"/>
                <w:szCs w:val="21"/>
              </w:rPr>
              <w:t>m</w:t>
            </w:r>
          </w:p>
        </w:tc>
        <w:tc>
          <w:tcPr>
            <w:tcW w:w="1760" w:type="dxa"/>
            <w:noWrap w:val="0"/>
            <w:vAlign w:val="center"/>
          </w:tcPr>
          <w:p w14:paraId="30CDDED2">
            <w:pPr>
              <w:widowControl w:val="0"/>
              <w:spacing w:line="240" w:lineRule="auto"/>
              <w:ind w:firstLine="0"/>
              <w:jc w:val="center"/>
              <w:rPr>
                <w:color w:val="000000"/>
                <w:sz w:val="21"/>
                <w:szCs w:val="21"/>
              </w:rPr>
            </w:pPr>
            <w:r>
              <w:rPr>
                <w:rFonts w:hint="eastAsia"/>
                <w:color w:val="000000"/>
                <w:sz w:val="21"/>
                <w:szCs w:val="21"/>
              </w:rPr>
              <w:t>500人</w:t>
            </w:r>
          </w:p>
        </w:tc>
        <w:tc>
          <w:tcPr>
            <w:tcW w:w="2268" w:type="dxa"/>
            <w:vMerge w:val="continue"/>
            <w:noWrap w:val="0"/>
            <w:vAlign w:val="top"/>
          </w:tcPr>
          <w:p w14:paraId="7818D862">
            <w:pPr>
              <w:ind w:firstLine="420"/>
              <w:rPr>
                <w:sz w:val="21"/>
                <w:szCs w:val="21"/>
              </w:rPr>
            </w:pPr>
          </w:p>
        </w:tc>
      </w:tr>
      <w:tr w14:paraId="04EE882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5136BD92">
            <w:pPr>
              <w:widowControl w:val="0"/>
              <w:spacing w:line="240" w:lineRule="auto"/>
              <w:ind w:firstLine="0"/>
              <w:jc w:val="center"/>
              <w:rPr>
                <w:sz w:val="21"/>
                <w:szCs w:val="21"/>
              </w:rPr>
            </w:pPr>
          </w:p>
        </w:tc>
        <w:tc>
          <w:tcPr>
            <w:tcW w:w="1688" w:type="dxa"/>
            <w:noWrap w:val="0"/>
            <w:vAlign w:val="center"/>
          </w:tcPr>
          <w:p w14:paraId="0C44DC0F">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帕连</w:t>
            </w:r>
          </w:p>
        </w:tc>
        <w:tc>
          <w:tcPr>
            <w:tcW w:w="900" w:type="dxa"/>
            <w:noWrap w:val="0"/>
            <w:vAlign w:val="center"/>
          </w:tcPr>
          <w:p w14:paraId="09CE2F06">
            <w:pPr>
              <w:widowControl w:val="0"/>
              <w:spacing w:line="240" w:lineRule="auto"/>
              <w:ind w:firstLine="0"/>
              <w:jc w:val="center"/>
              <w:rPr>
                <w:rFonts w:hint="eastAsia" w:eastAsia="宋体"/>
                <w:color w:val="000000"/>
                <w:sz w:val="21"/>
                <w:szCs w:val="21"/>
                <w:lang w:eastAsia="zh-CN"/>
              </w:rPr>
            </w:pPr>
            <w:r>
              <w:rPr>
                <w:rFonts w:hint="eastAsia" w:eastAsia="宋体"/>
                <w:color w:val="000000"/>
                <w:sz w:val="21"/>
                <w:szCs w:val="21"/>
                <w:lang w:val="en-US" w:eastAsia="zh-CN"/>
              </w:rPr>
              <w:t>东北</w:t>
            </w:r>
          </w:p>
        </w:tc>
        <w:tc>
          <w:tcPr>
            <w:tcW w:w="1500" w:type="dxa"/>
            <w:noWrap w:val="0"/>
            <w:vAlign w:val="center"/>
          </w:tcPr>
          <w:p w14:paraId="3F83B6B5">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2587</w:t>
            </w:r>
            <w:r>
              <w:rPr>
                <w:rFonts w:hint="eastAsia"/>
                <w:color w:val="000000"/>
                <w:sz w:val="21"/>
                <w:szCs w:val="21"/>
              </w:rPr>
              <w:t>m</w:t>
            </w:r>
          </w:p>
        </w:tc>
        <w:tc>
          <w:tcPr>
            <w:tcW w:w="1760" w:type="dxa"/>
            <w:noWrap w:val="0"/>
            <w:vAlign w:val="center"/>
          </w:tcPr>
          <w:p w14:paraId="2BFFBCE7">
            <w:pPr>
              <w:widowControl w:val="0"/>
              <w:spacing w:line="240" w:lineRule="auto"/>
              <w:ind w:firstLine="0"/>
              <w:jc w:val="center"/>
              <w:rPr>
                <w:color w:val="000000"/>
                <w:sz w:val="21"/>
                <w:szCs w:val="21"/>
              </w:rPr>
            </w:pPr>
            <w:r>
              <w:rPr>
                <w:rFonts w:hint="eastAsia" w:eastAsia="宋体"/>
                <w:color w:val="000000"/>
                <w:sz w:val="21"/>
                <w:szCs w:val="21"/>
                <w:lang w:val="en-US" w:eastAsia="zh-CN"/>
              </w:rPr>
              <w:t>800</w:t>
            </w:r>
            <w:r>
              <w:rPr>
                <w:rFonts w:hint="eastAsia"/>
                <w:color w:val="000000"/>
                <w:sz w:val="21"/>
                <w:szCs w:val="21"/>
              </w:rPr>
              <w:t>人</w:t>
            </w:r>
          </w:p>
        </w:tc>
        <w:tc>
          <w:tcPr>
            <w:tcW w:w="2268" w:type="dxa"/>
            <w:vMerge w:val="continue"/>
            <w:noWrap w:val="0"/>
            <w:vAlign w:val="top"/>
          </w:tcPr>
          <w:p w14:paraId="384842CB">
            <w:pPr>
              <w:ind w:firstLine="420"/>
              <w:rPr>
                <w:sz w:val="21"/>
                <w:szCs w:val="21"/>
              </w:rPr>
            </w:pPr>
          </w:p>
        </w:tc>
      </w:tr>
      <w:tr w14:paraId="1DB7858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1FC135BA">
            <w:pPr>
              <w:widowControl w:val="0"/>
              <w:spacing w:line="240" w:lineRule="auto"/>
              <w:ind w:firstLine="0"/>
              <w:jc w:val="center"/>
              <w:rPr>
                <w:sz w:val="21"/>
                <w:szCs w:val="21"/>
              </w:rPr>
            </w:pPr>
          </w:p>
        </w:tc>
        <w:tc>
          <w:tcPr>
            <w:tcW w:w="1688" w:type="dxa"/>
            <w:noWrap w:val="0"/>
            <w:vAlign w:val="center"/>
          </w:tcPr>
          <w:p w14:paraId="402ACC16">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锦绣阳光家园大湾小区</w:t>
            </w:r>
          </w:p>
        </w:tc>
        <w:tc>
          <w:tcPr>
            <w:tcW w:w="900" w:type="dxa"/>
            <w:noWrap w:val="0"/>
            <w:vAlign w:val="center"/>
          </w:tcPr>
          <w:p w14:paraId="2DD5E4FA">
            <w:pPr>
              <w:widowControl w:val="0"/>
              <w:spacing w:line="240" w:lineRule="auto"/>
              <w:ind w:firstLine="0"/>
              <w:jc w:val="center"/>
              <w:rPr>
                <w:rFonts w:hint="eastAsia" w:eastAsia="宋体"/>
                <w:color w:val="000000"/>
                <w:sz w:val="21"/>
                <w:szCs w:val="21"/>
                <w:lang w:eastAsia="zh-CN"/>
              </w:rPr>
            </w:pPr>
            <w:r>
              <w:rPr>
                <w:rFonts w:hint="eastAsia" w:eastAsia="宋体"/>
                <w:color w:val="000000"/>
                <w:sz w:val="21"/>
                <w:szCs w:val="21"/>
                <w:lang w:val="en-US" w:eastAsia="zh-CN"/>
              </w:rPr>
              <w:t>东北</w:t>
            </w:r>
          </w:p>
        </w:tc>
        <w:tc>
          <w:tcPr>
            <w:tcW w:w="1500" w:type="dxa"/>
            <w:noWrap w:val="0"/>
            <w:vAlign w:val="center"/>
          </w:tcPr>
          <w:p w14:paraId="78E1A92B">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2845</w:t>
            </w:r>
            <w:r>
              <w:rPr>
                <w:rFonts w:hint="eastAsia"/>
                <w:color w:val="000000"/>
                <w:sz w:val="21"/>
                <w:szCs w:val="21"/>
              </w:rPr>
              <w:t>m</w:t>
            </w:r>
          </w:p>
        </w:tc>
        <w:tc>
          <w:tcPr>
            <w:tcW w:w="1760" w:type="dxa"/>
            <w:noWrap w:val="0"/>
            <w:vAlign w:val="center"/>
          </w:tcPr>
          <w:p w14:paraId="16B06E31">
            <w:pPr>
              <w:widowControl w:val="0"/>
              <w:spacing w:line="240" w:lineRule="auto"/>
              <w:ind w:firstLine="0"/>
              <w:jc w:val="center"/>
              <w:rPr>
                <w:color w:val="000000"/>
                <w:sz w:val="21"/>
                <w:szCs w:val="21"/>
              </w:rPr>
            </w:pPr>
            <w:r>
              <w:rPr>
                <w:rFonts w:hint="eastAsia" w:eastAsia="宋体"/>
                <w:color w:val="000000"/>
                <w:sz w:val="21"/>
                <w:szCs w:val="21"/>
                <w:lang w:val="en-US" w:eastAsia="zh-CN"/>
              </w:rPr>
              <w:t>100</w:t>
            </w:r>
            <w:r>
              <w:rPr>
                <w:rFonts w:hint="eastAsia"/>
                <w:color w:val="000000"/>
                <w:sz w:val="21"/>
                <w:szCs w:val="21"/>
              </w:rPr>
              <w:t>0人</w:t>
            </w:r>
          </w:p>
        </w:tc>
        <w:tc>
          <w:tcPr>
            <w:tcW w:w="2268" w:type="dxa"/>
            <w:vMerge w:val="continue"/>
            <w:noWrap w:val="0"/>
            <w:vAlign w:val="top"/>
          </w:tcPr>
          <w:p w14:paraId="535BAB06">
            <w:pPr>
              <w:ind w:firstLine="420"/>
              <w:rPr>
                <w:sz w:val="21"/>
                <w:szCs w:val="21"/>
              </w:rPr>
            </w:pPr>
          </w:p>
        </w:tc>
      </w:tr>
      <w:tr w14:paraId="2E4F265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636" w:type="dxa"/>
            <w:vMerge w:val="continue"/>
            <w:noWrap w:val="0"/>
            <w:vAlign w:val="top"/>
          </w:tcPr>
          <w:p w14:paraId="5648A85E">
            <w:pPr>
              <w:widowControl w:val="0"/>
              <w:spacing w:line="240" w:lineRule="auto"/>
              <w:ind w:firstLine="0"/>
              <w:jc w:val="center"/>
              <w:rPr>
                <w:sz w:val="21"/>
                <w:szCs w:val="21"/>
              </w:rPr>
            </w:pPr>
          </w:p>
        </w:tc>
        <w:tc>
          <w:tcPr>
            <w:tcW w:w="1688" w:type="dxa"/>
            <w:noWrap w:val="0"/>
            <w:vAlign w:val="center"/>
          </w:tcPr>
          <w:p w14:paraId="66B75482">
            <w:pPr>
              <w:widowControl w:val="0"/>
              <w:spacing w:line="240" w:lineRule="auto"/>
              <w:ind w:firstLine="0"/>
              <w:jc w:val="center"/>
              <w:rPr>
                <w:rFonts w:hint="eastAsia" w:eastAsia="宋体"/>
                <w:color w:val="000000"/>
                <w:sz w:val="21"/>
                <w:szCs w:val="21"/>
                <w:lang w:eastAsia="zh-CN"/>
              </w:rPr>
            </w:pPr>
            <w:r>
              <w:rPr>
                <w:rFonts w:hint="eastAsia" w:eastAsia="宋体"/>
                <w:color w:val="000000"/>
                <w:sz w:val="21"/>
                <w:szCs w:val="21"/>
                <w:lang w:val="en-US" w:eastAsia="zh-CN"/>
              </w:rPr>
              <w:t>木康</w:t>
            </w:r>
          </w:p>
        </w:tc>
        <w:tc>
          <w:tcPr>
            <w:tcW w:w="900" w:type="dxa"/>
            <w:noWrap w:val="0"/>
            <w:vAlign w:val="center"/>
          </w:tcPr>
          <w:p w14:paraId="06418F3D">
            <w:pPr>
              <w:widowControl w:val="0"/>
              <w:spacing w:line="240" w:lineRule="auto"/>
              <w:ind w:firstLine="0"/>
              <w:jc w:val="center"/>
              <w:rPr>
                <w:rFonts w:hint="eastAsia" w:eastAsia="宋体"/>
                <w:color w:val="000000"/>
                <w:sz w:val="21"/>
                <w:szCs w:val="21"/>
                <w:lang w:eastAsia="zh-CN"/>
              </w:rPr>
            </w:pPr>
            <w:r>
              <w:rPr>
                <w:rFonts w:hint="eastAsia"/>
                <w:color w:val="000000"/>
                <w:sz w:val="21"/>
                <w:szCs w:val="21"/>
              </w:rPr>
              <w:t>东</w:t>
            </w:r>
            <w:r>
              <w:rPr>
                <w:rFonts w:hint="eastAsia" w:eastAsia="宋体"/>
                <w:color w:val="000000"/>
                <w:sz w:val="21"/>
                <w:szCs w:val="21"/>
                <w:lang w:val="en-US" w:eastAsia="zh-CN"/>
              </w:rPr>
              <w:t>北</w:t>
            </w:r>
          </w:p>
        </w:tc>
        <w:tc>
          <w:tcPr>
            <w:tcW w:w="1500" w:type="dxa"/>
            <w:noWrap w:val="0"/>
            <w:vAlign w:val="center"/>
          </w:tcPr>
          <w:p w14:paraId="350C7AFE">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4381m</w:t>
            </w:r>
          </w:p>
        </w:tc>
        <w:tc>
          <w:tcPr>
            <w:tcW w:w="1760" w:type="dxa"/>
            <w:noWrap w:val="0"/>
            <w:vAlign w:val="center"/>
          </w:tcPr>
          <w:p w14:paraId="1FF062C1">
            <w:pPr>
              <w:widowControl w:val="0"/>
              <w:spacing w:line="240" w:lineRule="auto"/>
              <w:ind w:firstLine="0"/>
              <w:jc w:val="center"/>
              <w:rPr>
                <w:color w:val="000000"/>
                <w:sz w:val="21"/>
                <w:szCs w:val="21"/>
              </w:rPr>
            </w:pPr>
            <w:r>
              <w:rPr>
                <w:rFonts w:hint="eastAsia" w:eastAsia="宋体"/>
                <w:color w:val="000000"/>
                <w:sz w:val="21"/>
                <w:szCs w:val="21"/>
                <w:lang w:val="en-US" w:eastAsia="zh-CN"/>
              </w:rPr>
              <w:t>1500</w:t>
            </w:r>
            <w:r>
              <w:rPr>
                <w:rFonts w:hint="eastAsia"/>
                <w:color w:val="000000"/>
                <w:sz w:val="21"/>
                <w:szCs w:val="21"/>
              </w:rPr>
              <w:t>人</w:t>
            </w:r>
          </w:p>
        </w:tc>
        <w:tc>
          <w:tcPr>
            <w:tcW w:w="2268" w:type="dxa"/>
            <w:vMerge w:val="continue"/>
            <w:noWrap w:val="0"/>
            <w:vAlign w:val="top"/>
          </w:tcPr>
          <w:p w14:paraId="19E6FB6F">
            <w:pPr>
              <w:ind w:firstLine="420"/>
              <w:rPr>
                <w:sz w:val="21"/>
                <w:szCs w:val="21"/>
              </w:rPr>
            </w:pPr>
          </w:p>
        </w:tc>
      </w:tr>
      <w:tr w14:paraId="48784F2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755F683A">
            <w:pPr>
              <w:widowControl w:val="0"/>
              <w:spacing w:line="240" w:lineRule="auto"/>
              <w:ind w:firstLine="0"/>
              <w:jc w:val="center"/>
              <w:rPr>
                <w:sz w:val="21"/>
                <w:szCs w:val="21"/>
              </w:rPr>
            </w:pPr>
          </w:p>
        </w:tc>
        <w:tc>
          <w:tcPr>
            <w:tcW w:w="1688" w:type="dxa"/>
            <w:noWrap w:val="0"/>
            <w:vAlign w:val="center"/>
          </w:tcPr>
          <w:p w14:paraId="6AE9A296">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新寨</w:t>
            </w:r>
          </w:p>
        </w:tc>
        <w:tc>
          <w:tcPr>
            <w:tcW w:w="900" w:type="dxa"/>
            <w:noWrap w:val="0"/>
            <w:vAlign w:val="center"/>
          </w:tcPr>
          <w:p w14:paraId="71422D56">
            <w:pPr>
              <w:widowControl w:val="0"/>
              <w:spacing w:line="240" w:lineRule="auto"/>
              <w:ind w:firstLine="0"/>
              <w:jc w:val="center"/>
              <w:rPr>
                <w:rFonts w:hint="eastAsia" w:eastAsia="宋体"/>
                <w:color w:val="000000"/>
                <w:sz w:val="21"/>
                <w:szCs w:val="21"/>
                <w:lang w:val="en-US" w:eastAsia="zh-CN"/>
              </w:rPr>
            </w:pPr>
            <w:r>
              <w:rPr>
                <w:rFonts w:hint="eastAsia"/>
                <w:color w:val="000000"/>
                <w:sz w:val="21"/>
                <w:szCs w:val="21"/>
              </w:rPr>
              <w:t>东</w:t>
            </w:r>
            <w:r>
              <w:rPr>
                <w:rFonts w:hint="eastAsia" w:eastAsia="宋体"/>
                <w:color w:val="000000"/>
                <w:sz w:val="21"/>
                <w:szCs w:val="21"/>
                <w:lang w:val="en-US" w:eastAsia="zh-CN"/>
              </w:rPr>
              <w:t>北</w:t>
            </w:r>
          </w:p>
        </w:tc>
        <w:tc>
          <w:tcPr>
            <w:tcW w:w="1500" w:type="dxa"/>
            <w:noWrap w:val="0"/>
            <w:vAlign w:val="center"/>
          </w:tcPr>
          <w:p w14:paraId="4AD415B9">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4829</w:t>
            </w:r>
            <w:r>
              <w:rPr>
                <w:rFonts w:hint="eastAsia"/>
                <w:color w:val="000000"/>
                <w:sz w:val="21"/>
                <w:szCs w:val="21"/>
              </w:rPr>
              <w:t>m</w:t>
            </w:r>
          </w:p>
        </w:tc>
        <w:tc>
          <w:tcPr>
            <w:tcW w:w="1760" w:type="dxa"/>
            <w:noWrap w:val="0"/>
            <w:vAlign w:val="center"/>
          </w:tcPr>
          <w:p w14:paraId="42ABEC88">
            <w:pPr>
              <w:widowControl w:val="0"/>
              <w:spacing w:line="240" w:lineRule="auto"/>
              <w:ind w:firstLine="0"/>
              <w:jc w:val="center"/>
              <w:rPr>
                <w:color w:val="000000"/>
                <w:sz w:val="21"/>
                <w:szCs w:val="21"/>
              </w:rPr>
            </w:pPr>
            <w:r>
              <w:rPr>
                <w:rFonts w:hint="eastAsia"/>
                <w:color w:val="000000"/>
                <w:sz w:val="21"/>
                <w:szCs w:val="21"/>
              </w:rPr>
              <w:t>360人</w:t>
            </w:r>
          </w:p>
        </w:tc>
        <w:tc>
          <w:tcPr>
            <w:tcW w:w="2268" w:type="dxa"/>
            <w:vMerge w:val="continue"/>
            <w:noWrap w:val="0"/>
            <w:vAlign w:val="top"/>
          </w:tcPr>
          <w:p w14:paraId="7CC5D934">
            <w:pPr>
              <w:ind w:firstLine="420"/>
              <w:rPr>
                <w:sz w:val="21"/>
                <w:szCs w:val="21"/>
              </w:rPr>
            </w:pPr>
          </w:p>
        </w:tc>
      </w:tr>
      <w:tr w14:paraId="5174B9E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27D65288">
            <w:pPr>
              <w:widowControl w:val="0"/>
              <w:spacing w:line="240" w:lineRule="auto"/>
              <w:ind w:firstLine="0"/>
              <w:jc w:val="center"/>
              <w:rPr>
                <w:sz w:val="21"/>
                <w:szCs w:val="21"/>
              </w:rPr>
            </w:pPr>
          </w:p>
        </w:tc>
        <w:tc>
          <w:tcPr>
            <w:tcW w:w="1688" w:type="dxa"/>
            <w:noWrap w:val="0"/>
            <w:vAlign w:val="center"/>
          </w:tcPr>
          <w:p w14:paraId="31CC550F">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磨石沟</w:t>
            </w:r>
          </w:p>
        </w:tc>
        <w:tc>
          <w:tcPr>
            <w:tcW w:w="900" w:type="dxa"/>
            <w:noWrap w:val="0"/>
            <w:vAlign w:val="center"/>
          </w:tcPr>
          <w:p w14:paraId="22E4B9BE">
            <w:pPr>
              <w:widowControl w:val="0"/>
              <w:spacing w:line="240" w:lineRule="auto"/>
              <w:ind w:firstLine="0"/>
              <w:jc w:val="center"/>
              <w:rPr>
                <w:rFonts w:hint="eastAsia" w:eastAsia="宋体"/>
                <w:color w:val="000000"/>
                <w:sz w:val="21"/>
                <w:szCs w:val="21"/>
                <w:lang w:eastAsia="zh-CN"/>
              </w:rPr>
            </w:pPr>
            <w:r>
              <w:rPr>
                <w:rFonts w:hint="eastAsia"/>
                <w:color w:val="000000"/>
                <w:sz w:val="21"/>
                <w:szCs w:val="21"/>
              </w:rPr>
              <w:t>东</w:t>
            </w:r>
            <w:r>
              <w:rPr>
                <w:rFonts w:hint="eastAsia" w:eastAsia="宋体"/>
                <w:color w:val="000000"/>
                <w:sz w:val="21"/>
                <w:szCs w:val="21"/>
                <w:lang w:val="en-US" w:eastAsia="zh-CN"/>
              </w:rPr>
              <w:t>南</w:t>
            </w:r>
          </w:p>
        </w:tc>
        <w:tc>
          <w:tcPr>
            <w:tcW w:w="1500" w:type="dxa"/>
            <w:noWrap w:val="0"/>
            <w:vAlign w:val="center"/>
          </w:tcPr>
          <w:p w14:paraId="33473AEE">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1137</w:t>
            </w:r>
            <w:r>
              <w:rPr>
                <w:rFonts w:hint="eastAsia"/>
                <w:color w:val="000000"/>
                <w:sz w:val="21"/>
                <w:szCs w:val="21"/>
              </w:rPr>
              <w:t>m</w:t>
            </w:r>
          </w:p>
        </w:tc>
        <w:tc>
          <w:tcPr>
            <w:tcW w:w="1760" w:type="dxa"/>
            <w:noWrap w:val="0"/>
            <w:vAlign w:val="center"/>
          </w:tcPr>
          <w:p w14:paraId="25795C29">
            <w:pPr>
              <w:widowControl w:val="0"/>
              <w:spacing w:line="240" w:lineRule="auto"/>
              <w:ind w:firstLine="0"/>
              <w:jc w:val="center"/>
              <w:rPr>
                <w:color w:val="000000"/>
                <w:sz w:val="21"/>
                <w:szCs w:val="21"/>
              </w:rPr>
            </w:pPr>
            <w:r>
              <w:rPr>
                <w:rFonts w:hint="eastAsia"/>
                <w:color w:val="000000"/>
                <w:sz w:val="21"/>
                <w:szCs w:val="21"/>
              </w:rPr>
              <w:t>320人</w:t>
            </w:r>
          </w:p>
        </w:tc>
        <w:tc>
          <w:tcPr>
            <w:tcW w:w="2268" w:type="dxa"/>
            <w:vMerge w:val="continue"/>
            <w:noWrap w:val="0"/>
            <w:vAlign w:val="top"/>
          </w:tcPr>
          <w:p w14:paraId="0C8D45BF">
            <w:pPr>
              <w:ind w:firstLine="420"/>
              <w:rPr>
                <w:sz w:val="21"/>
                <w:szCs w:val="21"/>
              </w:rPr>
            </w:pPr>
          </w:p>
        </w:tc>
      </w:tr>
      <w:tr w14:paraId="67DB2D7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340EAB9C">
            <w:pPr>
              <w:widowControl w:val="0"/>
              <w:spacing w:line="240" w:lineRule="auto"/>
              <w:ind w:firstLine="0"/>
              <w:jc w:val="center"/>
              <w:rPr>
                <w:sz w:val="21"/>
                <w:szCs w:val="21"/>
              </w:rPr>
            </w:pPr>
          </w:p>
        </w:tc>
        <w:tc>
          <w:tcPr>
            <w:tcW w:w="1688" w:type="dxa"/>
            <w:noWrap w:val="0"/>
            <w:vAlign w:val="center"/>
          </w:tcPr>
          <w:p w14:paraId="2FAEFE64">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芒燕下寨</w:t>
            </w:r>
          </w:p>
        </w:tc>
        <w:tc>
          <w:tcPr>
            <w:tcW w:w="900" w:type="dxa"/>
            <w:noWrap w:val="0"/>
            <w:vAlign w:val="center"/>
          </w:tcPr>
          <w:p w14:paraId="73CA3069">
            <w:pPr>
              <w:widowControl w:val="0"/>
              <w:spacing w:line="240" w:lineRule="auto"/>
              <w:ind w:firstLine="0"/>
              <w:jc w:val="center"/>
              <w:rPr>
                <w:rFonts w:hint="eastAsia" w:eastAsia="宋体"/>
                <w:color w:val="000000"/>
                <w:sz w:val="21"/>
                <w:szCs w:val="21"/>
                <w:lang w:eastAsia="zh-CN"/>
              </w:rPr>
            </w:pPr>
            <w:r>
              <w:rPr>
                <w:rFonts w:hint="eastAsia"/>
                <w:color w:val="000000"/>
                <w:sz w:val="21"/>
                <w:szCs w:val="21"/>
              </w:rPr>
              <w:t>东</w:t>
            </w:r>
            <w:r>
              <w:rPr>
                <w:rFonts w:hint="eastAsia" w:eastAsia="宋体"/>
                <w:color w:val="000000"/>
                <w:sz w:val="21"/>
                <w:szCs w:val="21"/>
                <w:lang w:val="en-US" w:eastAsia="zh-CN"/>
              </w:rPr>
              <w:t>南</w:t>
            </w:r>
          </w:p>
        </w:tc>
        <w:tc>
          <w:tcPr>
            <w:tcW w:w="1500" w:type="dxa"/>
            <w:noWrap w:val="0"/>
            <w:vAlign w:val="center"/>
          </w:tcPr>
          <w:p w14:paraId="79CDF798">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1321m</w:t>
            </w:r>
          </w:p>
        </w:tc>
        <w:tc>
          <w:tcPr>
            <w:tcW w:w="1760" w:type="dxa"/>
            <w:noWrap w:val="0"/>
            <w:vAlign w:val="center"/>
          </w:tcPr>
          <w:p w14:paraId="31C723FC">
            <w:pPr>
              <w:widowControl w:val="0"/>
              <w:spacing w:line="240" w:lineRule="auto"/>
              <w:ind w:firstLine="0"/>
              <w:jc w:val="center"/>
              <w:rPr>
                <w:color w:val="000000"/>
                <w:sz w:val="21"/>
                <w:szCs w:val="21"/>
              </w:rPr>
            </w:pPr>
            <w:r>
              <w:rPr>
                <w:rFonts w:hint="eastAsia"/>
                <w:color w:val="000000"/>
                <w:sz w:val="21"/>
                <w:szCs w:val="21"/>
              </w:rPr>
              <w:t>394人</w:t>
            </w:r>
          </w:p>
        </w:tc>
        <w:tc>
          <w:tcPr>
            <w:tcW w:w="2268" w:type="dxa"/>
            <w:vMerge w:val="continue"/>
            <w:noWrap w:val="0"/>
            <w:vAlign w:val="top"/>
          </w:tcPr>
          <w:p w14:paraId="20242040">
            <w:pPr>
              <w:ind w:firstLine="420"/>
              <w:rPr>
                <w:sz w:val="21"/>
                <w:szCs w:val="21"/>
              </w:rPr>
            </w:pPr>
          </w:p>
        </w:tc>
      </w:tr>
      <w:tr w14:paraId="2F37F84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75AE3C71">
            <w:pPr>
              <w:widowControl w:val="0"/>
              <w:spacing w:line="240" w:lineRule="auto"/>
              <w:ind w:firstLine="0"/>
              <w:jc w:val="center"/>
              <w:rPr>
                <w:sz w:val="21"/>
                <w:szCs w:val="21"/>
              </w:rPr>
            </w:pPr>
          </w:p>
        </w:tc>
        <w:tc>
          <w:tcPr>
            <w:tcW w:w="1688" w:type="dxa"/>
            <w:noWrap w:val="0"/>
            <w:vAlign w:val="center"/>
          </w:tcPr>
          <w:p w14:paraId="403C0870">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丙茂</w:t>
            </w:r>
          </w:p>
        </w:tc>
        <w:tc>
          <w:tcPr>
            <w:tcW w:w="900" w:type="dxa"/>
            <w:noWrap w:val="0"/>
            <w:vAlign w:val="center"/>
          </w:tcPr>
          <w:p w14:paraId="21ACFA8D">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东</w:t>
            </w:r>
            <w:r>
              <w:rPr>
                <w:rFonts w:hint="eastAsia"/>
                <w:color w:val="000000"/>
                <w:sz w:val="21"/>
                <w:szCs w:val="21"/>
              </w:rPr>
              <w:t>北</w:t>
            </w:r>
          </w:p>
        </w:tc>
        <w:tc>
          <w:tcPr>
            <w:tcW w:w="1500" w:type="dxa"/>
            <w:noWrap w:val="0"/>
            <w:vAlign w:val="center"/>
          </w:tcPr>
          <w:p w14:paraId="658E5A6E">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2372</w:t>
            </w:r>
            <w:r>
              <w:rPr>
                <w:rFonts w:hint="eastAsia"/>
                <w:color w:val="000000"/>
                <w:sz w:val="21"/>
                <w:szCs w:val="21"/>
              </w:rPr>
              <w:t>m</w:t>
            </w:r>
          </w:p>
        </w:tc>
        <w:tc>
          <w:tcPr>
            <w:tcW w:w="1760" w:type="dxa"/>
            <w:noWrap w:val="0"/>
            <w:vAlign w:val="center"/>
          </w:tcPr>
          <w:p w14:paraId="655DF62C">
            <w:pPr>
              <w:widowControl w:val="0"/>
              <w:spacing w:line="240" w:lineRule="auto"/>
              <w:ind w:firstLine="0"/>
              <w:jc w:val="center"/>
              <w:rPr>
                <w:color w:val="000000"/>
                <w:sz w:val="21"/>
                <w:szCs w:val="21"/>
              </w:rPr>
            </w:pPr>
            <w:r>
              <w:rPr>
                <w:rFonts w:hint="eastAsia" w:eastAsia="宋体"/>
                <w:color w:val="000000"/>
                <w:sz w:val="21"/>
                <w:szCs w:val="21"/>
                <w:lang w:val="en-US" w:eastAsia="zh-CN"/>
              </w:rPr>
              <w:t>250</w:t>
            </w:r>
            <w:r>
              <w:rPr>
                <w:rFonts w:hint="eastAsia"/>
                <w:color w:val="000000"/>
                <w:sz w:val="21"/>
                <w:szCs w:val="21"/>
              </w:rPr>
              <w:t>人</w:t>
            </w:r>
          </w:p>
        </w:tc>
        <w:tc>
          <w:tcPr>
            <w:tcW w:w="2268" w:type="dxa"/>
            <w:vMerge w:val="continue"/>
            <w:noWrap w:val="0"/>
            <w:vAlign w:val="top"/>
          </w:tcPr>
          <w:p w14:paraId="7E848050">
            <w:pPr>
              <w:ind w:firstLine="420"/>
              <w:rPr>
                <w:sz w:val="21"/>
                <w:szCs w:val="21"/>
              </w:rPr>
            </w:pPr>
          </w:p>
        </w:tc>
      </w:tr>
      <w:tr w14:paraId="1BF7EBE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66698082">
            <w:pPr>
              <w:widowControl w:val="0"/>
              <w:spacing w:line="240" w:lineRule="auto"/>
              <w:ind w:firstLine="0"/>
              <w:jc w:val="center"/>
              <w:rPr>
                <w:sz w:val="21"/>
                <w:szCs w:val="21"/>
              </w:rPr>
            </w:pPr>
          </w:p>
        </w:tc>
        <w:tc>
          <w:tcPr>
            <w:tcW w:w="1688" w:type="dxa"/>
            <w:noWrap w:val="0"/>
            <w:vAlign w:val="center"/>
          </w:tcPr>
          <w:p w14:paraId="22EDAB60">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广相上寨</w:t>
            </w:r>
          </w:p>
        </w:tc>
        <w:tc>
          <w:tcPr>
            <w:tcW w:w="900" w:type="dxa"/>
            <w:noWrap w:val="0"/>
            <w:vAlign w:val="center"/>
          </w:tcPr>
          <w:p w14:paraId="328C8040">
            <w:pPr>
              <w:widowControl w:val="0"/>
              <w:spacing w:line="240" w:lineRule="auto"/>
              <w:ind w:firstLine="0"/>
              <w:jc w:val="center"/>
              <w:rPr>
                <w:rFonts w:hint="eastAsia"/>
                <w:color w:val="000000"/>
                <w:sz w:val="21"/>
                <w:szCs w:val="21"/>
              </w:rPr>
            </w:pPr>
            <w:r>
              <w:rPr>
                <w:rFonts w:hint="eastAsia"/>
                <w:color w:val="000000"/>
                <w:sz w:val="21"/>
                <w:szCs w:val="21"/>
                <w:lang w:val="en-US" w:eastAsia="zh-CN"/>
              </w:rPr>
              <w:t>东</w:t>
            </w:r>
            <w:r>
              <w:rPr>
                <w:rFonts w:hint="eastAsia"/>
                <w:color w:val="000000"/>
                <w:sz w:val="21"/>
                <w:szCs w:val="21"/>
              </w:rPr>
              <w:t>北</w:t>
            </w:r>
          </w:p>
        </w:tc>
        <w:tc>
          <w:tcPr>
            <w:tcW w:w="1500" w:type="dxa"/>
            <w:noWrap w:val="0"/>
            <w:vAlign w:val="center"/>
          </w:tcPr>
          <w:p w14:paraId="08E7E55A">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3510</w:t>
            </w:r>
            <w:r>
              <w:rPr>
                <w:rFonts w:hint="eastAsia"/>
                <w:color w:val="000000"/>
                <w:sz w:val="21"/>
                <w:szCs w:val="21"/>
              </w:rPr>
              <w:t>m</w:t>
            </w:r>
          </w:p>
        </w:tc>
        <w:tc>
          <w:tcPr>
            <w:tcW w:w="1760" w:type="dxa"/>
            <w:noWrap w:val="0"/>
            <w:vAlign w:val="center"/>
          </w:tcPr>
          <w:p w14:paraId="00FBED3D">
            <w:pPr>
              <w:widowControl w:val="0"/>
              <w:spacing w:line="240" w:lineRule="auto"/>
              <w:ind w:firstLine="0"/>
              <w:jc w:val="center"/>
              <w:rPr>
                <w:color w:val="000000"/>
                <w:sz w:val="21"/>
                <w:szCs w:val="21"/>
              </w:rPr>
            </w:pPr>
            <w:r>
              <w:rPr>
                <w:rFonts w:hint="eastAsia" w:eastAsia="宋体"/>
                <w:color w:val="000000"/>
                <w:sz w:val="21"/>
                <w:szCs w:val="21"/>
                <w:lang w:val="en-US" w:eastAsia="zh-CN"/>
              </w:rPr>
              <w:t>357</w:t>
            </w:r>
            <w:r>
              <w:rPr>
                <w:rFonts w:hint="eastAsia"/>
                <w:color w:val="000000"/>
                <w:sz w:val="21"/>
                <w:szCs w:val="21"/>
              </w:rPr>
              <w:t>人</w:t>
            </w:r>
          </w:p>
        </w:tc>
        <w:tc>
          <w:tcPr>
            <w:tcW w:w="2268" w:type="dxa"/>
            <w:vMerge w:val="continue"/>
            <w:noWrap w:val="0"/>
            <w:vAlign w:val="top"/>
          </w:tcPr>
          <w:p w14:paraId="02824907">
            <w:pPr>
              <w:ind w:firstLine="420"/>
              <w:rPr>
                <w:sz w:val="21"/>
                <w:szCs w:val="21"/>
              </w:rPr>
            </w:pPr>
          </w:p>
        </w:tc>
      </w:tr>
      <w:tr w14:paraId="073DA73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24768867">
            <w:pPr>
              <w:widowControl w:val="0"/>
              <w:spacing w:line="240" w:lineRule="auto"/>
              <w:ind w:firstLine="0"/>
              <w:jc w:val="center"/>
              <w:rPr>
                <w:sz w:val="21"/>
                <w:szCs w:val="21"/>
              </w:rPr>
            </w:pPr>
          </w:p>
        </w:tc>
        <w:tc>
          <w:tcPr>
            <w:tcW w:w="1688" w:type="dxa"/>
            <w:noWrap w:val="0"/>
            <w:vAlign w:val="center"/>
          </w:tcPr>
          <w:p w14:paraId="15FEF3BC">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广相下寨</w:t>
            </w:r>
          </w:p>
        </w:tc>
        <w:tc>
          <w:tcPr>
            <w:tcW w:w="900" w:type="dxa"/>
            <w:noWrap w:val="0"/>
            <w:vAlign w:val="center"/>
          </w:tcPr>
          <w:p w14:paraId="3997CC20">
            <w:pPr>
              <w:widowControl w:val="0"/>
              <w:spacing w:line="240" w:lineRule="auto"/>
              <w:ind w:firstLine="0"/>
              <w:jc w:val="center"/>
              <w:rPr>
                <w:rFonts w:hint="eastAsia"/>
                <w:color w:val="000000"/>
                <w:sz w:val="21"/>
                <w:szCs w:val="21"/>
              </w:rPr>
            </w:pPr>
            <w:r>
              <w:rPr>
                <w:rFonts w:hint="eastAsia"/>
                <w:color w:val="000000"/>
                <w:sz w:val="21"/>
                <w:szCs w:val="21"/>
                <w:lang w:val="en-US" w:eastAsia="zh-CN"/>
              </w:rPr>
              <w:t>东</w:t>
            </w:r>
            <w:r>
              <w:rPr>
                <w:rFonts w:hint="eastAsia"/>
                <w:color w:val="000000"/>
                <w:sz w:val="21"/>
                <w:szCs w:val="21"/>
              </w:rPr>
              <w:t>北</w:t>
            </w:r>
          </w:p>
        </w:tc>
        <w:tc>
          <w:tcPr>
            <w:tcW w:w="1500" w:type="dxa"/>
            <w:noWrap w:val="0"/>
            <w:vAlign w:val="center"/>
          </w:tcPr>
          <w:p w14:paraId="5454CECE">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4303</w:t>
            </w:r>
            <w:r>
              <w:rPr>
                <w:rFonts w:hint="eastAsia"/>
                <w:color w:val="000000"/>
                <w:sz w:val="21"/>
                <w:szCs w:val="21"/>
              </w:rPr>
              <w:t>m</w:t>
            </w:r>
          </w:p>
        </w:tc>
        <w:tc>
          <w:tcPr>
            <w:tcW w:w="1760" w:type="dxa"/>
            <w:noWrap w:val="0"/>
            <w:vAlign w:val="center"/>
          </w:tcPr>
          <w:p w14:paraId="0505C2B1">
            <w:pPr>
              <w:widowControl w:val="0"/>
              <w:spacing w:line="240" w:lineRule="auto"/>
              <w:ind w:firstLine="0"/>
              <w:jc w:val="center"/>
              <w:rPr>
                <w:color w:val="000000"/>
                <w:sz w:val="21"/>
                <w:szCs w:val="21"/>
              </w:rPr>
            </w:pPr>
            <w:r>
              <w:rPr>
                <w:rFonts w:hint="eastAsia" w:eastAsia="宋体"/>
                <w:color w:val="000000"/>
                <w:sz w:val="21"/>
                <w:szCs w:val="21"/>
                <w:lang w:val="en-US" w:eastAsia="zh-CN"/>
              </w:rPr>
              <w:t>400</w:t>
            </w:r>
            <w:r>
              <w:rPr>
                <w:rFonts w:hint="eastAsia"/>
                <w:color w:val="000000"/>
                <w:sz w:val="21"/>
                <w:szCs w:val="21"/>
              </w:rPr>
              <w:t>人</w:t>
            </w:r>
          </w:p>
        </w:tc>
        <w:tc>
          <w:tcPr>
            <w:tcW w:w="2268" w:type="dxa"/>
            <w:vMerge w:val="continue"/>
            <w:noWrap w:val="0"/>
            <w:vAlign w:val="top"/>
          </w:tcPr>
          <w:p w14:paraId="00E425F9">
            <w:pPr>
              <w:ind w:firstLine="420"/>
              <w:rPr>
                <w:sz w:val="21"/>
                <w:szCs w:val="21"/>
              </w:rPr>
            </w:pPr>
          </w:p>
        </w:tc>
      </w:tr>
      <w:tr w14:paraId="5D53FC5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636" w:type="dxa"/>
            <w:vMerge w:val="continue"/>
            <w:noWrap w:val="0"/>
            <w:vAlign w:val="top"/>
          </w:tcPr>
          <w:p w14:paraId="1F6AD0FA">
            <w:pPr>
              <w:widowControl w:val="0"/>
              <w:spacing w:line="240" w:lineRule="auto"/>
              <w:ind w:firstLine="0"/>
              <w:jc w:val="center"/>
              <w:rPr>
                <w:sz w:val="21"/>
                <w:szCs w:val="21"/>
              </w:rPr>
            </w:pPr>
          </w:p>
        </w:tc>
        <w:tc>
          <w:tcPr>
            <w:tcW w:w="1688" w:type="dxa"/>
            <w:noWrap w:val="0"/>
            <w:vAlign w:val="center"/>
          </w:tcPr>
          <w:p w14:paraId="3A82D369">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锅盖石</w:t>
            </w:r>
          </w:p>
        </w:tc>
        <w:tc>
          <w:tcPr>
            <w:tcW w:w="900" w:type="dxa"/>
            <w:noWrap w:val="0"/>
            <w:vAlign w:val="center"/>
          </w:tcPr>
          <w:p w14:paraId="5CD0A246">
            <w:pPr>
              <w:widowControl w:val="0"/>
              <w:spacing w:line="240" w:lineRule="auto"/>
              <w:ind w:firstLine="0"/>
              <w:jc w:val="center"/>
              <w:rPr>
                <w:rFonts w:hint="eastAsia"/>
                <w:color w:val="000000"/>
                <w:sz w:val="21"/>
                <w:szCs w:val="21"/>
              </w:rPr>
            </w:pPr>
            <w:r>
              <w:rPr>
                <w:rFonts w:hint="eastAsia"/>
                <w:color w:val="000000"/>
                <w:sz w:val="21"/>
                <w:szCs w:val="21"/>
                <w:lang w:val="en-US" w:eastAsia="zh-CN"/>
              </w:rPr>
              <w:t>东</w:t>
            </w:r>
            <w:r>
              <w:rPr>
                <w:rFonts w:hint="eastAsia"/>
                <w:color w:val="000000"/>
                <w:sz w:val="21"/>
                <w:szCs w:val="21"/>
              </w:rPr>
              <w:t>北</w:t>
            </w:r>
          </w:p>
        </w:tc>
        <w:tc>
          <w:tcPr>
            <w:tcW w:w="1500" w:type="dxa"/>
            <w:noWrap w:val="0"/>
            <w:vAlign w:val="center"/>
          </w:tcPr>
          <w:p w14:paraId="422DCD37">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4971</w:t>
            </w:r>
            <w:r>
              <w:rPr>
                <w:rFonts w:hint="eastAsia"/>
                <w:color w:val="000000"/>
                <w:sz w:val="21"/>
                <w:szCs w:val="21"/>
              </w:rPr>
              <w:t>m</w:t>
            </w:r>
          </w:p>
        </w:tc>
        <w:tc>
          <w:tcPr>
            <w:tcW w:w="1760" w:type="dxa"/>
            <w:noWrap w:val="0"/>
            <w:vAlign w:val="center"/>
          </w:tcPr>
          <w:p w14:paraId="61F4EA9D">
            <w:pPr>
              <w:widowControl w:val="0"/>
              <w:spacing w:line="240" w:lineRule="auto"/>
              <w:ind w:firstLine="0"/>
              <w:jc w:val="center"/>
              <w:rPr>
                <w:color w:val="000000"/>
                <w:sz w:val="21"/>
                <w:szCs w:val="21"/>
              </w:rPr>
            </w:pPr>
            <w:r>
              <w:rPr>
                <w:rFonts w:hint="eastAsia" w:eastAsia="宋体"/>
                <w:color w:val="000000"/>
                <w:sz w:val="21"/>
                <w:szCs w:val="21"/>
                <w:lang w:val="en-US" w:eastAsia="zh-CN"/>
              </w:rPr>
              <w:t>176</w:t>
            </w:r>
            <w:r>
              <w:rPr>
                <w:rFonts w:hint="eastAsia"/>
                <w:color w:val="000000"/>
                <w:sz w:val="21"/>
                <w:szCs w:val="21"/>
              </w:rPr>
              <w:t>人</w:t>
            </w:r>
          </w:p>
        </w:tc>
        <w:tc>
          <w:tcPr>
            <w:tcW w:w="2268" w:type="dxa"/>
            <w:vMerge w:val="continue"/>
            <w:noWrap w:val="0"/>
            <w:vAlign w:val="top"/>
          </w:tcPr>
          <w:p w14:paraId="584180B1">
            <w:pPr>
              <w:ind w:firstLine="420"/>
              <w:rPr>
                <w:sz w:val="21"/>
                <w:szCs w:val="21"/>
              </w:rPr>
            </w:pPr>
          </w:p>
        </w:tc>
      </w:tr>
      <w:tr w14:paraId="07F726C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7E5850EA">
            <w:pPr>
              <w:widowControl w:val="0"/>
              <w:spacing w:line="240" w:lineRule="auto"/>
              <w:ind w:firstLine="0"/>
              <w:jc w:val="center"/>
              <w:rPr>
                <w:sz w:val="21"/>
                <w:szCs w:val="21"/>
              </w:rPr>
            </w:pPr>
          </w:p>
        </w:tc>
        <w:tc>
          <w:tcPr>
            <w:tcW w:w="1688" w:type="dxa"/>
            <w:noWrap w:val="0"/>
            <w:vAlign w:val="center"/>
          </w:tcPr>
          <w:p w14:paraId="47CCFC3A">
            <w:pPr>
              <w:widowControl w:val="0"/>
              <w:spacing w:line="240" w:lineRule="auto"/>
              <w:ind w:firstLine="0"/>
              <w:jc w:val="center"/>
              <w:rPr>
                <w:rFonts w:eastAsia="宋体"/>
                <w:color w:val="000000"/>
                <w:sz w:val="21"/>
                <w:szCs w:val="21"/>
                <w:lang w:val="en-US" w:eastAsia="zh-CN"/>
              </w:rPr>
            </w:pPr>
            <w:r>
              <w:rPr>
                <w:rFonts w:hint="eastAsia" w:eastAsia="宋体"/>
                <w:color w:val="000000"/>
                <w:sz w:val="21"/>
                <w:szCs w:val="21"/>
                <w:lang w:val="en-US" w:eastAsia="zh-CN"/>
              </w:rPr>
              <w:t>德宏</w:t>
            </w:r>
            <w:bookmarkStart w:id="355" w:name="_GoBack"/>
            <w:bookmarkEnd w:id="355"/>
            <w:r>
              <w:rPr>
                <w:rFonts w:hint="eastAsia"/>
                <w:color w:val="000000"/>
                <w:sz w:val="21"/>
                <w:szCs w:val="21"/>
                <w:lang w:val="en-US" w:eastAsia="zh-CN"/>
              </w:rPr>
              <w:t>师范高等专科</w:t>
            </w:r>
            <w:r>
              <w:rPr>
                <w:rFonts w:hint="eastAsia" w:eastAsia="宋体"/>
                <w:color w:val="000000"/>
                <w:sz w:val="21"/>
                <w:szCs w:val="21"/>
                <w:lang w:val="en-US" w:eastAsia="zh-CN"/>
              </w:rPr>
              <w:t>学校新小区</w:t>
            </w:r>
          </w:p>
        </w:tc>
        <w:tc>
          <w:tcPr>
            <w:tcW w:w="900" w:type="dxa"/>
            <w:noWrap w:val="0"/>
            <w:vAlign w:val="center"/>
          </w:tcPr>
          <w:p w14:paraId="7869AE54">
            <w:pPr>
              <w:widowControl w:val="0"/>
              <w:spacing w:line="240" w:lineRule="auto"/>
              <w:ind w:firstLine="0"/>
              <w:jc w:val="center"/>
              <w:rPr>
                <w:rFonts w:hint="eastAsia"/>
                <w:color w:val="000000"/>
                <w:sz w:val="21"/>
                <w:szCs w:val="21"/>
              </w:rPr>
            </w:pPr>
            <w:r>
              <w:rPr>
                <w:rFonts w:hint="eastAsia"/>
                <w:color w:val="000000"/>
                <w:sz w:val="21"/>
                <w:szCs w:val="21"/>
              </w:rPr>
              <w:t>北</w:t>
            </w:r>
          </w:p>
        </w:tc>
        <w:tc>
          <w:tcPr>
            <w:tcW w:w="1500" w:type="dxa"/>
            <w:noWrap w:val="0"/>
            <w:vAlign w:val="center"/>
          </w:tcPr>
          <w:p w14:paraId="4E97D8C7">
            <w:pPr>
              <w:widowControl w:val="0"/>
              <w:spacing w:line="240" w:lineRule="auto"/>
              <w:ind w:firstLine="0"/>
              <w:jc w:val="center"/>
              <w:rPr>
                <w:rFonts w:hint="eastAsia"/>
                <w:color w:val="000000"/>
                <w:sz w:val="21"/>
                <w:szCs w:val="21"/>
              </w:rPr>
            </w:pPr>
            <w:r>
              <w:rPr>
                <w:rFonts w:hint="eastAsia" w:eastAsia="宋体"/>
                <w:color w:val="000000"/>
                <w:sz w:val="21"/>
                <w:szCs w:val="21"/>
                <w:lang w:val="en-US" w:eastAsia="zh-CN"/>
              </w:rPr>
              <w:t>1777</w:t>
            </w:r>
            <w:r>
              <w:rPr>
                <w:rFonts w:hint="eastAsia"/>
                <w:color w:val="000000"/>
                <w:sz w:val="21"/>
                <w:szCs w:val="21"/>
              </w:rPr>
              <w:t>m</w:t>
            </w:r>
          </w:p>
        </w:tc>
        <w:tc>
          <w:tcPr>
            <w:tcW w:w="1760" w:type="dxa"/>
            <w:noWrap w:val="0"/>
            <w:vAlign w:val="center"/>
          </w:tcPr>
          <w:p w14:paraId="6ADE8FF6">
            <w:pPr>
              <w:widowControl w:val="0"/>
              <w:spacing w:line="240" w:lineRule="auto"/>
              <w:ind w:firstLine="0"/>
              <w:jc w:val="center"/>
              <w:rPr>
                <w:color w:val="000000"/>
                <w:sz w:val="21"/>
                <w:szCs w:val="21"/>
              </w:rPr>
            </w:pPr>
            <w:r>
              <w:rPr>
                <w:rFonts w:hint="eastAsia" w:eastAsia="宋体"/>
                <w:color w:val="000000"/>
                <w:sz w:val="21"/>
                <w:szCs w:val="21"/>
                <w:lang w:val="en-US" w:eastAsia="zh-CN"/>
              </w:rPr>
              <w:t>2500</w:t>
            </w:r>
            <w:r>
              <w:rPr>
                <w:rFonts w:hint="eastAsia"/>
                <w:color w:val="000000"/>
                <w:sz w:val="21"/>
                <w:szCs w:val="21"/>
              </w:rPr>
              <w:t>人</w:t>
            </w:r>
          </w:p>
        </w:tc>
        <w:tc>
          <w:tcPr>
            <w:tcW w:w="2268" w:type="dxa"/>
            <w:vMerge w:val="continue"/>
            <w:noWrap w:val="0"/>
            <w:vAlign w:val="top"/>
          </w:tcPr>
          <w:p w14:paraId="6C51E7C3">
            <w:pPr>
              <w:ind w:firstLine="420"/>
              <w:rPr>
                <w:sz w:val="21"/>
                <w:szCs w:val="21"/>
              </w:rPr>
            </w:pPr>
          </w:p>
        </w:tc>
      </w:tr>
      <w:tr w14:paraId="421F724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172" w:hRule="atLeast"/>
          <w:jc w:val="center"/>
        </w:trPr>
        <w:tc>
          <w:tcPr>
            <w:tcW w:w="636" w:type="dxa"/>
            <w:vMerge w:val="restart"/>
            <w:noWrap w:val="0"/>
            <w:vAlign w:val="center"/>
          </w:tcPr>
          <w:p w14:paraId="2C47436C">
            <w:pPr>
              <w:widowControl w:val="0"/>
              <w:spacing w:line="240" w:lineRule="auto"/>
              <w:ind w:firstLine="0"/>
              <w:jc w:val="center"/>
              <w:rPr>
                <w:sz w:val="21"/>
                <w:szCs w:val="21"/>
              </w:rPr>
            </w:pPr>
            <w:r>
              <w:rPr>
                <w:rFonts w:hint="eastAsia" w:eastAsia="宋体"/>
                <w:sz w:val="21"/>
                <w:szCs w:val="21"/>
                <w:lang w:val="en-US" w:eastAsia="zh-CN"/>
              </w:rPr>
              <w:t>声环境</w:t>
            </w:r>
          </w:p>
        </w:tc>
        <w:tc>
          <w:tcPr>
            <w:tcW w:w="1688" w:type="dxa"/>
            <w:vMerge w:val="restart"/>
            <w:noWrap w:val="0"/>
            <w:vAlign w:val="center"/>
          </w:tcPr>
          <w:p w14:paraId="5AF92821">
            <w:pPr>
              <w:widowControl w:val="0"/>
              <w:spacing w:line="240" w:lineRule="auto"/>
              <w:ind w:firstLine="0"/>
              <w:jc w:val="center"/>
              <w:rPr>
                <w:rFonts w:hint="eastAsia"/>
                <w:sz w:val="21"/>
                <w:szCs w:val="21"/>
              </w:rPr>
            </w:pPr>
            <w:r>
              <w:rPr>
                <w:rFonts w:hint="eastAsia" w:eastAsia="宋体"/>
                <w:sz w:val="21"/>
                <w:szCs w:val="21"/>
                <w:lang w:val="en-US" w:eastAsia="zh-CN"/>
              </w:rPr>
              <w:t>双红新村</w:t>
            </w:r>
          </w:p>
        </w:tc>
        <w:tc>
          <w:tcPr>
            <w:tcW w:w="900" w:type="dxa"/>
            <w:noWrap w:val="0"/>
            <w:vAlign w:val="center"/>
          </w:tcPr>
          <w:p w14:paraId="6229A8E6">
            <w:pPr>
              <w:widowControl w:val="0"/>
              <w:spacing w:line="240" w:lineRule="auto"/>
              <w:ind w:firstLine="0"/>
              <w:jc w:val="center"/>
              <w:rPr>
                <w:rFonts w:hint="eastAsia"/>
                <w:sz w:val="21"/>
                <w:szCs w:val="21"/>
              </w:rPr>
            </w:pPr>
            <w:r>
              <w:rPr>
                <w:rFonts w:hint="eastAsia"/>
                <w:sz w:val="21"/>
                <w:szCs w:val="21"/>
              </w:rPr>
              <w:t>南</w:t>
            </w:r>
            <w:r>
              <w:rPr>
                <w:rFonts w:hint="eastAsia" w:eastAsia="宋体"/>
                <w:sz w:val="21"/>
                <w:szCs w:val="21"/>
                <w:lang w:eastAsia="zh-CN"/>
              </w:rPr>
              <w:t>、</w:t>
            </w:r>
            <w:r>
              <w:rPr>
                <w:rFonts w:hint="eastAsia" w:eastAsia="宋体"/>
                <w:sz w:val="21"/>
                <w:szCs w:val="21"/>
                <w:lang w:val="en-US" w:eastAsia="zh-CN"/>
              </w:rPr>
              <w:t>西</w:t>
            </w:r>
          </w:p>
        </w:tc>
        <w:tc>
          <w:tcPr>
            <w:tcW w:w="1500" w:type="dxa"/>
            <w:noWrap w:val="0"/>
            <w:vAlign w:val="center"/>
          </w:tcPr>
          <w:p w14:paraId="3DA639CC">
            <w:pPr>
              <w:widowControl w:val="0"/>
              <w:spacing w:line="240" w:lineRule="auto"/>
              <w:ind w:firstLine="0"/>
              <w:jc w:val="center"/>
              <w:rPr>
                <w:rFonts w:hint="eastAsia"/>
                <w:sz w:val="21"/>
                <w:szCs w:val="21"/>
              </w:rPr>
            </w:pPr>
            <w:r>
              <w:rPr>
                <w:rFonts w:hint="eastAsia" w:eastAsia="宋体"/>
                <w:sz w:val="21"/>
                <w:szCs w:val="21"/>
                <w:lang w:val="en-US" w:eastAsia="zh-CN"/>
              </w:rPr>
              <w:t>10</w:t>
            </w:r>
            <w:r>
              <w:rPr>
                <w:sz w:val="21"/>
                <w:szCs w:val="21"/>
              </w:rPr>
              <w:t>m</w:t>
            </w:r>
          </w:p>
        </w:tc>
        <w:tc>
          <w:tcPr>
            <w:tcW w:w="1760" w:type="dxa"/>
            <w:vMerge w:val="restart"/>
            <w:noWrap w:val="0"/>
            <w:vAlign w:val="center"/>
          </w:tcPr>
          <w:p w14:paraId="5E8ECD3C">
            <w:pPr>
              <w:widowControl w:val="0"/>
              <w:spacing w:line="240" w:lineRule="auto"/>
              <w:ind w:firstLine="0"/>
              <w:jc w:val="center"/>
              <w:rPr>
                <w:rFonts w:hint="eastAsia"/>
                <w:sz w:val="21"/>
                <w:szCs w:val="21"/>
              </w:rPr>
            </w:pPr>
            <w:r>
              <w:rPr>
                <w:rFonts w:hint="eastAsia" w:eastAsia="宋体"/>
                <w:color w:val="000000"/>
                <w:sz w:val="21"/>
                <w:szCs w:val="21"/>
                <w:lang w:val="en-US" w:eastAsia="zh-CN"/>
              </w:rPr>
              <w:t>350</w:t>
            </w:r>
            <w:r>
              <w:rPr>
                <w:color w:val="000000"/>
                <w:sz w:val="21"/>
                <w:szCs w:val="21"/>
              </w:rPr>
              <w:t>人</w:t>
            </w:r>
          </w:p>
        </w:tc>
        <w:tc>
          <w:tcPr>
            <w:tcW w:w="2268" w:type="dxa"/>
            <w:vMerge w:val="restart"/>
            <w:noWrap w:val="0"/>
            <w:vAlign w:val="top"/>
          </w:tcPr>
          <w:p w14:paraId="0EF65B6E">
            <w:pPr>
              <w:ind w:left="0" w:firstLine="0"/>
              <w:rPr>
                <w:sz w:val="21"/>
                <w:szCs w:val="21"/>
              </w:rPr>
            </w:pPr>
            <w:r>
              <w:rPr>
                <w:rFonts w:ascii="Times New Roman" w:hAnsi="Times New Roman" w:eastAsia="宋体" w:cs="Times New Roman"/>
                <w:spacing w:val="-3"/>
                <w:sz w:val="21"/>
                <w:szCs w:val="21"/>
              </w:rPr>
              <w:t>《声环境质量标准》</w:t>
            </w:r>
            <w:r>
              <w:rPr>
                <w:rFonts w:hint="eastAsia" w:ascii="Times New Roman" w:hAnsi="Times New Roman" w:eastAsia="宋体" w:cs="Times New Roman"/>
                <w:spacing w:val="-3"/>
                <w:sz w:val="21"/>
                <w:szCs w:val="21"/>
                <w:lang w:eastAsia="zh-CN"/>
              </w:rPr>
              <w:t>（</w:t>
            </w:r>
            <w:r>
              <w:rPr>
                <w:rFonts w:ascii="Times New Roman" w:hAnsi="Times New Roman" w:eastAsia="宋体" w:cs="Times New Roman"/>
                <w:spacing w:val="-3"/>
                <w:sz w:val="21"/>
                <w:szCs w:val="21"/>
              </w:rPr>
              <w:t>GB3096-2008</w:t>
            </w:r>
            <w:r>
              <w:rPr>
                <w:rFonts w:hint="eastAsia" w:ascii="Times New Roman" w:hAnsi="Times New Roman" w:eastAsia="宋体" w:cs="Times New Roman"/>
                <w:spacing w:val="-3"/>
                <w:sz w:val="21"/>
                <w:szCs w:val="21"/>
                <w:lang w:eastAsia="zh-CN"/>
              </w:rPr>
              <w:t>）</w:t>
            </w:r>
            <w:r>
              <w:rPr>
                <w:rFonts w:ascii="Times New Roman" w:hAnsi="Times New Roman" w:eastAsia="宋体" w:cs="Times New Roman"/>
                <w:spacing w:val="-3"/>
                <w:sz w:val="21"/>
                <w:szCs w:val="21"/>
              </w:rPr>
              <w:t>2类标准</w:t>
            </w:r>
          </w:p>
        </w:tc>
      </w:tr>
      <w:tr w14:paraId="39CBD56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center"/>
          </w:tcPr>
          <w:p w14:paraId="6906B8C4">
            <w:pPr>
              <w:widowControl w:val="0"/>
              <w:spacing w:line="240" w:lineRule="auto"/>
              <w:ind w:firstLine="0"/>
              <w:jc w:val="center"/>
              <w:rPr>
                <w:rFonts w:hint="eastAsia" w:eastAsia="宋体"/>
                <w:sz w:val="21"/>
                <w:szCs w:val="21"/>
                <w:lang w:val="en-US" w:eastAsia="zh-CN"/>
              </w:rPr>
            </w:pPr>
          </w:p>
        </w:tc>
        <w:tc>
          <w:tcPr>
            <w:tcW w:w="1688" w:type="dxa"/>
            <w:vMerge w:val="continue"/>
            <w:noWrap w:val="0"/>
            <w:vAlign w:val="center"/>
          </w:tcPr>
          <w:p w14:paraId="3B1387EF">
            <w:pPr>
              <w:widowControl w:val="0"/>
              <w:spacing w:line="240" w:lineRule="auto"/>
              <w:ind w:firstLine="0"/>
              <w:jc w:val="center"/>
              <w:rPr>
                <w:rFonts w:hint="eastAsia" w:eastAsia="宋体"/>
                <w:sz w:val="21"/>
                <w:szCs w:val="21"/>
                <w:lang w:val="en-US" w:eastAsia="zh-CN"/>
              </w:rPr>
            </w:pPr>
          </w:p>
        </w:tc>
        <w:tc>
          <w:tcPr>
            <w:tcW w:w="900" w:type="dxa"/>
            <w:noWrap w:val="0"/>
            <w:vAlign w:val="center"/>
          </w:tcPr>
          <w:p w14:paraId="16BC9CE4">
            <w:pPr>
              <w:widowControl w:val="0"/>
              <w:spacing w:line="240" w:lineRule="auto"/>
              <w:ind w:firstLine="0"/>
              <w:jc w:val="center"/>
              <w:rPr>
                <w:rFonts w:hint="eastAsia" w:eastAsia="宋体"/>
                <w:sz w:val="21"/>
                <w:szCs w:val="21"/>
                <w:lang w:val="en-US" w:eastAsia="zh-CN"/>
              </w:rPr>
            </w:pPr>
            <w:r>
              <w:rPr>
                <w:rFonts w:hint="eastAsia"/>
                <w:sz w:val="21"/>
                <w:szCs w:val="21"/>
                <w:lang w:val="en-US" w:eastAsia="zh-CN"/>
              </w:rPr>
              <w:t>西北</w:t>
            </w:r>
          </w:p>
        </w:tc>
        <w:tc>
          <w:tcPr>
            <w:tcW w:w="1500" w:type="dxa"/>
            <w:noWrap w:val="0"/>
            <w:vAlign w:val="center"/>
          </w:tcPr>
          <w:p w14:paraId="5982AB11">
            <w:pPr>
              <w:widowControl w:val="0"/>
              <w:spacing w:line="240" w:lineRule="auto"/>
              <w:ind w:firstLine="0"/>
              <w:jc w:val="center"/>
              <w:rPr>
                <w:rFonts w:eastAsia="宋体"/>
                <w:sz w:val="21"/>
                <w:szCs w:val="21"/>
                <w:lang w:val="en-US" w:eastAsia="zh-CN"/>
              </w:rPr>
            </w:pPr>
            <w:r>
              <w:rPr>
                <w:rFonts w:hint="eastAsia" w:eastAsia="宋体"/>
                <w:sz w:val="21"/>
                <w:szCs w:val="21"/>
                <w:lang w:val="en-US" w:eastAsia="zh-CN"/>
              </w:rPr>
              <w:t>65m</w:t>
            </w:r>
          </w:p>
        </w:tc>
        <w:tc>
          <w:tcPr>
            <w:tcW w:w="1760" w:type="dxa"/>
            <w:vMerge w:val="continue"/>
            <w:noWrap w:val="0"/>
            <w:vAlign w:val="center"/>
          </w:tcPr>
          <w:p w14:paraId="014F1F06">
            <w:pPr>
              <w:widowControl w:val="0"/>
              <w:spacing w:line="240" w:lineRule="auto"/>
              <w:ind w:firstLine="0"/>
              <w:jc w:val="center"/>
              <w:rPr>
                <w:rFonts w:hint="eastAsia" w:eastAsia="宋体"/>
                <w:color w:val="000000"/>
                <w:sz w:val="21"/>
                <w:szCs w:val="21"/>
                <w:lang w:val="en-US" w:eastAsia="zh-CN"/>
              </w:rPr>
            </w:pPr>
          </w:p>
        </w:tc>
        <w:tc>
          <w:tcPr>
            <w:tcW w:w="2268" w:type="dxa"/>
            <w:vMerge w:val="continue"/>
            <w:noWrap w:val="0"/>
            <w:vAlign w:val="top"/>
          </w:tcPr>
          <w:p w14:paraId="06D106E2">
            <w:pPr>
              <w:ind w:left="0" w:firstLine="0"/>
              <w:rPr>
                <w:rFonts w:ascii="Times New Roman" w:hAnsi="Times New Roman" w:eastAsia="宋体" w:cs="Times New Roman"/>
                <w:spacing w:val="-3"/>
                <w:sz w:val="21"/>
                <w:szCs w:val="21"/>
              </w:rPr>
            </w:pPr>
          </w:p>
        </w:tc>
      </w:tr>
      <w:tr w14:paraId="48582DC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center"/>
          </w:tcPr>
          <w:p w14:paraId="6376B0D9">
            <w:pPr>
              <w:widowControl w:val="0"/>
              <w:spacing w:line="240" w:lineRule="auto"/>
              <w:ind w:firstLine="0"/>
              <w:jc w:val="center"/>
              <w:rPr>
                <w:sz w:val="21"/>
                <w:szCs w:val="21"/>
              </w:rPr>
            </w:pPr>
          </w:p>
        </w:tc>
        <w:tc>
          <w:tcPr>
            <w:tcW w:w="1688" w:type="dxa"/>
            <w:noWrap w:val="0"/>
            <w:vAlign w:val="center"/>
          </w:tcPr>
          <w:p w14:paraId="610F4C8B">
            <w:pPr>
              <w:widowControl w:val="0"/>
              <w:spacing w:line="240" w:lineRule="auto"/>
              <w:ind w:firstLine="0"/>
              <w:jc w:val="center"/>
              <w:rPr>
                <w:rFonts w:hint="eastAsia"/>
                <w:sz w:val="21"/>
                <w:szCs w:val="21"/>
              </w:rPr>
            </w:pPr>
            <w:r>
              <w:rPr>
                <w:rFonts w:hint="eastAsia" w:eastAsia="宋体"/>
                <w:sz w:val="21"/>
                <w:szCs w:val="21"/>
                <w:lang w:val="en-US" w:eastAsia="zh-CN"/>
              </w:rPr>
              <w:t>中东灰窑新村</w:t>
            </w:r>
          </w:p>
        </w:tc>
        <w:tc>
          <w:tcPr>
            <w:tcW w:w="900" w:type="dxa"/>
            <w:noWrap w:val="0"/>
            <w:vAlign w:val="center"/>
          </w:tcPr>
          <w:p w14:paraId="649DE09F">
            <w:pPr>
              <w:widowControl w:val="0"/>
              <w:spacing w:line="240" w:lineRule="auto"/>
              <w:ind w:firstLine="0"/>
              <w:jc w:val="center"/>
              <w:rPr>
                <w:rFonts w:hint="eastAsia"/>
                <w:sz w:val="21"/>
                <w:szCs w:val="21"/>
              </w:rPr>
            </w:pPr>
            <w:r>
              <w:rPr>
                <w:rFonts w:hint="eastAsia" w:eastAsia="宋体"/>
                <w:sz w:val="21"/>
                <w:szCs w:val="21"/>
                <w:lang w:val="en-US" w:eastAsia="zh-CN"/>
              </w:rPr>
              <w:t>东北</w:t>
            </w:r>
          </w:p>
        </w:tc>
        <w:tc>
          <w:tcPr>
            <w:tcW w:w="1500" w:type="dxa"/>
            <w:noWrap w:val="0"/>
            <w:vAlign w:val="center"/>
          </w:tcPr>
          <w:p w14:paraId="04504A28">
            <w:pPr>
              <w:widowControl w:val="0"/>
              <w:spacing w:line="240" w:lineRule="auto"/>
              <w:ind w:firstLine="0"/>
              <w:jc w:val="center"/>
              <w:rPr>
                <w:rFonts w:hint="eastAsia"/>
                <w:sz w:val="21"/>
                <w:szCs w:val="21"/>
              </w:rPr>
            </w:pPr>
            <w:r>
              <w:rPr>
                <w:rFonts w:hint="eastAsia" w:eastAsia="宋体"/>
                <w:sz w:val="21"/>
                <w:szCs w:val="21"/>
                <w:lang w:val="en-US" w:eastAsia="zh-CN"/>
              </w:rPr>
              <w:t>90</w:t>
            </w:r>
            <w:r>
              <w:rPr>
                <w:sz w:val="21"/>
                <w:szCs w:val="21"/>
              </w:rPr>
              <w:t>m</w:t>
            </w:r>
          </w:p>
        </w:tc>
        <w:tc>
          <w:tcPr>
            <w:tcW w:w="1760" w:type="dxa"/>
            <w:noWrap w:val="0"/>
            <w:vAlign w:val="center"/>
          </w:tcPr>
          <w:p w14:paraId="33DCDBCC">
            <w:pPr>
              <w:widowControl w:val="0"/>
              <w:spacing w:line="240" w:lineRule="auto"/>
              <w:ind w:firstLine="0"/>
              <w:jc w:val="center"/>
              <w:rPr>
                <w:rFonts w:hint="eastAsia"/>
                <w:sz w:val="21"/>
                <w:szCs w:val="21"/>
              </w:rPr>
            </w:pPr>
            <w:r>
              <w:rPr>
                <w:rFonts w:hint="eastAsia" w:eastAsia="宋体"/>
                <w:color w:val="000000"/>
                <w:sz w:val="21"/>
                <w:szCs w:val="21"/>
                <w:lang w:val="en-US" w:eastAsia="zh-CN"/>
              </w:rPr>
              <w:t>256</w:t>
            </w:r>
            <w:r>
              <w:rPr>
                <w:color w:val="000000"/>
                <w:sz w:val="21"/>
                <w:szCs w:val="21"/>
              </w:rPr>
              <w:t>人</w:t>
            </w:r>
          </w:p>
        </w:tc>
        <w:tc>
          <w:tcPr>
            <w:tcW w:w="2268" w:type="dxa"/>
            <w:vMerge w:val="continue"/>
            <w:noWrap w:val="0"/>
            <w:vAlign w:val="top"/>
          </w:tcPr>
          <w:p w14:paraId="200993BB">
            <w:pPr>
              <w:ind w:firstLine="420"/>
              <w:rPr>
                <w:sz w:val="21"/>
                <w:szCs w:val="21"/>
              </w:rPr>
            </w:pPr>
          </w:p>
        </w:tc>
      </w:tr>
      <w:tr w14:paraId="2BE4122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center"/>
          </w:tcPr>
          <w:p w14:paraId="3E89BCAE">
            <w:pPr>
              <w:widowControl w:val="0"/>
              <w:spacing w:line="240" w:lineRule="auto"/>
              <w:ind w:firstLine="0"/>
              <w:jc w:val="center"/>
              <w:rPr>
                <w:sz w:val="21"/>
                <w:szCs w:val="21"/>
              </w:rPr>
            </w:pPr>
          </w:p>
        </w:tc>
        <w:tc>
          <w:tcPr>
            <w:tcW w:w="1688" w:type="dxa"/>
            <w:noWrap w:val="0"/>
            <w:vAlign w:val="center"/>
          </w:tcPr>
          <w:p w14:paraId="25DE8007">
            <w:pPr>
              <w:widowControl w:val="0"/>
              <w:spacing w:line="240" w:lineRule="auto"/>
              <w:ind w:firstLine="0"/>
              <w:jc w:val="center"/>
              <w:rPr>
                <w:rFonts w:hint="eastAsia"/>
                <w:sz w:val="21"/>
                <w:szCs w:val="21"/>
              </w:rPr>
            </w:pPr>
            <w:r>
              <w:rPr>
                <w:rFonts w:hint="eastAsia" w:eastAsia="宋体"/>
                <w:sz w:val="21"/>
                <w:szCs w:val="21"/>
                <w:lang w:val="en-US" w:eastAsia="zh-CN"/>
              </w:rPr>
              <w:t>盛世佳园</w:t>
            </w:r>
          </w:p>
        </w:tc>
        <w:tc>
          <w:tcPr>
            <w:tcW w:w="900" w:type="dxa"/>
            <w:noWrap w:val="0"/>
            <w:vAlign w:val="center"/>
          </w:tcPr>
          <w:p w14:paraId="1D10BA85">
            <w:pPr>
              <w:widowControl w:val="0"/>
              <w:spacing w:line="240" w:lineRule="auto"/>
              <w:ind w:firstLine="0"/>
              <w:jc w:val="center"/>
              <w:rPr>
                <w:rFonts w:hint="eastAsia"/>
                <w:sz w:val="21"/>
                <w:szCs w:val="21"/>
              </w:rPr>
            </w:pPr>
            <w:r>
              <w:rPr>
                <w:rFonts w:hint="eastAsia"/>
                <w:sz w:val="21"/>
                <w:szCs w:val="21"/>
              </w:rPr>
              <w:t>西</w:t>
            </w:r>
          </w:p>
        </w:tc>
        <w:tc>
          <w:tcPr>
            <w:tcW w:w="1500" w:type="dxa"/>
            <w:noWrap w:val="0"/>
            <w:vAlign w:val="center"/>
          </w:tcPr>
          <w:p w14:paraId="2B5971B1">
            <w:pPr>
              <w:widowControl w:val="0"/>
              <w:spacing w:line="240" w:lineRule="auto"/>
              <w:ind w:firstLine="0"/>
              <w:jc w:val="center"/>
              <w:rPr>
                <w:rFonts w:hint="eastAsia"/>
                <w:sz w:val="21"/>
                <w:szCs w:val="21"/>
              </w:rPr>
            </w:pPr>
            <w:r>
              <w:rPr>
                <w:rFonts w:hint="eastAsia" w:eastAsia="宋体"/>
                <w:sz w:val="21"/>
                <w:szCs w:val="21"/>
                <w:lang w:val="en-US" w:eastAsia="zh-CN"/>
              </w:rPr>
              <w:t>70</w:t>
            </w:r>
            <w:r>
              <w:rPr>
                <w:sz w:val="21"/>
                <w:szCs w:val="21"/>
              </w:rPr>
              <w:t>m</w:t>
            </w:r>
          </w:p>
        </w:tc>
        <w:tc>
          <w:tcPr>
            <w:tcW w:w="1760" w:type="dxa"/>
            <w:noWrap w:val="0"/>
            <w:vAlign w:val="center"/>
          </w:tcPr>
          <w:p w14:paraId="133D5CCF">
            <w:pPr>
              <w:widowControl w:val="0"/>
              <w:spacing w:line="240" w:lineRule="auto"/>
              <w:ind w:firstLine="0"/>
              <w:jc w:val="center"/>
              <w:rPr>
                <w:rFonts w:hint="eastAsia"/>
                <w:sz w:val="21"/>
                <w:szCs w:val="21"/>
              </w:rPr>
            </w:pPr>
            <w:r>
              <w:rPr>
                <w:rFonts w:hint="eastAsia" w:eastAsia="宋体"/>
                <w:color w:val="000000"/>
                <w:sz w:val="21"/>
                <w:szCs w:val="21"/>
                <w:lang w:val="en-US" w:eastAsia="zh-CN"/>
              </w:rPr>
              <w:t>1500</w:t>
            </w:r>
            <w:r>
              <w:rPr>
                <w:color w:val="000000"/>
                <w:sz w:val="21"/>
                <w:szCs w:val="21"/>
              </w:rPr>
              <w:t>人</w:t>
            </w:r>
          </w:p>
        </w:tc>
        <w:tc>
          <w:tcPr>
            <w:tcW w:w="2268" w:type="dxa"/>
            <w:vMerge w:val="continue"/>
            <w:noWrap w:val="0"/>
            <w:vAlign w:val="top"/>
          </w:tcPr>
          <w:p w14:paraId="047B4969">
            <w:pPr>
              <w:ind w:firstLine="420"/>
              <w:rPr>
                <w:sz w:val="21"/>
                <w:szCs w:val="21"/>
              </w:rPr>
            </w:pPr>
          </w:p>
        </w:tc>
      </w:tr>
      <w:tr w14:paraId="1038229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636" w:type="dxa"/>
            <w:noWrap w:val="0"/>
            <w:vAlign w:val="center"/>
          </w:tcPr>
          <w:p w14:paraId="755B8038">
            <w:pPr>
              <w:widowControl w:val="0"/>
              <w:spacing w:line="240" w:lineRule="auto"/>
              <w:ind w:firstLine="0"/>
              <w:jc w:val="center"/>
              <w:rPr>
                <w:sz w:val="21"/>
                <w:szCs w:val="21"/>
                <w:lang w:val="en-US" w:eastAsia="zh-CN" w:bidi="ar-SA"/>
              </w:rPr>
            </w:pPr>
            <w:r>
              <w:rPr>
                <w:sz w:val="21"/>
                <w:szCs w:val="21"/>
              </w:rPr>
              <w:t>地表水环境</w:t>
            </w:r>
          </w:p>
        </w:tc>
        <w:tc>
          <w:tcPr>
            <w:tcW w:w="1688" w:type="dxa"/>
            <w:noWrap w:val="0"/>
            <w:vAlign w:val="center"/>
          </w:tcPr>
          <w:p w14:paraId="67D24A62">
            <w:pPr>
              <w:widowControl w:val="0"/>
              <w:spacing w:line="240" w:lineRule="auto"/>
              <w:ind w:firstLine="0"/>
              <w:jc w:val="center"/>
              <w:rPr>
                <w:sz w:val="21"/>
                <w:szCs w:val="21"/>
              </w:rPr>
            </w:pPr>
          </w:p>
          <w:p w14:paraId="77F325D6">
            <w:pPr>
              <w:widowControl w:val="0"/>
              <w:spacing w:line="240" w:lineRule="auto"/>
              <w:ind w:firstLine="0"/>
              <w:jc w:val="center"/>
              <w:rPr>
                <w:rFonts w:hint="eastAsia" w:eastAsia="宋体"/>
                <w:sz w:val="21"/>
                <w:szCs w:val="21"/>
                <w:lang w:val="en-US" w:eastAsia="zh-CN" w:bidi="ar-SA"/>
              </w:rPr>
            </w:pPr>
            <w:r>
              <w:rPr>
                <w:rFonts w:hint="eastAsia" w:eastAsia="宋体"/>
                <w:sz w:val="21"/>
                <w:szCs w:val="21"/>
                <w:lang w:val="en-US" w:eastAsia="zh-CN"/>
              </w:rPr>
              <w:t>芒市大河</w:t>
            </w:r>
          </w:p>
        </w:tc>
        <w:tc>
          <w:tcPr>
            <w:tcW w:w="900" w:type="dxa"/>
            <w:noWrap w:val="0"/>
            <w:vAlign w:val="center"/>
          </w:tcPr>
          <w:p w14:paraId="25F966D6">
            <w:pPr>
              <w:widowControl w:val="0"/>
              <w:spacing w:line="240" w:lineRule="auto"/>
              <w:ind w:firstLine="0"/>
              <w:jc w:val="center"/>
              <w:rPr>
                <w:sz w:val="21"/>
                <w:szCs w:val="21"/>
              </w:rPr>
            </w:pPr>
          </w:p>
          <w:p w14:paraId="2EB09373">
            <w:pPr>
              <w:widowControl w:val="0"/>
              <w:spacing w:line="240" w:lineRule="auto"/>
              <w:ind w:firstLine="0"/>
              <w:jc w:val="center"/>
              <w:rPr>
                <w:rFonts w:hint="eastAsia" w:eastAsia="宋体"/>
                <w:sz w:val="21"/>
                <w:szCs w:val="21"/>
                <w:lang w:val="en-US" w:eastAsia="zh-CN" w:bidi="ar-SA"/>
              </w:rPr>
            </w:pPr>
            <w:r>
              <w:rPr>
                <w:rFonts w:hint="eastAsia" w:eastAsia="宋体"/>
                <w:sz w:val="21"/>
                <w:szCs w:val="21"/>
                <w:lang w:val="en-US" w:eastAsia="zh-CN"/>
              </w:rPr>
              <w:t>北</w:t>
            </w:r>
          </w:p>
        </w:tc>
        <w:tc>
          <w:tcPr>
            <w:tcW w:w="1500" w:type="dxa"/>
            <w:noWrap w:val="0"/>
            <w:vAlign w:val="center"/>
          </w:tcPr>
          <w:p w14:paraId="11F8F083">
            <w:pPr>
              <w:widowControl w:val="0"/>
              <w:spacing w:line="240" w:lineRule="auto"/>
              <w:ind w:firstLine="0"/>
              <w:jc w:val="center"/>
              <w:rPr>
                <w:sz w:val="21"/>
                <w:szCs w:val="21"/>
              </w:rPr>
            </w:pPr>
          </w:p>
          <w:p w14:paraId="3282A6D6">
            <w:pPr>
              <w:widowControl w:val="0"/>
              <w:spacing w:line="240" w:lineRule="auto"/>
              <w:ind w:firstLine="0"/>
              <w:jc w:val="center"/>
              <w:rPr>
                <w:rFonts w:hint="eastAsia"/>
                <w:sz w:val="21"/>
                <w:szCs w:val="21"/>
                <w:lang w:val="en-US" w:eastAsia="zh-CN" w:bidi="ar-SA"/>
              </w:rPr>
            </w:pPr>
            <w:r>
              <w:rPr>
                <w:rFonts w:hint="eastAsia" w:eastAsia="宋体"/>
                <w:sz w:val="21"/>
                <w:szCs w:val="21"/>
                <w:lang w:val="en-US" w:eastAsia="zh-CN"/>
              </w:rPr>
              <w:t>600</w:t>
            </w:r>
            <w:r>
              <w:rPr>
                <w:sz w:val="21"/>
                <w:szCs w:val="21"/>
              </w:rPr>
              <w:t>m</w:t>
            </w:r>
          </w:p>
        </w:tc>
        <w:tc>
          <w:tcPr>
            <w:tcW w:w="1760" w:type="dxa"/>
            <w:noWrap w:val="0"/>
            <w:vAlign w:val="center"/>
          </w:tcPr>
          <w:p w14:paraId="32C29150">
            <w:pPr>
              <w:widowControl w:val="0"/>
              <w:spacing w:line="240" w:lineRule="auto"/>
              <w:ind w:firstLine="0"/>
              <w:jc w:val="center"/>
              <w:rPr>
                <w:sz w:val="21"/>
                <w:szCs w:val="21"/>
                <w:lang w:val="en-US" w:eastAsia="zh-CN" w:bidi="ar-SA"/>
              </w:rPr>
            </w:pPr>
            <w:r>
              <w:rPr>
                <w:sz w:val="21"/>
                <w:szCs w:val="21"/>
              </w:rPr>
              <w:t>/</w:t>
            </w:r>
          </w:p>
        </w:tc>
        <w:tc>
          <w:tcPr>
            <w:tcW w:w="2268" w:type="dxa"/>
            <w:noWrap w:val="0"/>
            <w:vAlign w:val="center"/>
          </w:tcPr>
          <w:p w14:paraId="3386627E">
            <w:pPr>
              <w:pStyle w:val="421"/>
              <w:keepNext w:val="0"/>
              <w:keepLines w:val="0"/>
              <w:pageBreakBefore w:val="0"/>
              <w:widowControl/>
              <w:spacing w:line="360" w:lineRule="auto"/>
              <w:ind w:right="0" w:firstLine="0"/>
              <w:rPr>
                <w:rFonts w:ascii="Noto Sans CJK JP Regular" w:hAnsi="Noto Sans CJK JP Regular" w:eastAsia="Noto Sans CJK JP Regular" w:cs="Noto Sans CJK JP Regular"/>
                <w:sz w:val="21"/>
                <w:szCs w:val="21"/>
                <w:lang w:val="en-US" w:eastAsia="zh-CN" w:bidi="ar-SA"/>
              </w:rPr>
            </w:pPr>
            <w:r>
              <w:rPr>
                <w:rFonts w:ascii="Times New Roman" w:hAnsi="Times New Roman" w:eastAsia="宋体" w:cs="Times New Roman"/>
                <w:spacing w:val="-3"/>
                <w:sz w:val="21"/>
                <w:szCs w:val="21"/>
                <w:lang w:val="en-US" w:eastAsia="zh-CN" w:bidi="ar-SA"/>
              </w:rPr>
              <w:t>《地表水环境质量标 准》（GB3838-2002）Ⅲ类标准</w:t>
            </w:r>
          </w:p>
        </w:tc>
      </w:tr>
      <w:tr w14:paraId="647366C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636" w:type="dxa"/>
            <w:noWrap w:val="0"/>
            <w:vAlign w:val="center"/>
          </w:tcPr>
          <w:p w14:paraId="0A45462B">
            <w:pPr>
              <w:widowControl w:val="0"/>
              <w:spacing w:line="240" w:lineRule="auto"/>
              <w:ind w:firstLine="0"/>
              <w:jc w:val="center"/>
              <w:rPr>
                <w:sz w:val="21"/>
                <w:szCs w:val="21"/>
              </w:rPr>
            </w:pPr>
            <w:r>
              <w:rPr>
                <w:sz w:val="21"/>
                <w:szCs w:val="21"/>
              </w:rPr>
              <w:t>地下水环境</w:t>
            </w:r>
          </w:p>
        </w:tc>
        <w:tc>
          <w:tcPr>
            <w:tcW w:w="1688" w:type="dxa"/>
            <w:noWrap w:val="0"/>
            <w:vAlign w:val="center"/>
          </w:tcPr>
          <w:p w14:paraId="4649C299">
            <w:pPr>
              <w:widowControl w:val="0"/>
              <w:spacing w:line="240" w:lineRule="auto"/>
              <w:ind w:firstLine="0"/>
              <w:jc w:val="center"/>
              <w:rPr>
                <w:sz w:val="21"/>
                <w:szCs w:val="21"/>
              </w:rPr>
            </w:pPr>
          </w:p>
          <w:p w14:paraId="29245B3F">
            <w:pPr>
              <w:widowControl w:val="0"/>
              <w:spacing w:line="240" w:lineRule="auto"/>
              <w:ind w:firstLine="0"/>
              <w:jc w:val="center"/>
              <w:rPr>
                <w:sz w:val="21"/>
                <w:szCs w:val="21"/>
              </w:rPr>
            </w:pPr>
            <w:r>
              <w:rPr>
                <w:sz w:val="21"/>
                <w:szCs w:val="21"/>
              </w:rPr>
              <w:t>项目所在水文地质单元</w:t>
            </w:r>
          </w:p>
        </w:tc>
        <w:tc>
          <w:tcPr>
            <w:tcW w:w="900" w:type="dxa"/>
            <w:noWrap w:val="0"/>
            <w:vAlign w:val="center"/>
          </w:tcPr>
          <w:p w14:paraId="2EC218D5">
            <w:pPr>
              <w:widowControl w:val="0"/>
              <w:spacing w:line="240" w:lineRule="auto"/>
              <w:ind w:firstLine="0"/>
              <w:jc w:val="center"/>
              <w:rPr>
                <w:sz w:val="21"/>
                <w:szCs w:val="21"/>
              </w:rPr>
            </w:pPr>
            <w:r>
              <w:rPr>
                <w:sz w:val="21"/>
                <w:szCs w:val="21"/>
              </w:rPr>
              <w:t>/</w:t>
            </w:r>
          </w:p>
        </w:tc>
        <w:tc>
          <w:tcPr>
            <w:tcW w:w="1500" w:type="dxa"/>
            <w:noWrap w:val="0"/>
            <w:vAlign w:val="center"/>
          </w:tcPr>
          <w:p w14:paraId="4AF203B5">
            <w:pPr>
              <w:widowControl w:val="0"/>
              <w:spacing w:line="240" w:lineRule="auto"/>
              <w:ind w:firstLine="0"/>
              <w:jc w:val="center"/>
              <w:rPr>
                <w:sz w:val="21"/>
                <w:szCs w:val="21"/>
              </w:rPr>
            </w:pPr>
            <w:r>
              <w:rPr>
                <w:sz w:val="21"/>
                <w:szCs w:val="21"/>
              </w:rPr>
              <w:t>/</w:t>
            </w:r>
          </w:p>
        </w:tc>
        <w:tc>
          <w:tcPr>
            <w:tcW w:w="1760" w:type="dxa"/>
            <w:noWrap w:val="0"/>
            <w:vAlign w:val="center"/>
          </w:tcPr>
          <w:p w14:paraId="2B59A684">
            <w:pPr>
              <w:widowControl w:val="0"/>
              <w:spacing w:line="240" w:lineRule="auto"/>
              <w:ind w:firstLine="0"/>
              <w:jc w:val="center"/>
              <w:rPr>
                <w:sz w:val="21"/>
                <w:szCs w:val="21"/>
              </w:rPr>
            </w:pPr>
            <w:r>
              <w:rPr>
                <w:sz w:val="21"/>
                <w:szCs w:val="21"/>
              </w:rPr>
              <w:t>/</w:t>
            </w:r>
          </w:p>
        </w:tc>
        <w:tc>
          <w:tcPr>
            <w:tcW w:w="2268" w:type="dxa"/>
            <w:noWrap w:val="0"/>
            <w:vAlign w:val="center"/>
          </w:tcPr>
          <w:p w14:paraId="69549D52">
            <w:pPr>
              <w:pStyle w:val="421"/>
              <w:spacing w:line="382" w:lineRule="exact"/>
              <w:ind w:right="99" w:firstLine="0"/>
              <w:rPr>
                <w:rFonts w:ascii="Times New Roman" w:hAnsi="Times New Roman" w:eastAsia="宋体" w:cs="Times New Roman"/>
                <w:sz w:val="21"/>
                <w:szCs w:val="21"/>
              </w:rPr>
            </w:pPr>
            <w:r>
              <w:rPr>
                <w:rFonts w:ascii="Times New Roman" w:hAnsi="Times New Roman" w:eastAsia="宋体" w:cs="Times New Roman"/>
                <w:sz w:val="21"/>
                <w:szCs w:val="21"/>
              </w:rPr>
              <w:t>《地下水质量标准》（GB/T14848-2017）</w:t>
            </w:r>
          </w:p>
          <w:p w14:paraId="72799BDF">
            <w:pPr>
              <w:pStyle w:val="421"/>
              <w:spacing w:line="382" w:lineRule="exact"/>
              <w:ind w:right="99" w:firstLine="0"/>
              <w:rPr>
                <w:rFonts w:ascii="Times New Roman" w:hAnsi="Times New Roman" w:eastAsia="宋体" w:cs="Times New Roman"/>
                <w:sz w:val="21"/>
                <w:szCs w:val="21"/>
              </w:rPr>
            </w:pPr>
            <w:r>
              <w:rPr>
                <w:rFonts w:ascii="Times New Roman" w:hAnsi="Times New Roman" w:eastAsia="宋体" w:cs="Times New Roman"/>
                <w:sz w:val="21"/>
                <w:szCs w:val="21"/>
              </w:rPr>
              <w:t>Ⅲ类标准</w:t>
            </w:r>
          </w:p>
        </w:tc>
      </w:tr>
      <w:tr w14:paraId="0958DEE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636" w:type="dxa"/>
            <w:noWrap w:val="0"/>
            <w:vAlign w:val="center"/>
          </w:tcPr>
          <w:p w14:paraId="1AAF9FAB">
            <w:pPr>
              <w:widowControl w:val="0"/>
              <w:spacing w:line="240" w:lineRule="auto"/>
              <w:ind w:firstLine="0"/>
              <w:jc w:val="center"/>
              <w:rPr>
                <w:sz w:val="21"/>
                <w:szCs w:val="21"/>
              </w:rPr>
            </w:pPr>
            <w:r>
              <w:rPr>
                <w:sz w:val="21"/>
                <w:szCs w:val="21"/>
              </w:rPr>
              <w:t>生态</w:t>
            </w:r>
          </w:p>
          <w:p w14:paraId="70482ADB">
            <w:pPr>
              <w:widowControl w:val="0"/>
              <w:spacing w:line="240" w:lineRule="auto"/>
              <w:ind w:firstLine="0"/>
              <w:jc w:val="center"/>
              <w:rPr>
                <w:sz w:val="21"/>
                <w:szCs w:val="21"/>
              </w:rPr>
            </w:pPr>
            <w:r>
              <w:rPr>
                <w:sz w:val="21"/>
                <w:szCs w:val="21"/>
              </w:rPr>
              <w:t>环境</w:t>
            </w:r>
          </w:p>
        </w:tc>
        <w:tc>
          <w:tcPr>
            <w:tcW w:w="8116" w:type="dxa"/>
            <w:gridSpan w:val="5"/>
            <w:noWrap w:val="0"/>
            <w:vAlign w:val="center"/>
          </w:tcPr>
          <w:p w14:paraId="62A6A96B">
            <w:pPr>
              <w:widowControl w:val="0"/>
              <w:spacing w:line="240" w:lineRule="auto"/>
              <w:ind w:firstLine="0"/>
              <w:jc w:val="center"/>
              <w:rPr>
                <w:sz w:val="21"/>
                <w:szCs w:val="21"/>
              </w:rPr>
            </w:pPr>
            <w:r>
              <w:rPr>
                <w:sz w:val="21"/>
                <w:szCs w:val="21"/>
              </w:rPr>
              <w:t>保护项目区占地范围及周边区域植被、土壤和水土流失等。</w:t>
            </w:r>
          </w:p>
        </w:tc>
      </w:tr>
      <w:tr w14:paraId="16D16DD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restart"/>
            <w:noWrap w:val="0"/>
            <w:vAlign w:val="center"/>
          </w:tcPr>
          <w:p w14:paraId="7E45AEDD">
            <w:pPr>
              <w:widowControl w:val="0"/>
              <w:spacing w:line="240" w:lineRule="auto"/>
              <w:ind w:firstLine="0"/>
              <w:jc w:val="center"/>
              <w:rPr>
                <w:sz w:val="21"/>
                <w:szCs w:val="21"/>
              </w:rPr>
            </w:pPr>
            <w:r>
              <w:rPr>
                <w:sz w:val="21"/>
                <w:szCs w:val="21"/>
              </w:rPr>
              <w:t>环境风险</w:t>
            </w:r>
          </w:p>
        </w:tc>
        <w:tc>
          <w:tcPr>
            <w:tcW w:w="1688" w:type="dxa"/>
            <w:noWrap w:val="0"/>
            <w:vAlign w:val="center"/>
          </w:tcPr>
          <w:p w14:paraId="6641C070">
            <w:pPr>
              <w:widowControl w:val="0"/>
              <w:spacing w:line="240" w:lineRule="auto"/>
              <w:ind w:firstLine="0"/>
              <w:jc w:val="center"/>
              <w:rPr>
                <w:rFonts w:hint="eastAsia"/>
                <w:sz w:val="21"/>
                <w:szCs w:val="21"/>
              </w:rPr>
            </w:pPr>
            <w:r>
              <w:rPr>
                <w:rFonts w:hint="eastAsia" w:eastAsia="宋体"/>
                <w:sz w:val="21"/>
                <w:szCs w:val="21"/>
                <w:lang w:val="en-US" w:eastAsia="zh-CN"/>
              </w:rPr>
              <w:t>双红新村</w:t>
            </w:r>
          </w:p>
        </w:tc>
        <w:tc>
          <w:tcPr>
            <w:tcW w:w="900" w:type="dxa"/>
            <w:noWrap w:val="0"/>
            <w:vAlign w:val="center"/>
          </w:tcPr>
          <w:p w14:paraId="09EEE5BF">
            <w:pPr>
              <w:widowControl w:val="0"/>
              <w:spacing w:line="240" w:lineRule="auto"/>
              <w:ind w:firstLine="0"/>
              <w:jc w:val="center"/>
              <w:rPr>
                <w:sz w:val="21"/>
                <w:szCs w:val="21"/>
                <w:lang w:val="en-US"/>
              </w:rPr>
            </w:pPr>
            <w:r>
              <w:rPr>
                <w:rFonts w:hint="eastAsia"/>
                <w:sz w:val="21"/>
                <w:szCs w:val="21"/>
              </w:rPr>
              <w:t>南</w:t>
            </w:r>
            <w:r>
              <w:rPr>
                <w:rFonts w:hint="eastAsia" w:eastAsia="宋体"/>
                <w:sz w:val="21"/>
                <w:szCs w:val="21"/>
                <w:lang w:eastAsia="zh-CN"/>
              </w:rPr>
              <w:t>、</w:t>
            </w:r>
            <w:r>
              <w:rPr>
                <w:rFonts w:hint="eastAsia" w:eastAsia="宋体"/>
                <w:sz w:val="21"/>
                <w:szCs w:val="21"/>
                <w:lang w:val="en-US" w:eastAsia="zh-CN"/>
              </w:rPr>
              <w:t>西、西北</w:t>
            </w:r>
          </w:p>
        </w:tc>
        <w:tc>
          <w:tcPr>
            <w:tcW w:w="1500" w:type="dxa"/>
            <w:noWrap w:val="0"/>
            <w:vAlign w:val="center"/>
          </w:tcPr>
          <w:p w14:paraId="0072038F">
            <w:pPr>
              <w:widowControl w:val="0"/>
              <w:spacing w:line="240" w:lineRule="auto"/>
              <w:ind w:firstLine="0"/>
              <w:jc w:val="center"/>
              <w:rPr>
                <w:rFonts w:eastAsia="宋体"/>
                <w:sz w:val="21"/>
                <w:szCs w:val="21"/>
                <w:lang w:val="en-US" w:eastAsia="zh-CN"/>
              </w:rPr>
            </w:pPr>
            <w:r>
              <w:rPr>
                <w:rFonts w:hint="eastAsia" w:eastAsia="宋体"/>
                <w:sz w:val="21"/>
                <w:szCs w:val="21"/>
                <w:lang w:val="en-US" w:eastAsia="zh-CN"/>
              </w:rPr>
              <w:t>10</w:t>
            </w:r>
            <w:r>
              <w:rPr>
                <w:sz w:val="21"/>
                <w:szCs w:val="21"/>
              </w:rPr>
              <w:t>m</w:t>
            </w:r>
            <w:r>
              <w:rPr>
                <w:rFonts w:hint="eastAsia"/>
                <w:sz w:val="21"/>
                <w:szCs w:val="21"/>
                <w:lang w:val="en-US" w:eastAsia="zh-CN"/>
              </w:rPr>
              <w:t>-65m</w:t>
            </w:r>
          </w:p>
        </w:tc>
        <w:tc>
          <w:tcPr>
            <w:tcW w:w="1760" w:type="dxa"/>
            <w:noWrap w:val="0"/>
            <w:vAlign w:val="center"/>
          </w:tcPr>
          <w:p w14:paraId="18266818">
            <w:pPr>
              <w:widowControl w:val="0"/>
              <w:spacing w:line="240" w:lineRule="auto"/>
              <w:ind w:firstLine="0"/>
              <w:jc w:val="center"/>
              <w:rPr>
                <w:sz w:val="21"/>
                <w:szCs w:val="21"/>
              </w:rPr>
            </w:pPr>
            <w:r>
              <w:rPr>
                <w:rFonts w:hint="eastAsia" w:eastAsia="宋体"/>
                <w:color w:val="000000"/>
                <w:sz w:val="21"/>
                <w:szCs w:val="21"/>
                <w:lang w:val="en-US" w:eastAsia="zh-CN"/>
              </w:rPr>
              <w:t>350</w:t>
            </w:r>
            <w:r>
              <w:rPr>
                <w:color w:val="000000"/>
                <w:sz w:val="21"/>
                <w:szCs w:val="21"/>
              </w:rPr>
              <w:t>人</w:t>
            </w:r>
          </w:p>
        </w:tc>
        <w:tc>
          <w:tcPr>
            <w:tcW w:w="2268" w:type="dxa"/>
            <w:vMerge w:val="restart"/>
            <w:noWrap w:val="0"/>
            <w:vAlign w:val="top"/>
          </w:tcPr>
          <w:p w14:paraId="3A38B968">
            <w:pPr>
              <w:pStyle w:val="421"/>
              <w:ind w:firstLine="420"/>
              <w:jc w:val="left"/>
              <w:rPr>
                <w:sz w:val="21"/>
                <w:szCs w:val="21"/>
              </w:rPr>
            </w:pPr>
          </w:p>
          <w:p w14:paraId="2BA9F5BE">
            <w:pPr>
              <w:pStyle w:val="421"/>
              <w:ind w:firstLine="420"/>
              <w:jc w:val="left"/>
              <w:rPr>
                <w:sz w:val="21"/>
                <w:szCs w:val="21"/>
              </w:rPr>
            </w:pPr>
          </w:p>
          <w:p w14:paraId="0C64340F">
            <w:pPr>
              <w:pStyle w:val="421"/>
              <w:spacing w:before="9"/>
              <w:ind w:firstLine="420"/>
              <w:jc w:val="left"/>
              <w:rPr>
                <w:sz w:val="21"/>
                <w:szCs w:val="21"/>
              </w:rPr>
            </w:pPr>
          </w:p>
          <w:p w14:paraId="41BFC922">
            <w:pPr>
              <w:pStyle w:val="421"/>
              <w:spacing w:before="9"/>
              <w:ind w:firstLine="420"/>
              <w:jc w:val="left"/>
              <w:rPr>
                <w:sz w:val="21"/>
                <w:szCs w:val="21"/>
              </w:rPr>
            </w:pPr>
          </w:p>
          <w:p w14:paraId="188BD2CB">
            <w:pPr>
              <w:pStyle w:val="421"/>
              <w:spacing w:before="9"/>
              <w:ind w:firstLine="420"/>
              <w:jc w:val="left"/>
              <w:rPr>
                <w:rFonts w:hint="eastAsia"/>
                <w:sz w:val="21"/>
                <w:szCs w:val="21"/>
              </w:rPr>
            </w:pPr>
          </w:p>
          <w:p w14:paraId="2FB615BD">
            <w:pPr>
              <w:pStyle w:val="421"/>
              <w:ind w:firstLine="0"/>
              <w:rPr>
                <w:rFonts w:ascii="Times New Roman"/>
                <w:sz w:val="21"/>
                <w:szCs w:val="21"/>
              </w:rPr>
            </w:pPr>
            <w:r>
              <w:rPr>
                <w:rFonts w:ascii="Times New Roman"/>
                <w:sz w:val="21"/>
                <w:szCs w:val="21"/>
              </w:rPr>
              <w:t>/</w:t>
            </w:r>
          </w:p>
        </w:tc>
      </w:tr>
      <w:tr w14:paraId="4B68F51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636" w:type="dxa"/>
            <w:vMerge w:val="continue"/>
            <w:noWrap w:val="0"/>
            <w:vAlign w:val="top"/>
          </w:tcPr>
          <w:p w14:paraId="3DADEBBA">
            <w:pPr>
              <w:widowControl w:val="0"/>
              <w:spacing w:line="240" w:lineRule="auto"/>
              <w:ind w:firstLine="0"/>
              <w:jc w:val="center"/>
              <w:rPr>
                <w:sz w:val="21"/>
                <w:szCs w:val="21"/>
              </w:rPr>
            </w:pPr>
          </w:p>
        </w:tc>
        <w:tc>
          <w:tcPr>
            <w:tcW w:w="1688" w:type="dxa"/>
            <w:noWrap w:val="0"/>
            <w:vAlign w:val="center"/>
          </w:tcPr>
          <w:p w14:paraId="6229E8AC">
            <w:pPr>
              <w:widowControl w:val="0"/>
              <w:spacing w:line="240" w:lineRule="auto"/>
              <w:ind w:firstLine="0"/>
              <w:jc w:val="center"/>
              <w:rPr>
                <w:sz w:val="21"/>
                <w:szCs w:val="21"/>
              </w:rPr>
            </w:pPr>
            <w:r>
              <w:rPr>
                <w:rFonts w:hint="eastAsia" w:eastAsia="宋体"/>
                <w:sz w:val="21"/>
                <w:szCs w:val="21"/>
                <w:lang w:val="en-US" w:eastAsia="zh-CN"/>
              </w:rPr>
              <w:t>中东灰窑新村</w:t>
            </w:r>
          </w:p>
        </w:tc>
        <w:tc>
          <w:tcPr>
            <w:tcW w:w="900" w:type="dxa"/>
            <w:noWrap w:val="0"/>
            <w:vAlign w:val="center"/>
          </w:tcPr>
          <w:p w14:paraId="2D1F84EB">
            <w:pPr>
              <w:widowControl w:val="0"/>
              <w:spacing w:line="240" w:lineRule="auto"/>
              <w:ind w:firstLine="0"/>
              <w:jc w:val="center"/>
              <w:rPr>
                <w:sz w:val="21"/>
                <w:szCs w:val="21"/>
              </w:rPr>
            </w:pPr>
            <w:r>
              <w:rPr>
                <w:rFonts w:hint="eastAsia" w:eastAsia="宋体"/>
                <w:sz w:val="21"/>
                <w:szCs w:val="21"/>
                <w:lang w:val="en-US" w:eastAsia="zh-CN"/>
              </w:rPr>
              <w:t>东北</w:t>
            </w:r>
          </w:p>
        </w:tc>
        <w:tc>
          <w:tcPr>
            <w:tcW w:w="1500" w:type="dxa"/>
            <w:noWrap w:val="0"/>
            <w:vAlign w:val="center"/>
          </w:tcPr>
          <w:p w14:paraId="01CAEC2C">
            <w:pPr>
              <w:widowControl w:val="0"/>
              <w:spacing w:line="240" w:lineRule="auto"/>
              <w:ind w:firstLine="0"/>
              <w:jc w:val="center"/>
              <w:rPr>
                <w:sz w:val="21"/>
                <w:szCs w:val="21"/>
              </w:rPr>
            </w:pPr>
            <w:r>
              <w:rPr>
                <w:rFonts w:hint="eastAsia" w:eastAsia="宋体"/>
                <w:sz w:val="21"/>
                <w:szCs w:val="21"/>
                <w:lang w:val="en-US" w:eastAsia="zh-CN"/>
              </w:rPr>
              <w:t>90</w:t>
            </w:r>
            <w:r>
              <w:rPr>
                <w:sz w:val="21"/>
                <w:szCs w:val="21"/>
              </w:rPr>
              <w:t>m</w:t>
            </w:r>
          </w:p>
        </w:tc>
        <w:tc>
          <w:tcPr>
            <w:tcW w:w="1760" w:type="dxa"/>
            <w:noWrap w:val="0"/>
            <w:vAlign w:val="center"/>
          </w:tcPr>
          <w:p w14:paraId="0DF1076E">
            <w:pPr>
              <w:widowControl w:val="0"/>
              <w:spacing w:line="240" w:lineRule="auto"/>
              <w:ind w:firstLine="0"/>
              <w:jc w:val="center"/>
              <w:rPr>
                <w:sz w:val="21"/>
                <w:szCs w:val="21"/>
              </w:rPr>
            </w:pPr>
            <w:r>
              <w:rPr>
                <w:rFonts w:hint="eastAsia" w:eastAsia="宋体"/>
                <w:color w:val="000000"/>
                <w:sz w:val="21"/>
                <w:szCs w:val="21"/>
                <w:lang w:val="en-US" w:eastAsia="zh-CN"/>
              </w:rPr>
              <w:t>256</w:t>
            </w:r>
            <w:r>
              <w:rPr>
                <w:color w:val="000000"/>
                <w:sz w:val="21"/>
                <w:szCs w:val="21"/>
              </w:rPr>
              <w:t>人</w:t>
            </w:r>
          </w:p>
        </w:tc>
        <w:tc>
          <w:tcPr>
            <w:tcW w:w="2268" w:type="dxa"/>
            <w:vMerge w:val="continue"/>
            <w:noWrap w:val="0"/>
            <w:vAlign w:val="top"/>
          </w:tcPr>
          <w:p w14:paraId="40B4F42A">
            <w:pPr>
              <w:ind w:firstLine="420"/>
              <w:rPr>
                <w:sz w:val="21"/>
                <w:szCs w:val="21"/>
              </w:rPr>
            </w:pPr>
          </w:p>
        </w:tc>
      </w:tr>
      <w:tr w14:paraId="39D7CCF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636" w:type="dxa"/>
            <w:vMerge w:val="continue"/>
            <w:noWrap w:val="0"/>
            <w:vAlign w:val="top"/>
          </w:tcPr>
          <w:p w14:paraId="7D616F2D">
            <w:pPr>
              <w:widowControl w:val="0"/>
              <w:spacing w:line="240" w:lineRule="auto"/>
              <w:ind w:firstLine="0"/>
              <w:jc w:val="center"/>
              <w:rPr>
                <w:sz w:val="21"/>
                <w:szCs w:val="21"/>
              </w:rPr>
            </w:pPr>
          </w:p>
        </w:tc>
        <w:tc>
          <w:tcPr>
            <w:tcW w:w="1688" w:type="dxa"/>
            <w:noWrap w:val="0"/>
            <w:vAlign w:val="center"/>
          </w:tcPr>
          <w:p w14:paraId="47F2FA6F">
            <w:pPr>
              <w:widowControl w:val="0"/>
              <w:spacing w:line="240" w:lineRule="auto"/>
              <w:ind w:firstLine="0"/>
              <w:jc w:val="center"/>
              <w:rPr>
                <w:sz w:val="21"/>
                <w:szCs w:val="21"/>
              </w:rPr>
            </w:pPr>
            <w:r>
              <w:rPr>
                <w:rFonts w:hint="eastAsia" w:eastAsia="宋体"/>
                <w:sz w:val="21"/>
                <w:szCs w:val="21"/>
                <w:lang w:val="en-US" w:eastAsia="zh-CN"/>
              </w:rPr>
              <w:t>盛世佳园</w:t>
            </w:r>
          </w:p>
        </w:tc>
        <w:tc>
          <w:tcPr>
            <w:tcW w:w="900" w:type="dxa"/>
            <w:noWrap w:val="0"/>
            <w:vAlign w:val="center"/>
          </w:tcPr>
          <w:p w14:paraId="00942730">
            <w:pPr>
              <w:widowControl w:val="0"/>
              <w:spacing w:line="240" w:lineRule="auto"/>
              <w:ind w:firstLine="0"/>
              <w:jc w:val="center"/>
              <w:rPr>
                <w:sz w:val="21"/>
                <w:szCs w:val="21"/>
              </w:rPr>
            </w:pPr>
            <w:r>
              <w:rPr>
                <w:rFonts w:hint="eastAsia"/>
                <w:sz w:val="21"/>
                <w:szCs w:val="21"/>
              </w:rPr>
              <w:t>西</w:t>
            </w:r>
          </w:p>
        </w:tc>
        <w:tc>
          <w:tcPr>
            <w:tcW w:w="1500" w:type="dxa"/>
            <w:noWrap w:val="0"/>
            <w:vAlign w:val="center"/>
          </w:tcPr>
          <w:p w14:paraId="47377826">
            <w:pPr>
              <w:widowControl w:val="0"/>
              <w:spacing w:line="240" w:lineRule="auto"/>
              <w:ind w:firstLine="0"/>
              <w:jc w:val="center"/>
              <w:rPr>
                <w:sz w:val="21"/>
                <w:szCs w:val="21"/>
              </w:rPr>
            </w:pPr>
            <w:r>
              <w:rPr>
                <w:rFonts w:hint="eastAsia" w:eastAsia="宋体"/>
                <w:sz w:val="21"/>
                <w:szCs w:val="21"/>
                <w:lang w:val="en-US" w:eastAsia="zh-CN"/>
              </w:rPr>
              <w:t>70</w:t>
            </w:r>
            <w:r>
              <w:rPr>
                <w:sz w:val="21"/>
                <w:szCs w:val="21"/>
              </w:rPr>
              <w:t>m</w:t>
            </w:r>
          </w:p>
        </w:tc>
        <w:tc>
          <w:tcPr>
            <w:tcW w:w="1760" w:type="dxa"/>
            <w:noWrap w:val="0"/>
            <w:vAlign w:val="center"/>
          </w:tcPr>
          <w:p w14:paraId="4D91B422">
            <w:pPr>
              <w:widowControl w:val="0"/>
              <w:spacing w:line="240" w:lineRule="auto"/>
              <w:ind w:firstLine="0"/>
              <w:jc w:val="center"/>
              <w:rPr>
                <w:sz w:val="21"/>
                <w:szCs w:val="21"/>
              </w:rPr>
            </w:pPr>
            <w:r>
              <w:rPr>
                <w:rFonts w:hint="eastAsia" w:eastAsia="宋体"/>
                <w:color w:val="000000"/>
                <w:sz w:val="21"/>
                <w:szCs w:val="21"/>
                <w:lang w:val="en-US" w:eastAsia="zh-CN"/>
              </w:rPr>
              <w:t>1500</w:t>
            </w:r>
            <w:r>
              <w:rPr>
                <w:color w:val="000000"/>
                <w:sz w:val="21"/>
                <w:szCs w:val="21"/>
              </w:rPr>
              <w:t>人</w:t>
            </w:r>
          </w:p>
        </w:tc>
        <w:tc>
          <w:tcPr>
            <w:tcW w:w="2268" w:type="dxa"/>
            <w:vMerge w:val="continue"/>
            <w:noWrap w:val="0"/>
            <w:vAlign w:val="top"/>
          </w:tcPr>
          <w:p w14:paraId="14D847FA">
            <w:pPr>
              <w:ind w:firstLine="420"/>
              <w:rPr>
                <w:sz w:val="21"/>
                <w:szCs w:val="21"/>
              </w:rPr>
            </w:pPr>
          </w:p>
        </w:tc>
      </w:tr>
      <w:tr w14:paraId="44CA89D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6E5399AB">
            <w:pPr>
              <w:widowControl w:val="0"/>
              <w:spacing w:line="240" w:lineRule="auto"/>
              <w:ind w:firstLine="0"/>
              <w:jc w:val="center"/>
              <w:rPr>
                <w:sz w:val="21"/>
                <w:szCs w:val="21"/>
              </w:rPr>
            </w:pPr>
          </w:p>
        </w:tc>
        <w:tc>
          <w:tcPr>
            <w:tcW w:w="1688" w:type="dxa"/>
            <w:noWrap w:val="0"/>
            <w:vAlign w:val="center"/>
          </w:tcPr>
          <w:p w14:paraId="675A12C5">
            <w:pPr>
              <w:widowControl w:val="0"/>
              <w:spacing w:line="240" w:lineRule="auto"/>
              <w:ind w:firstLine="0"/>
              <w:jc w:val="center"/>
              <w:rPr>
                <w:rFonts w:hint="eastAsia"/>
                <w:sz w:val="21"/>
                <w:szCs w:val="21"/>
              </w:rPr>
            </w:pPr>
            <w:r>
              <w:rPr>
                <w:rFonts w:hint="eastAsia" w:eastAsia="宋体"/>
                <w:sz w:val="21"/>
                <w:szCs w:val="21"/>
                <w:lang w:val="en-US" w:eastAsia="zh-CN"/>
              </w:rPr>
              <w:t>芒市城区</w:t>
            </w:r>
          </w:p>
        </w:tc>
        <w:tc>
          <w:tcPr>
            <w:tcW w:w="900" w:type="dxa"/>
            <w:noWrap w:val="0"/>
            <w:vAlign w:val="center"/>
          </w:tcPr>
          <w:p w14:paraId="2678F9CF">
            <w:pPr>
              <w:widowControl w:val="0"/>
              <w:spacing w:line="240" w:lineRule="auto"/>
              <w:ind w:firstLine="0"/>
              <w:jc w:val="center"/>
              <w:rPr>
                <w:sz w:val="21"/>
                <w:szCs w:val="21"/>
              </w:rPr>
            </w:pPr>
            <w:r>
              <w:rPr>
                <w:sz w:val="21"/>
                <w:szCs w:val="21"/>
              </w:rPr>
              <w:t>西</w:t>
            </w:r>
            <w:r>
              <w:rPr>
                <w:rFonts w:hint="eastAsia" w:eastAsia="宋体"/>
                <w:sz w:val="21"/>
                <w:szCs w:val="21"/>
                <w:lang w:val="en-US" w:eastAsia="zh-CN"/>
              </w:rPr>
              <w:t>南</w:t>
            </w:r>
          </w:p>
        </w:tc>
        <w:tc>
          <w:tcPr>
            <w:tcW w:w="1500" w:type="dxa"/>
            <w:noWrap w:val="0"/>
            <w:vAlign w:val="center"/>
          </w:tcPr>
          <w:p w14:paraId="6E94764C">
            <w:pPr>
              <w:widowControl w:val="0"/>
              <w:spacing w:line="240" w:lineRule="auto"/>
              <w:ind w:firstLine="0"/>
              <w:jc w:val="center"/>
              <w:rPr>
                <w:sz w:val="21"/>
                <w:szCs w:val="21"/>
              </w:rPr>
            </w:pPr>
            <w:r>
              <w:rPr>
                <w:rFonts w:hint="eastAsia"/>
                <w:sz w:val="21"/>
                <w:szCs w:val="21"/>
              </w:rPr>
              <w:t>5</w:t>
            </w:r>
            <w:r>
              <w:rPr>
                <w:rFonts w:hint="eastAsia" w:eastAsia="宋体"/>
                <w:sz w:val="21"/>
                <w:szCs w:val="21"/>
                <w:lang w:val="en-US" w:eastAsia="zh-CN"/>
              </w:rPr>
              <w:t>50</w:t>
            </w:r>
            <w:r>
              <w:rPr>
                <w:sz w:val="21"/>
                <w:szCs w:val="21"/>
              </w:rPr>
              <w:t>m</w:t>
            </w:r>
          </w:p>
        </w:tc>
        <w:tc>
          <w:tcPr>
            <w:tcW w:w="1760" w:type="dxa"/>
            <w:noWrap w:val="0"/>
            <w:vAlign w:val="center"/>
          </w:tcPr>
          <w:p w14:paraId="33895E7B">
            <w:pPr>
              <w:widowControl w:val="0"/>
              <w:spacing w:line="240" w:lineRule="auto"/>
              <w:ind w:firstLine="0"/>
              <w:jc w:val="center"/>
              <w:rPr>
                <w:sz w:val="21"/>
                <w:szCs w:val="21"/>
              </w:rPr>
            </w:pPr>
            <w:r>
              <w:rPr>
                <w:rFonts w:hint="eastAsia" w:eastAsia="宋体"/>
                <w:color w:val="000000"/>
                <w:sz w:val="21"/>
                <w:szCs w:val="21"/>
                <w:lang w:val="en-US" w:eastAsia="zh-CN"/>
              </w:rPr>
              <w:t>25</w:t>
            </w:r>
            <w:r>
              <w:rPr>
                <w:rFonts w:hint="eastAsia"/>
                <w:color w:val="000000"/>
                <w:sz w:val="21"/>
                <w:szCs w:val="21"/>
              </w:rPr>
              <w:t>00</w:t>
            </w:r>
            <w:r>
              <w:rPr>
                <w:color w:val="000000"/>
                <w:sz w:val="21"/>
                <w:szCs w:val="21"/>
              </w:rPr>
              <w:t>人</w:t>
            </w:r>
          </w:p>
        </w:tc>
        <w:tc>
          <w:tcPr>
            <w:tcW w:w="2268" w:type="dxa"/>
            <w:vMerge w:val="continue"/>
            <w:noWrap w:val="0"/>
            <w:vAlign w:val="top"/>
          </w:tcPr>
          <w:p w14:paraId="3D13D1AC">
            <w:pPr>
              <w:ind w:firstLine="420"/>
              <w:rPr>
                <w:sz w:val="21"/>
                <w:szCs w:val="21"/>
              </w:rPr>
            </w:pPr>
          </w:p>
        </w:tc>
      </w:tr>
      <w:tr w14:paraId="5E35E86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636" w:type="dxa"/>
            <w:vMerge w:val="continue"/>
            <w:noWrap w:val="0"/>
            <w:vAlign w:val="top"/>
          </w:tcPr>
          <w:p w14:paraId="01E49847">
            <w:pPr>
              <w:widowControl w:val="0"/>
              <w:spacing w:line="240" w:lineRule="auto"/>
              <w:ind w:firstLine="0"/>
              <w:jc w:val="center"/>
              <w:rPr>
                <w:sz w:val="21"/>
                <w:szCs w:val="21"/>
              </w:rPr>
            </w:pPr>
          </w:p>
        </w:tc>
        <w:tc>
          <w:tcPr>
            <w:tcW w:w="1688" w:type="dxa"/>
            <w:noWrap w:val="0"/>
            <w:vAlign w:val="center"/>
          </w:tcPr>
          <w:p w14:paraId="00A9BD3F">
            <w:pPr>
              <w:widowControl w:val="0"/>
              <w:spacing w:line="240" w:lineRule="auto"/>
              <w:ind w:firstLine="0"/>
              <w:jc w:val="center"/>
              <w:rPr>
                <w:sz w:val="21"/>
                <w:szCs w:val="21"/>
              </w:rPr>
            </w:pPr>
            <w:r>
              <w:rPr>
                <w:rFonts w:hint="eastAsia" w:eastAsia="宋体"/>
                <w:sz w:val="21"/>
                <w:szCs w:val="21"/>
                <w:lang w:val="en-US" w:eastAsia="zh-CN"/>
              </w:rPr>
              <w:t>大湾村</w:t>
            </w:r>
          </w:p>
        </w:tc>
        <w:tc>
          <w:tcPr>
            <w:tcW w:w="900" w:type="dxa"/>
            <w:noWrap w:val="0"/>
            <w:vAlign w:val="center"/>
          </w:tcPr>
          <w:p w14:paraId="600E794F">
            <w:pPr>
              <w:widowControl w:val="0"/>
              <w:spacing w:line="240" w:lineRule="auto"/>
              <w:ind w:firstLine="0"/>
              <w:jc w:val="center"/>
              <w:rPr>
                <w:sz w:val="21"/>
                <w:szCs w:val="21"/>
              </w:rPr>
            </w:pPr>
            <w:r>
              <w:rPr>
                <w:rFonts w:hint="eastAsia" w:eastAsia="宋体"/>
                <w:sz w:val="21"/>
                <w:szCs w:val="21"/>
                <w:lang w:val="en-US" w:eastAsia="zh-CN"/>
              </w:rPr>
              <w:t>东</w:t>
            </w:r>
            <w:r>
              <w:rPr>
                <w:rFonts w:hint="eastAsia"/>
                <w:sz w:val="21"/>
                <w:szCs w:val="21"/>
              </w:rPr>
              <w:t>北</w:t>
            </w:r>
          </w:p>
        </w:tc>
        <w:tc>
          <w:tcPr>
            <w:tcW w:w="1500" w:type="dxa"/>
            <w:noWrap w:val="0"/>
            <w:vAlign w:val="center"/>
          </w:tcPr>
          <w:p w14:paraId="6A6FEAB9">
            <w:pPr>
              <w:widowControl w:val="0"/>
              <w:spacing w:line="240" w:lineRule="auto"/>
              <w:ind w:firstLine="0"/>
              <w:jc w:val="center"/>
              <w:rPr>
                <w:sz w:val="21"/>
                <w:szCs w:val="21"/>
              </w:rPr>
            </w:pPr>
            <w:r>
              <w:rPr>
                <w:rFonts w:hint="eastAsia" w:eastAsia="宋体"/>
                <w:sz w:val="21"/>
                <w:szCs w:val="21"/>
                <w:lang w:val="en-US" w:eastAsia="zh-CN"/>
              </w:rPr>
              <w:t>1500</w:t>
            </w:r>
            <w:r>
              <w:rPr>
                <w:rFonts w:hint="eastAsia"/>
                <w:sz w:val="21"/>
                <w:szCs w:val="21"/>
              </w:rPr>
              <w:t>m</w:t>
            </w:r>
          </w:p>
        </w:tc>
        <w:tc>
          <w:tcPr>
            <w:tcW w:w="1760" w:type="dxa"/>
            <w:noWrap w:val="0"/>
            <w:vAlign w:val="center"/>
          </w:tcPr>
          <w:p w14:paraId="17FD9BC9">
            <w:pPr>
              <w:widowControl w:val="0"/>
              <w:spacing w:line="240" w:lineRule="auto"/>
              <w:ind w:firstLine="0"/>
              <w:jc w:val="center"/>
              <w:rPr>
                <w:sz w:val="21"/>
                <w:szCs w:val="21"/>
              </w:rPr>
            </w:pPr>
            <w:r>
              <w:rPr>
                <w:rFonts w:hint="eastAsia" w:eastAsia="宋体"/>
                <w:color w:val="000000"/>
                <w:sz w:val="21"/>
                <w:szCs w:val="21"/>
                <w:lang w:val="en-US" w:eastAsia="zh-CN"/>
              </w:rPr>
              <w:t>1345</w:t>
            </w:r>
            <w:r>
              <w:rPr>
                <w:rFonts w:hint="eastAsia"/>
                <w:color w:val="000000"/>
                <w:sz w:val="21"/>
                <w:szCs w:val="21"/>
              </w:rPr>
              <w:t>人</w:t>
            </w:r>
          </w:p>
        </w:tc>
        <w:tc>
          <w:tcPr>
            <w:tcW w:w="2268" w:type="dxa"/>
            <w:vMerge w:val="continue"/>
            <w:noWrap w:val="0"/>
            <w:vAlign w:val="top"/>
          </w:tcPr>
          <w:p w14:paraId="53834614">
            <w:pPr>
              <w:ind w:firstLine="420"/>
              <w:rPr>
                <w:sz w:val="21"/>
                <w:szCs w:val="21"/>
              </w:rPr>
            </w:pPr>
          </w:p>
        </w:tc>
      </w:tr>
      <w:tr w14:paraId="40C68B8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636" w:type="dxa"/>
            <w:vMerge w:val="continue"/>
            <w:noWrap w:val="0"/>
            <w:vAlign w:val="top"/>
          </w:tcPr>
          <w:p w14:paraId="186FFA6B">
            <w:pPr>
              <w:widowControl w:val="0"/>
              <w:spacing w:line="240" w:lineRule="auto"/>
              <w:ind w:firstLine="0"/>
              <w:jc w:val="center"/>
              <w:rPr>
                <w:sz w:val="21"/>
                <w:szCs w:val="21"/>
              </w:rPr>
            </w:pPr>
          </w:p>
        </w:tc>
        <w:tc>
          <w:tcPr>
            <w:tcW w:w="1688" w:type="dxa"/>
            <w:noWrap w:val="0"/>
            <w:vAlign w:val="center"/>
          </w:tcPr>
          <w:p w14:paraId="0E23A11B">
            <w:pPr>
              <w:widowControl w:val="0"/>
              <w:spacing w:line="240" w:lineRule="auto"/>
              <w:ind w:firstLine="0"/>
              <w:jc w:val="center"/>
              <w:rPr>
                <w:rFonts w:hint="eastAsia"/>
                <w:sz w:val="21"/>
                <w:szCs w:val="21"/>
              </w:rPr>
            </w:pPr>
            <w:r>
              <w:rPr>
                <w:rFonts w:hint="eastAsia" w:eastAsia="宋体"/>
                <w:sz w:val="21"/>
                <w:szCs w:val="21"/>
                <w:lang w:val="en-US" w:eastAsia="zh-CN"/>
              </w:rPr>
              <w:t>遮告</w:t>
            </w:r>
          </w:p>
        </w:tc>
        <w:tc>
          <w:tcPr>
            <w:tcW w:w="900" w:type="dxa"/>
            <w:noWrap w:val="0"/>
            <w:vAlign w:val="center"/>
          </w:tcPr>
          <w:p w14:paraId="455DCF05">
            <w:pPr>
              <w:widowControl w:val="0"/>
              <w:spacing w:line="240" w:lineRule="auto"/>
              <w:ind w:firstLine="0"/>
              <w:jc w:val="center"/>
              <w:rPr>
                <w:sz w:val="21"/>
                <w:szCs w:val="21"/>
              </w:rPr>
            </w:pPr>
            <w:r>
              <w:rPr>
                <w:rFonts w:hint="eastAsia" w:eastAsia="宋体"/>
                <w:sz w:val="21"/>
                <w:szCs w:val="21"/>
                <w:lang w:val="en-US" w:eastAsia="zh-CN"/>
              </w:rPr>
              <w:t>北</w:t>
            </w:r>
          </w:p>
        </w:tc>
        <w:tc>
          <w:tcPr>
            <w:tcW w:w="1500" w:type="dxa"/>
            <w:noWrap w:val="0"/>
            <w:vAlign w:val="center"/>
          </w:tcPr>
          <w:p w14:paraId="6F89724F">
            <w:pPr>
              <w:widowControl w:val="0"/>
              <w:spacing w:line="240" w:lineRule="auto"/>
              <w:ind w:firstLine="0"/>
              <w:jc w:val="center"/>
              <w:rPr>
                <w:sz w:val="21"/>
                <w:szCs w:val="21"/>
              </w:rPr>
            </w:pPr>
            <w:r>
              <w:rPr>
                <w:rFonts w:hint="eastAsia" w:eastAsia="宋体"/>
                <w:sz w:val="21"/>
                <w:szCs w:val="21"/>
                <w:lang w:val="en-US" w:eastAsia="zh-CN"/>
              </w:rPr>
              <w:t>1327</w:t>
            </w:r>
            <w:r>
              <w:rPr>
                <w:rFonts w:hint="eastAsia"/>
                <w:sz w:val="21"/>
                <w:szCs w:val="21"/>
              </w:rPr>
              <w:t>m</w:t>
            </w:r>
          </w:p>
        </w:tc>
        <w:tc>
          <w:tcPr>
            <w:tcW w:w="1760" w:type="dxa"/>
            <w:noWrap w:val="0"/>
            <w:vAlign w:val="center"/>
          </w:tcPr>
          <w:p w14:paraId="60BBE9DA">
            <w:pPr>
              <w:widowControl w:val="0"/>
              <w:spacing w:line="240" w:lineRule="auto"/>
              <w:ind w:firstLine="0"/>
              <w:jc w:val="center"/>
              <w:rPr>
                <w:sz w:val="21"/>
                <w:szCs w:val="21"/>
              </w:rPr>
            </w:pPr>
            <w:r>
              <w:rPr>
                <w:rFonts w:hint="eastAsia" w:eastAsia="宋体"/>
                <w:color w:val="000000"/>
                <w:sz w:val="21"/>
                <w:szCs w:val="21"/>
                <w:lang w:val="en-US" w:eastAsia="zh-CN"/>
              </w:rPr>
              <w:t>5</w:t>
            </w:r>
            <w:r>
              <w:rPr>
                <w:rFonts w:hint="eastAsia"/>
                <w:color w:val="000000"/>
                <w:sz w:val="21"/>
                <w:szCs w:val="21"/>
              </w:rPr>
              <w:t>10人</w:t>
            </w:r>
          </w:p>
        </w:tc>
        <w:tc>
          <w:tcPr>
            <w:tcW w:w="2268" w:type="dxa"/>
            <w:vMerge w:val="continue"/>
            <w:noWrap w:val="0"/>
            <w:vAlign w:val="top"/>
          </w:tcPr>
          <w:p w14:paraId="1EFBA4BA">
            <w:pPr>
              <w:ind w:firstLine="420"/>
              <w:rPr>
                <w:sz w:val="21"/>
                <w:szCs w:val="21"/>
              </w:rPr>
            </w:pPr>
          </w:p>
        </w:tc>
      </w:tr>
      <w:tr w14:paraId="2C12A60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636" w:type="dxa"/>
            <w:vMerge w:val="continue"/>
            <w:noWrap w:val="0"/>
            <w:vAlign w:val="top"/>
          </w:tcPr>
          <w:p w14:paraId="5853D5A9">
            <w:pPr>
              <w:widowControl w:val="0"/>
              <w:spacing w:line="240" w:lineRule="auto"/>
              <w:ind w:firstLine="0"/>
              <w:jc w:val="center"/>
              <w:rPr>
                <w:sz w:val="21"/>
                <w:szCs w:val="21"/>
              </w:rPr>
            </w:pPr>
          </w:p>
        </w:tc>
        <w:tc>
          <w:tcPr>
            <w:tcW w:w="1688" w:type="dxa"/>
            <w:noWrap w:val="0"/>
            <w:vAlign w:val="center"/>
          </w:tcPr>
          <w:p w14:paraId="6606FA60">
            <w:pPr>
              <w:widowControl w:val="0"/>
              <w:spacing w:line="240" w:lineRule="auto"/>
              <w:ind w:firstLine="0"/>
              <w:jc w:val="center"/>
              <w:rPr>
                <w:rFonts w:hint="eastAsia"/>
                <w:sz w:val="21"/>
                <w:szCs w:val="21"/>
              </w:rPr>
            </w:pPr>
            <w:r>
              <w:rPr>
                <w:rFonts w:hint="eastAsia" w:eastAsia="宋体"/>
                <w:sz w:val="21"/>
                <w:szCs w:val="21"/>
                <w:lang w:val="en-US" w:eastAsia="zh-CN"/>
              </w:rPr>
              <w:t>那怀</w:t>
            </w:r>
          </w:p>
        </w:tc>
        <w:tc>
          <w:tcPr>
            <w:tcW w:w="900" w:type="dxa"/>
            <w:noWrap w:val="0"/>
            <w:vAlign w:val="center"/>
          </w:tcPr>
          <w:p w14:paraId="144611D7">
            <w:pPr>
              <w:widowControl w:val="0"/>
              <w:spacing w:line="240" w:lineRule="auto"/>
              <w:ind w:firstLine="0"/>
              <w:jc w:val="center"/>
              <w:rPr>
                <w:rFonts w:hint="eastAsia"/>
                <w:sz w:val="21"/>
                <w:szCs w:val="21"/>
              </w:rPr>
            </w:pPr>
            <w:r>
              <w:rPr>
                <w:rFonts w:hint="eastAsia"/>
                <w:sz w:val="21"/>
                <w:szCs w:val="21"/>
              </w:rPr>
              <w:t>西</w:t>
            </w:r>
            <w:r>
              <w:rPr>
                <w:rFonts w:hint="eastAsia" w:eastAsia="宋体"/>
                <w:sz w:val="21"/>
                <w:szCs w:val="21"/>
                <w:lang w:val="en-US" w:eastAsia="zh-CN"/>
              </w:rPr>
              <w:t>北</w:t>
            </w:r>
          </w:p>
        </w:tc>
        <w:tc>
          <w:tcPr>
            <w:tcW w:w="1500" w:type="dxa"/>
            <w:noWrap w:val="0"/>
            <w:vAlign w:val="center"/>
          </w:tcPr>
          <w:p w14:paraId="5DA20659">
            <w:pPr>
              <w:widowControl w:val="0"/>
              <w:spacing w:line="240" w:lineRule="auto"/>
              <w:ind w:firstLine="0"/>
              <w:jc w:val="center"/>
              <w:rPr>
                <w:rFonts w:hint="eastAsia"/>
                <w:sz w:val="21"/>
                <w:szCs w:val="21"/>
              </w:rPr>
            </w:pPr>
            <w:r>
              <w:rPr>
                <w:rFonts w:hint="eastAsia" w:eastAsia="宋体"/>
                <w:sz w:val="21"/>
                <w:szCs w:val="21"/>
                <w:lang w:val="en-US" w:eastAsia="zh-CN"/>
              </w:rPr>
              <w:t>2147</w:t>
            </w:r>
            <w:r>
              <w:rPr>
                <w:rFonts w:hint="eastAsia"/>
                <w:sz w:val="21"/>
                <w:szCs w:val="21"/>
              </w:rPr>
              <w:t>m</w:t>
            </w:r>
          </w:p>
        </w:tc>
        <w:tc>
          <w:tcPr>
            <w:tcW w:w="1760" w:type="dxa"/>
            <w:noWrap w:val="0"/>
            <w:vAlign w:val="center"/>
          </w:tcPr>
          <w:p w14:paraId="58D1E373">
            <w:pPr>
              <w:widowControl w:val="0"/>
              <w:spacing w:line="240" w:lineRule="auto"/>
              <w:ind w:firstLine="0"/>
              <w:jc w:val="center"/>
              <w:rPr>
                <w:sz w:val="21"/>
                <w:szCs w:val="21"/>
              </w:rPr>
            </w:pPr>
            <w:r>
              <w:rPr>
                <w:rFonts w:hint="eastAsia" w:eastAsia="宋体"/>
                <w:color w:val="000000"/>
                <w:sz w:val="21"/>
                <w:szCs w:val="21"/>
                <w:lang w:val="en-US" w:eastAsia="zh-CN"/>
              </w:rPr>
              <w:t>690</w:t>
            </w:r>
            <w:r>
              <w:rPr>
                <w:rFonts w:hint="eastAsia"/>
                <w:color w:val="000000"/>
                <w:sz w:val="21"/>
                <w:szCs w:val="21"/>
              </w:rPr>
              <w:t>人</w:t>
            </w:r>
          </w:p>
        </w:tc>
        <w:tc>
          <w:tcPr>
            <w:tcW w:w="2268" w:type="dxa"/>
            <w:vMerge w:val="continue"/>
            <w:noWrap w:val="0"/>
            <w:vAlign w:val="top"/>
          </w:tcPr>
          <w:p w14:paraId="00D3CF9B">
            <w:pPr>
              <w:ind w:firstLine="420"/>
              <w:rPr>
                <w:sz w:val="21"/>
                <w:szCs w:val="21"/>
              </w:rPr>
            </w:pPr>
          </w:p>
        </w:tc>
      </w:tr>
      <w:tr w14:paraId="5A3D756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6175ABA8">
            <w:pPr>
              <w:widowControl w:val="0"/>
              <w:spacing w:line="240" w:lineRule="auto"/>
              <w:ind w:firstLine="0"/>
              <w:jc w:val="center"/>
              <w:rPr>
                <w:sz w:val="21"/>
                <w:szCs w:val="21"/>
              </w:rPr>
            </w:pPr>
          </w:p>
        </w:tc>
        <w:tc>
          <w:tcPr>
            <w:tcW w:w="1688" w:type="dxa"/>
            <w:noWrap w:val="0"/>
            <w:vAlign w:val="center"/>
          </w:tcPr>
          <w:p w14:paraId="35BE7D25">
            <w:pPr>
              <w:widowControl w:val="0"/>
              <w:spacing w:line="240" w:lineRule="auto"/>
              <w:ind w:firstLine="0"/>
              <w:jc w:val="center"/>
              <w:rPr>
                <w:rFonts w:hint="eastAsia"/>
                <w:sz w:val="21"/>
                <w:szCs w:val="21"/>
              </w:rPr>
            </w:pPr>
            <w:r>
              <w:rPr>
                <w:rFonts w:hint="eastAsia" w:eastAsia="宋体"/>
                <w:sz w:val="21"/>
                <w:szCs w:val="21"/>
                <w:lang w:val="en-US" w:eastAsia="zh-CN"/>
              </w:rPr>
              <w:t>洞坎</w:t>
            </w:r>
          </w:p>
        </w:tc>
        <w:tc>
          <w:tcPr>
            <w:tcW w:w="900" w:type="dxa"/>
            <w:noWrap w:val="0"/>
            <w:vAlign w:val="center"/>
          </w:tcPr>
          <w:p w14:paraId="2CD8D947">
            <w:pPr>
              <w:widowControl w:val="0"/>
              <w:spacing w:line="240" w:lineRule="auto"/>
              <w:ind w:firstLine="0"/>
              <w:jc w:val="center"/>
              <w:rPr>
                <w:rFonts w:hint="eastAsia"/>
                <w:sz w:val="21"/>
                <w:szCs w:val="21"/>
              </w:rPr>
            </w:pPr>
            <w:r>
              <w:rPr>
                <w:rFonts w:hint="eastAsia" w:eastAsia="宋体"/>
                <w:sz w:val="21"/>
                <w:szCs w:val="21"/>
                <w:lang w:val="en-US" w:eastAsia="zh-CN"/>
              </w:rPr>
              <w:t>西北</w:t>
            </w:r>
          </w:p>
        </w:tc>
        <w:tc>
          <w:tcPr>
            <w:tcW w:w="1500" w:type="dxa"/>
            <w:noWrap w:val="0"/>
            <w:vAlign w:val="center"/>
          </w:tcPr>
          <w:p w14:paraId="12BE2550">
            <w:pPr>
              <w:widowControl w:val="0"/>
              <w:spacing w:line="240" w:lineRule="auto"/>
              <w:ind w:firstLine="0"/>
              <w:jc w:val="center"/>
              <w:rPr>
                <w:rFonts w:hint="eastAsia"/>
                <w:sz w:val="21"/>
                <w:szCs w:val="21"/>
              </w:rPr>
            </w:pPr>
            <w:r>
              <w:rPr>
                <w:rFonts w:hint="eastAsia" w:eastAsia="宋体"/>
                <w:sz w:val="21"/>
                <w:szCs w:val="21"/>
                <w:lang w:val="en-US" w:eastAsia="zh-CN"/>
              </w:rPr>
              <w:t>2761</w:t>
            </w:r>
            <w:r>
              <w:rPr>
                <w:rFonts w:hint="eastAsia"/>
                <w:sz w:val="21"/>
                <w:szCs w:val="21"/>
              </w:rPr>
              <w:t>m</w:t>
            </w:r>
          </w:p>
        </w:tc>
        <w:tc>
          <w:tcPr>
            <w:tcW w:w="1760" w:type="dxa"/>
            <w:noWrap w:val="0"/>
            <w:vAlign w:val="center"/>
          </w:tcPr>
          <w:p w14:paraId="6B5C9CC4">
            <w:pPr>
              <w:widowControl w:val="0"/>
              <w:spacing w:line="240" w:lineRule="auto"/>
              <w:ind w:firstLine="0"/>
              <w:jc w:val="center"/>
              <w:rPr>
                <w:sz w:val="21"/>
                <w:szCs w:val="21"/>
              </w:rPr>
            </w:pPr>
            <w:r>
              <w:rPr>
                <w:rFonts w:hint="eastAsia"/>
                <w:color w:val="000000"/>
                <w:sz w:val="21"/>
                <w:szCs w:val="21"/>
              </w:rPr>
              <w:t>500人</w:t>
            </w:r>
          </w:p>
        </w:tc>
        <w:tc>
          <w:tcPr>
            <w:tcW w:w="2268" w:type="dxa"/>
            <w:vMerge w:val="continue"/>
            <w:noWrap w:val="0"/>
            <w:vAlign w:val="top"/>
          </w:tcPr>
          <w:p w14:paraId="1F74623D">
            <w:pPr>
              <w:ind w:firstLine="420"/>
              <w:rPr>
                <w:sz w:val="21"/>
                <w:szCs w:val="21"/>
              </w:rPr>
            </w:pPr>
          </w:p>
        </w:tc>
      </w:tr>
      <w:tr w14:paraId="1C7A87B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41133909">
            <w:pPr>
              <w:widowControl w:val="0"/>
              <w:spacing w:line="240" w:lineRule="auto"/>
              <w:ind w:firstLine="0"/>
              <w:jc w:val="center"/>
              <w:rPr>
                <w:sz w:val="21"/>
                <w:szCs w:val="21"/>
              </w:rPr>
            </w:pPr>
          </w:p>
        </w:tc>
        <w:tc>
          <w:tcPr>
            <w:tcW w:w="1688" w:type="dxa"/>
            <w:noWrap w:val="0"/>
            <w:vAlign w:val="center"/>
          </w:tcPr>
          <w:p w14:paraId="661BDE45">
            <w:pPr>
              <w:widowControl w:val="0"/>
              <w:spacing w:line="240" w:lineRule="auto"/>
              <w:ind w:firstLine="0"/>
              <w:jc w:val="center"/>
              <w:rPr>
                <w:rFonts w:hint="eastAsia"/>
                <w:sz w:val="21"/>
                <w:szCs w:val="21"/>
              </w:rPr>
            </w:pPr>
            <w:r>
              <w:rPr>
                <w:rFonts w:hint="eastAsia" w:eastAsia="宋体"/>
                <w:sz w:val="21"/>
                <w:szCs w:val="21"/>
                <w:lang w:val="en-US" w:eastAsia="zh-CN"/>
              </w:rPr>
              <w:t>帕连</w:t>
            </w:r>
          </w:p>
        </w:tc>
        <w:tc>
          <w:tcPr>
            <w:tcW w:w="900" w:type="dxa"/>
            <w:noWrap w:val="0"/>
            <w:vAlign w:val="center"/>
          </w:tcPr>
          <w:p w14:paraId="12017F1F">
            <w:pPr>
              <w:widowControl w:val="0"/>
              <w:spacing w:line="240" w:lineRule="auto"/>
              <w:ind w:firstLine="0"/>
              <w:jc w:val="center"/>
              <w:rPr>
                <w:rFonts w:hint="eastAsia"/>
                <w:sz w:val="21"/>
                <w:szCs w:val="21"/>
              </w:rPr>
            </w:pPr>
            <w:r>
              <w:rPr>
                <w:rFonts w:hint="eastAsia" w:eastAsia="宋体"/>
                <w:sz w:val="21"/>
                <w:szCs w:val="21"/>
                <w:lang w:val="en-US" w:eastAsia="zh-CN"/>
              </w:rPr>
              <w:t>东北</w:t>
            </w:r>
          </w:p>
        </w:tc>
        <w:tc>
          <w:tcPr>
            <w:tcW w:w="1500" w:type="dxa"/>
            <w:noWrap w:val="0"/>
            <w:vAlign w:val="center"/>
          </w:tcPr>
          <w:p w14:paraId="042DCA12">
            <w:pPr>
              <w:widowControl w:val="0"/>
              <w:spacing w:line="240" w:lineRule="auto"/>
              <w:ind w:firstLine="0"/>
              <w:jc w:val="center"/>
              <w:rPr>
                <w:rFonts w:hint="eastAsia"/>
                <w:sz w:val="21"/>
                <w:szCs w:val="21"/>
              </w:rPr>
            </w:pPr>
            <w:r>
              <w:rPr>
                <w:rFonts w:hint="eastAsia" w:eastAsia="宋体"/>
                <w:sz w:val="21"/>
                <w:szCs w:val="21"/>
                <w:lang w:val="en-US" w:eastAsia="zh-CN"/>
              </w:rPr>
              <w:t>2587</w:t>
            </w:r>
            <w:r>
              <w:rPr>
                <w:rFonts w:hint="eastAsia"/>
                <w:sz w:val="21"/>
                <w:szCs w:val="21"/>
              </w:rPr>
              <w:t>m</w:t>
            </w:r>
          </w:p>
        </w:tc>
        <w:tc>
          <w:tcPr>
            <w:tcW w:w="1760" w:type="dxa"/>
            <w:noWrap w:val="0"/>
            <w:vAlign w:val="center"/>
          </w:tcPr>
          <w:p w14:paraId="48C67CCB">
            <w:pPr>
              <w:widowControl w:val="0"/>
              <w:spacing w:line="240" w:lineRule="auto"/>
              <w:ind w:firstLine="0"/>
              <w:jc w:val="center"/>
              <w:rPr>
                <w:sz w:val="21"/>
                <w:szCs w:val="21"/>
              </w:rPr>
            </w:pPr>
            <w:r>
              <w:rPr>
                <w:rFonts w:hint="eastAsia" w:eastAsia="宋体"/>
                <w:color w:val="000000"/>
                <w:sz w:val="21"/>
                <w:szCs w:val="21"/>
                <w:lang w:val="en-US" w:eastAsia="zh-CN"/>
              </w:rPr>
              <w:t>800</w:t>
            </w:r>
            <w:r>
              <w:rPr>
                <w:rFonts w:hint="eastAsia"/>
                <w:color w:val="000000"/>
                <w:sz w:val="21"/>
                <w:szCs w:val="21"/>
              </w:rPr>
              <w:t>人</w:t>
            </w:r>
          </w:p>
        </w:tc>
        <w:tc>
          <w:tcPr>
            <w:tcW w:w="2268" w:type="dxa"/>
            <w:vMerge w:val="continue"/>
            <w:noWrap w:val="0"/>
            <w:vAlign w:val="top"/>
          </w:tcPr>
          <w:p w14:paraId="4792BB69">
            <w:pPr>
              <w:ind w:firstLine="420"/>
              <w:rPr>
                <w:sz w:val="21"/>
                <w:szCs w:val="21"/>
              </w:rPr>
            </w:pPr>
          </w:p>
        </w:tc>
      </w:tr>
      <w:tr w14:paraId="1842AFF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0CFA86BB">
            <w:pPr>
              <w:widowControl w:val="0"/>
              <w:spacing w:line="240" w:lineRule="auto"/>
              <w:ind w:firstLine="0"/>
              <w:jc w:val="center"/>
              <w:rPr>
                <w:sz w:val="21"/>
                <w:szCs w:val="21"/>
              </w:rPr>
            </w:pPr>
          </w:p>
        </w:tc>
        <w:tc>
          <w:tcPr>
            <w:tcW w:w="1688" w:type="dxa"/>
            <w:noWrap w:val="0"/>
            <w:vAlign w:val="center"/>
          </w:tcPr>
          <w:p w14:paraId="0FAB9B5C">
            <w:pPr>
              <w:widowControl w:val="0"/>
              <w:spacing w:line="240" w:lineRule="auto"/>
              <w:ind w:firstLine="0"/>
              <w:jc w:val="center"/>
              <w:rPr>
                <w:rFonts w:hint="eastAsia"/>
                <w:sz w:val="21"/>
                <w:szCs w:val="21"/>
              </w:rPr>
            </w:pPr>
            <w:r>
              <w:rPr>
                <w:rFonts w:hint="eastAsia" w:eastAsia="宋体"/>
                <w:sz w:val="21"/>
                <w:szCs w:val="21"/>
                <w:lang w:val="en-US" w:eastAsia="zh-CN"/>
              </w:rPr>
              <w:t>锦绣阳光家园大湾小区</w:t>
            </w:r>
          </w:p>
        </w:tc>
        <w:tc>
          <w:tcPr>
            <w:tcW w:w="900" w:type="dxa"/>
            <w:noWrap w:val="0"/>
            <w:vAlign w:val="center"/>
          </w:tcPr>
          <w:p w14:paraId="3D656E23">
            <w:pPr>
              <w:widowControl w:val="0"/>
              <w:spacing w:line="240" w:lineRule="auto"/>
              <w:ind w:firstLine="0"/>
              <w:jc w:val="center"/>
              <w:rPr>
                <w:rFonts w:hint="eastAsia"/>
                <w:sz w:val="21"/>
                <w:szCs w:val="21"/>
              </w:rPr>
            </w:pPr>
            <w:r>
              <w:rPr>
                <w:rFonts w:hint="eastAsia" w:eastAsia="宋体"/>
                <w:sz w:val="21"/>
                <w:szCs w:val="21"/>
                <w:lang w:val="en-US" w:eastAsia="zh-CN"/>
              </w:rPr>
              <w:t>东北</w:t>
            </w:r>
          </w:p>
        </w:tc>
        <w:tc>
          <w:tcPr>
            <w:tcW w:w="1500" w:type="dxa"/>
            <w:noWrap w:val="0"/>
            <w:vAlign w:val="center"/>
          </w:tcPr>
          <w:p w14:paraId="63F92033">
            <w:pPr>
              <w:widowControl w:val="0"/>
              <w:spacing w:line="240" w:lineRule="auto"/>
              <w:ind w:firstLine="0"/>
              <w:jc w:val="center"/>
              <w:rPr>
                <w:rFonts w:hint="eastAsia"/>
                <w:sz w:val="21"/>
                <w:szCs w:val="21"/>
              </w:rPr>
            </w:pPr>
            <w:r>
              <w:rPr>
                <w:rFonts w:hint="eastAsia" w:eastAsia="宋体"/>
                <w:sz w:val="21"/>
                <w:szCs w:val="21"/>
                <w:lang w:val="en-US" w:eastAsia="zh-CN"/>
              </w:rPr>
              <w:t>2845</w:t>
            </w:r>
            <w:r>
              <w:rPr>
                <w:rFonts w:hint="eastAsia"/>
                <w:sz w:val="21"/>
                <w:szCs w:val="21"/>
              </w:rPr>
              <w:t>m</w:t>
            </w:r>
          </w:p>
        </w:tc>
        <w:tc>
          <w:tcPr>
            <w:tcW w:w="1760" w:type="dxa"/>
            <w:noWrap w:val="0"/>
            <w:vAlign w:val="center"/>
          </w:tcPr>
          <w:p w14:paraId="6978E1A6">
            <w:pPr>
              <w:widowControl w:val="0"/>
              <w:spacing w:line="240" w:lineRule="auto"/>
              <w:ind w:firstLine="0"/>
              <w:jc w:val="center"/>
              <w:rPr>
                <w:sz w:val="21"/>
                <w:szCs w:val="21"/>
              </w:rPr>
            </w:pPr>
            <w:r>
              <w:rPr>
                <w:rFonts w:hint="eastAsia" w:eastAsia="宋体"/>
                <w:color w:val="000000"/>
                <w:sz w:val="21"/>
                <w:szCs w:val="21"/>
                <w:lang w:val="en-US" w:eastAsia="zh-CN"/>
              </w:rPr>
              <w:t>100</w:t>
            </w:r>
            <w:r>
              <w:rPr>
                <w:rFonts w:hint="eastAsia"/>
                <w:color w:val="000000"/>
                <w:sz w:val="21"/>
                <w:szCs w:val="21"/>
              </w:rPr>
              <w:t>0人</w:t>
            </w:r>
          </w:p>
        </w:tc>
        <w:tc>
          <w:tcPr>
            <w:tcW w:w="2268" w:type="dxa"/>
            <w:vMerge w:val="continue"/>
            <w:noWrap w:val="0"/>
            <w:vAlign w:val="top"/>
          </w:tcPr>
          <w:p w14:paraId="12CA02CB">
            <w:pPr>
              <w:ind w:firstLine="420"/>
              <w:rPr>
                <w:sz w:val="21"/>
                <w:szCs w:val="21"/>
              </w:rPr>
            </w:pPr>
          </w:p>
        </w:tc>
      </w:tr>
      <w:tr w14:paraId="5773BC1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586C6EF1">
            <w:pPr>
              <w:widowControl w:val="0"/>
              <w:spacing w:line="240" w:lineRule="auto"/>
              <w:ind w:firstLine="0"/>
              <w:jc w:val="center"/>
              <w:rPr>
                <w:sz w:val="21"/>
                <w:szCs w:val="21"/>
              </w:rPr>
            </w:pPr>
          </w:p>
        </w:tc>
        <w:tc>
          <w:tcPr>
            <w:tcW w:w="1688" w:type="dxa"/>
            <w:noWrap w:val="0"/>
            <w:vAlign w:val="center"/>
          </w:tcPr>
          <w:p w14:paraId="324E0725">
            <w:pPr>
              <w:widowControl w:val="0"/>
              <w:spacing w:line="240" w:lineRule="auto"/>
              <w:ind w:firstLine="0"/>
              <w:jc w:val="center"/>
              <w:rPr>
                <w:rFonts w:hint="eastAsia"/>
                <w:sz w:val="21"/>
                <w:szCs w:val="21"/>
              </w:rPr>
            </w:pPr>
            <w:r>
              <w:rPr>
                <w:rFonts w:hint="eastAsia" w:eastAsia="宋体"/>
                <w:sz w:val="21"/>
                <w:szCs w:val="21"/>
                <w:lang w:val="en-US" w:eastAsia="zh-CN"/>
              </w:rPr>
              <w:t>木康</w:t>
            </w:r>
          </w:p>
        </w:tc>
        <w:tc>
          <w:tcPr>
            <w:tcW w:w="900" w:type="dxa"/>
            <w:noWrap w:val="0"/>
            <w:vAlign w:val="center"/>
          </w:tcPr>
          <w:p w14:paraId="7ACB2DE8">
            <w:pPr>
              <w:widowControl w:val="0"/>
              <w:spacing w:line="240" w:lineRule="auto"/>
              <w:ind w:firstLine="0"/>
              <w:jc w:val="center"/>
              <w:rPr>
                <w:rFonts w:hint="eastAsia"/>
                <w:sz w:val="21"/>
                <w:szCs w:val="21"/>
              </w:rPr>
            </w:pPr>
            <w:r>
              <w:rPr>
                <w:rFonts w:hint="eastAsia"/>
                <w:sz w:val="21"/>
                <w:szCs w:val="21"/>
              </w:rPr>
              <w:t>东</w:t>
            </w:r>
            <w:r>
              <w:rPr>
                <w:rFonts w:hint="eastAsia" w:eastAsia="宋体"/>
                <w:sz w:val="21"/>
                <w:szCs w:val="21"/>
                <w:lang w:val="en-US" w:eastAsia="zh-CN"/>
              </w:rPr>
              <w:t>北</w:t>
            </w:r>
          </w:p>
        </w:tc>
        <w:tc>
          <w:tcPr>
            <w:tcW w:w="1500" w:type="dxa"/>
            <w:noWrap w:val="0"/>
            <w:vAlign w:val="center"/>
          </w:tcPr>
          <w:p w14:paraId="659A7B9B">
            <w:pPr>
              <w:widowControl w:val="0"/>
              <w:spacing w:line="240" w:lineRule="auto"/>
              <w:ind w:firstLine="0"/>
              <w:jc w:val="center"/>
              <w:rPr>
                <w:rFonts w:hint="eastAsia"/>
                <w:sz w:val="21"/>
                <w:szCs w:val="21"/>
              </w:rPr>
            </w:pPr>
            <w:r>
              <w:rPr>
                <w:rFonts w:hint="eastAsia" w:eastAsia="宋体"/>
                <w:sz w:val="21"/>
                <w:szCs w:val="21"/>
                <w:lang w:val="en-US" w:eastAsia="zh-CN"/>
              </w:rPr>
              <w:t>4381m</w:t>
            </w:r>
          </w:p>
        </w:tc>
        <w:tc>
          <w:tcPr>
            <w:tcW w:w="1760" w:type="dxa"/>
            <w:noWrap w:val="0"/>
            <w:vAlign w:val="center"/>
          </w:tcPr>
          <w:p w14:paraId="35A63FC0">
            <w:pPr>
              <w:widowControl w:val="0"/>
              <w:spacing w:line="240" w:lineRule="auto"/>
              <w:ind w:firstLine="0"/>
              <w:jc w:val="center"/>
              <w:rPr>
                <w:sz w:val="21"/>
                <w:szCs w:val="21"/>
              </w:rPr>
            </w:pPr>
            <w:r>
              <w:rPr>
                <w:rFonts w:hint="eastAsia" w:eastAsia="宋体"/>
                <w:color w:val="000000"/>
                <w:sz w:val="21"/>
                <w:szCs w:val="21"/>
                <w:lang w:val="en-US" w:eastAsia="zh-CN"/>
              </w:rPr>
              <w:t>1500</w:t>
            </w:r>
            <w:r>
              <w:rPr>
                <w:rFonts w:hint="eastAsia"/>
                <w:color w:val="000000"/>
                <w:sz w:val="21"/>
                <w:szCs w:val="21"/>
              </w:rPr>
              <w:t>人</w:t>
            </w:r>
          </w:p>
        </w:tc>
        <w:tc>
          <w:tcPr>
            <w:tcW w:w="2268" w:type="dxa"/>
            <w:vMerge w:val="continue"/>
            <w:noWrap w:val="0"/>
            <w:vAlign w:val="top"/>
          </w:tcPr>
          <w:p w14:paraId="5BAA8269">
            <w:pPr>
              <w:ind w:firstLine="420"/>
              <w:rPr>
                <w:sz w:val="21"/>
                <w:szCs w:val="21"/>
              </w:rPr>
            </w:pPr>
          </w:p>
        </w:tc>
      </w:tr>
      <w:tr w14:paraId="5FDEBD9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1EA4C12C">
            <w:pPr>
              <w:widowControl w:val="0"/>
              <w:spacing w:line="240" w:lineRule="auto"/>
              <w:ind w:firstLine="0"/>
              <w:jc w:val="center"/>
              <w:rPr>
                <w:sz w:val="21"/>
                <w:szCs w:val="21"/>
              </w:rPr>
            </w:pPr>
          </w:p>
        </w:tc>
        <w:tc>
          <w:tcPr>
            <w:tcW w:w="1688" w:type="dxa"/>
            <w:noWrap w:val="0"/>
            <w:vAlign w:val="center"/>
          </w:tcPr>
          <w:p w14:paraId="747AF2D1">
            <w:pPr>
              <w:widowControl w:val="0"/>
              <w:spacing w:line="240" w:lineRule="auto"/>
              <w:ind w:firstLine="0"/>
              <w:jc w:val="center"/>
              <w:rPr>
                <w:rFonts w:hint="eastAsia"/>
                <w:sz w:val="21"/>
                <w:szCs w:val="21"/>
              </w:rPr>
            </w:pPr>
            <w:r>
              <w:rPr>
                <w:rFonts w:hint="eastAsia" w:eastAsia="宋体"/>
                <w:sz w:val="21"/>
                <w:szCs w:val="21"/>
                <w:lang w:val="en-US" w:eastAsia="zh-CN"/>
              </w:rPr>
              <w:t>新寨</w:t>
            </w:r>
          </w:p>
        </w:tc>
        <w:tc>
          <w:tcPr>
            <w:tcW w:w="900" w:type="dxa"/>
            <w:noWrap w:val="0"/>
            <w:vAlign w:val="center"/>
          </w:tcPr>
          <w:p w14:paraId="3F827B5A">
            <w:pPr>
              <w:widowControl w:val="0"/>
              <w:spacing w:line="240" w:lineRule="auto"/>
              <w:ind w:firstLine="0"/>
              <w:jc w:val="center"/>
              <w:rPr>
                <w:rFonts w:hint="eastAsia"/>
                <w:sz w:val="21"/>
                <w:szCs w:val="21"/>
              </w:rPr>
            </w:pPr>
            <w:r>
              <w:rPr>
                <w:rFonts w:hint="eastAsia"/>
                <w:sz w:val="21"/>
                <w:szCs w:val="21"/>
              </w:rPr>
              <w:t>东</w:t>
            </w:r>
            <w:r>
              <w:rPr>
                <w:rFonts w:hint="eastAsia" w:eastAsia="宋体"/>
                <w:sz w:val="21"/>
                <w:szCs w:val="21"/>
                <w:lang w:val="en-US" w:eastAsia="zh-CN"/>
              </w:rPr>
              <w:t>北</w:t>
            </w:r>
          </w:p>
        </w:tc>
        <w:tc>
          <w:tcPr>
            <w:tcW w:w="1500" w:type="dxa"/>
            <w:noWrap w:val="0"/>
            <w:vAlign w:val="center"/>
          </w:tcPr>
          <w:p w14:paraId="67900780">
            <w:pPr>
              <w:widowControl w:val="0"/>
              <w:spacing w:line="240" w:lineRule="auto"/>
              <w:ind w:firstLine="0"/>
              <w:jc w:val="center"/>
              <w:rPr>
                <w:rFonts w:hint="eastAsia"/>
                <w:sz w:val="21"/>
                <w:szCs w:val="21"/>
              </w:rPr>
            </w:pPr>
            <w:r>
              <w:rPr>
                <w:rFonts w:hint="eastAsia" w:eastAsia="宋体"/>
                <w:sz w:val="21"/>
                <w:szCs w:val="21"/>
                <w:lang w:val="en-US" w:eastAsia="zh-CN"/>
              </w:rPr>
              <w:t>4829</w:t>
            </w:r>
            <w:r>
              <w:rPr>
                <w:rFonts w:hint="eastAsia"/>
                <w:sz w:val="21"/>
                <w:szCs w:val="21"/>
              </w:rPr>
              <w:t>m</w:t>
            </w:r>
          </w:p>
        </w:tc>
        <w:tc>
          <w:tcPr>
            <w:tcW w:w="1760" w:type="dxa"/>
            <w:noWrap w:val="0"/>
            <w:vAlign w:val="center"/>
          </w:tcPr>
          <w:p w14:paraId="5A59B57F">
            <w:pPr>
              <w:widowControl w:val="0"/>
              <w:spacing w:line="240" w:lineRule="auto"/>
              <w:ind w:firstLine="0"/>
              <w:jc w:val="center"/>
              <w:rPr>
                <w:sz w:val="21"/>
                <w:szCs w:val="21"/>
              </w:rPr>
            </w:pPr>
            <w:r>
              <w:rPr>
                <w:rFonts w:hint="eastAsia"/>
                <w:color w:val="000000"/>
                <w:sz w:val="21"/>
                <w:szCs w:val="21"/>
              </w:rPr>
              <w:t>360人</w:t>
            </w:r>
          </w:p>
        </w:tc>
        <w:tc>
          <w:tcPr>
            <w:tcW w:w="2268" w:type="dxa"/>
            <w:vMerge w:val="continue"/>
            <w:noWrap w:val="0"/>
            <w:vAlign w:val="top"/>
          </w:tcPr>
          <w:p w14:paraId="737D77C3">
            <w:pPr>
              <w:ind w:firstLine="420"/>
              <w:rPr>
                <w:sz w:val="21"/>
                <w:szCs w:val="21"/>
              </w:rPr>
            </w:pPr>
          </w:p>
        </w:tc>
      </w:tr>
      <w:tr w14:paraId="0AA15A9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3E1432F6">
            <w:pPr>
              <w:widowControl w:val="0"/>
              <w:spacing w:line="240" w:lineRule="auto"/>
              <w:ind w:firstLine="0"/>
              <w:jc w:val="center"/>
              <w:rPr>
                <w:sz w:val="21"/>
                <w:szCs w:val="21"/>
              </w:rPr>
            </w:pPr>
          </w:p>
        </w:tc>
        <w:tc>
          <w:tcPr>
            <w:tcW w:w="1688" w:type="dxa"/>
            <w:noWrap w:val="0"/>
            <w:vAlign w:val="center"/>
          </w:tcPr>
          <w:p w14:paraId="7A543AB0">
            <w:pPr>
              <w:widowControl w:val="0"/>
              <w:spacing w:line="240" w:lineRule="auto"/>
              <w:ind w:firstLine="0"/>
              <w:jc w:val="center"/>
              <w:rPr>
                <w:rFonts w:hint="eastAsia"/>
                <w:sz w:val="21"/>
                <w:szCs w:val="21"/>
              </w:rPr>
            </w:pPr>
            <w:r>
              <w:rPr>
                <w:rFonts w:hint="eastAsia" w:eastAsia="宋体"/>
                <w:sz w:val="21"/>
                <w:szCs w:val="21"/>
                <w:lang w:val="en-US" w:eastAsia="zh-CN"/>
              </w:rPr>
              <w:t>磨石沟</w:t>
            </w:r>
          </w:p>
        </w:tc>
        <w:tc>
          <w:tcPr>
            <w:tcW w:w="900" w:type="dxa"/>
            <w:noWrap w:val="0"/>
            <w:vAlign w:val="center"/>
          </w:tcPr>
          <w:p w14:paraId="432AAFA2">
            <w:pPr>
              <w:widowControl w:val="0"/>
              <w:spacing w:line="240" w:lineRule="auto"/>
              <w:ind w:firstLine="0"/>
              <w:jc w:val="center"/>
              <w:rPr>
                <w:rFonts w:hint="eastAsia"/>
                <w:sz w:val="21"/>
                <w:szCs w:val="21"/>
              </w:rPr>
            </w:pPr>
            <w:r>
              <w:rPr>
                <w:rFonts w:hint="eastAsia"/>
                <w:sz w:val="21"/>
                <w:szCs w:val="21"/>
              </w:rPr>
              <w:t>东</w:t>
            </w:r>
            <w:r>
              <w:rPr>
                <w:rFonts w:hint="eastAsia" w:eastAsia="宋体"/>
                <w:sz w:val="21"/>
                <w:szCs w:val="21"/>
                <w:lang w:val="en-US" w:eastAsia="zh-CN"/>
              </w:rPr>
              <w:t>南</w:t>
            </w:r>
          </w:p>
        </w:tc>
        <w:tc>
          <w:tcPr>
            <w:tcW w:w="1500" w:type="dxa"/>
            <w:noWrap w:val="0"/>
            <w:vAlign w:val="center"/>
          </w:tcPr>
          <w:p w14:paraId="43C6EC89">
            <w:pPr>
              <w:widowControl w:val="0"/>
              <w:spacing w:line="240" w:lineRule="auto"/>
              <w:ind w:firstLine="0"/>
              <w:jc w:val="center"/>
              <w:rPr>
                <w:rFonts w:hint="eastAsia"/>
                <w:sz w:val="21"/>
                <w:szCs w:val="21"/>
              </w:rPr>
            </w:pPr>
            <w:r>
              <w:rPr>
                <w:rFonts w:hint="eastAsia" w:eastAsia="宋体"/>
                <w:sz w:val="21"/>
                <w:szCs w:val="21"/>
                <w:lang w:val="en-US" w:eastAsia="zh-CN"/>
              </w:rPr>
              <w:t>1137</w:t>
            </w:r>
            <w:r>
              <w:rPr>
                <w:rFonts w:hint="eastAsia"/>
                <w:sz w:val="21"/>
                <w:szCs w:val="21"/>
              </w:rPr>
              <w:t>m</w:t>
            </w:r>
          </w:p>
        </w:tc>
        <w:tc>
          <w:tcPr>
            <w:tcW w:w="1760" w:type="dxa"/>
            <w:noWrap w:val="0"/>
            <w:vAlign w:val="center"/>
          </w:tcPr>
          <w:p w14:paraId="79F8529F">
            <w:pPr>
              <w:widowControl w:val="0"/>
              <w:spacing w:line="240" w:lineRule="auto"/>
              <w:ind w:firstLine="0"/>
              <w:jc w:val="center"/>
              <w:rPr>
                <w:sz w:val="21"/>
                <w:szCs w:val="21"/>
              </w:rPr>
            </w:pPr>
            <w:r>
              <w:rPr>
                <w:rFonts w:hint="eastAsia"/>
                <w:color w:val="000000"/>
                <w:sz w:val="21"/>
                <w:szCs w:val="21"/>
              </w:rPr>
              <w:t>320人</w:t>
            </w:r>
          </w:p>
        </w:tc>
        <w:tc>
          <w:tcPr>
            <w:tcW w:w="2268" w:type="dxa"/>
            <w:vMerge w:val="continue"/>
            <w:noWrap w:val="0"/>
            <w:vAlign w:val="top"/>
          </w:tcPr>
          <w:p w14:paraId="43DF584C">
            <w:pPr>
              <w:ind w:firstLine="420"/>
              <w:rPr>
                <w:sz w:val="21"/>
                <w:szCs w:val="21"/>
              </w:rPr>
            </w:pPr>
          </w:p>
        </w:tc>
      </w:tr>
      <w:tr w14:paraId="1EE0402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7408FBAE">
            <w:pPr>
              <w:widowControl w:val="0"/>
              <w:spacing w:line="240" w:lineRule="auto"/>
              <w:ind w:firstLine="0"/>
              <w:jc w:val="center"/>
              <w:rPr>
                <w:sz w:val="21"/>
                <w:szCs w:val="21"/>
              </w:rPr>
            </w:pPr>
          </w:p>
        </w:tc>
        <w:tc>
          <w:tcPr>
            <w:tcW w:w="1688" w:type="dxa"/>
            <w:noWrap w:val="0"/>
            <w:vAlign w:val="center"/>
          </w:tcPr>
          <w:p w14:paraId="42967C6D">
            <w:pPr>
              <w:widowControl w:val="0"/>
              <w:spacing w:line="240" w:lineRule="auto"/>
              <w:ind w:firstLine="0"/>
              <w:jc w:val="center"/>
              <w:rPr>
                <w:rFonts w:hint="eastAsia"/>
                <w:sz w:val="21"/>
                <w:szCs w:val="21"/>
              </w:rPr>
            </w:pPr>
            <w:r>
              <w:rPr>
                <w:rFonts w:hint="eastAsia" w:eastAsia="宋体"/>
                <w:sz w:val="21"/>
                <w:szCs w:val="21"/>
                <w:lang w:val="en-US" w:eastAsia="zh-CN"/>
              </w:rPr>
              <w:t>芒燕下寨</w:t>
            </w:r>
          </w:p>
        </w:tc>
        <w:tc>
          <w:tcPr>
            <w:tcW w:w="900" w:type="dxa"/>
            <w:noWrap w:val="0"/>
            <w:vAlign w:val="center"/>
          </w:tcPr>
          <w:p w14:paraId="55BFBAFA">
            <w:pPr>
              <w:widowControl w:val="0"/>
              <w:spacing w:line="240" w:lineRule="auto"/>
              <w:ind w:firstLine="0"/>
              <w:jc w:val="center"/>
              <w:rPr>
                <w:rFonts w:hint="eastAsia"/>
                <w:sz w:val="21"/>
                <w:szCs w:val="21"/>
              </w:rPr>
            </w:pPr>
            <w:r>
              <w:rPr>
                <w:rFonts w:hint="eastAsia"/>
                <w:sz w:val="21"/>
                <w:szCs w:val="21"/>
              </w:rPr>
              <w:t>东</w:t>
            </w:r>
            <w:r>
              <w:rPr>
                <w:rFonts w:hint="eastAsia" w:eastAsia="宋体"/>
                <w:sz w:val="21"/>
                <w:szCs w:val="21"/>
                <w:lang w:val="en-US" w:eastAsia="zh-CN"/>
              </w:rPr>
              <w:t>南</w:t>
            </w:r>
          </w:p>
        </w:tc>
        <w:tc>
          <w:tcPr>
            <w:tcW w:w="1500" w:type="dxa"/>
            <w:noWrap w:val="0"/>
            <w:vAlign w:val="center"/>
          </w:tcPr>
          <w:p w14:paraId="3C5B6D44">
            <w:pPr>
              <w:widowControl w:val="0"/>
              <w:spacing w:line="240" w:lineRule="auto"/>
              <w:ind w:firstLine="0"/>
              <w:jc w:val="center"/>
              <w:rPr>
                <w:rFonts w:hint="eastAsia"/>
                <w:sz w:val="21"/>
                <w:szCs w:val="21"/>
              </w:rPr>
            </w:pPr>
            <w:r>
              <w:rPr>
                <w:rFonts w:hint="eastAsia" w:eastAsia="宋体"/>
                <w:sz w:val="21"/>
                <w:szCs w:val="21"/>
                <w:lang w:val="en-US" w:eastAsia="zh-CN"/>
              </w:rPr>
              <w:t>1321m</w:t>
            </w:r>
          </w:p>
        </w:tc>
        <w:tc>
          <w:tcPr>
            <w:tcW w:w="1760" w:type="dxa"/>
            <w:noWrap w:val="0"/>
            <w:vAlign w:val="center"/>
          </w:tcPr>
          <w:p w14:paraId="42A0214C">
            <w:pPr>
              <w:widowControl w:val="0"/>
              <w:spacing w:line="240" w:lineRule="auto"/>
              <w:ind w:firstLine="0"/>
              <w:jc w:val="center"/>
              <w:rPr>
                <w:rFonts w:hint="eastAsia"/>
                <w:sz w:val="21"/>
                <w:szCs w:val="21"/>
              </w:rPr>
            </w:pPr>
            <w:r>
              <w:rPr>
                <w:rFonts w:hint="eastAsia"/>
                <w:color w:val="000000"/>
                <w:sz w:val="21"/>
                <w:szCs w:val="21"/>
              </w:rPr>
              <w:t>394人</w:t>
            </w:r>
          </w:p>
        </w:tc>
        <w:tc>
          <w:tcPr>
            <w:tcW w:w="2268" w:type="dxa"/>
            <w:vMerge w:val="continue"/>
            <w:noWrap w:val="0"/>
            <w:vAlign w:val="top"/>
          </w:tcPr>
          <w:p w14:paraId="67C32832">
            <w:pPr>
              <w:ind w:firstLine="420"/>
              <w:rPr>
                <w:sz w:val="21"/>
                <w:szCs w:val="21"/>
              </w:rPr>
            </w:pPr>
          </w:p>
        </w:tc>
      </w:tr>
      <w:tr w14:paraId="4397B4B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3D5660FB">
            <w:pPr>
              <w:widowControl w:val="0"/>
              <w:spacing w:line="240" w:lineRule="auto"/>
              <w:ind w:firstLine="0"/>
              <w:jc w:val="center"/>
              <w:rPr>
                <w:sz w:val="21"/>
                <w:szCs w:val="21"/>
              </w:rPr>
            </w:pPr>
          </w:p>
        </w:tc>
        <w:tc>
          <w:tcPr>
            <w:tcW w:w="1688" w:type="dxa"/>
            <w:noWrap w:val="0"/>
            <w:vAlign w:val="center"/>
          </w:tcPr>
          <w:p w14:paraId="2CEAAEFF">
            <w:pPr>
              <w:widowControl w:val="0"/>
              <w:spacing w:line="240" w:lineRule="auto"/>
              <w:ind w:firstLine="0"/>
              <w:jc w:val="center"/>
              <w:rPr>
                <w:rFonts w:hint="eastAsia"/>
                <w:sz w:val="21"/>
                <w:szCs w:val="21"/>
              </w:rPr>
            </w:pPr>
            <w:r>
              <w:rPr>
                <w:rFonts w:hint="eastAsia" w:eastAsia="宋体"/>
                <w:sz w:val="21"/>
                <w:szCs w:val="21"/>
                <w:lang w:val="en-US" w:eastAsia="zh-CN"/>
              </w:rPr>
              <w:t>丙茂</w:t>
            </w:r>
          </w:p>
        </w:tc>
        <w:tc>
          <w:tcPr>
            <w:tcW w:w="900" w:type="dxa"/>
            <w:noWrap w:val="0"/>
            <w:vAlign w:val="center"/>
          </w:tcPr>
          <w:p w14:paraId="75E11575">
            <w:pPr>
              <w:widowControl w:val="0"/>
              <w:spacing w:line="240" w:lineRule="auto"/>
              <w:ind w:firstLine="0"/>
              <w:jc w:val="center"/>
              <w:rPr>
                <w:rFonts w:hint="eastAsia"/>
                <w:sz w:val="21"/>
                <w:szCs w:val="21"/>
              </w:rPr>
            </w:pPr>
            <w:r>
              <w:rPr>
                <w:rFonts w:hint="eastAsia" w:eastAsia="宋体"/>
                <w:sz w:val="21"/>
                <w:szCs w:val="21"/>
                <w:lang w:val="en-US" w:eastAsia="zh-CN"/>
              </w:rPr>
              <w:t>东</w:t>
            </w:r>
            <w:r>
              <w:rPr>
                <w:rFonts w:hint="eastAsia"/>
                <w:sz w:val="21"/>
                <w:szCs w:val="21"/>
              </w:rPr>
              <w:t>北</w:t>
            </w:r>
          </w:p>
        </w:tc>
        <w:tc>
          <w:tcPr>
            <w:tcW w:w="1500" w:type="dxa"/>
            <w:noWrap w:val="0"/>
            <w:vAlign w:val="center"/>
          </w:tcPr>
          <w:p w14:paraId="3C1700EA">
            <w:pPr>
              <w:widowControl w:val="0"/>
              <w:spacing w:line="240" w:lineRule="auto"/>
              <w:ind w:firstLine="0"/>
              <w:jc w:val="center"/>
              <w:rPr>
                <w:rFonts w:hint="eastAsia"/>
                <w:sz w:val="21"/>
                <w:szCs w:val="21"/>
              </w:rPr>
            </w:pPr>
            <w:r>
              <w:rPr>
                <w:rFonts w:hint="eastAsia" w:eastAsia="宋体"/>
                <w:sz w:val="21"/>
                <w:szCs w:val="21"/>
                <w:lang w:val="en-US" w:eastAsia="zh-CN"/>
              </w:rPr>
              <w:t>2372</w:t>
            </w:r>
            <w:r>
              <w:rPr>
                <w:rFonts w:hint="eastAsia"/>
                <w:sz w:val="21"/>
                <w:szCs w:val="21"/>
              </w:rPr>
              <w:t>m</w:t>
            </w:r>
          </w:p>
        </w:tc>
        <w:tc>
          <w:tcPr>
            <w:tcW w:w="1760" w:type="dxa"/>
            <w:noWrap w:val="0"/>
            <w:vAlign w:val="center"/>
          </w:tcPr>
          <w:p w14:paraId="1632B85A">
            <w:pPr>
              <w:widowControl w:val="0"/>
              <w:spacing w:line="240" w:lineRule="auto"/>
              <w:ind w:firstLine="0"/>
              <w:jc w:val="center"/>
              <w:rPr>
                <w:rFonts w:hint="eastAsia"/>
                <w:sz w:val="21"/>
                <w:szCs w:val="21"/>
              </w:rPr>
            </w:pPr>
            <w:r>
              <w:rPr>
                <w:rFonts w:hint="eastAsia" w:eastAsia="宋体"/>
                <w:color w:val="000000"/>
                <w:sz w:val="21"/>
                <w:szCs w:val="21"/>
                <w:lang w:val="en-US" w:eastAsia="zh-CN"/>
              </w:rPr>
              <w:t>250</w:t>
            </w:r>
            <w:r>
              <w:rPr>
                <w:rFonts w:hint="eastAsia"/>
                <w:color w:val="000000"/>
                <w:sz w:val="21"/>
                <w:szCs w:val="21"/>
              </w:rPr>
              <w:t>人</w:t>
            </w:r>
          </w:p>
        </w:tc>
        <w:tc>
          <w:tcPr>
            <w:tcW w:w="2268" w:type="dxa"/>
            <w:vMerge w:val="continue"/>
            <w:noWrap w:val="0"/>
            <w:vAlign w:val="top"/>
          </w:tcPr>
          <w:p w14:paraId="49E6023A">
            <w:pPr>
              <w:ind w:firstLine="420"/>
              <w:rPr>
                <w:sz w:val="21"/>
                <w:szCs w:val="21"/>
              </w:rPr>
            </w:pPr>
          </w:p>
        </w:tc>
      </w:tr>
      <w:tr w14:paraId="1B5EC67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288271B5">
            <w:pPr>
              <w:widowControl w:val="0"/>
              <w:spacing w:line="240" w:lineRule="auto"/>
              <w:ind w:firstLine="0"/>
              <w:jc w:val="center"/>
              <w:rPr>
                <w:sz w:val="21"/>
                <w:szCs w:val="21"/>
              </w:rPr>
            </w:pPr>
          </w:p>
        </w:tc>
        <w:tc>
          <w:tcPr>
            <w:tcW w:w="1688" w:type="dxa"/>
            <w:noWrap w:val="0"/>
            <w:vAlign w:val="center"/>
          </w:tcPr>
          <w:p w14:paraId="6D6D1905">
            <w:pPr>
              <w:widowControl w:val="0"/>
              <w:spacing w:line="240" w:lineRule="auto"/>
              <w:ind w:firstLine="0"/>
              <w:jc w:val="center"/>
              <w:rPr>
                <w:rFonts w:hint="eastAsia"/>
                <w:sz w:val="21"/>
                <w:szCs w:val="21"/>
              </w:rPr>
            </w:pPr>
            <w:r>
              <w:rPr>
                <w:rFonts w:hint="eastAsia" w:eastAsia="宋体"/>
                <w:sz w:val="21"/>
                <w:szCs w:val="21"/>
                <w:lang w:val="en-US" w:eastAsia="zh-CN"/>
              </w:rPr>
              <w:t>广相上寨</w:t>
            </w:r>
          </w:p>
        </w:tc>
        <w:tc>
          <w:tcPr>
            <w:tcW w:w="900" w:type="dxa"/>
            <w:noWrap w:val="0"/>
            <w:vAlign w:val="center"/>
          </w:tcPr>
          <w:p w14:paraId="70CBF475">
            <w:pPr>
              <w:widowControl w:val="0"/>
              <w:spacing w:line="240" w:lineRule="auto"/>
              <w:ind w:firstLine="0"/>
              <w:jc w:val="center"/>
              <w:rPr>
                <w:rFonts w:hint="eastAsia"/>
                <w:sz w:val="21"/>
                <w:szCs w:val="21"/>
              </w:rPr>
            </w:pPr>
            <w:r>
              <w:rPr>
                <w:rFonts w:hint="eastAsia"/>
                <w:sz w:val="21"/>
                <w:szCs w:val="21"/>
                <w:lang w:val="en-US" w:eastAsia="zh-CN"/>
              </w:rPr>
              <w:t>东</w:t>
            </w:r>
            <w:r>
              <w:rPr>
                <w:rFonts w:hint="eastAsia"/>
                <w:sz w:val="21"/>
                <w:szCs w:val="21"/>
              </w:rPr>
              <w:t>北</w:t>
            </w:r>
          </w:p>
        </w:tc>
        <w:tc>
          <w:tcPr>
            <w:tcW w:w="1500" w:type="dxa"/>
            <w:noWrap w:val="0"/>
            <w:vAlign w:val="center"/>
          </w:tcPr>
          <w:p w14:paraId="1BD129E6">
            <w:pPr>
              <w:widowControl w:val="0"/>
              <w:spacing w:line="240" w:lineRule="auto"/>
              <w:ind w:firstLine="0"/>
              <w:jc w:val="center"/>
              <w:rPr>
                <w:rFonts w:hint="eastAsia"/>
                <w:sz w:val="21"/>
                <w:szCs w:val="21"/>
              </w:rPr>
            </w:pPr>
            <w:r>
              <w:rPr>
                <w:rFonts w:hint="eastAsia" w:eastAsia="宋体"/>
                <w:sz w:val="21"/>
                <w:szCs w:val="21"/>
                <w:lang w:val="en-US" w:eastAsia="zh-CN"/>
              </w:rPr>
              <w:t>3510</w:t>
            </w:r>
            <w:r>
              <w:rPr>
                <w:rFonts w:hint="eastAsia"/>
                <w:sz w:val="21"/>
                <w:szCs w:val="21"/>
              </w:rPr>
              <w:t>m</w:t>
            </w:r>
          </w:p>
        </w:tc>
        <w:tc>
          <w:tcPr>
            <w:tcW w:w="1760" w:type="dxa"/>
            <w:noWrap w:val="0"/>
            <w:vAlign w:val="center"/>
          </w:tcPr>
          <w:p w14:paraId="44F08AA0">
            <w:pPr>
              <w:widowControl w:val="0"/>
              <w:spacing w:line="240" w:lineRule="auto"/>
              <w:ind w:firstLine="0"/>
              <w:jc w:val="center"/>
              <w:rPr>
                <w:rFonts w:hint="eastAsia"/>
                <w:sz w:val="21"/>
                <w:szCs w:val="21"/>
              </w:rPr>
            </w:pPr>
            <w:r>
              <w:rPr>
                <w:rFonts w:hint="eastAsia" w:eastAsia="宋体"/>
                <w:color w:val="000000"/>
                <w:sz w:val="21"/>
                <w:szCs w:val="21"/>
                <w:lang w:val="en-US" w:eastAsia="zh-CN"/>
              </w:rPr>
              <w:t>357</w:t>
            </w:r>
            <w:r>
              <w:rPr>
                <w:rFonts w:hint="eastAsia"/>
                <w:color w:val="000000"/>
                <w:sz w:val="21"/>
                <w:szCs w:val="21"/>
              </w:rPr>
              <w:t>人</w:t>
            </w:r>
          </w:p>
        </w:tc>
        <w:tc>
          <w:tcPr>
            <w:tcW w:w="2268" w:type="dxa"/>
            <w:vMerge w:val="continue"/>
            <w:noWrap w:val="0"/>
            <w:vAlign w:val="top"/>
          </w:tcPr>
          <w:p w14:paraId="56BF8CD8">
            <w:pPr>
              <w:ind w:firstLine="420"/>
              <w:rPr>
                <w:sz w:val="21"/>
                <w:szCs w:val="21"/>
              </w:rPr>
            </w:pPr>
          </w:p>
        </w:tc>
      </w:tr>
      <w:tr w14:paraId="5C8BF67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34AC6153">
            <w:pPr>
              <w:widowControl w:val="0"/>
              <w:spacing w:line="240" w:lineRule="auto"/>
              <w:ind w:firstLine="0"/>
              <w:jc w:val="center"/>
              <w:rPr>
                <w:sz w:val="21"/>
                <w:szCs w:val="21"/>
              </w:rPr>
            </w:pPr>
          </w:p>
        </w:tc>
        <w:tc>
          <w:tcPr>
            <w:tcW w:w="1688" w:type="dxa"/>
            <w:noWrap w:val="0"/>
            <w:vAlign w:val="center"/>
          </w:tcPr>
          <w:p w14:paraId="77CB4F80">
            <w:pPr>
              <w:widowControl w:val="0"/>
              <w:spacing w:line="240" w:lineRule="auto"/>
              <w:ind w:firstLine="0"/>
              <w:jc w:val="center"/>
              <w:rPr>
                <w:rFonts w:hint="eastAsia"/>
                <w:sz w:val="21"/>
                <w:szCs w:val="21"/>
              </w:rPr>
            </w:pPr>
            <w:r>
              <w:rPr>
                <w:rFonts w:hint="eastAsia" w:eastAsia="宋体"/>
                <w:sz w:val="21"/>
                <w:szCs w:val="21"/>
                <w:lang w:val="en-US" w:eastAsia="zh-CN"/>
              </w:rPr>
              <w:t>广相下寨</w:t>
            </w:r>
          </w:p>
        </w:tc>
        <w:tc>
          <w:tcPr>
            <w:tcW w:w="900" w:type="dxa"/>
            <w:noWrap w:val="0"/>
            <w:vAlign w:val="center"/>
          </w:tcPr>
          <w:p w14:paraId="006E31B0">
            <w:pPr>
              <w:widowControl w:val="0"/>
              <w:spacing w:line="240" w:lineRule="auto"/>
              <w:ind w:firstLine="0"/>
              <w:jc w:val="center"/>
              <w:rPr>
                <w:rFonts w:hint="eastAsia"/>
                <w:sz w:val="21"/>
                <w:szCs w:val="21"/>
              </w:rPr>
            </w:pPr>
            <w:r>
              <w:rPr>
                <w:rFonts w:hint="eastAsia"/>
                <w:sz w:val="21"/>
                <w:szCs w:val="21"/>
                <w:lang w:val="en-US" w:eastAsia="zh-CN"/>
              </w:rPr>
              <w:t>东</w:t>
            </w:r>
            <w:r>
              <w:rPr>
                <w:rFonts w:hint="eastAsia"/>
                <w:sz w:val="21"/>
                <w:szCs w:val="21"/>
              </w:rPr>
              <w:t>北</w:t>
            </w:r>
          </w:p>
        </w:tc>
        <w:tc>
          <w:tcPr>
            <w:tcW w:w="1500" w:type="dxa"/>
            <w:noWrap w:val="0"/>
            <w:vAlign w:val="center"/>
          </w:tcPr>
          <w:p w14:paraId="37C8E185">
            <w:pPr>
              <w:widowControl w:val="0"/>
              <w:spacing w:line="240" w:lineRule="auto"/>
              <w:ind w:firstLine="0"/>
              <w:jc w:val="center"/>
              <w:rPr>
                <w:rFonts w:hint="eastAsia"/>
                <w:sz w:val="21"/>
                <w:szCs w:val="21"/>
              </w:rPr>
            </w:pPr>
            <w:r>
              <w:rPr>
                <w:rFonts w:hint="eastAsia" w:eastAsia="宋体"/>
                <w:sz w:val="21"/>
                <w:szCs w:val="21"/>
                <w:lang w:val="en-US" w:eastAsia="zh-CN"/>
              </w:rPr>
              <w:t>4303</w:t>
            </w:r>
            <w:r>
              <w:rPr>
                <w:rFonts w:hint="eastAsia"/>
                <w:sz w:val="21"/>
                <w:szCs w:val="21"/>
              </w:rPr>
              <w:t>m</w:t>
            </w:r>
          </w:p>
        </w:tc>
        <w:tc>
          <w:tcPr>
            <w:tcW w:w="1760" w:type="dxa"/>
            <w:noWrap w:val="0"/>
            <w:vAlign w:val="center"/>
          </w:tcPr>
          <w:p w14:paraId="1FB64C0A">
            <w:pPr>
              <w:widowControl w:val="0"/>
              <w:spacing w:line="240" w:lineRule="auto"/>
              <w:ind w:firstLine="0"/>
              <w:jc w:val="center"/>
              <w:rPr>
                <w:rFonts w:hint="eastAsia"/>
                <w:sz w:val="21"/>
                <w:szCs w:val="21"/>
              </w:rPr>
            </w:pPr>
            <w:r>
              <w:rPr>
                <w:rFonts w:hint="eastAsia" w:eastAsia="宋体"/>
                <w:color w:val="000000"/>
                <w:sz w:val="21"/>
                <w:szCs w:val="21"/>
                <w:lang w:val="en-US" w:eastAsia="zh-CN"/>
              </w:rPr>
              <w:t>400</w:t>
            </w:r>
            <w:r>
              <w:rPr>
                <w:rFonts w:hint="eastAsia"/>
                <w:color w:val="000000"/>
                <w:sz w:val="21"/>
                <w:szCs w:val="21"/>
              </w:rPr>
              <w:t>人</w:t>
            </w:r>
          </w:p>
        </w:tc>
        <w:tc>
          <w:tcPr>
            <w:tcW w:w="2268" w:type="dxa"/>
            <w:vMerge w:val="continue"/>
            <w:noWrap w:val="0"/>
            <w:vAlign w:val="top"/>
          </w:tcPr>
          <w:p w14:paraId="57660D33">
            <w:pPr>
              <w:ind w:firstLine="420"/>
              <w:rPr>
                <w:sz w:val="21"/>
                <w:szCs w:val="21"/>
              </w:rPr>
            </w:pPr>
          </w:p>
        </w:tc>
      </w:tr>
      <w:tr w14:paraId="21F68D3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3BB51DD7">
            <w:pPr>
              <w:widowControl w:val="0"/>
              <w:spacing w:line="240" w:lineRule="auto"/>
              <w:ind w:firstLine="0"/>
              <w:jc w:val="center"/>
              <w:rPr>
                <w:sz w:val="21"/>
                <w:szCs w:val="21"/>
              </w:rPr>
            </w:pPr>
          </w:p>
        </w:tc>
        <w:tc>
          <w:tcPr>
            <w:tcW w:w="1688" w:type="dxa"/>
            <w:noWrap w:val="0"/>
            <w:vAlign w:val="center"/>
          </w:tcPr>
          <w:p w14:paraId="3B1B8A87">
            <w:pPr>
              <w:widowControl w:val="0"/>
              <w:spacing w:line="240" w:lineRule="auto"/>
              <w:ind w:firstLine="0"/>
              <w:jc w:val="center"/>
              <w:rPr>
                <w:rFonts w:hint="eastAsia" w:eastAsia="宋体"/>
                <w:sz w:val="21"/>
                <w:szCs w:val="21"/>
                <w:lang w:val="en-US" w:eastAsia="zh-CN"/>
              </w:rPr>
            </w:pPr>
            <w:r>
              <w:rPr>
                <w:rFonts w:hint="eastAsia" w:eastAsia="宋体"/>
                <w:sz w:val="21"/>
                <w:szCs w:val="21"/>
                <w:lang w:val="en-US" w:eastAsia="zh-CN"/>
              </w:rPr>
              <w:t>锅盖石</w:t>
            </w:r>
          </w:p>
        </w:tc>
        <w:tc>
          <w:tcPr>
            <w:tcW w:w="900" w:type="dxa"/>
            <w:noWrap w:val="0"/>
            <w:vAlign w:val="center"/>
          </w:tcPr>
          <w:p w14:paraId="4A1D438B">
            <w:pPr>
              <w:widowControl w:val="0"/>
              <w:spacing w:line="240" w:lineRule="auto"/>
              <w:ind w:firstLine="0"/>
              <w:jc w:val="center"/>
              <w:rPr>
                <w:rFonts w:hint="eastAsia"/>
                <w:sz w:val="21"/>
                <w:szCs w:val="21"/>
                <w:lang w:val="en-US" w:eastAsia="zh-CN"/>
              </w:rPr>
            </w:pPr>
            <w:r>
              <w:rPr>
                <w:rFonts w:hint="eastAsia"/>
                <w:sz w:val="21"/>
                <w:szCs w:val="21"/>
                <w:lang w:val="en-US" w:eastAsia="zh-CN"/>
              </w:rPr>
              <w:t>东</w:t>
            </w:r>
            <w:r>
              <w:rPr>
                <w:rFonts w:hint="eastAsia"/>
                <w:sz w:val="21"/>
                <w:szCs w:val="21"/>
              </w:rPr>
              <w:t>北</w:t>
            </w:r>
          </w:p>
        </w:tc>
        <w:tc>
          <w:tcPr>
            <w:tcW w:w="1500" w:type="dxa"/>
            <w:noWrap w:val="0"/>
            <w:vAlign w:val="center"/>
          </w:tcPr>
          <w:p w14:paraId="1F1C6E07">
            <w:pPr>
              <w:widowControl w:val="0"/>
              <w:spacing w:line="240" w:lineRule="auto"/>
              <w:ind w:firstLine="0"/>
              <w:jc w:val="center"/>
              <w:rPr>
                <w:rFonts w:hint="eastAsia" w:eastAsia="宋体"/>
                <w:sz w:val="21"/>
                <w:szCs w:val="21"/>
                <w:lang w:val="en-US" w:eastAsia="zh-CN"/>
              </w:rPr>
            </w:pPr>
            <w:r>
              <w:rPr>
                <w:rFonts w:hint="eastAsia" w:eastAsia="宋体"/>
                <w:sz w:val="21"/>
                <w:szCs w:val="21"/>
                <w:lang w:val="en-US" w:eastAsia="zh-CN"/>
              </w:rPr>
              <w:t>4971</w:t>
            </w:r>
            <w:r>
              <w:rPr>
                <w:rFonts w:hint="eastAsia"/>
                <w:sz w:val="21"/>
                <w:szCs w:val="21"/>
              </w:rPr>
              <w:t>m</w:t>
            </w:r>
          </w:p>
        </w:tc>
        <w:tc>
          <w:tcPr>
            <w:tcW w:w="1760" w:type="dxa"/>
            <w:noWrap w:val="0"/>
            <w:vAlign w:val="center"/>
          </w:tcPr>
          <w:p w14:paraId="6770A907">
            <w:pPr>
              <w:widowControl w:val="0"/>
              <w:spacing w:line="240" w:lineRule="auto"/>
              <w:ind w:firstLine="0"/>
              <w:jc w:val="center"/>
              <w:rPr>
                <w:rFonts w:hint="eastAsia"/>
                <w:sz w:val="21"/>
                <w:szCs w:val="21"/>
              </w:rPr>
            </w:pPr>
            <w:r>
              <w:rPr>
                <w:rFonts w:hint="eastAsia" w:eastAsia="宋体"/>
                <w:color w:val="000000"/>
                <w:sz w:val="21"/>
                <w:szCs w:val="21"/>
                <w:lang w:val="en-US" w:eastAsia="zh-CN"/>
              </w:rPr>
              <w:t>176</w:t>
            </w:r>
            <w:r>
              <w:rPr>
                <w:rFonts w:hint="eastAsia"/>
                <w:color w:val="000000"/>
                <w:sz w:val="21"/>
                <w:szCs w:val="21"/>
              </w:rPr>
              <w:t>人</w:t>
            </w:r>
          </w:p>
        </w:tc>
        <w:tc>
          <w:tcPr>
            <w:tcW w:w="2268" w:type="dxa"/>
            <w:vMerge w:val="continue"/>
            <w:noWrap w:val="0"/>
            <w:vAlign w:val="top"/>
          </w:tcPr>
          <w:p w14:paraId="6FE791BC">
            <w:pPr>
              <w:ind w:firstLine="420"/>
              <w:rPr>
                <w:sz w:val="21"/>
                <w:szCs w:val="21"/>
              </w:rPr>
            </w:pPr>
          </w:p>
        </w:tc>
      </w:tr>
      <w:tr w14:paraId="441A254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3E493ECA">
            <w:pPr>
              <w:widowControl w:val="0"/>
              <w:spacing w:line="240" w:lineRule="auto"/>
              <w:ind w:firstLine="0"/>
              <w:jc w:val="center"/>
            </w:pPr>
          </w:p>
          <w:p w14:paraId="5B6A8886">
            <w:pPr>
              <w:pStyle w:val="186"/>
            </w:pPr>
          </w:p>
        </w:tc>
        <w:tc>
          <w:tcPr>
            <w:tcW w:w="1688" w:type="dxa"/>
            <w:noWrap w:val="0"/>
            <w:vAlign w:val="center"/>
          </w:tcPr>
          <w:p w14:paraId="240DFE4F">
            <w:pPr>
              <w:widowControl w:val="0"/>
              <w:spacing w:line="240" w:lineRule="auto"/>
              <w:ind w:firstLine="0"/>
              <w:jc w:val="center"/>
              <w:rPr>
                <w:rFonts w:hint="eastAsia" w:eastAsia="宋体"/>
                <w:sz w:val="21"/>
                <w:szCs w:val="21"/>
                <w:lang w:val="en-US" w:eastAsia="zh-CN"/>
              </w:rPr>
            </w:pPr>
            <w:r>
              <w:rPr>
                <w:rFonts w:hint="eastAsia" w:eastAsia="宋体"/>
                <w:color w:val="000000"/>
                <w:sz w:val="21"/>
                <w:szCs w:val="21"/>
                <w:lang w:val="en-US" w:eastAsia="zh-CN"/>
              </w:rPr>
              <w:t>德宏</w:t>
            </w:r>
            <w:r>
              <w:rPr>
                <w:rFonts w:hint="eastAsia"/>
                <w:color w:val="000000"/>
                <w:sz w:val="21"/>
                <w:szCs w:val="21"/>
                <w:lang w:val="en-US" w:eastAsia="zh-CN"/>
              </w:rPr>
              <w:t>师范高等专科</w:t>
            </w:r>
            <w:r>
              <w:rPr>
                <w:rFonts w:hint="eastAsia" w:eastAsia="宋体"/>
                <w:color w:val="000000"/>
                <w:sz w:val="21"/>
                <w:szCs w:val="21"/>
                <w:lang w:val="en-US" w:eastAsia="zh-CN"/>
              </w:rPr>
              <w:t>学校新小区</w:t>
            </w:r>
          </w:p>
        </w:tc>
        <w:tc>
          <w:tcPr>
            <w:tcW w:w="900" w:type="dxa"/>
            <w:noWrap w:val="0"/>
            <w:vAlign w:val="center"/>
          </w:tcPr>
          <w:p w14:paraId="28FA1634">
            <w:pPr>
              <w:widowControl w:val="0"/>
              <w:spacing w:line="240" w:lineRule="auto"/>
              <w:ind w:firstLine="0"/>
              <w:jc w:val="center"/>
              <w:rPr>
                <w:rFonts w:hint="eastAsia"/>
                <w:sz w:val="21"/>
                <w:szCs w:val="21"/>
                <w:lang w:val="en-US" w:eastAsia="zh-CN"/>
              </w:rPr>
            </w:pPr>
            <w:r>
              <w:rPr>
                <w:rFonts w:hint="eastAsia"/>
                <w:sz w:val="21"/>
                <w:szCs w:val="21"/>
              </w:rPr>
              <w:t>北</w:t>
            </w:r>
          </w:p>
        </w:tc>
        <w:tc>
          <w:tcPr>
            <w:tcW w:w="1500" w:type="dxa"/>
            <w:noWrap w:val="0"/>
            <w:vAlign w:val="center"/>
          </w:tcPr>
          <w:p w14:paraId="674AA3E2">
            <w:pPr>
              <w:widowControl w:val="0"/>
              <w:spacing w:line="240" w:lineRule="auto"/>
              <w:ind w:firstLine="0"/>
              <w:jc w:val="center"/>
              <w:rPr>
                <w:rFonts w:hint="eastAsia" w:eastAsia="宋体"/>
                <w:sz w:val="21"/>
                <w:szCs w:val="21"/>
                <w:lang w:val="en-US" w:eastAsia="zh-CN"/>
              </w:rPr>
            </w:pPr>
            <w:r>
              <w:rPr>
                <w:rFonts w:hint="eastAsia" w:eastAsia="宋体"/>
                <w:sz w:val="21"/>
                <w:szCs w:val="21"/>
                <w:lang w:val="en-US" w:eastAsia="zh-CN"/>
              </w:rPr>
              <w:t>1777</w:t>
            </w:r>
            <w:r>
              <w:rPr>
                <w:rFonts w:hint="eastAsia"/>
                <w:sz w:val="21"/>
                <w:szCs w:val="21"/>
              </w:rPr>
              <w:t>m</w:t>
            </w:r>
          </w:p>
        </w:tc>
        <w:tc>
          <w:tcPr>
            <w:tcW w:w="1760" w:type="dxa"/>
            <w:noWrap w:val="0"/>
            <w:vAlign w:val="center"/>
          </w:tcPr>
          <w:p w14:paraId="1DFC45E6">
            <w:pPr>
              <w:widowControl w:val="0"/>
              <w:spacing w:line="240" w:lineRule="auto"/>
              <w:ind w:firstLine="0"/>
              <w:jc w:val="center"/>
              <w:rPr>
                <w:rFonts w:hint="eastAsia"/>
                <w:sz w:val="21"/>
                <w:szCs w:val="21"/>
              </w:rPr>
            </w:pPr>
            <w:r>
              <w:rPr>
                <w:rFonts w:hint="eastAsia" w:eastAsia="宋体"/>
                <w:color w:val="000000"/>
                <w:sz w:val="21"/>
                <w:szCs w:val="21"/>
                <w:lang w:val="en-US" w:eastAsia="zh-CN"/>
              </w:rPr>
              <w:t>2500</w:t>
            </w:r>
            <w:r>
              <w:rPr>
                <w:rFonts w:hint="eastAsia"/>
                <w:color w:val="000000"/>
                <w:sz w:val="21"/>
                <w:szCs w:val="21"/>
              </w:rPr>
              <w:t>人</w:t>
            </w:r>
          </w:p>
        </w:tc>
        <w:tc>
          <w:tcPr>
            <w:tcW w:w="2268" w:type="dxa"/>
            <w:vMerge w:val="continue"/>
            <w:noWrap w:val="0"/>
            <w:vAlign w:val="top"/>
          </w:tcPr>
          <w:p w14:paraId="2148521B">
            <w:pPr>
              <w:ind w:firstLine="420"/>
              <w:rPr>
                <w:sz w:val="21"/>
                <w:szCs w:val="21"/>
              </w:rPr>
            </w:pPr>
          </w:p>
        </w:tc>
      </w:tr>
      <w:tr w14:paraId="65BF3EA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6" w:type="dxa"/>
            <w:vMerge w:val="continue"/>
            <w:noWrap w:val="0"/>
            <w:vAlign w:val="top"/>
          </w:tcPr>
          <w:p w14:paraId="3FCE17C2">
            <w:pPr>
              <w:pStyle w:val="186"/>
            </w:pPr>
          </w:p>
        </w:tc>
        <w:tc>
          <w:tcPr>
            <w:tcW w:w="1688" w:type="dxa"/>
            <w:noWrap w:val="0"/>
            <w:vAlign w:val="center"/>
          </w:tcPr>
          <w:p w14:paraId="45754802">
            <w:pPr>
              <w:widowControl w:val="0"/>
              <w:spacing w:line="240" w:lineRule="auto"/>
              <w:ind w:firstLine="0"/>
              <w:jc w:val="center"/>
              <w:rPr>
                <w:rFonts w:hint="eastAsia"/>
                <w:sz w:val="21"/>
                <w:szCs w:val="21"/>
                <w:lang w:val="en-US" w:eastAsia="zh-CN" w:bidi="ar-SA"/>
              </w:rPr>
            </w:pPr>
            <w:r>
              <w:rPr>
                <w:rFonts w:hint="eastAsia" w:eastAsia="宋体"/>
                <w:sz w:val="21"/>
                <w:szCs w:val="21"/>
                <w:lang w:val="en-US" w:eastAsia="zh-CN"/>
              </w:rPr>
              <w:t>芒市大河</w:t>
            </w:r>
          </w:p>
        </w:tc>
        <w:tc>
          <w:tcPr>
            <w:tcW w:w="900" w:type="dxa"/>
            <w:noWrap w:val="0"/>
            <w:vAlign w:val="center"/>
          </w:tcPr>
          <w:p w14:paraId="495609E5">
            <w:pPr>
              <w:widowControl w:val="0"/>
              <w:spacing w:line="240" w:lineRule="auto"/>
              <w:ind w:firstLine="0"/>
              <w:jc w:val="center"/>
              <w:rPr>
                <w:rFonts w:hint="eastAsia"/>
                <w:sz w:val="21"/>
                <w:szCs w:val="21"/>
                <w:lang w:val="en-US" w:eastAsia="zh-CN" w:bidi="ar-SA"/>
              </w:rPr>
            </w:pPr>
            <w:r>
              <w:rPr>
                <w:rFonts w:hint="eastAsia" w:eastAsia="宋体"/>
                <w:sz w:val="21"/>
                <w:szCs w:val="21"/>
                <w:lang w:val="en-US" w:eastAsia="zh-CN"/>
              </w:rPr>
              <w:t>北</w:t>
            </w:r>
          </w:p>
        </w:tc>
        <w:tc>
          <w:tcPr>
            <w:tcW w:w="1500" w:type="dxa"/>
            <w:noWrap w:val="0"/>
            <w:vAlign w:val="center"/>
          </w:tcPr>
          <w:p w14:paraId="0E045620">
            <w:pPr>
              <w:widowControl w:val="0"/>
              <w:spacing w:line="240" w:lineRule="auto"/>
              <w:ind w:firstLine="0"/>
              <w:jc w:val="center"/>
              <w:rPr>
                <w:rFonts w:hint="eastAsia"/>
                <w:sz w:val="21"/>
                <w:szCs w:val="21"/>
                <w:lang w:val="en-US" w:eastAsia="zh-CN" w:bidi="ar-SA"/>
              </w:rPr>
            </w:pPr>
            <w:r>
              <w:rPr>
                <w:rFonts w:hint="eastAsia" w:eastAsia="宋体"/>
                <w:sz w:val="21"/>
                <w:szCs w:val="21"/>
                <w:lang w:val="en-US" w:eastAsia="zh-CN"/>
              </w:rPr>
              <w:t>600</w:t>
            </w:r>
            <w:r>
              <w:rPr>
                <w:sz w:val="21"/>
                <w:szCs w:val="21"/>
              </w:rPr>
              <w:t>m</w:t>
            </w:r>
          </w:p>
        </w:tc>
        <w:tc>
          <w:tcPr>
            <w:tcW w:w="1760" w:type="dxa"/>
            <w:noWrap w:val="0"/>
            <w:vAlign w:val="center"/>
          </w:tcPr>
          <w:p w14:paraId="170230E8">
            <w:pPr>
              <w:widowControl w:val="0"/>
              <w:spacing w:line="240" w:lineRule="auto"/>
              <w:ind w:firstLine="0"/>
              <w:jc w:val="center"/>
              <w:rPr>
                <w:rFonts w:hint="eastAsia" w:eastAsia="宋体"/>
                <w:sz w:val="21"/>
                <w:szCs w:val="21"/>
                <w:lang w:val="en-US" w:eastAsia="zh-CN" w:bidi="ar-SA"/>
              </w:rPr>
            </w:pPr>
            <w:r>
              <w:rPr>
                <w:rFonts w:hint="eastAsia" w:eastAsia="宋体"/>
                <w:sz w:val="21"/>
                <w:szCs w:val="21"/>
                <w:lang w:val="en-US" w:eastAsia="zh-CN"/>
              </w:rPr>
              <w:t>/</w:t>
            </w:r>
          </w:p>
        </w:tc>
        <w:tc>
          <w:tcPr>
            <w:tcW w:w="2268" w:type="dxa"/>
            <w:vMerge w:val="continue"/>
            <w:noWrap w:val="0"/>
            <w:vAlign w:val="top"/>
          </w:tcPr>
          <w:p w14:paraId="05D3293F">
            <w:pPr>
              <w:ind w:firstLine="420"/>
              <w:rPr>
                <w:sz w:val="21"/>
                <w:szCs w:val="21"/>
              </w:rPr>
            </w:pPr>
          </w:p>
        </w:tc>
      </w:tr>
    </w:tbl>
    <w:p w14:paraId="2103AF42">
      <w:pPr>
        <w:pStyle w:val="187"/>
        <w:rPr>
          <w:rFonts w:hint="eastAsia" w:ascii="Times New Roman" w:hAnsi="Times New Roman"/>
        </w:rPr>
      </w:pPr>
      <w:bookmarkStart w:id="49" w:name="_Toc470191810"/>
      <w:bookmarkStart w:id="50" w:name="_Toc4464"/>
      <w:r>
        <w:rPr>
          <w:rFonts w:hint="eastAsia" w:ascii="Times New Roman" w:hAnsi="Times New Roman"/>
        </w:rPr>
        <w:t xml:space="preserve">2.7 </w:t>
      </w:r>
      <w:bookmarkEnd w:id="49"/>
      <w:r>
        <w:rPr>
          <w:rFonts w:hint="eastAsia"/>
        </w:rPr>
        <w:t>评价专题设置及重点</w:t>
      </w:r>
      <w:bookmarkEnd w:id="50"/>
    </w:p>
    <w:p w14:paraId="32F01342">
      <w:pPr>
        <w:pStyle w:val="188"/>
      </w:pPr>
      <w:r>
        <w:rPr>
          <w:rFonts w:hint="eastAsia"/>
        </w:rPr>
        <w:t>2.7.1</w:t>
      </w:r>
      <w:r>
        <w:t xml:space="preserve"> </w:t>
      </w:r>
      <w:r>
        <w:rPr>
          <w:rFonts w:hint="eastAsia"/>
        </w:rPr>
        <w:t>评价专题设置</w:t>
      </w:r>
    </w:p>
    <w:p w14:paraId="2DFAB0C8">
      <w:pPr>
        <w:ind w:firstLine="480"/>
      </w:pPr>
      <w:r>
        <w:rPr>
          <w:rFonts w:hint="eastAsia"/>
        </w:rPr>
        <w:t>根据《环境影响评价技术导则</w:t>
      </w:r>
      <w:r>
        <w:t xml:space="preserve"> </w:t>
      </w:r>
      <w:r>
        <w:rPr>
          <w:rFonts w:hint="eastAsia"/>
        </w:rPr>
        <w:t>总纲》（</w:t>
      </w:r>
      <w:r>
        <w:t>HJ2.1-2016</w:t>
      </w:r>
      <w:r>
        <w:rPr>
          <w:rFonts w:hint="eastAsia"/>
        </w:rPr>
        <w:t>），本次评价设置以下专题：</w:t>
      </w:r>
    </w:p>
    <w:p w14:paraId="18BDBAEC">
      <w:pPr>
        <w:ind w:firstLine="480"/>
      </w:pPr>
      <w:r>
        <w:rPr>
          <w:rFonts w:hint="eastAsia"/>
        </w:rPr>
        <w:t>（</w:t>
      </w:r>
      <w:r>
        <w:t>1</w:t>
      </w:r>
      <w:r>
        <w:rPr>
          <w:rFonts w:hint="eastAsia"/>
        </w:rPr>
        <w:t>）概述</w:t>
      </w:r>
    </w:p>
    <w:p w14:paraId="28582AE5">
      <w:pPr>
        <w:ind w:firstLine="480"/>
      </w:pPr>
      <w:r>
        <w:rPr>
          <w:rFonts w:hint="eastAsia"/>
        </w:rPr>
        <w:t>（</w:t>
      </w:r>
      <w:r>
        <w:t>2</w:t>
      </w:r>
      <w:r>
        <w:rPr>
          <w:rFonts w:hint="eastAsia"/>
        </w:rPr>
        <w:t>）总则</w:t>
      </w:r>
    </w:p>
    <w:p w14:paraId="291F9B97">
      <w:pPr>
        <w:ind w:firstLine="480"/>
      </w:pPr>
      <w:r>
        <w:rPr>
          <w:rFonts w:hint="eastAsia"/>
        </w:rPr>
        <w:t>（</w:t>
      </w:r>
      <w:r>
        <w:t>3</w:t>
      </w:r>
      <w:r>
        <w:rPr>
          <w:rFonts w:hint="eastAsia"/>
        </w:rPr>
        <w:t>）建设项目工程分析</w:t>
      </w:r>
    </w:p>
    <w:p w14:paraId="32055644">
      <w:pPr>
        <w:ind w:firstLine="480"/>
      </w:pPr>
      <w:r>
        <w:rPr>
          <w:rFonts w:hint="eastAsia"/>
        </w:rPr>
        <w:t>（</w:t>
      </w:r>
      <w:r>
        <w:t>4</w:t>
      </w:r>
      <w:r>
        <w:rPr>
          <w:rFonts w:hint="eastAsia"/>
        </w:rPr>
        <w:t>）环境现状调查与评价</w:t>
      </w:r>
    </w:p>
    <w:p w14:paraId="4FD60728">
      <w:pPr>
        <w:ind w:firstLine="480"/>
      </w:pPr>
      <w:r>
        <w:rPr>
          <w:rFonts w:hint="eastAsia"/>
        </w:rPr>
        <w:t>（</w:t>
      </w:r>
      <w:r>
        <w:t>5</w:t>
      </w:r>
      <w:r>
        <w:rPr>
          <w:rFonts w:hint="eastAsia"/>
        </w:rPr>
        <w:t>）环境影响预测与评价</w:t>
      </w:r>
    </w:p>
    <w:p w14:paraId="76E3C47F">
      <w:pPr>
        <w:ind w:firstLine="480"/>
      </w:pPr>
      <w:r>
        <w:rPr>
          <w:rFonts w:hint="eastAsia"/>
        </w:rPr>
        <w:t>（</w:t>
      </w:r>
      <w:r>
        <w:t>6</w:t>
      </w:r>
      <w:r>
        <w:rPr>
          <w:rFonts w:hint="eastAsia"/>
        </w:rPr>
        <w:t>）环境风险评价</w:t>
      </w:r>
    </w:p>
    <w:p w14:paraId="104509F0">
      <w:pPr>
        <w:ind w:firstLine="480"/>
      </w:pPr>
      <w:r>
        <w:rPr>
          <w:rFonts w:hint="eastAsia"/>
        </w:rPr>
        <w:t>（7）环境保护措施及其可行性论证</w:t>
      </w:r>
    </w:p>
    <w:p w14:paraId="109AA5AC">
      <w:pPr>
        <w:ind w:firstLine="480"/>
        <w:rPr>
          <w:rFonts w:hint="eastAsia"/>
        </w:rPr>
      </w:pPr>
      <w:r>
        <w:rPr>
          <w:rFonts w:hint="eastAsia"/>
        </w:rPr>
        <w:t>（8）产业政策、规划符合性、选址可行性分析</w:t>
      </w:r>
    </w:p>
    <w:p w14:paraId="1A62668F">
      <w:pPr>
        <w:ind w:firstLine="480"/>
      </w:pPr>
      <w:r>
        <w:rPr>
          <w:rFonts w:hint="eastAsia"/>
        </w:rPr>
        <w:t>（9）环境影响经济损益分析</w:t>
      </w:r>
    </w:p>
    <w:p w14:paraId="7A8C1196">
      <w:pPr>
        <w:ind w:firstLine="480"/>
      </w:pPr>
      <w:r>
        <w:rPr>
          <w:rFonts w:hint="eastAsia"/>
        </w:rPr>
        <w:t>（10）环境管理与监测计划</w:t>
      </w:r>
    </w:p>
    <w:p w14:paraId="1AE89432">
      <w:pPr>
        <w:ind w:firstLine="480"/>
        <w:rPr>
          <w:rFonts w:hint="eastAsia"/>
        </w:rPr>
      </w:pPr>
      <w:r>
        <w:rPr>
          <w:rFonts w:hint="eastAsia"/>
        </w:rPr>
        <w:t>（11）清洁生产与总量控制</w:t>
      </w:r>
    </w:p>
    <w:p w14:paraId="34D2AB6D">
      <w:pPr>
        <w:ind w:firstLine="480"/>
      </w:pPr>
      <w:r>
        <w:rPr>
          <w:rFonts w:hint="eastAsia"/>
        </w:rPr>
        <w:t>（12）环境影响评价结论</w:t>
      </w:r>
    </w:p>
    <w:p w14:paraId="7B0751FA">
      <w:pPr>
        <w:pStyle w:val="188"/>
      </w:pPr>
      <w:r>
        <w:rPr>
          <w:rFonts w:hint="eastAsia"/>
        </w:rPr>
        <w:t>2.7.2 评价重点</w:t>
      </w:r>
    </w:p>
    <w:p w14:paraId="4774A370">
      <w:pPr>
        <w:ind w:firstLine="480"/>
        <w:rPr>
          <w:rFonts w:hAnsi="宋体"/>
          <w:szCs w:val="22"/>
        </w:rPr>
      </w:pPr>
      <w:r>
        <w:rPr>
          <w:rFonts w:hAnsi="宋体"/>
          <w:szCs w:val="22"/>
        </w:rPr>
        <w:t>根据项目</w:t>
      </w:r>
      <w:r>
        <w:rPr>
          <w:rFonts w:hint="eastAsia" w:hAnsi="宋体" w:eastAsia="宋体"/>
          <w:szCs w:val="22"/>
          <w:lang w:val="en-US" w:eastAsia="zh-CN"/>
        </w:rPr>
        <w:t>扩建</w:t>
      </w:r>
      <w:r>
        <w:rPr>
          <w:rFonts w:hAnsi="宋体"/>
          <w:szCs w:val="22"/>
        </w:rPr>
        <w:t>对环境影响的特点，结合区域环境质量现状及周边敏感保护目标分布情况，在正确识别有关环境影响因子和污染物排放的基础上，确定本次评价在工程分析的基础上重点对环境空气影响评价、地表水和地下水影响评价、环境风险评价、污染防治措施和厂址选择合理性进行论述，明确项目建设的环境可行性， 同时对</w:t>
      </w:r>
      <w:r>
        <w:rPr>
          <w:rFonts w:hint="eastAsia" w:hAnsi="宋体" w:eastAsia="宋体"/>
          <w:szCs w:val="22"/>
          <w:lang w:val="en-US" w:eastAsia="zh-CN"/>
        </w:rPr>
        <w:t>厂区现状</w:t>
      </w:r>
      <w:r>
        <w:rPr>
          <w:rFonts w:hAnsi="宋体"/>
          <w:szCs w:val="22"/>
        </w:rPr>
        <w:t>进行排查，找出存在的问题，提出整改措施，为项目运行过程中的环境保护提供必要的依据。</w:t>
      </w:r>
    </w:p>
    <w:p w14:paraId="7D986FE7">
      <w:pPr>
        <w:pStyle w:val="187"/>
        <w:rPr>
          <w:rFonts w:hint="eastAsia" w:ascii="Times New Roman" w:hAnsi="Times New Roman"/>
        </w:rPr>
      </w:pPr>
      <w:bookmarkStart w:id="51" w:name="_Toc3100"/>
      <w:r>
        <w:rPr>
          <w:rFonts w:hint="eastAsia" w:ascii="Times New Roman" w:hAnsi="Times New Roman"/>
        </w:rPr>
        <w:t>2.8</w:t>
      </w:r>
      <w:r>
        <w:rPr>
          <w:rFonts w:ascii="Times New Roman" w:hAnsi="Times New Roman"/>
        </w:rPr>
        <w:t xml:space="preserve"> </w:t>
      </w:r>
      <w:r>
        <w:rPr>
          <w:rFonts w:hint="eastAsia" w:ascii="Times New Roman" w:hAnsi="Times New Roman"/>
        </w:rPr>
        <w:t>环境影响评价的工作过程</w:t>
      </w:r>
      <w:bookmarkEnd w:id="51"/>
    </w:p>
    <w:p w14:paraId="0062C69D">
      <w:pPr>
        <w:ind w:firstLine="480"/>
        <w:rPr>
          <w:rStyle w:val="375"/>
          <w:rFonts w:ascii="Times New Roman" w:hAnsi="Times New Roman"/>
        </w:rPr>
      </w:pPr>
      <w:r>
        <w:rPr>
          <w:rStyle w:val="375"/>
          <w:rFonts w:ascii="Times New Roman" w:hAnsi="Times New Roman"/>
        </w:rPr>
        <w:t>我</w:t>
      </w:r>
      <w:r>
        <w:rPr>
          <w:rStyle w:val="375"/>
          <w:rFonts w:hint="eastAsia" w:ascii="Times New Roman" w:hAnsi="Times New Roman" w:eastAsia="宋体"/>
          <w:lang w:val="en-US" w:eastAsia="zh-CN"/>
        </w:rPr>
        <w:t>单位</w:t>
      </w:r>
      <w:r>
        <w:rPr>
          <w:rStyle w:val="375"/>
          <w:rFonts w:ascii="Times New Roman" w:hAnsi="Times New Roman"/>
        </w:rPr>
        <w:t>在接受建设单位委托后，及时组织技术人员现场踏勘，全面收集自然环境现状、建设项目工程概况等有关资料，进行初步的工程分析。根据现场踏勘、现状调查监测、环境影响预测等结果，确定项目建设对区域环境可能造成不良影响的范围和程度，从而提出避免污染、减少污染的对策措施；同时，建设单位同步开展项目环境影响评价阶段公众参与，在此基础上编制完成环境影响报告书。</w:t>
      </w:r>
    </w:p>
    <w:p w14:paraId="3A937FF0">
      <w:pPr>
        <w:ind w:firstLine="480"/>
        <w:rPr>
          <w:rStyle w:val="375"/>
          <w:rFonts w:ascii="Times New Roman" w:hAnsi="Times New Roman"/>
        </w:rPr>
      </w:pPr>
      <w:r>
        <w:rPr>
          <w:rStyle w:val="375"/>
          <w:rFonts w:ascii="Times New Roman" w:hAnsi="Times New Roman"/>
        </w:rPr>
        <w:t>项目环境影响评价工作程序见图2-1。</w:t>
      </w:r>
    </w:p>
    <w:p w14:paraId="032EEBB0">
      <w:pPr>
        <w:pStyle w:val="2"/>
        <w:ind w:firstLine="420"/>
        <w:jc w:val="center"/>
        <w:rPr>
          <w:rStyle w:val="375"/>
          <w:rFonts w:ascii="Times New Roman" w:hAnsi="Times New Roman"/>
        </w:rPr>
      </w:pPr>
      <w:r>
        <w:object>
          <v:shape id="_x0000_i1025" o:spt="75" type="#_x0000_t75" style="height:507.65pt;width:403.6pt;" o:ole="t" filled="f" o:preferrelative="t" stroked="f" coordsize="21600,21600">
            <v:path/>
            <v:fill on="f" focussize="0,0"/>
            <v:stroke on="f" joinstyle="miter"/>
            <v:imagedata r:id="rId26" o:title=""/>
            <o:lock v:ext="edit" rotation="t" aspectratio="t"/>
            <w10:wrap type="none"/>
            <w10:anchorlock/>
          </v:shape>
          <o:OLEObject Type="Embed" ProgID="Equation.3" ShapeID="_x0000_i1025" DrawAspect="Content" ObjectID="_1468075725" r:id="rId25">
            <o:LockedField>false</o:LockedField>
          </o:OLEObject>
        </w:object>
      </w:r>
    </w:p>
    <w:p w14:paraId="7F525C9A">
      <w:pPr>
        <w:tabs>
          <w:tab w:val="left" w:pos="851"/>
        </w:tabs>
        <w:ind w:firstLine="480"/>
        <w:jc w:val="center"/>
        <w:rPr>
          <w:rFonts w:hint="eastAsia" w:hAnsi="宋体"/>
          <w:b/>
        </w:rPr>
      </w:pPr>
      <w:r>
        <w:rPr>
          <w:b/>
        </w:rPr>
        <w:t>图</w:t>
      </w:r>
      <w:r>
        <w:rPr>
          <w:rFonts w:hint="eastAsia"/>
          <w:b/>
        </w:rPr>
        <w:t>2</w:t>
      </w:r>
      <w:r>
        <w:rPr>
          <w:b/>
        </w:rPr>
        <w:t>-</w:t>
      </w:r>
      <w:r>
        <w:rPr>
          <w:rFonts w:hint="eastAsia"/>
          <w:b/>
        </w:rPr>
        <w:t>1</w:t>
      </w:r>
      <w:r>
        <w:rPr>
          <w:b/>
        </w:rPr>
        <w:t xml:space="preserve">   </w:t>
      </w:r>
      <w:r>
        <w:rPr>
          <w:rFonts w:hAnsi="宋体"/>
          <w:b/>
        </w:rPr>
        <w:t>环境影响评价工作程序图</w:t>
      </w:r>
    </w:p>
    <w:p w14:paraId="14A06DAF">
      <w:pPr>
        <w:pStyle w:val="2"/>
        <w:ind w:firstLine="480"/>
        <w:rPr>
          <w:rStyle w:val="375"/>
          <w:rFonts w:ascii="Times New Roman" w:hAnsi="Times New Roman"/>
        </w:rPr>
      </w:pPr>
    </w:p>
    <w:p w14:paraId="4A8ED979">
      <w:pPr>
        <w:pStyle w:val="2"/>
        <w:ind w:firstLine="480"/>
        <w:rPr>
          <w:rStyle w:val="375"/>
          <w:rFonts w:ascii="Times New Roman" w:hAnsi="Times New Roman"/>
        </w:rPr>
      </w:pPr>
    </w:p>
    <w:p w14:paraId="283EA03C">
      <w:pPr>
        <w:pStyle w:val="2"/>
        <w:ind w:firstLine="480"/>
        <w:rPr>
          <w:rStyle w:val="375"/>
          <w:rFonts w:ascii="Times New Roman" w:hAnsi="Times New Roman"/>
        </w:rPr>
      </w:pPr>
    </w:p>
    <w:p w14:paraId="6E29CF64">
      <w:pPr>
        <w:spacing w:line="520" w:lineRule="exact"/>
        <w:ind w:firstLine="199"/>
        <w:rPr>
          <w:rFonts w:hint="eastAsia"/>
          <w:szCs w:val="24"/>
          <w:highlight w:val="yellow"/>
        </w:rPr>
        <w:sectPr>
          <w:footerReference r:id="rId12" w:type="default"/>
          <w:pgSz w:w="11906" w:h="16838" w:orient="landscape"/>
          <w:pgMar w:top="1440" w:right="1797" w:bottom="1440" w:left="1797" w:header="850" w:footer="992" w:gutter="0"/>
          <w:pgNumType w:start="1"/>
          <w:cols w:space="1701" w:num="1"/>
        </w:sectPr>
      </w:pPr>
    </w:p>
    <w:p w14:paraId="3872F74D">
      <w:pPr>
        <w:pStyle w:val="186"/>
        <w:numPr>
          <w:ilvl w:val="0"/>
          <w:numId w:val="3"/>
        </w:numPr>
        <w:ind w:firstLine="640"/>
        <w:rPr>
          <w:lang w:val="en-US"/>
        </w:rPr>
      </w:pPr>
      <w:bookmarkStart w:id="52" w:name="_Toc17953"/>
      <w:bookmarkStart w:id="53" w:name="_Toc335320848"/>
      <w:bookmarkStart w:id="54" w:name="_Toc418954599"/>
      <w:r>
        <w:rPr>
          <w:rFonts w:hint="eastAsia"/>
        </w:rPr>
        <w:t xml:space="preserve"> </w:t>
      </w:r>
      <w:bookmarkStart w:id="55" w:name="_Toc9491"/>
      <w:r>
        <w:rPr>
          <w:rFonts w:hint="eastAsia"/>
          <w:lang w:val="en-US" w:eastAsia="zh-CN"/>
        </w:rPr>
        <w:t>原有项目概况</w:t>
      </w:r>
      <w:bookmarkEnd w:id="52"/>
    </w:p>
    <w:p w14:paraId="5DA605C9">
      <w:pPr>
        <w:pStyle w:val="187"/>
        <w:rPr>
          <w:rFonts w:hint="eastAsia" w:ascii="Times New Roman" w:hAnsi="Times New Roman"/>
          <w:bCs/>
        </w:rPr>
      </w:pPr>
      <w:bookmarkStart w:id="56" w:name="_Toc31467"/>
      <w:r>
        <w:rPr>
          <w:rFonts w:hint="eastAsia" w:ascii="Times New Roman" w:hAnsi="Times New Roman"/>
          <w:bCs/>
        </w:rPr>
        <w:t>3.1原有项目概况</w:t>
      </w:r>
      <w:bookmarkEnd w:id="53"/>
      <w:bookmarkEnd w:id="54"/>
    </w:p>
    <w:p w14:paraId="21CFD1E2">
      <w:pPr>
        <w:pStyle w:val="188"/>
        <w:rPr>
          <w:rFonts w:hint="eastAsia"/>
        </w:rPr>
      </w:pPr>
      <w:bookmarkStart w:id="57" w:name="_Toc268600745"/>
      <w:bookmarkStart w:id="58" w:name="_Toc275940996"/>
      <w:bookmarkStart w:id="59" w:name="_Toc278532724"/>
      <w:bookmarkStart w:id="60" w:name="_Toc14273"/>
      <w:r>
        <w:rPr>
          <w:rFonts w:hint="eastAsia"/>
        </w:rPr>
        <w:t>3.1.1</w:t>
      </w:r>
      <w:bookmarkEnd w:id="55"/>
      <w:bookmarkEnd w:id="56"/>
      <w:bookmarkEnd w:id="57"/>
      <w:bookmarkEnd w:id="58"/>
      <w:r>
        <w:rPr>
          <w:rFonts w:hint="eastAsia"/>
        </w:rPr>
        <w:t>原有项目概况</w:t>
      </w:r>
    </w:p>
    <w:p w14:paraId="1DDBF902">
      <w:pPr>
        <w:ind w:firstLine="480"/>
        <w:rPr>
          <w:szCs w:val="22"/>
        </w:rPr>
      </w:pPr>
      <w:bookmarkStart w:id="61" w:name="_Toc275940997"/>
      <w:bookmarkStart w:id="62" w:name="_Toc268600746"/>
      <w:r>
        <w:rPr>
          <w:rFonts w:hint="eastAsia"/>
          <w:szCs w:val="22"/>
        </w:rPr>
        <w:t>云南永利发林业有限公司年产10万立方米全竹、竹木复合地板一厂区项目位于德宏州芒市镇大湾村委会街坡村民小组（奥环水泥厂西面），项目于2005年10月开工建设，2006年9月投入生产，项目总占地面积66466m</w:t>
      </w:r>
      <w:r>
        <w:rPr>
          <w:rFonts w:hint="eastAsia"/>
          <w:szCs w:val="22"/>
          <w:vertAlign w:val="superscript"/>
        </w:rPr>
        <w:t>2</w:t>
      </w:r>
      <w:r>
        <w:rPr>
          <w:rFonts w:hint="eastAsia"/>
          <w:szCs w:val="22"/>
        </w:rPr>
        <w:t>，主要建设内包括场地平整、生产厂房、仓库、办公、生活用房的建设等，</w:t>
      </w:r>
      <w:r>
        <w:rPr>
          <w:rFonts w:hint="eastAsia"/>
          <w:szCs w:val="22"/>
          <w:lang w:val="en-US" w:eastAsia="zh-CN"/>
        </w:rPr>
        <w:t>设计年产竹木符合箱用地板、建筑模板、胶合板10万m</w:t>
      </w:r>
      <w:r>
        <w:rPr>
          <w:rFonts w:hint="eastAsia"/>
          <w:szCs w:val="22"/>
          <w:vertAlign w:val="superscript"/>
          <w:lang w:val="en-US" w:eastAsia="zh-CN"/>
        </w:rPr>
        <w:t>3</w:t>
      </w:r>
      <w:r>
        <w:rPr>
          <w:rFonts w:hint="eastAsia"/>
          <w:szCs w:val="22"/>
          <w:lang w:val="en-US" w:eastAsia="zh-CN"/>
        </w:rPr>
        <w:t>。</w:t>
      </w:r>
      <w:r>
        <w:rPr>
          <w:rFonts w:hint="eastAsia"/>
          <w:szCs w:val="22"/>
        </w:rPr>
        <w:t>总投资13000万元，其中环保投资210万元，占投资的1.6%。该项目于2005年10月15日委托云南省德宏州环境科学研究所编制了“云南永利发林业有限公司年产10万立方米全竹、竹木复合地板一厂区建设项目环境影响报告表”，于2006年2月9日取得了德宏州环境保护局准予行政许可决定书，文号为：德环许准（2006）1号（见附件3）；于2010年3月开展了项目环境保护竣工验收，于2010年4月16日取了德宏州环境保护局关于云南永利发林业有限公司年产10万立方米全竹、竹木复合地板一厂区工程环境保护竣工验收的批复，文号为：德环审[2010]35号。（见附件4）</w:t>
      </w:r>
    </w:p>
    <w:p w14:paraId="30CEF95D">
      <w:pPr>
        <w:ind w:firstLine="480"/>
        <w:jc w:val="left"/>
        <w:rPr>
          <w:rFonts w:hint="eastAsia" w:ascii="TimesNewRomanPSMT" w:hAnsi="TimesNewRomanPSMT" w:eastAsia="TimesNewRomanPSMT" w:cs="TimesNewRomanPSMT"/>
          <w:color w:val="000000"/>
          <w:szCs w:val="24"/>
          <w:lang w:bidi="ar"/>
        </w:rPr>
      </w:pPr>
      <w:r>
        <w:rPr>
          <w:rFonts w:hint="eastAsia" w:ascii="宋体" w:hAnsi="宋体" w:cs="宋体"/>
          <w:color w:val="000000"/>
          <w:szCs w:val="24"/>
          <w:lang w:bidi="ar"/>
        </w:rPr>
        <w:t xml:space="preserve">原有项目环保手续执行情况见表 </w:t>
      </w:r>
      <w:r>
        <w:rPr>
          <w:rFonts w:hint="eastAsia" w:ascii="TimesNewRomanPSMT" w:hAnsi="TimesNewRomanPSMT" w:eastAsia="TimesNewRomanPSMT" w:cs="TimesNewRomanPSMT"/>
          <w:color w:val="000000"/>
          <w:szCs w:val="24"/>
          <w:lang w:bidi="ar"/>
        </w:rPr>
        <w:t>3</w:t>
      </w:r>
      <w:r>
        <w:rPr>
          <w:rFonts w:hint="eastAsia" w:ascii="TimesNewRomanPSMT" w:hAnsi="TimesNewRomanPSMT" w:eastAsia="宋体" w:cs="TimesNewRomanPSMT"/>
          <w:color w:val="000000"/>
          <w:szCs w:val="24"/>
          <w:lang w:val="en-US" w:eastAsia="zh-CN" w:bidi="ar"/>
        </w:rPr>
        <w:t>.1</w:t>
      </w:r>
      <w:r>
        <w:rPr>
          <w:rFonts w:hint="eastAsia" w:ascii="TimesNewRomanPSMT" w:hAnsi="TimesNewRomanPSMT" w:eastAsia="TimesNewRomanPSMT" w:cs="TimesNewRomanPSMT"/>
          <w:color w:val="000000"/>
          <w:szCs w:val="24"/>
          <w:lang w:bidi="ar"/>
        </w:rPr>
        <w:t>-1。</w:t>
      </w:r>
    </w:p>
    <w:p w14:paraId="20585FEC">
      <w:pPr>
        <w:pStyle w:val="2"/>
        <w:ind w:firstLine="482"/>
        <w:jc w:val="center"/>
        <w:rPr>
          <w:rFonts w:hint="eastAsia" w:ascii="TimesNewRomanPSMT" w:hAnsi="TimesNewRomanPSMT" w:eastAsia="TimesNewRomanPSMT" w:cs="TimesNewRomanPSMT"/>
          <w:b/>
          <w:bCs/>
          <w:color w:val="000000"/>
          <w:sz w:val="24"/>
          <w:szCs w:val="24"/>
          <w:lang w:bidi="ar"/>
        </w:rPr>
      </w:pPr>
      <w:r>
        <w:rPr>
          <w:rFonts w:hint="eastAsia" w:ascii="TimesNewRomanPSMT" w:hAnsi="TimesNewRomanPSMT" w:eastAsia="TimesNewRomanPSMT" w:cs="TimesNewRomanPSMT"/>
          <w:b/>
          <w:bCs/>
          <w:color w:val="000000"/>
          <w:sz w:val="24"/>
          <w:szCs w:val="24"/>
          <w:lang w:bidi="ar"/>
        </w:rPr>
        <w:t>表3</w:t>
      </w:r>
      <w:r>
        <w:rPr>
          <w:rFonts w:hint="eastAsia" w:ascii="TimesNewRomanPSMT" w:hAnsi="TimesNewRomanPSMT" w:eastAsia="宋体" w:cs="TimesNewRomanPSMT"/>
          <w:b/>
          <w:bCs/>
          <w:color w:val="000000"/>
          <w:sz w:val="24"/>
          <w:szCs w:val="24"/>
          <w:lang w:val="en-US" w:eastAsia="zh-CN" w:bidi="ar"/>
        </w:rPr>
        <w:t>.1</w:t>
      </w:r>
      <w:r>
        <w:rPr>
          <w:rFonts w:hint="eastAsia" w:ascii="TimesNewRomanPSMT" w:hAnsi="TimesNewRomanPSMT" w:eastAsia="TimesNewRomanPSMT" w:cs="TimesNewRomanPSMT"/>
          <w:b/>
          <w:bCs/>
          <w:color w:val="000000"/>
          <w:sz w:val="24"/>
          <w:szCs w:val="24"/>
          <w:lang w:bidi="ar"/>
        </w:rPr>
        <w:t>-1原有项目环保手续执行情况</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131"/>
        <w:gridCol w:w="2132"/>
        <w:gridCol w:w="2132"/>
      </w:tblGrid>
      <w:tr w14:paraId="0663FAD7">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PrEx>
        <w:trPr>
          <w:jc w:val="center"/>
        </w:trPr>
        <w:tc>
          <w:tcPr>
            <w:tcW w:w="2131" w:type="dxa"/>
            <w:noWrap w:val="0"/>
            <w:vAlign w:val="center"/>
          </w:tcPr>
          <w:p w14:paraId="4A13703C">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eastAsia="TimesNewRomanPSMT" w:cs="Times New Roman"/>
                <w:b/>
                <w:bCs/>
                <w:color w:val="000000"/>
                <w:lang w:bidi="ar"/>
              </w:rPr>
              <w:t>项目名称</w:t>
            </w:r>
          </w:p>
        </w:tc>
        <w:tc>
          <w:tcPr>
            <w:tcW w:w="2131" w:type="dxa"/>
            <w:noWrap w:val="0"/>
            <w:vAlign w:val="center"/>
          </w:tcPr>
          <w:p w14:paraId="5E78E838">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eastAsia="TimesNewRomanPSMT" w:cs="Times New Roman"/>
                <w:b/>
                <w:bCs/>
                <w:color w:val="000000"/>
                <w:lang w:bidi="ar"/>
              </w:rPr>
              <w:t>环评批复文号</w:t>
            </w:r>
          </w:p>
        </w:tc>
        <w:tc>
          <w:tcPr>
            <w:tcW w:w="2132" w:type="dxa"/>
            <w:noWrap w:val="0"/>
            <w:vAlign w:val="center"/>
          </w:tcPr>
          <w:p w14:paraId="505FCB71">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eastAsia="TimesNewRomanPSMT" w:cs="Times New Roman"/>
                <w:b/>
                <w:bCs/>
                <w:color w:val="000000"/>
                <w:lang w:bidi="ar"/>
              </w:rPr>
              <w:t>验收批复文号</w:t>
            </w:r>
          </w:p>
        </w:tc>
        <w:tc>
          <w:tcPr>
            <w:tcW w:w="2132" w:type="dxa"/>
            <w:noWrap w:val="0"/>
            <w:vAlign w:val="center"/>
          </w:tcPr>
          <w:p w14:paraId="0E32761A">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eastAsia="TimesNewRomanPSMT" w:cs="Times New Roman"/>
                <w:b/>
                <w:bCs/>
                <w:color w:val="000000"/>
                <w:lang w:bidi="ar"/>
              </w:rPr>
              <w:t>当前运行情况</w:t>
            </w:r>
          </w:p>
        </w:tc>
      </w:tr>
      <w:tr w14:paraId="38F624A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noWrap w:val="0"/>
            <w:vAlign w:val="center"/>
          </w:tcPr>
          <w:p w14:paraId="58DDE6FA">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cs="Times New Roman"/>
              </w:rPr>
              <w:t>云南永利发林业有限公司年产10万立方米全竹、竹木复合地板一厂区项目</w:t>
            </w:r>
          </w:p>
        </w:tc>
        <w:tc>
          <w:tcPr>
            <w:tcW w:w="2131" w:type="dxa"/>
            <w:noWrap w:val="0"/>
            <w:vAlign w:val="center"/>
          </w:tcPr>
          <w:p w14:paraId="5D3ED8F6">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cs="Times New Roman"/>
              </w:rPr>
              <w:t>德环许准（2006）1号</w:t>
            </w:r>
          </w:p>
        </w:tc>
        <w:tc>
          <w:tcPr>
            <w:tcW w:w="2132" w:type="dxa"/>
            <w:noWrap w:val="0"/>
            <w:vAlign w:val="center"/>
          </w:tcPr>
          <w:p w14:paraId="573F3709">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cs="Times New Roman"/>
              </w:rPr>
              <w:t>德环审[2010]35号</w:t>
            </w:r>
          </w:p>
        </w:tc>
        <w:tc>
          <w:tcPr>
            <w:tcW w:w="2132" w:type="dxa"/>
            <w:noWrap w:val="0"/>
            <w:vAlign w:val="center"/>
          </w:tcPr>
          <w:p w14:paraId="7608B3DD">
            <w:pPr>
              <w:pStyle w:val="2"/>
              <w:widowControl w:val="0"/>
              <w:ind w:firstLine="0"/>
              <w:jc w:val="center"/>
              <w:rPr>
                <w:rFonts w:ascii="Times New Roman" w:hAnsi="Times New Roman" w:eastAsia="TimesNewRomanPSMT" w:cs="Times New Roman"/>
                <w:b/>
                <w:bCs/>
                <w:color w:val="000000"/>
                <w:lang w:bidi="ar"/>
              </w:rPr>
            </w:pPr>
            <w:r>
              <w:rPr>
                <w:rFonts w:ascii="Times New Roman" w:hAnsi="Times New Roman" w:eastAsia="TimesNewRomanPSMT" w:cs="Times New Roman"/>
                <w:color w:val="000000"/>
                <w:lang w:bidi="ar"/>
              </w:rPr>
              <w:t>正常运行</w:t>
            </w:r>
          </w:p>
        </w:tc>
      </w:tr>
      <w:bookmarkEnd w:id="59"/>
      <w:bookmarkEnd w:id="60"/>
    </w:tbl>
    <w:p w14:paraId="04343FF1">
      <w:pPr>
        <w:pStyle w:val="188"/>
        <w:rPr>
          <w:rFonts w:hint="eastAsia"/>
        </w:rPr>
      </w:pPr>
      <w:bookmarkStart w:id="63" w:name="_Toc278532727"/>
      <w:bookmarkStart w:id="64" w:name="_Toc24205"/>
      <w:r>
        <w:rPr>
          <w:rFonts w:hint="eastAsia"/>
        </w:rPr>
        <w:t>3.1.2原有项目主要设备</w:t>
      </w:r>
      <w:bookmarkEnd w:id="61"/>
      <w:bookmarkEnd w:id="62"/>
    </w:p>
    <w:p w14:paraId="6E86D90C">
      <w:pPr>
        <w:widowControl w:val="0"/>
        <w:ind w:firstLine="0"/>
        <w:rPr>
          <w:rFonts w:hint="eastAsia" w:ascii="宋体" w:hAnsi="宋体"/>
          <w:szCs w:val="24"/>
        </w:rPr>
      </w:pPr>
      <w:r>
        <w:rPr>
          <w:rFonts w:hint="eastAsia" w:ascii="宋体" w:hAnsi="宋体"/>
          <w:b/>
          <w:sz w:val="21"/>
          <w:szCs w:val="24"/>
        </w:rPr>
        <w:t xml:space="preserve">    </w:t>
      </w:r>
      <w:r>
        <w:rPr>
          <w:rFonts w:hint="eastAsia" w:ascii="宋体" w:hAnsi="宋体"/>
          <w:szCs w:val="24"/>
        </w:rPr>
        <w:t xml:space="preserve"> 原有项目主要设备如表</w:t>
      </w:r>
      <w:r>
        <w:rPr>
          <w:rFonts w:ascii="Times New Roman" w:hAnsi="Times New Roman" w:cs="Times New Roman"/>
          <w:szCs w:val="24"/>
        </w:rPr>
        <w:t>3</w:t>
      </w:r>
      <w:r>
        <w:rPr>
          <w:rFonts w:ascii="Times New Roman" w:hAnsi="Times New Roman" w:cs="Times New Roman"/>
          <w:szCs w:val="24"/>
          <w:lang w:val="en-US" w:eastAsia="zh-CN"/>
        </w:rPr>
        <w:t>.1</w:t>
      </w:r>
      <w:r>
        <w:rPr>
          <w:rFonts w:ascii="Times New Roman" w:hAnsi="Times New Roman" w:cs="Times New Roman"/>
          <w:szCs w:val="24"/>
        </w:rPr>
        <w:t>-2所示。</w:t>
      </w:r>
    </w:p>
    <w:p w14:paraId="4C1527A9">
      <w:pPr>
        <w:widowControl w:val="0"/>
        <w:ind w:firstLine="1205"/>
        <w:rPr>
          <w:rFonts w:ascii="Times New Roman" w:hAnsi="Times New Roman" w:cs="Times New Roman"/>
          <w:b/>
          <w:szCs w:val="24"/>
        </w:rPr>
      </w:pPr>
      <w:r>
        <w:rPr>
          <w:rFonts w:hint="eastAsia" w:ascii="宋体" w:hAnsi="宋体"/>
          <w:b/>
          <w:szCs w:val="24"/>
        </w:rPr>
        <w:t xml:space="preserve">    </w:t>
      </w:r>
      <w:r>
        <w:rPr>
          <w:rFonts w:ascii="Times New Roman" w:hAnsi="Times New Roman" w:cs="Times New Roman"/>
          <w:b/>
          <w:szCs w:val="24"/>
        </w:rPr>
        <w:t xml:space="preserve">   表3</w:t>
      </w:r>
      <w:r>
        <w:rPr>
          <w:rFonts w:ascii="Times New Roman" w:hAnsi="Times New Roman" w:cs="Times New Roman"/>
          <w:b/>
          <w:szCs w:val="24"/>
          <w:lang w:val="en-US" w:eastAsia="zh-CN"/>
        </w:rPr>
        <w:t>.1</w:t>
      </w:r>
      <w:r>
        <w:rPr>
          <w:rFonts w:ascii="Times New Roman" w:hAnsi="Times New Roman" w:cs="Times New Roman"/>
          <w:b/>
          <w:szCs w:val="24"/>
        </w:rPr>
        <w:t>-2  原有项目主要设备一览表</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fixed"/>
        <w:tblCellMar>
          <w:top w:w="15" w:type="dxa"/>
          <w:left w:w="108" w:type="dxa"/>
          <w:bottom w:w="15" w:type="dxa"/>
          <w:right w:w="108" w:type="dxa"/>
        </w:tblCellMar>
      </w:tblPr>
      <w:tblGrid>
        <w:gridCol w:w="890"/>
        <w:gridCol w:w="2948"/>
        <w:gridCol w:w="890"/>
        <w:gridCol w:w="890"/>
        <w:gridCol w:w="1772"/>
        <w:gridCol w:w="890"/>
      </w:tblGrid>
      <w:tr w14:paraId="77F03D1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46" w:hRule="atLeast"/>
          <w:jc w:val="center"/>
        </w:trPr>
        <w:tc>
          <w:tcPr>
            <w:tcW w:w="890" w:type="dxa"/>
            <w:noWrap w:val="0"/>
            <w:vAlign w:val="center"/>
          </w:tcPr>
          <w:p w14:paraId="0FCD3D4D">
            <w:pPr>
              <w:spacing w:line="240" w:lineRule="auto"/>
              <w:ind w:firstLine="0"/>
              <w:jc w:val="center"/>
              <w:rPr>
                <w:b/>
                <w:bCs/>
                <w:color w:val="000000"/>
                <w:sz w:val="21"/>
                <w:szCs w:val="21"/>
              </w:rPr>
            </w:pPr>
            <w:r>
              <w:rPr>
                <w:rFonts w:hint="eastAsia"/>
                <w:b/>
                <w:bCs/>
                <w:color w:val="000000"/>
                <w:sz w:val="21"/>
                <w:szCs w:val="21"/>
              </w:rPr>
              <w:t>序</w:t>
            </w:r>
            <w:r>
              <w:rPr>
                <w:b/>
                <w:bCs/>
                <w:color w:val="000000"/>
                <w:sz w:val="21"/>
                <w:szCs w:val="21"/>
              </w:rPr>
              <w:t>号</w:t>
            </w:r>
          </w:p>
        </w:tc>
        <w:tc>
          <w:tcPr>
            <w:tcW w:w="2948" w:type="dxa"/>
            <w:noWrap w:val="0"/>
            <w:vAlign w:val="center"/>
          </w:tcPr>
          <w:p w14:paraId="47590492">
            <w:pPr>
              <w:spacing w:line="240" w:lineRule="auto"/>
              <w:ind w:firstLine="0"/>
              <w:jc w:val="center"/>
              <w:rPr>
                <w:b/>
                <w:bCs/>
                <w:color w:val="000000"/>
                <w:sz w:val="21"/>
                <w:szCs w:val="21"/>
              </w:rPr>
            </w:pPr>
            <w:r>
              <w:rPr>
                <w:b/>
                <w:bCs/>
                <w:color w:val="000000"/>
                <w:sz w:val="21"/>
                <w:szCs w:val="21"/>
              </w:rPr>
              <w:t>设备名称</w:t>
            </w:r>
          </w:p>
        </w:tc>
        <w:tc>
          <w:tcPr>
            <w:tcW w:w="890" w:type="dxa"/>
            <w:noWrap w:val="0"/>
            <w:vAlign w:val="center"/>
          </w:tcPr>
          <w:p w14:paraId="697FFAD8">
            <w:pPr>
              <w:spacing w:line="240" w:lineRule="auto"/>
              <w:ind w:firstLine="0"/>
              <w:jc w:val="center"/>
              <w:rPr>
                <w:b/>
                <w:bCs/>
                <w:color w:val="000000"/>
                <w:sz w:val="21"/>
                <w:szCs w:val="21"/>
              </w:rPr>
            </w:pPr>
            <w:r>
              <w:rPr>
                <w:b/>
                <w:bCs/>
                <w:color w:val="000000"/>
                <w:sz w:val="21"/>
                <w:szCs w:val="21"/>
              </w:rPr>
              <w:t>单位</w:t>
            </w:r>
          </w:p>
        </w:tc>
        <w:tc>
          <w:tcPr>
            <w:tcW w:w="890" w:type="dxa"/>
            <w:noWrap w:val="0"/>
            <w:vAlign w:val="center"/>
          </w:tcPr>
          <w:p w14:paraId="4263662C">
            <w:pPr>
              <w:spacing w:line="240" w:lineRule="auto"/>
              <w:ind w:firstLine="0"/>
              <w:jc w:val="center"/>
              <w:rPr>
                <w:b/>
                <w:bCs/>
                <w:color w:val="000000"/>
                <w:sz w:val="21"/>
                <w:szCs w:val="21"/>
              </w:rPr>
            </w:pPr>
            <w:r>
              <w:rPr>
                <w:b/>
                <w:bCs/>
                <w:color w:val="000000"/>
                <w:sz w:val="21"/>
                <w:szCs w:val="21"/>
              </w:rPr>
              <w:t>数量</w:t>
            </w:r>
          </w:p>
        </w:tc>
        <w:tc>
          <w:tcPr>
            <w:tcW w:w="1772" w:type="dxa"/>
            <w:noWrap w:val="0"/>
            <w:vAlign w:val="center"/>
          </w:tcPr>
          <w:p w14:paraId="0B2226FF">
            <w:pPr>
              <w:spacing w:line="240" w:lineRule="auto"/>
              <w:ind w:firstLine="0"/>
              <w:jc w:val="center"/>
              <w:rPr>
                <w:b/>
                <w:bCs/>
                <w:color w:val="000000"/>
                <w:sz w:val="21"/>
                <w:szCs w:val="21"/>
              </w:rPr>
            </w:pPr>
            <w:r>
              <w:rPr>
                <w:b/>
                <w:bCs/>
                <w:color w:val="000000"/>
                <w:sz w:val="21"/>
                <w:szCs w:val="21"/>
              </w:rPr>
              <w:t>规格、型号</w:t>
            </w:r>
          </w:p>
        </w:tc>
        <w:tc>
          <w:tcPr>
            <w:tcW w:w="890" w:type="dxa"/>
            <w:noWrap w:val="0"/>
            <w:vAlign w:val="center"/>
          </w:tcPr>
          <w:p w14:paraId="59A21ED5">
            <w:pPr>
              <w:spacing w:line="240" w:lineRule="auto"/>
              <w:ind w:firstLine="0"/>
              <w:jc w:val="center"/>
              <w:rPr>
                <w:b/>
                <w:bCs/>
                <w:color w:val="000000"/>
                <w:sz w:val="21"/>
                <w:szCs w:val="21"/>
              </w:rPr>
            </w:pPr>
            <w:r>
              <w:rPr>
                <w:b/>
                <w:bCs/>
                <w:color w:val="000000"/>
                <w:sz w:val="21"/>
                <w:szCs w:val="21"/>
              </w:rPr>
              <w:t>备注</w:t>
            </w:r>
          </w:p>
        </w:tc>
      </w:tr>
      <w:tr w14:paraId="24962DE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46" w:hRule="atLeast"/>
          <w:jc w:val="center"/>
        </w:trPr>
        <w:tc>
          <w:tcPr>
            <w:tcW w:w="890" w:type="dxa"/>
            <w:noWrap w:val="0"/>
            <w:vAlign w:val="center"/>
          </w:tcPr>
          <w:p w14:paraId="689940EC">
            <w:pPr>
              <w:spacing w:line="240" w:lineRule="auto"/>
              <w:ind w:firstLine="0"/>
              <w:jc w:val="center"/>
              <w:rPr>
                <w:color w:val="000000"/>
                <w:sz w:val="21"/>
                <w:szCs w:val="21"/>
              </w:rPr>
            </w:pPr>
            <w:r>
              <w:rPr>
                <w:rFonts w:hint="eastAsia"/>
                <w:color w:val="000000"/>
                <w:sz w:val="21"/>
                <w:szCs w:val="21"/>
              </w:rPr>
              <w:t>1</w:t>
            </w:r>
          </w:p>
        </w:tc>
        <w:tc>
          <w:tcPr>
            <w:tcW w:w="2948" w:type="dxa"/>
            <w:noWrap w:val="0"/>
            <w:vAlign w:val="center"/>
          </w:tcPr>
          <w:p w14:paraId="27C58991">
            <w:pPr>
              <w:spacing w:line="240" w:lineRule="auto"/>
              <w:ind w:firstLine="0"/>
              <w:jc w:val="center"/>
              <w:rPr>
                <w:color w:val="000000"/>
                <w:sz w:val="21"/>
                <w:szCs w:val="21"/>
              </w:rPr>
            </w:pPr>
            <w:r>
              <w:rPr>
                <w:rFonts w:hint="eastAsia"/>
                <w:color w:val="000000"/>
                <w:sz w:val="21"/>
                <w:szCs w:val="21"/>
              </w:rPr>
              <w:t>旋切机</w:t>
            </w:r>
          </w:p>
        </w:tc>
        <w:tc>
          <w:tcPr>
            <w:tcW w:w="890" w:type="dxa"/>
            <w:noWrap w:val="0"/>
            <w:vAlign w:val="center"/>
          </w:tcPr>
          <w:p w14:paraId="3F791FC1">
            <w:pPr>
              <w:spacing w:line="240" w:lineRule="auto"/>
              <w:ind w:firstLine="0"/>
              <w:jc w:val="center"/>
              <w:rPr>
                <w:rFonts w:hint="eastAsia"/>
                <w:color w:val="000000"/>
                <w:sz w:val="21"/>
                <w:szCs w:val="21"/>
              </w:rPr>
            </w:pPr>
            <w:r>
              <w:rPr>
                <w:rFonts w:hint="eastAsia"/>
                <w:color w:val="000000"/>
                <w:sz w:val="21"/>
                <w:szCs w:val="21"/>
              </w:rPr>
              <w:t>台</w:t>
            </w:r>
          </w:p>
        </w:tc>
        <w:tc>
          <w:tcPr>
            <w:tcW w:w="890" w:type="dxa"/>
            <w:noWrap w:val="0"/>
            <w:vAlign w:val="center"/>
          </w:tcPr>
          <w:p w14:paraId="5BE35365">
            <w:pPr>
              <w:spacing w:line="240" w:lineRule="auto"/>
              <w:ind w:firstLine="0"/>
              <w:jc w:val="center"/>
              <w:rPr>
                <w:rFonts w:hint="eastAsia"/>
                <w:color w:val="000000"/>
                <w:sz w:val="21"/>
                <w:szCs w:val="21"/>
              </w:rPr>
            </w:pPr>
            <w:r>
              <w:rPr>
                <w:rFonts w:hint="eastAsia"/>
                <w:color w:val="000000"/>
                <w:sz w:val="21"/>
                <w:szCs w:val="21"/>
              </w:rPr>
              <w:t>2</w:t>
            </w:r>
          </w:p>
        </w:tc>
        <w:tc>
          <w:tcPr>
            <w:tcW w:w="1772" w:type="dxa"/>
            <w:noWrap w:val="0"/>
            <w:vAlign w:val="center"/>
          </w:tcPr>
          <w:p w14:paraId="393CEE37">
            <w:pPr>
              <w:spacing w:line="240" w:lineRule="auto"/>
              <w:ind w:firstLine="0"/>
              <w:jc w:val="center"/>
              <w:rPr>
                <w:color w:val="000000"/>
                <w:sz w:val="21"/>
                <w:szCs w:val="21"/>
              </w:rPr>
            </w:pPr>
          </w:p>
        </w:tc>
        <w:tc>
          <w:tcPr>
            <w:tcW w:w="890" w:type="dxa"/>
            <w:noWrap w:val="0"/>
            <w:vAlign w:val="center"/>
          </w:tcPr>
          <w:p w14:paraId="68D5F412">
            <w:pPr>
              <w:spacing w:line="240" w:lineRule="auto"/>
              <w:ind w:firstLine="0"/>
              <w:jc w:val="center"/>
              <w:rPr>
                <w:b/>
                <w:bCs/>
                <w:color w:val="000000"/>
                <w:sz w:val="21"/>
                <w:szCs w:val="21"/>
              </w:rPr>
            </w:pPr>
          </w:p>
        </w:tc>
      </w:tr>
      <w:tr w14:paraId="75A9459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46" w:hRule="atLeast"/>
          <w:jc w:val="center"/>
        </w:trPr>
        <w:tc>
          <w:tcPr>
            <w:tcW w:w="890" w:type="dxa"/>
            <w:noWrap w:val="0"/>
            <w:vAlign w:val="center"/>
          </w:tcPr>
          <w:p w14:paraId="34D39F85">
            <w:pPr>
              <w:spacing w:line="240" w:lineRule="auto"/>
              <w:ind w:firstLine="0"/>
              <w:jc w:val="center"/>
              <w:rPr>
                <w:color w:val="000000"/>
                <w:sz w:val="21"/>
                <w:szCs w:val="21"/>
              </w:rPr>
            </w:pPr>
            <w:r>
              <w:rPr>
                <w:rFonts w:hint="eastAsia"/>
                <w:color w:val="000000"/>
                <w:sz w:val="21"/>
                <w:szCs w:val="21"/>
              </w:rPr>
              <w:t>2</w:t>
            </w:r>
          </w:p>
        </w:tc>
        <w:tc>
          <w:tcPr>
            <w:tcW w:w="2948" w:type="dxa"/>
            <w:noWrap w:val="0"/>
            <w:vAlign w:val="center"/>
          </w:tcPr>
          <w:p w14:paraId="441A5F31">
            <w:pPr>
              <w:spacing w:line="240" w:lineRule="auto"/>
              <w:ind w:firstLine="0"/>
              <w:jc w:val="center"/>
              <w:rPr>
                <w:color w:val="000000"/>
                <w:sz w:val="21"/>
                <w:szCs w:val="21"/>
              </w:rPr>
            </w:pPr>
            <w:r>
              <w:rPr>
                <w:rFonts w:hint="eastAsia"/>
                <w:color w:val="000000"/>
                <w:sz w:val="21"/>
                <w:szCs w:val="21"/>
              </w:rPr>
              <w:t>刨片机</w:t>
            </w:r>
          </w:p>
        </w:tc>
        <w:tc>
          <w:tcPr>
            <w:tcW w:w="890" w:type="dxa"/>
            <w:noWrap w:val="0"/>
            <w:vAlign w:val="center"/>
          </w:tcPr>
          <w:p w14:paraId="22F2D2D2">
            <w:pPr>
              <w:spacing w:line="240" w:lineRule="auto"/>
              <w:ind w:firstLine="0"/>
              <w:jc w:val="center"/>
              <w:rPr>
                <w:color w:val="000000"/>
                <w:sz w:val="21"/>
                <w:szCs w:val="21"/>
              </w:rPr>
            </w:pPr>
            <w:r>
              <w:rPr>
                <w:rFonts w:hint="eastAsia"/>
                <w:color w:val="000000"/>
                <w:sz w:val="21"/>
                <w:szCs w:val="21"/>
              </w:rPr>
              <w:t>台</w:t>
            </w:r>
          </w:p>
        </w:tc>
        <w:tc>
          <w:tcPr>
            <w:tcW w:w="890" w:type="dxa"/>
            <w:noWrap w:val="0"/>
            <w:vAlign w:val="center"/>
          </w:tcPr>
          <w:p w14:paraId="1811E954">
            <w:pPr>
              <w:spacing w:line="240" w:lineRule="auto"/>
              <w:ind w:firstLine="0"/>
              <w:jc w:val="center"/>
              <w:rPr>
                <w:color w:val="000000"/>
                <w:sz w:val="21"/>
                <w:szCs w:val="21"/>
              </w:rPr>
            </w:pPr>
            <w:r>
              <w:rPr>
                <w:rFonts w:hint="eastAsia"/>
                <w:color w:val="000000"/>
                <w:sz w:val="21"/>
                <w:szCs w:val="21"/>
              </w:rPr>
              <w:t>1</w:t>
            </w:r>
          </w:p>
        </w:tc>
        <w:tc>
          <w:tcPr>
            <w:tcW w:w="1772" w:type="dxa"/>
            <w:noWrap w:val="0"/>
            <w:vAlign w:val="center"/>
          </w:tcPr>
          <w:p w14:paraId="72708434">
            <w:pPr>
              <w:spacing w:line="240" w:lineRule="auto"/>
              <w:ind w:firstLine="0"/>
              <w:jc w:val="center"/>
              <w:rPr>
                <w:color w:val="000000"/>
                <w:sz w:val="21"/>
                <w:szCs w:val="21"/>
              </w:rPr>
            </w:pPr>
          </w:p>
        </w:tc>
        <w:tc>
          <w:tcPr>
            <w:tcW w:w="890" w:type="dxa"/>
            <w:noWrap w:val="0"/>
            <w:vAlign w:val="center"/>
          </w:tcPr>
          <w:p w14:paraId="76160048">
            <w:pPr>
              <w:spacing w:line="240" w:lineRule="auto"/>
              <w:ind w:firstLine="0"/>
              <w:jc w:val="center"/>
              <w:rPr>
                <w:b/>
                <w:bCs/>
                <w:color w:val="000000"/>
                <w:sz w:val="21"/>
                <w:szCs w:val="21"/>
              </w:rPr>
            </w:pPr>
          </w:p>
        </w:tc>
      </w:tr>
      <w:tr w14:paraId="3466BC8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3B610F8C">
            <w:pPr>
              <w:spacing w:line="240" w:lineRule="auto"/>
              <w:ind w:firstLine="0"/>
              <w:jc w:val="center"/>
              <w:rPr>
                <w:rFonts w:hint="eastAsia"/>
                <w:color w:val="000000"/>
                <w:sz w:val="21"/>
                <w:szCs w:val="21"/>
              </w:rPr>
            </w:pPr>
            <w:r>
              <w:rPr>
                <w:rFonts w:hint="eastAsia"/>
                <w:color w:val="000000"/>
                <w:sz w:val="21"/>
                <w:szCs w:val="21"/>
              </w:rPr>
              <w:t>3</w:t>
            </w:r>
          </w:p>
        </w:tc>
        <w:tc>
          <w:tcPr>
            <w:tcW w:w="2948" w:type="dxa"/>
            <w:noWrap w:val="0"/>
            <w:vAlign w:val="center"/>
          </w:tcPr>
          <w:p w14:paraId="42CDDDA4">
            <w:pPr>
              <w:widowControl w:val="0"/>
              <w:spacing w:line="240" w:lineRule="auto"/>
              <w:ind w:firstLine="0"/>
              <w:jc w:val="center"/>
              <w:rPr>
                <w:rFonts w:hint="eastAsia"/>
                <w:color w:val="000000"/>
                <w:sz w:val="21"/>
                <w:szCs w:val="21"/>
              </w:rPr>
            </w:pPr>
            <w:r>
              <w:rPr>
                <w:rFonts w:hint="eastAsia"/>
                <w:color w:val="000000"/>
                <w:sz w:val="21"/>
                <w:szCs w:val="21"/>
              </w:rPr>
              <w:t>干燥机</w:t>
            </w:r>
          </w:p>
        </w:tc>
        <w:tc>
          <w:tcPr>
            <w:tcW w:w="890" w:type="dxa"/>
            <w:noWrap w:val="0"/>
            <w:vAlign w:val="center"/>
          </w:tcPr>
          <w:p w14:paraId="7385F7DF">
            <w:pPr>
              <w:spacing w:line="240" w:lineRule="auto"/>
              <w:ind w:firstLine="0"/>
              <w:jc w:val="center"/>
              <w:rPr>
                <w:rFonts w:hint="eastAsia"/>
                <w:color w:val="000000"/>
                <w:sz w:val="21"/>
                <w:szCs w:val="21"/>
              </w:rPr>
            </w:pPr>
            <w:r>
              <w:rPr>
                <w:rFonts w:hint="eastAsia"/>
                <w:color w:val="000000"/>
                <w:sz w:val="21"/>
                <w:szCs w:val="21"/>
              </w:rPr>
              <w:t>台</w:t>
            </w:r>
          </w:p>
        </w:tc>
        <w:tc>
          <w:tcPr>
            <w:tcW w:w="890" w:type="dxa"/>
            <w:noWrap w:val="0"/>
            <w:vAlign w:val="center"/>
          </w:tcPr>
          <w:p w14:paraId="03A7E9F1">
            <w:pPr>
              <w:widowControl w:val="0"/>
              <w:spacing w:line="240" w:lineRule="auto"/>
              <w:ind w:firstLine="0"/>
              <w:jc w:val="center"/>
              <w:rPr>
                <w:rFonts w:hint="eastAsia"/>
                <w:color w:val="000000"/>
                <w:sz w:val="21"/>
                <w:szCs w:val="21"/>
              </w:rPr>
            </w:pPr>
            <w:r>
              <w:rPr>
                <w:rFonts w:hint="eastAsia"/>
                <w:color w:val="000000"/>
                <w:sz w:val="21"/>
                <w:szCs w:val="21"/>
              </w:rPr>
              <w:t>2</w:t>
            </w:r>
          </w:p>
        </w:tc>
        <w:tc>
          <w:tcPr>
            <w:tcW w:w="1772" w:type="dxa"/>
            <w:noWrap w:val="0"/>
            <w:vAlign w:val="center"/>
          </w:tcPr>
          <w:p w14:paraId="71461858">
            <w:pPr>
              <w:widowControl w:val="0"/>
              <w:spacing w:line="240" w:lineRule="auto"/>
              <w:ind w:firstLine="0"/>
              <w:jc w:val="center"/>
              <w:rPr>
                <w:color w:val="000000"/>
                <w:sz w:val="21"/>
                <w:szCs w:val="21"/>
              </w:rPr>
            </w:pPr>
          </w:p>
        </w:tc>
        <w:tc>
          <w:tcPr>
            <w:tcW w:w="890" w:type="dxa"/>
            <w:noWrap w:val="0"/>
            <w:vAlign w:val="center"/>
          </w:tcPr>
          <w:p w14:paraId="31BC480E">
            <w:pPr>
              <w:spacing w:line="240" w:lineRule="auto"/>
              <w:ind w:firstLine="0"/>
              <w:jc w:val="center"/>
              <w:rPr>
                <w:color w:val="000000"/>
                <w:sz w:val="21"/>
                <w:szCs w:val="21"/>
              </w:rPr>
            </w:pPr>
          </w:p>
        </w:tc>
      </w:tr>
      <w:tr w14:paraId="6A931238">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7C4918C6">
            <w:pPr>
              <w:spacing w:line="240" w:lineRule="auto"/>
              <w:ind w:firstLine="0"/>
              <w:jc w:val="center"/>
              <w:rPr>
                <w:color w:val="000000"/>
                <w:sz w:val="21"/>
                <w:szCs w:val="21"/>
              </w:rPr>
            </w:pPr>
            <w:r>
              <w:rPr>
                <w:rFonts w:hint="eastAsia"/>
                <w:color w:val="000000"/>
                <w:sz w:val="21"/>
                <w:szCs w:val="21"/>
              </w:rPr>
              <w:t>4</w:t>
            </w:r>
          </w:p>
        </w:tc>
        <w:tc>
          <w:tcPr>
            <w:tcW w:w="2948" w:type="dxa"/>
            <w:noWrap w:val="0"/>
            <w:vAlign w:val="center"/>
          </w:tcPr>
          <w:p w14:paraId="5A62B749">
            <w:pPr>
              <w:widowControl w:val="0"/>
              <w:spacing w:line="240" w:lineRule="auto"/>
              <w:ind w:firstLine="0"/>
              <w:jc w:val="center"/>
              <w:rPr>
                <w:rFonts w:hint="eastAsia"/>
                <w:color w:val="000000"/>
                <w:sz w:val="21"/>
                <w:szCs w:val="21"/>
              </w:rPr>
            </w:pPr>
            <w:r>
              <w:rPr>
                <w:rFonts w:hint="eastAsia"/>
                <w:color w:val="000000"/>
                <w:sz w:val="21"/>
                <w:szCs w:val="21"/>
              </w:rPr>
              <w:t>锅炉</w:t>
            </w:r>
          </w:p>
        </w:tc>
        <w:tc>
          <w:tcPr>
            <w:tcW w:w="890" w:type="dxa"/>
            <w:noWrap w:val="0"/>
            <w:vAlign w:val="center"/>
          </w:tcPr>
          <w:p w14:paraId="61A5A3C8">
            <w:pPr>
              <w:spacing w:line="240" w:lineRule="auto"/>
              <w:ind w:firstLine="0"/>
              <w:jc w:val="center"/>
              <w:rPr>
                <w:color w:val="000000"/>
                <w:sz w:val="21"/>
                <w:szCs w:val="21"/>
              </w:rPr>
            </w:pPr>
            <w:r>
              <w:rPr>
                <w:color w:val="000000"/>
                <w:sz w:val="21"/>
                <w:szCs w:val="21"/>
              </w:rPr>
              <w:t>台</w:t>
            </w:r>
          </w:p>
        </w:tc>
        <w:tc>
          <w:tcPr>
            <w:tcW w:w="890" w:type="dxa"/>
            <w:noWrap w:val="0"/>
            <w:vAlign w:val="center"/>
          </w:tcPr>
          <w:p w14:paraId="55DBCD36">
            <w:pPr>
              <w:widowControl w:val="0"/>
              <w:spacing w:line="240" w:lineRule="auto"/>
              <w:ind w:firstLine="0"/>
              <w:jc w:val="center"/>
              <w:rPr>
                <w:color w:val="000000"/>
                <w:sz w:val="21"/>
                <w:szCs w:val="21"/>
              </w:rPr>
            </w:pPr>
            <w:r>
              <w:rPr>
                <w:rFonts w:hint="eastAsia"/>
                <w:color w:val="000000"/>
                <w:sz w:val="21"/>
                <w:szCs w:val="21"/>
              </w:rPr>
              <w:t>2</w:t>
            </w:r>
          </w:p>
        </w:tc>
        <w:tc>
          <w:tcPr>
            <w:tcW w:w="1772" w:type="dxa"/>
            <w:noWrap w:val="0"/>
            <w:vAlign w:val="center"/>
          </w:tcPr>
          <w:p w14:paraId="5F4903D6">
            <w:pPr>
              <w:widowControl w:val="0"/>
              <w:spacing w:line="240" w:lineRule="auto"/>
              <w:ind w:firstLine="0"/>
              <w:jc w:val="center"/>
              <w:rPr>
                <w:color w:val="000000"/>
                <w:sz w:val="21"/>
                <w:szCs w:val="21"/>
              </w:rPr>
            </w:pPr>
            <w:r>
              <w:rPr>
                <w:rFonts w:hint="eastAsia"/>
                <w:color w:val="000000"/>
                <w:sz w:val="21"/>
                <w:szCs w:val="21"/>
              </w:rPr>
              <w:t>最初设计4t/h，后</w:t>
            </w:r>
            <w:r>
              <w:rPr>
                <w:rFonts w:hint="eastAsia"/>
                <w:color w:val="000000"/>
                <w:sz w:val="21"/>
                <w:szCs w:val="21"/>
                <w:lang w:val="en-US" w:eastAsia="zh-CN"/>
              </w:rPr>
              <w:t>期</w:t>
            </w:r>
            <w:r>
              <w:rPr>
                <w:rFonts w:hint="eastAsia"/>
                <w:color w:val="000000"/>
                <w:sz w:val="21"/>
                <w:szCs w:val="21"/>
              </w:rPr>
              <w:t>验收</w:t>
            </w:r>
            <w:r>
              <w:rPr>
                <w:rFonts w:hint="eastAsia"/>
                <w:color w:val="000000"/>
                <w:sz w:val="21"/>
                <w:szCs w:val="21"/>
                <w:lang w:val="en-US" w:eastAsia="zh-CN"/>
              </w:rPr>
              <w:t>进行变更</w:t>
            </w:r>
            <w:r>
              <w:rPr>
                <w:rFonts w:hint="eastAsia"/>
                <w:color w:val="000000"/>
                <w:sz w:val="21"/>
                <w:szCs w:val="21"/>
              </w:rPr>
              <w:t>为6t/h</w:t>
            </w:r>
          </w:p>
        </w:tc>
        <w:tc>
          <w:tcPr>
            <w:tcW w:w="890" w:type="dxa"/>
            <w:noWrap w:val="0"/>
            <w:vAlign w:val="center"/>
          </w:tcPr>
          <w:p w14:paraId="0E2A4B9F">
            <w:pPr>
              <w:spacing w:line="240" w:lineRule="auto"/>
              <w:ind w:firstLine="0"/>
              <w:jc w:val="center"/>
              <w:rPr>
                <w:color w:val="000000"/>
                <w:sz w:val="21"/>
                <w:szCs w:val="21"/>
              </w:rPr>
            </w:pPr>
          </w:p>
        </w:tc>
      </w:tr>
      <w:tr w14:paraId="3DD9F137">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4C7F3922">
            <w:pPr>
              <w:spacing w:line="240" w:lineRule="auto"/>
              <w:ind w:firstLine="0"/>
              <w:jc w:val="center"/>
              <w:rPr>
                <w:color w:val="000000"/>
                <w:sz w:val="21"/>
                <w:szCs w:val="21"/>
              </w:rPr>
            </w:pPr>
            <w:r>
              <w:rPr>
                <w:rFonts w:hint="eastAsia"/>
                <w:color w:val="000000"/>
                <w:sz w:val="21"/>
                <w:szCs w:val="21"/>
              </w:rPr>
              <w:t>5</w:t>
            </w:r>
          </w:p>
        </w:tc>
        <w:tc>
          <w:tcPr>
            <w:tcW w:w="2948" w:type="dxa"/>
            <w:noWrap w:val="0"/>
            <w:vAlign w:val="center"/>
          </w:tcPr>
          <w:p w14:paraId="00A06DD4">
            <w:pPr>
              <w:widowControl w:val="0"/>
              <w:spacing w:line="240" w:lineRule="auto"/>
              <w:ind w:firstLine="0"/>
              <w:jc w:val="center"/>
              <w:rPr>
                <w:color w:val="000000"/>
                <w:sz w:val="21"/>
                <w:szCs w:val="21"/>
              </w:rPr>
            </w:pPr>
            <w:r>
              <w:rPr>
                <w:rFonts w:hint="eastAsia"/>
                <w:color w:val="000000"/>
                <w:sz w:val="21"/>
                <w:szCs w:val="21"/>
              </w:rPr>
              <w:t>无卡轴旋切机</w:t>
            </w:r>
          </w:p>
        </w:tc>
        <w:tc>
          <w:tcPr>
            <w:tcW w:w="890" w:type="dxa"/>
            <w:noWrap w:val="0"/>
            <w:vAlign w:val="center"/>
          </w:tcPr>
          <w:p w14:paraId="78BEABBB">
            <w:pPr>
              <w:spacing w:line="240" w:lineRule="auto"/>
              <w:ind w:firstLine="0"/>
              <w:jc w:val="center"/>
              <w:rPr>
                <w:rFonts w:hint="eastAsia"/>
                <w:color w:val="000000"/>
                <w:sz w:val="21"/>
                <w:szCs w:val="21"/>
              </w:rPr>
            </w:pPr>
            <w:r>
              <w:rPr>
                <w:rFonts w:hint="eastAsia"/>
                <w:color w:val="000000"/>
                <w:sz w:val="21"/>
                <w:szCs w:val="21"/>
              </w:rPr>
              <w:t>台</w:t>
            </w:r>
          </w:p>
        </w:tc>
        <w:tc>
          <w:tcPr>
            <w:tcW w:w="890" w:type="dxa"/>
            <w:noWrap w:val="0"/>
            <w:vAlign w:val="center"/>
          </w:tcPr>
          <w:p w14:paraId="0FF7D04C">
            <w:pPr>
              <w:widowControl w:val="0"/>
              <w:spacing w:line="240" w:lineRule="auto"/>
              <w:ind w:firstLine="0"/>
              <w:jc w:val="center"/>
              <w:rPr>
                <w:color w:val="000000"/>
                <w:sz w:val="21"/>
                <w:szCs w:val="21"/>
              </w:rPr>
            </w:pPr>
            <w:r>
              <w:rPr>
                <w:rFonts w:hint="eastAsia"/>
                <w:color w:val="000000"/>
                <w:sz w:val="21"/>
                <w:szCs w:val="21"/>
              </w:rPr>
              <w:t>1</w:t>
            </w:r>
          </w:p>
        </w:tc>
        <w:tc>
          <w:tcPr>
            <w:tcW w:w="1772" w:type="dxa"/>
            <w:noWrap w:val="0"/>
            <w:vAlign w:val="center"/>
          </w:tcPr>
          <w:p w14:paraId="528685C9">
            <w:pPr>
              <w:widowControl w:val="0"/>
              <w:spacing w:line="240" w:lineRule="auto"/>
              <w:ind w:firstLine="0"/>
              <w:jc w:val="center"/>
              <w:rPr>
                <w:color w:val="000000"/>
                <w:sz w:val="21"/>
                <w:szCs w:val="21"/>
              </w:rPr>
            </w:pPr>
          </w:p>
        </w:tc>
        <w:tc>
          <w:tcPr>
            <w:tcW w:w="890" w:type="dxa"/>
            <w:noWrap w:val="0"/>
            <w:vAlign w:val="center"/>
          </w:tcPr>
          <w:p w14:paraId="16D792DC">
            <w:pPr>
              <w:spacing w:line="240" w:lineRule="auto"/>
              <w:ind w:firstLine="0"/>
              <w:jc w:val="center"/>
              <w:rPr>
                <w:color w:val="000000"/>
                <w:sz w:val="21"/>
                <w:szCs w:val="21"/>
              </w:rPr>
            </w:pPr>
          </w:p>
        </w:tc>
      </w:tr>
      <w:tr w14:paraId="2CC7D1E4">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52A29610">
            <w:pPr>
              <w:spacing w:line="240" w:lineRule="auto"/>
              <w:ind w:firstLine="0"/>
              <w:jc w:val="center"/>
              <w:rPr>
                <w:color w:val="000000"/>
                <w:sz w:val="21"/>
                <w:szCs w:val="21"/>
              </w:rPr>
            </w:pPr>
            <w:r>
              <w:rPr>
                <w:rFonts w:hint="eastAsia"/>
                <w:color w:val="000000"/>
                <w:sz w:val="21"/>
                <w:szCs w:val="21"/>
              </w:rPr>
              <w:t>6</w:t>
            </w:r>
          </w:p>
        </w:tc>
        <w:tc>
          <w:tcPr>
            <w:tcW w:w="2948" w:type="dxa"/>
            <w:noWrap w:val="0"/>
            <w:vAlign w:val="center"/>
          </w:tcPr>
          <w:p w14:paraId="690DC17E">
            <w:pPr>
              <w:widowControl w:val="0"/>
              <w:spacing w:line="240" w:lineRule="auto"/>
              <w:ind w:firstLine="0"/>
              <w:jc w:val="center"/>
              <w:rPr>
                <w:color w:val="000000"/>
                <w:sz w:val="21"/>
                <w:szCs w:val="21"/>
              </w:rPr>
            </w:pPr>
            <w:r>
              <w:rPr>
                <w:rFonts w:hint="eastAsia"/>
                <w:color w:val="000000"/>
                <w:sz w:val="21"/>
                <w:szCs w:val="21"/>
              </w:rPr>
              <w:t>热压机</w:t>
            </w:r>
          </w:p>
        </w:tc>
        <w:tc>
          <w:tcPr>
            <w:tcW w:w="890" w:type="dxa"/>
            <w:noWrap w:val="0"/>
            <w:vAlign w:val="center"/>
          </w:tcPr>
          <w:p w14:paraId="5175E165">
            <w:pPr>
              <w:spacing w:line="240" w:lineRule="auto"/>
              <w:ind w:firstLine="0"/>
              <w:jc w:val="center"/>
              <w:rPr>
                <w:rFonts w:hint="eastAsia"/>
                <w:color w:val="000000"/>
                <w:sz w:val="21"/>
                <w:szCs w:val="21"/>
              </w:rPr>
            </w:pPr>
            <w:r>
              <w:rPr>
                <w:rFonts w:hint="eastAsia"/>
                <w:color w:val="000000"/>
                <w:sz w:val="21"/>
                <w:szCs w:val="21"/>
              </w:rPr>
              <w:t>台</w:t>
            </w:r>
          </w:p>
        </w:tc>
        <w:tc>
          <w:tcPr>
            <w:tcW w:w="890" w:type="dxa"/>
            <w:noWrap w:val="0"/>
            <w:vAlign w:val="center"/>
          </w:tcPr>
          <w:p w14:paraId="3A19020C">
            <w:pPr>
              <w:widowControl w:val="0"/>
              <w:spacing w:line="240" w:lineRule="auto"/>
              <w:ind w:firstLine="0"/>
              <w:jc w:val="center"/>
              <w:rPr>
                <w:color w:val="000000"/>
                <w:sz w:val="21"/>
                <w:szCs w:val="21"/>
              </w:rPr>
            </w:pPr>
            <w:r>
              <w:rPr>
                <w:rFonts w:hint="eastAsia"/>
                <w:color w:val="000000"/>
                <w:sz w:val="21"/>
                <w:szCs w:val="21"/>
              </w:rPr>
              <w:t>2</w:t>
            </w:r>
          </w:p>
        </w:tc>
        <w:tc>
          <w:tcPr>
            <w:tcW w:w="1772" w:type="dxa"/>
            <w:noWrap w:val="0"/>
            <w:vAlign w:val="center"/>
          </w:tcPr>
          <w:p w14:paraId="7F23FAD8">
            <w:pPr>
              <w:widowControl w:val="0"/>
              <w:spacing w:line="240" w:lineRule="auto"/>
              <w:ind w:firstLine="0"/>
              <w:jc w:val="center"/>
              <w:rPr>
                <w:color w:val="000000"/>
                <w:sz w:val="21"/>
                <w:szCs w:val="21"/>
              </w:rPr>
            </w:pPr>
          </w:p>
        </w:tc>
        <w:tc>
          <w:tcPr>
            <w:tcW w:w="890" w:type="dxa"/>
            <w:noWrap w:val="0"/>
            <w:vAlign w:val="center"/>
          </w:tcPr>
          <w:p w14:paraId="7850709E">
            <w:pPr>
              <w:spacing w:line="240" w:lineRule="auto"/>
              <w:ind w:firstLine="0"/>
              <w:jc w:val="center"/>
              <w:rPr>
                <w:color w:val="000000"/>
                <w:sz w:val="21"/>
                <w:szCs w:val="21"/>
              </w:rPr>
            </w:pPr>
          </w:p>
        </w:tc>
      </w:tr>
      <w:tr w14:paraId="795184A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77D7F6F9">
            <w:pPr>
              <w:spacing w:line="240" w:lineRule="auto"/>
              <w:ind w:firstLine="0"/>
              <w:jc w:val="center"/>
              <w:rPr>
                <w:color w:val="000000"/>
                <w:sz w:val="21"/>
                <w:szCs w:val="21"/>
              </w:rPr>
            </w:pPr>
            <w:r>
              <w:rPr>
                <w:rFonts w:hint="eastAsia"/>
                <w:color w:val="000000"/>
                <w:sz w:val="21"/>
                <w:szCs w:val="21"/>
              </w:rPr>
              <w:t>7</w:t>
            </w:r>
          </w:p>
        </w:tc>
        <w:tc>
          <w:tcPr>
            <w:tcW w:w="2948" w:type="dxa"/>
            <w:noWrap w:val="0"/>
            <w:vAlign w:val="center"/>
          </w:tcPr>
          <w:p w14:paraId="5B1F87E1">
            <w:pPr>
              <w:widowControl w:val="0"/>
              <w:spacing w:line="240" w:lineRule="auto"/>
              <w:ind w:firstLine="0"/>
              <w:jc w:val="center"/>
              <w:rPr>
                <w:color w:val="000000"/>
                <w:sz w:val="21"/>
                <w:szCs w:val="21"/>
              </w:rPr>
            </w:pPr>
            <w:r>
              <w:rPr>
                <w:rFonts w:hint="eastAsia"/>
                <w:color w:val="000000"/>
                <w:sz w:val="21"/>
                <w:szCs w:val="21"/>
              </w:rPr>
              <w:t>竹片切割机</w:t>
            </w:r>
          </w:p>
        </w:tc>
        <w:tc>
          <w:tcPr>
            <w:tcW w:w="890" w:type="dxa"/>
            <w:noWrap w:val="0"/>
            <w:vAlign w:val="center"/>
          </w:tcPr>
          <w:p w14:paraId="3203D240">
            <w:pPr>
              <w:spacing w:line="240" w:lineRule="auto"/>
              <w:ind w:firstLine="0"/>
              <w:jc w:val="center"/>
              <w:rPr>
                <w:color w:val="000000"/>
                <w:sz w:val="21"/>
                <w:szCs w:val="21"/>
              </w:rPr>
            </w:pPr>
            <w:r>
              <w:rPr>
                <w:rFonts w:hint="eastAsia"/>
                <w:color w:val="000000"/>
                <w:sz w:val="21"/>
                <w:szCs w:val="21"/>
              </w:rPr>
              <w:t>台</w:t>
            </w:r>
          </w:p>
        </w:tc>
        <w:tc>
          <w:tcPr>
            <w:tcW w:w="890" w:type="dxa"/>
            <w:noWrap w:val="0"/>
            <w:vAlign w:val="center"/>
          </w:tcPr>
          <w:p w14:paraId="1072721A">
            <w:pPr>
              <w:widowControl w:val="0"/>
              <w:spacing w:line="240" w:lineRule="auto"/>
              <w:ind w:firstLine="0"/>
              <w:jc w:val="center"/>
              <w:rPr>
                <w:color w:val="000000"/>
                <w:sz w:val="21"/>
                <w:szCs w:val="21"/>
              </w:rPr>
            </w:pPr>
            <w:r>
              <w:rPr>
                <w:rFonts w:hint="eastAsia"/>
                <w:color w:val="000000"/>
                <w:sz w:val="21"/>
                <w:szCs w:val="21"/>
              </w:rPr>
              <w:t>10</w:t>
            </w:r>
          </w:p>
        </w:tc>
        <w:tc>
          <w:tcPr>
            <w:tcW w:w="1772" w:type="dxa"/>
            <w:noWrap w:val="0"/>
            <w:vAlign w:val="center"/>
          </w:tcPr>
          <w:p w14:paraId="47B8201D">
            <w:pPr>
              <w:widowControl w:val="0"/>
              <w:spacing w:line="240" w:lineRule="auto"/>
              <w:ind w:firstLine="0"/>
              <w:jc w:val="center"/>
              <w:rPr>
                <w:color w:val="000000"/>
                <w:sz w:val="21"/>
                <w:szCs w:val="21"/>
              </w:rPr>
            </w:pPr>
          </w:p>
        </w:tc>
        <w:tc>
          <w:tcPr>
            <w:tcW w:w="890" w:type="dxa"/>
            <w:noWrap w:val="0"/>
            <w:vAlign w:val="center"/>
          </w:tcPr>
          <w:p w14:paraId="028BED72">
            <w:pPr>
              <w:spacing w:line="240" w:lineRule="auto"/>
              <w:ind w:firstLine="0"/>
              <w:jc w:val="center"/>
              <w:rPr>
                <w:color w:val="000000"/>
                <w:sz w:val="21"/>
                <w:szCs w:val="21"/>
              </w:rPr>
            </w:pPr>
          </w:p>
        </w:tc>
      </w:tr>
      <w:tr w14:paraId="076858AC">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7D9DA60F">
            <w:pPr>
              <w:spacing w:line="240" w:lineRule="auto"/>
              <w:ind w:firstLine="0"/>
              <w:jc w:val="center"/>
              <w:rPr>
                <w:color w:val="000000"/>
                <w:sz w:val="21"/>
                <w:szCs w:val="21"/>
              </w:rPr>
            </w:pPr>
            <w:r>
              <w:rPr>
                <w:rFonts w:hint="eastAsia"/>
                <w:color w:val="000000"/>
                <w:sz w:val="21"/>
                <w:szCs w:val="21"/>
              </w:rPr>
              <w:t>8</w:t>
            </w:r>
          </w:p>
        </w:tc>
        <w:tc>
          <w:tcPr>
            <w:tcW w:w="2948" w:type="dxa"/>
            <w:noWrap w:val="0"/>
            <w:vAlign w:val="center"/>
          </w:tcPr>
          <w:p w14:paraId="5E54CADC">
            <w:pPr>
              <w:widowControl w:val="0"/>
              <w:spacing w:line="240" w:lineRule="auto"/>
              <w:ind w:firstLine="0"/>
              <w:jc w:val="center"/>
              <w:rPr>
                <w:color w:val="000000"/>
                <w:sz w:val="21"/>
                <w:szCs w:val="21"/>
              </w:rPr>
            </w:pPr>
            <w:r>
              <w:rPr>
                <w:rFonts w:hint="eastAsia"/>
                <w:color w:val="000000"/>
                <w:sz w:val="21"/>
                <w:szCs w:val="21"/>
              </w:rPr>
              <w:t>跑车带锯</w:t>
            </w:r>
          </w:p>
        </w:tc>
        <w:tc>
          <w:tcPr>
            <w:tcW w:w="890" w:type="dxa"/>
            <w:noWrap w:val="0"/>
            <w:vAlign w:val="center"/>
          </w:tcPr>
          <w:p w14:paraId="06D73A54">
            <w:pPr>
              <w:spacing w:line="240" w:lineRule="auto"/>
              <w:ind w:firstLine="0"/>
              <w:jc w:val="center"/>
              <w:rPr>
                <w:color w:val="000000"/>
                <w:sz w:val="21"/>
                <w:szCs w:val="21"/>
              </w:rPr>
            </w:pPr>
            <w:r>
              <w:rPr>
                <w:color w:val="000000"/>
                <w:sz w:val="21"/>
                <w:szCs w:val="21"/>
              </w:rPr>
              <w:t>台</w:t>
            </w:r>
          </w:p>
        </w:tc>
        <w:tc>
          <w:tcPr>
            <w:tcW w:w="890" w:type="dxa"/>
            <w:noWrap w:val="0"/>
            <w:vAlign w:val="center"/>
          </w:tcPr>
          <w:p w14:paraId="32C8539E">
            <w:pPr>
              <w:widowControl w:val="0"/>
              <w:spacing w:line="240" w:lineRule="auto"/>
              <w:ind w:firstLine="0"/>
              <w:jc w:val="center"/>
              <w:rPr>
                <w:color w:val="000000"/>
                <w:sz w:val="21"/>
                <w:szCs w:val="21"/>
              </w:rPr>
            </w:pPr>
            <w:r>
              <w:rPr>
                <w:rFonts w:hint="eastAsia"/>
                <w:color w:val="000000"/>
                <w:sz w:val="21"/>
                <w:szCs w:val="21"/>
              </w:rPr>
              <w:t>1</w:t>
            </w:r>
          </w:p>
        </w:tc>
        <w:tc>
          <w:tcPr>
            <w:tcW w:w="1772" w:type="dxa"/>
            <w:noWrap w:val="0"/>
            <w:vAlign w:val="center"/>
          </w:tcPr>
          <w:p w14:paraId="5DFD6F20">
            <w:pPr>
              <w:widowControl w:val="0"/>
              <w:spacing w:line="240" w:lineRule="auto"/>
              <w:ind w:firstLine="0"/>
              <w:jc w:val="center"/>
              <w:rPr>
                <w:color w:val="000000"/>
                <w:sz w:val="21"/>
                <w:szCs w:val="21"/>
              </w:rPr>
            </w:pPr>
          </w:p>
        </w:tc>
        <w:tc>
          <w:tcPr>
            <w:tcW w:w="890" w:type="dxa"/>
            <w:noWrap w:val="0"/>
            <w:vAlign w:val="center"/>
          </w:tcPr>
          <w:p w14:paraId="01FDA60A">
            <w:pPr>
              <w:spacing w:line="240" w:lineRule="auto"/>
              <w:ind w:firstLine="0"/>
              <w:jc w:val="center"/>
              <w:rPr>
                <w:color w:val="000000"/>
                <w:sz w:val="21"/>
                <w:szCs w:val="21"/>
              </w:rPr>
            </w:pPr>
          </w:p>
        </w:tc>
      </w:tr>
      <w:tr w14:paraId="09DCD45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5E6B5EA9">
            <w:pPr>
              <w:spacing w:line="240" w:lineRule="auto"/>
              <w:ind w:firstLine="0"/>
              <w:jc w:val="center"/>
              <w:rPr>
                <w:color w:val="000000"/>
                <w:sz w:val="21"/>
                <w:szCs w:val="21"/>
              </w:rPr>
            </w:pPr>
            <w:r>
              <w:rPr>
                <w:rFonts w:hint="eastAsia"/>
                <w:color w:val="000000"/>
                <w:sz w:val="21"/>
                <w:szCs w:val="21"/>
              </w:rPr>
              <w:t>9</w:t>
            </w:r>
          </w:p>
        </w:tc>
        <w:tc>
          <w:tcPr>
            <w:tcW w:w="2948" w:type="dxa"/>
            <w:noWrap w:val="0"/>
            <w:vAlign w:val="center"/>
          </w:tcPr>
          <w:p w14:paraId="7454D8A9">
            <w:pPr>
              <w:widowControl w:val="0"/>
              <w:spacing w:line="240" w:lineRule="auto"/>
              <w:ind w:firstLine="0"/>
              <w:jc w:val="center"/>
              <w:rPr>
                <w:color w:val="000000"/>
                <w:sz w:val="21"/>
                <w:szCs w:val="21"/>
              </w:rPr>
            </w:pPr>
            <w:r>
              <w:rPr>
                <w:rFonts w:hint="eastAsia"/>
                <w:color w:val="000000"/>
                <w:sz w:val="21"/>
                <w:szCs w:val="21"/>
              </w:rPr>
              <w:t>薄木叠切机</w:t>
            </w:r>
          </w:p>
        </w:tc>
        <w:tc>
          <w:tcPr>
            <w:tcW w:w="890" w:type="dxa"/>
            <w:noWrap w:val="0"/>
            <w:vAlign w:val="center"/>
          </w:tcPr>
          <w:p w14:paraId="5798E10D">
            <w:pPr>
              <w:spacing w:line="240" w:lineRule="auto"/>
              <w:ind w:firstLine="0"/>
              <w:jc w:val="center"/>
              <w:rPr>
                <w:color w:val="000000"/>
                <w:sz w:val="21"/>
                <w:szCs w:val="21"/>
              </w:rPr>
            </w:pPr>
            <w:r>
              <w:rPr>
                <w:color w:val="000000"/>
                <w:sz w:val="21"/>
                <w:szCs w:val="21"/>
              </w:rPr>
              <w:t>台</w:t>
            </w:r>
          </w:p>
        </w:tc>
        <w:tc>
          <w:tcPr>
            <w:tcW w:w="890" w:type="dxa"/>
            <w:noWrap w:val="0"/>
            <w:vAlign w:val="center"/>
          </w:tcPr>
          <w:p w14:paraId="33C17F78">
            <w:pPr>
              <w:widowControl w:val="0"/>
              <w:spacing w:line="240" w:lineRule="auto"/>
              <w:ind w:firstLine="0"/>
              <w:jc w:val="center"/>
              <w:rPr>
                <w:color w:val="000000"/>
                <w:sz w:val="21"/>
                <w:szCs w:val="21"/>
              </w:rPr>
            </w:pPr>
            <w:r>
              <w:rPr>
                <w:rFonts w:hint="eastAsia"/>
                <w:color w:val="000000"/>
                <w:sz w:val="21"/>
                <w:szCs w:val="21"/>
              </w:rPr>
              <w:t>2</w:t>
            </w:r>
          </w:p>
        </w:tc>
        <w:tc>
          <w:tcPr>
            <w:tcW w:w="1772" w:type="dxa"/>
            <w:noWrap w:val="0"/>
            <w:vAlign w:val="center"/>
          </w:tcPr>
          <w:p w14:paraId="4D162D4C">
            <w:pPr>
              <w:widowControl w:val="0"/>
              <w:spacing w:line="240" w:lineRule="auto"/>
              <w:ind w:firstLine="0"/>
              <w:jc w:val="center"/>
              <w:rPr>
                <w:color w:val="000000"/>
                <w:sz w:val="21"/>
                <w:szCs w:val="21"/>
              </w:rPr>
            </w:pPr>
          </w:p>
        </w:tc>
        <w:tc>
          <w:tcPr>
            <w:tcW w:w="890" w:type="dxa"/>
            <w:noWrap w:val="0"/>
            <w:vAlign w:val="center"/>
          </w:tcPr>
          <w:p w14:paraId="7FAA2920">
            <w:pPr>
              <w:spacing w:line="240" w:lineRule="auto"/>
              <w:ind w:firstLine="0"/>
              <w:jc w:val="center"/>
              <w:rPr>
                <w:color w:val="000000"/>
                <w:sz w:val="21"/>
                <w:szCs w:val="21"/>
              </w:rPr>
            </w:pPr>
          </w:p>
        </w:tc>
      </w:tr>
      <w:tr w14:paraId="7FE5B4B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0F5F366D">
            <w:pPr>
              <w:spacing w:line="240" w:lineRule="auto"/>
              <w:ind w:firstLine="0"/>
              <w:jc w:val="center"/>
              <w:rPr>
                <w:color w:val="000000"/>
                <w:sz w:val="21"/>
                <w:szCs w:val="21"/>
              </w:rPr>
            </w:pPr>
            <w:r>
              <w:rPr>
                <w:rFonts w:hint="eastAsia"/>
                <w:color w:val="000000"/>
                <w:sz w:val="21"/>
                <w:szCs w:val="21"/>
              </w:rPr>
              <w:t>10</w:t>
            </w:r>
          </w:p>
        </w:tc>
        <w:tc>
          <w:tcPr>
            <w:tcW w:w="2948" w:type="dxa"/>
            <w:noWrap w:val="0"/>
            <w:vAlign w:val="center"/>
          </w:tcPr>
          <w:p w14:paraId="470ABE4A">
            <w:pPr>
              <w:widowControl w:val="0"/>
              <w:spacing w:line="240" w:lineRule="auto"/>
              <w:ind w:firstLine="0"/>
              <w:jc w:val="center"/>
              <w:rPr>
                <w:color w:val="000000"/>
                <w:sz w:val="21"/>
                <w:szCs w:val="21"/>
              </w:rPr>
            </w:pPr>
            <w:r>
              <w:rPr>
                <w:rFonts w:hint="eastAsia"/>
                <w:color w:val="000000"/>
                <w:sz w:val="21"/>
                <w:szCs w:val="21"/>
              </w:rPr>
              <w:t>砂光机</w:t>
            </w:r>
          </w:p>
        </w:tc>
        <w:tc>
          <w:tcPr>
            <w:tcW w:w="890" w:type="dxa"/>
            <w:noWrap w:val="0"/>
            <w:vAlign w:val="center"/>
          </w:tcPr>
          <w:p w14:paraId="44019D9E">
            <w:pPr>
              <w:spacing w:line="240" w:lineRule="auto"/>
              <w:ind w:firstLine="0"/>
              <w:jc w:val="center"/>
              <w:rPr>
                <w:color w:val="000000"/>
                <w:sz w:val="21"/>
                <w:szCs w:val="21"/>
              </w:rPr>
            </w:pPr>
            <w:r>
              <w:rPr>
                <w:color w:val="000000"/>
                <w:sz w:val="21"/>
                <w:szCs w:val="21"/>
              </w:rPr>
              <w:t>台</w:t>
            </w:r>
          </w:p>
        </w:tc>
        <w:tc>
          <w:tcPr>
            <w:tcW w:w="890" w:type="dxa"/>
            <w:noWrap w:val="0"/>
            <w:vAlign w:val="center"/>
          </w:tcPr>
          <w:p w14:paraId="27AA2010">
            <w:pPr>
              <w:widowControl w:val="0"/>
              <w:spacing w:line="240" w:lineRule="auto"/>
              <w:ind w:firstLine="0"/>
              <w:jc w:val="center"/>
              <w:rPr>
                <w:color w:val="000000"/>
                <w:sz w:val="21"/>
                <w:szCs w:val="21"/>
              </w:rPr>
            </w:pPr>
            <w:r>
              <w:rPr>
                <w:rFonts w:hint="eastAsia"/>
                <w:color w:val="000000"/>
                <w:sz w:val="21"/>
                <w:szCs w:val="21"/>
              </w:rPr>
              <w:t>2</w:t>
            </w:r>
          </w:p>
        </w:tc>
        <w:tc>
          <w:tcPr>
            <w:tcW w:w="1772" w:type="dxa"/>
            <w:noWrap w:val="0"/>
            <w:vAlign w:val="center"/>
          </w:tcPr>
          <w:p w14:paraId="5B2CE617">
            <w:pPr>
              <w:widowControl w:val="0"/>
              <w:spacing w:line="240" w:lineRule="auto"/>
              <w:ind w:firstLine="0"/>
              <w:jc w:val="center"/>
              <w:rPr>
                <w:color w:val="000000"/>
                <w:sz w:val="21"/>
                <w:szCs w:val="21"/>
              </w:rPr>
            </w:pPr>
          </w:p>
        </w:tc>
        <w:tc>
          <w:tcPr>
            <w:tcW w:w="890" w:type="dxa"/>
            <w:noWrap w:val="0"/>
            <w:vAlign w:val="center"/>
          </w:tcPr>
          <w:p w14:paraId="4E0BDBEF">
            <w:pPr>
              <w:spacing w:line="240" w:lineRule="auto"/>
              <w:ind w:firstLine="0"/>
              <w:jc w:val="center"/>
              <w:rPr>
                <w:color w:val="000000"/>
                <w:sz w:val="21"/>
                <w:szCs w:val="21"/>
              </w:rPr>
            </w:pPr>
          </w:p>
        </w:tc>
      </w:tr>
      <w:tr w14:paraId="2807C26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53" w:hRule="atLeast"/>
          <w:jc w:val="center"/>
        </w:trPr>
        <w:tc>
          <w:tcPr>
            <w:tcW w:w="890" w:type="dxa"/>
            <w:noWrap w:val="0"/>
            <w:vAlign w:val="center"/>
          </w:tcPr>
          <w:p w14:paraId="5E68C7A9">
            <w:pPr>
              <w:spacing w:line="240" w:lineRule="auto"/>
              <w:ind w:firstLine="0"/>
              <w:jc w:val="center"/>
              <w:rPr>
                <w:color w:val="000000"/>
                <w:sz w:val="21"/>
                <w:szCs w:val="21"/>
              </w:rPr>
            </w:pPr>
            <w:r>
              <w:rPr>
                <w:rFonts w:hint="eastAsia"/>
                <w:color w:val="000000"/>
                <w:sz w:val="21"/>
                <w:szCs w:val="21"/>
              </w:rPr>
              <w:t>11</w:t>
            </w:r>
          </w:p>
        </w:tc>
        <w:tc>
          <w:tcPr>
            <w:tcW w:w="2948" w:type="dxa"/>
            <w:noWrap w:val="0"/>
            <w:vAlign w:val="center"/>
          </w:tcPr>
          <w:p w14:paraId="0B55CCFC">
            <w:pPr>
              <w:widowControl w:val="0"/>
              <w:spacing w:line="240" w:lineRule="auto"/>
              <w:ind w:firstLine="0"/>
              <w:jc w:val="center"/>
              <w:rPr>
                <w:color w:val="000000"/>
                <w:sz w:val="21"/>
                <w:szCs w:val="21"/>
              </w:rPr>
            </w:pPr>
            <w:r>
              <w:rPr>
                <w:rFonts w:hint="eastAsia"/>
                <w:color w:val="000000"/>
                <w:sz w:val="21"/>
                <w:szCs w:val="21"/>
              </w:rPr>
              <w:t>涂胶机</w:t>
            </w:r>
          </w:p>
        </w:tc>
        <w:tc>
          <w:tcPr>
            <w:tcW w:w="890" w:type="dxa"/>
            <w:noWrap w:val="0"/>
            <w:vAlign w:val="center"/>
          </w:tcPr>
          <w:p w14:paraId="2CDB81EC">
            <w:pPr>
              <w:spacing w:line="240" w:lineRule="auto"/>
              <w:ind w:firstLine="0"/>
              <w:jc w:val="center"/>
              <w:rPr>
                <w:color w:val="000000"/>
                <w:sz w:val="21"/>
                <w:szCs w:val="21"/>
              </w:rPr>
            </w:pPr>
            <w:r>
              <w:rPr>
                <w:color w:val="000000"/>
                <w:sz w:val="21"/>
                <w:szCs w:val="21"/>
              </w:rPr>
              <w:t>台</w:t>
            </w:r>
          </w:p>
        </w:tc>
        <w:tc>
          <w:tcPr>
            <w:tcW w:w="890" w:type="dxa"/>
            <w:noWrap w:val="0"/>
            <w:vAlign w:val="center"/>
          </w:tcPr>
          <w:p w14:paraId="32E311D2">
            <w:pPr>
              <w:widowControl w:val="0"/>
              <w:spacing w:line="240" w:lineRule="auto"/>
              <w:ind w:firstLine="0"/>
              <w:jc w:val="center"/>
              <w:rPr>
                <w:color w:val="000000"/>
                <w:sz w:val="21"/>
                <w:szCs w:val="21"/>
              </w:rPr>
            </w:pPr>
            <w:r>
              <w:rPr>
                <w:rFonts w:hint="eastAsia"/>
                <w:color w:val="000000"/>
                <w:sz w:val="21"/>
                <w:szCs w:val="21"/>
              </w:rPr>
              <w:t>1</w:t>
            </w:r>
          </w:p>
        </w:tc>
        <w:tc>
          <w:tcPr>
            <w:tcW w:w="1772" w:type="dxa"/>
            <w:noWrap w:val="0"/>
            <w:vAlign w:val="center"/>
          </w:tcPr>
          <w:p w14:paraId="5D223A94">
            <w:pPr>
              <w:widowControl w:val="0"/>
              <w:spacing w:line="240" w:lineRule="auto"/>
              <w:ind w:firstLine="0"/>
              <w:jc w:val="center"/>
              <w:rPr>
                <w:color w:val="000000"/>
                <w:sz w:val="21"/>
                <w:szCs w:val="21"/>
              </w:rPr>
            </w:pPr>
          </w:p>
        </w:tc>
        <w:tc>
          <w:tcPr>
            <w:tcW w:w="890" w:type="dxa"/>
            <w:noWrap w:val="0"/>
            <w:vAlign w:val="center"/>
          </w:tcPr>
          <w:p w14:paraId="2C22A672">
            <w:pPr>
              <w:spacing w:line="240" w:lineRule="auto"/>
              <w:ind w:firstLine="0"/>
              <w:jc w:val="center"/>
              <w:rPr>
                <w:color w:val="000000"/>
                <w:sz w:val="21"/>
                <w:szCs w:val="21"/>
              </w:rPr>
            </w:pPr>
          </w:p>
        </w:tc>
      </w:tr>
      <w:tr w14:paraId="41C6AF8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69" w:hRule="atLeast"/>
          <w:jc w:val="center"/>
        </w:trPr>
        <w:tc>
          <w:tcPr>
            <w:tcW w:w="890" w:type="dxa"/>
            <w:noWrap w:val="0"/>
            <w:vAlign w:val="top"/>
          </w:tcPr>
          <w:p w14:paraId="31361658">
            <w:pPr>
              <w:spacing w:line="240" w:lineRule="auto"/>
              <w:ind w:firstLine="0"/>
              <w:jc w:val="center"/>
              <w:rPr>
                <w:color w:val="000000"/>
                <w:sz w:val="21"/>
                <w:szCs w:val="21"/>
              </w:rPr>
            </w:pPr>
            <w:r>
              <w:rPr>
                <w:rFonts w:hint="eastAsia"/>
                <w:color w:val="000000"/>
                <w:sz w:val="21"/>
                <w:szCs w:val="21"/>
              </w:rPr>
              <w:t>12</w:t>
            </w:r>
          </w:p>
        </w:tc>
        <w:tc>
          <w:tcPr>
            <w:tcW w:w="2948" w:type="dxa"/>
            <w:noWrap w:val="0"/>
            <w:vAlign w:val="center"/>
          </w:tcPr>
          <w:p w14:paraId="7C20B7B3">
            <w:pPr>
              <w:widowControl w:val="0"/>
              <w:spacing w:line="240" w:lineRule="auto"/>
              <w:ind w:firstLine="0"/>
              <w:jc w:val="center"/>
              <w:rPr>
                <w:color w:val="000000"/>
                <w:sz w:val="21"/>
                <w:szCs w:val="21"/>
              </w:rPr>
            </w:pPr>
            <w:r>
              <w:rPr>
                <w:rFonts w:hint="eastAsia"/>
                <w:color w:val="000000"/>
                <w:sz w:val="21"/>
                <w:szCs w:val="21"/>
              </w:rPr>
              <w:t>拌胶机</w:t>
            </w:r>
          </w:p>
        </w:tc>
        <w:tc>
          <w:tcPr>
            <w:tcW w:w="890" w:type="dxa"/>
            <w:noWrap w:val="0"/>
            <w:vAlign w:val="top"/>
          </w:tcPr>
          <w:p w14:paraId="51091B7E">
            <w:pPr>
              <w:spacing w:line="240" w:lineRule="auto"/>
              <w:ind w:firstLine="0"/>
              <w:jc w:val="center"/>
              <w:rPr>
                <w:rFonts w:hint="eastAsia"/>
                <w:color w:val="000000"/>
                <w:sz w:val="21"/>
                <w:szCs w:val="21"/>
              </w:rPr>
            </w:pPr>
            <w:r>
              <w:rPr>
                <w:rFonts w:hint="eastAsia"/>
                <w:color w:val="000000"/>
                <w:sz w:val="21"/>
                <w:szCs w:val="21"/>
              </w:rPr>
              <w:t>台</w:t>
            </w:r>
          </w:p>
        </w:tc>
        <w:tc>
          <w:tcPr>
            <w:tcW w:w="890" w:type="dxa"/>
            <w:noWrap w:val="0"/>
            <w:vAlign w:val="center"/>
          </w:tcPr>
          <w:p w14:paraId="29CD1C47">
            <w:pPr>
              <w:widowControl w:val="0"/>
              <w:spacing w:line="240" w:lineRule="auto"/>
              <w:ind w:firstLine="0"/>
              <w:jc w:val="center"/>
              <w:rPr>
                <w:color w:val="000000"/>
                <w:sz w:val="21"/>
                <w:szCs w:val="21"/>
              </w:rPr>
            </w:pPr>
            <w:r>
              <w:rPr>
                <w:rFonts w:hint="eastAsia"/>
                <w:color w:val="000000"/>
                <w:sz w:val="21"/>
                <w:szCs w:val="21"/>
              </w:rPr>
              <w:t>1</w:t>
            </w:r>
          </w:p>
        </w:tc>
        <w:tc>
          <w:tcPr>
            <w:tcW w:w="1772" w:type="dxa"/>
            <w:noWrap w:val="0"/>
            <w:vAlign w:val="center"/>
          </w:tcPr>
          <w:p w14:paraId="6D59960E">
            <w:pPr>
              <w:widowControl w:val="0"/>
              <w:spacing w:line="240" w:lineRule="auto"/>
              <w:ind w:firstLine="0"/>
              <w:jc w:val="center"/>
              <w:rPr>
                <w:color w:val="000000"/>
                <w:sz w:val="21"/>
                <w:szCs w:val="21"/>
              </w:rPr>
            </w:pPr>
          </w:p>
        </w:tc>
        <w:tc>
          <w:tcPr>
            <w:tcW w:w="890" w:type="dxa"/>
            <w:noWrap w:val="0"/>
            <w:vAlign w:val="top"/>
          </w:tcPr>
          <w:p w14:paraId="1B1F63DA">
            <w:pPr>
              <w:spacing w:line="240" w:lineRule="auto"/>
              <w:ind w:firstLine="0"/>
              <w:jc w:val="center"/>
              <w:rPr>
                <w:color w:val="000000"/>
                <w:sz w:val="21"/>
                <w:szCs w:val="21"/>
              </w:rPr>
            </w:pPr>
          </w:p>
        </w:tc>
      </w:tr>
      <w:tr w14:paraId="5136D937">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69" w:hRule="atLeast"/>
          <w:jc w:val="center"/>
        </w:trPr>
        <w:tc>
          <w:tcPr>
            <w:tcW w:w="890" w:type="dxa"/>
            <w:noWrap w:val="0"/>
            <w:vAlign w:val="top"/>
          </w:tcPr>
          <w:p w14:paraId="325F7E46">
            <w:pPr>
              <w:spacing w:line="240" w:lineRule="auto"/>
              <w:ind w:firstLine="0"/>
              <w:jc w:val="center"/>
              <w:rPr>
                <w:color w:val="000000"/>
                <w:sz w:val="21"/>
                <w:szCs w:val="21"/>
              </w:rPr>
            </w:pPr>
            <w:r>
              <w:rPr>
                <w:rFonts w:hint="eastAsia"/>
                <w:color w:val="000000"/>
                <w:sz w:val="21"/>
                <w:szCs w:val="21"/>
              </w:rPr>
              <w:t>13</w:t>
            </w:r>
          </w:p>
        </w:tc>
        <w:tc>
          <w:tcPr>
            <w:tcW w:w="2948" w:type="dxa"/>
            <w:noWrap w:val="0"/>
            <w:vAlign w:val="center"/>
          </w:tcPr>
          <w:p w14:paraId="45C94814">
            <w:pPr>
              <w:widowControl w:val="0"/>
              <w:spacing w:line="240" w:lineRule="auto"/>
              <w:ind w:firstLine="0"/>
              <w:jc w:val="center"/>
              <w:rPr>
                <w:color w:val="000000"/>
                <w:sz w:val="21"/>
                <w:szCs w:val="21"/>
              </w:rPr>
            </w:pPr>
            <w:r>
              <w:rPr>
                <w:rFonts w:hint="eastAsia"/>
                <w:color w:val="000000"/>
                <w:sz w:val="21"/>
                <w:szCs w:val="21"/>
              </w:rPr>
              <w:t>锯边机</w:t>
            </w:r>
          </w:p>
        </w:tc>
        <w:tc>
          <w:tcPr>
            <w:tcW w:w="890" w:type="dxa"/>
            <w:noWrap w:val="0"/>
            <w:vAlign w:val="center"/>
          </w:tcPr>
          <w:p w14:paraId="0C512953">
            <w:pPr>
              <w:spacing w:line="240" w:lineRule="auto"/>
              <w:ind w:firstLine="0"/>
              <w:jc w:val="center"/>
              <w:rPr>
                <w:rFonts w:hint="eastAsia"/>
                <w:color w:val="000000"/>
                <w:sz w:val="21"/>
                <w:szCs w:val="21"/>
              </w:rPr>
            </w:pPr>
            <w:r>
              <w:rPr>
                <w:color w:val="000000"/>
                <w:sz w:val="21"/>
                <w:szCs w:val="21"/>
              </w:rPr>
              <w:t>台</w:t>
            </w:r>
          </w:p>
        </w:tc>
        <w:tc>
          <w:tcPr>
            <w:tcW w:w="890" w:type="dxa"/>
            <w:noWrap w:val="0"/>
            <w:vAlign w:val="center"/>
          </w:tcPr>
          <w:p w14:paraId="5F4DDDDD">
            <w:pPr>
              <w:widowControl w:val="0"/>
              <w:spacing w:line="240" w:lineRule="auto"/>
              <w:ind w:firstLine="0"/>
              <w:jc w:val="center"/>
              <w:rPr>
                <w:color w:val="000000"/>
                <w:sz w:val="21"/>
                <w:szCs w:val="21"/>
              </w:rPr>
            </w:pPr>
            <w:r>
              <w:rPr>
                <w:rFonts w:hint="eastAsia"/>
                <w:color w:val="000000"/>
                <w:sz w:val="21"/>
                <w:szCs w:val="21"/>
              </w:rPr>
              <w:t>1</w:t>
            </w:r>
          </w:p>
        </w:tc>
        <w:tc>
          <w:tcPr>
            <w:tcW w:w="1772" w:type="dxa"/>
            <w:noWrap w:val="0"/>
            <w:vAlign w:val="center"/>
          </w:tcPr>
          <w:p w14:paraId="7BA13169">
            <w:pPr>
              <w:widowControl w:val="0"/>
              <w:spacing w:line="240" w:lineRule="auto"/>
              <w:ind w:firstLine="0"/>
              <w:jc w:val="center"/>
              <w:rPr>
                <w:color w:val="000000"/>
                <w:sz w:val="21"/>
                <w:szCs w:val="21"/>
              </w:rPr>
            </w:pPr>
          </w:p>
        </w:tc>
        <w:tc>
          <w:tcPr>
            <w:tcW w:w="890" w:type="dxa"/>
            <w:noWrap w:val="0"/>
            <w:vAlign w:val="top"/>
          </w:tcPr>
          <w:p w14:paraId="6A4243B0">
            <w:pPr>
              <w:spacing w:line="240" w:lineRule="auto"/>
              <w:ind w:firstLine="0"/>
              <w:jc w:val="center"/>
              <w:rPr>
                <w:color w:val="000000"/>
                <w:sz w:val="21"/>
                <w:szCs w:val="21"/>
              </w:rPr>
            </w:pPr>
          </w:p>
        </w:tc>
      </w:tr>
      <w:tr w14:paraId="31233AD2">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369" w:hRule="atLeast"/>
          <w:jc w:val="center"/>
        </w:trPr>
        <w:tc>
          <w:tcPr>
            <w:tcW w:w="890" w:type="dxa"/>
            <w:noWrap w:val="0"/>
            <w:vAlign w:val="top"/>
          </w:tcPr>
          <w:p w14:paraId="67066E2B">
            <w:pPr>
              <w:spacing w:line="240" w:lineRule="auto"/>
              <w:ind w:firstLine="0"/>
              <w:jc w:val="center"/>
              <w:rPr>
                <w:color w:val="000000"/>
                <w:sz w:val="21"/>
                <w:szCs w:val="21"/>
              </w:rPr>
            </w:pPr>
            <w:r>
              <w:rPr>
                <w:rFonts w:hint="eastAsia"/>
                <w:color w:val="000000"/>
                <w:sz w:val="21"/>
                <w:szCs w:val="21"/>
              </w:rPr>
              <w:t>14</w:t>
            </w:r>
          </w:p>
        </w:tc>
        <w:tc>
          <w:tcPr>
            <w:tcW w:w="2948" w:type="dxa"/>
            <w:noWrap w:val="0"/>
            <w:vAlign w:val="center"/>
          </w:tcPr>
          <w:p w14:paraId="377AEE1C">
            <w:pPr>
              <w:widowControl w:val="0"/>
              <w:spacing w:line="240" w:lineRule="auto"/>
              <w:ind w:firstLine="0"/>
              <w:jc w:val="center"/>
              <w:rPr>
                <w:color w:val="000000"/>
                <w:sz w:val="21"/>
                <w:szCs w:val="21"/>
              </w:rPr>
            </w:pPr>
            <w:r>
              <w:rPr>
                <w:rFonts w:hint="eastAsia"/>
                <w:color w:val="000000"/>
                <w:sz w:val="21"/>
                <w:szCs w:val="21"/>
              </w:rPr>
              <w:t>铺装机</w:t>
            </w:r>
          </w:p>
        </w:tc>
        <w:tc>
          <w:tcPr>
            <w:tcW w:w="890" w:type="dxa"/>
            <w:noWrap w:val="0"/>
            <w:vAlign w:val="top"/>
          </w:tcPr>
          <w:p w14:paraId="3F67EA61">
            <w:pPr>
              <w:spacing w:line="240" w:lineRule="auto"/>
              <w:ind w:firstLine="0"/>
              <w:jc w:val="center"/>
              <w:rPr>
                <w:rFonts w:hint="eastAsia"/>
                <w:color w:val="000000"/>
                <w:sz w:val="21"/>
                <w:szCs w:val="21"/>
              </w:rPr>
            </w:pPr>
            <w:r>
              <w:rPr>
                <w:rFonts w:hint="eastAsia"/>
                <w:color w:val="000000"/>
                <w:sz w:val="21"/>
                <w:szCs w:val="21"/>
              </w:rPr>
              <w:t>台</w:t>
            </w:r>
          </w:p>
        </w:tc>
        <w:tc>
          <w:tcPr>
            <w:tcW w:w="890" w:type="dxa"/>
            <w:noWrap w:val="0"/>
            <w:vAlign w:val="center"/>
          </w:tcPr>
          <w:p w14:paraId="4F8E7262">
            <w:pPr>
              <w:widowControl w:val="0"/>
              <w:spacing w:line="240" w:lineRule="auto"/>
              <w:ind w:firstLine="0"/>
              <w:jc w:val="center"/>
              <w:rPr>
                <w:color w:val="000000"/>
                <w:sz w:val="21"/>
                <w:szCs w:val="21"/>
              </w:rPr>
            </w:pPr>
            <w:r>
              <w:rPr>
                <w:rFonts w:hint="eastAsia"/>
                <w:color w:val="000000"/>
                <w:sz w:val="21"/>
                <w:szCs w:val="21"/>
              </w:rPr>
              <w:t>1</w:t>
            </w:r>
          </w:p>
        </w:tc>
        <w:tc>
          <w:tcPr>
            <w:tcW w:w="1772" w:type="dxa"/>
            <w:noWrap w:val="0"/>
            <w:vAlign w:val="center"/>
          </w:tcPr>
          <w:p w14:paraId="6509EDB3">
            <w:pPr>
              <w:widowControl w:val="0"/>
              <w:spacing w:line="240" w:lineRule="auto"/>
              <w:ind w:firstLine="0"/>
              <w:jc w:val="center"/>
              <w:rPr>
                <w:color w:val="000000"/>
                <w:sz w:val="21"/>
                <w:szCs w:val="21"/>
              </w:rPr>
            </w:pPr>
          </w:p>
        </w:tc>
        <w:tc>
          <w:tcPr>
            <w:tcW w:w="890" w:type="dxa"/>
            <w:noWrap w:val="0"/>
            <w:vAlign w:val="top"/>
          </w:tcPr>
          <w:p w14:paraId="29376EF2">
            <w:pPr>
              <w:spacing w:line="240" w:lineRule="auto"/>
              <w:ind w:firstLine="0"/>
              <w:jc w:val="center"/>
              <w:rPr>
                <w:color w:val="000000"/>
                <w:sz w:val="21"/>
                <w:szCs w:val="21"/>
              </w:rPr>
            </w:pPr>
          </w:p>
        </w:tc>
      </w:tr>
    </w:tbl>
    <w:p w14:paraId="1E3B462B">
      <w:pPr>
        <w:pStyle w:val="188"/>
        <w:rPr>
          <w:rFonts w:hint="eastAsia"/>
          <w:lang w:val="zh-CN"/>
        </w:rPr>
      </w:pPr>
      <w:r>
        <w:rPr>
          <w:rFonts w:hint="eastAsia"/>
        </w:rPr>
        <w:t>3.1.3原有项目主要</w:t>
      </w:r>
      <w:r>
        <w:rPr>
          <w:rFonts w:hint="eastAsia"/>
          <w:lang w:val="zh-CN"/>
        </w:rPr>
        <w:t>原料及使用量</w:t>
      </w:r>
    </w:p>
    <w:p w14:paraId="54E700BA">
      <w:pPr>
        <w:ind w:firstLine="480"/>
        <w:rPr>
          <w:color w:val="000000"/>
        </w:rPr>
      </w:pPr>
      <w:r>
        <w:rPr>
          <w:rFonts w:hint="eastAsia"/>
          <w:color w:val="000000"/>
        </w:rPr>
        <w:t>原有</w:t>
      </w:r>
      <w:r>
        <w:rPr>
          <w:color w:val="000000"/>
        </w:rPr>
        <w:t>项目主要原辅材料见表</w:t>
      </w:r>
      <w:r>
        <w:rPr>
          <w:rFonts w:hint="eastAsia"/>
          <w:color w:val="000000"/>
        </w:rPr>
        <w:t>3</w:t>
      </w:r>
      <w:r>
        <w:rPr>
          <w:rFonts w:hint="eastAsia"/>
          <w:color w:val="000000"/>
          <w:lang w:val="en-US" w:eastAsia="zh-CN"/>
        </w:rPr>
        <w:t>.1</w:t>
      </w:r>
      <w:r>
        <w:rPr>
          <w:color w:val="000000"/>
        </w:rPr>
        <w:t>-</w:t>
      </w:r>
      <w:r>
        <w:rPr>
          <w:rFonts w:hint="eastAsia"/>
          <w:color w:val="000000"/>
        </w:rPr>
        <w:t>3</w:t>
      </w:r>
      <w:r>
        <w:rPr>
          <w:color w:val="000000"/>
        </w:rPr>
        <w:t>。</w:t>
      </w:r>
    </w:p>
    <w:p w14:paraId="3CB8ED75">
      <w:pPr>
        <w:ind w:firstLine="482"/>
        <w:jc w:val="center"/>
        <w:rPr>
          <w:b/>
          <w:color w:val="000000"/>
          <w:szCs w:val="24"/>
        </w:rPr>
      </w:pPr>
      <w:r>
        <w:rPr>
          <w:b/>
          <w:color w:val="000000"/>
          <w:szCs w:val="24"/>
        </w:rPr>
        <w:t>表</w:t>
      </w:r>
      <w:r>
        <w:rPr>
          <w:rFonts w:hint="eastAsia"/>
          <w:b/>
          <w:color w:val="000000"/>
          <w:szCs w:val="24"/>
        </w:rPr>
        <w:t>3</w:t>
      </w:r>
      <w:r>
        <w:rPr>
          <w:rFonts w:hint="eastAsia"/>
          <w:b/>
          <w:color w:val="000000"/>
          <w:szCs w:val="24"/>
          <w:lang w:val="en-US" w:eastAsia="zh-CN"/>
        </w:rPr>
        <w:t>.1</w:t>
      </w:r>
      <w:r>
        <w:rPr>
          <w:b/>
          <w:color w:val="000000"/>
          <w:szCs w:val="24"/>
        </w:rPr>
        <w:t>-</w:t>
      </w:r>
      <w:r>
        <w:rPr>
          <w:rFonts w:hint="eastAsia"/>
          <w:b/>
          <w:color w:val="000000"/>
          <w:szCs w:val="24"/>
        </w:rPr>
        <w:t>3</w:t>
      </w:r>
      <w:r>
        <w:rPr>
          <w:b/>
          <w:color w:val="000000"/>
          <w:szCs w:val="24"/>
        </w:rPr>
        <w:t xml:space="preserve"> </w:t>
      </w:r>
      <w:r>
        <w:rPr>
          <w:rFonts w:hint="eastAsia"/>
          <w:b/>
          <w:color w:val="000000"/>
          <w:szCs w:val="24"/>
        </w:rPr>
        <w:t>原有</w:t>
      </w:r>
      <w:r>
        <w:rPr>
          <w:b/>
          <w:color w:val="000000"/>
          <w:szCs w:val="24"/>
        </w:rPr>
        <w:t>项目主要原辅材料</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fixed"/>
        <w:tblCellMar>
          <w:top w:w="15" w:type="dxa"/>
          <w:left w:w="108" w:type="dxa"/>
          <w:bottom w:w="15" w:type="dxa"/>
          <w:right w:w="108" w:type="dxa"/>
        </w:tblCellMar>
      </w:tblPr>
      <w:tblGrid>
        <w:gridCol w:w="901"/>
        <w:gridCol w:w="1829"/>
        <w:gridCol w:w="2150"/>
        <w:gridCol w:w="1230"/>
        <w:gridCol w:w="2110"/>
      </w:tblGrid>
      <w:tr w14:paraId="7BCC8A81">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PrEx>
        <w:trPr>
          <w:trHeight w:val="20" w:hRule="atLeast"/>
          <w:jc w:val="center"/>
        </w:trPr>
        <w:tc>
          <w:tcPr>
            <w:tcW w:w="901" w:type="dxa"/>
            <w:noWrap w:val="0"/>
            <w:vAlign w:val="bottom"/>
          </w:tcPr>
          <w:p w14:paraId="2B90B045">
            <w:pPr>
              <w:spacing w:line="240" w:lineRule="auto"/>
              <w:ind w:firstLine="0"/>
              <w:jc w:val="center"/>
              <w:rPr>
                <w:rFonts w:hint="eastAsia"/>
                <w:color w:val="000000"/>
                <w:sz w:val="21"/>
                <w:szCs w:val="21"/>
              </w:rPr>
            </w:pPr>
            <w:r>
              <w:rPr>
                <w:rFonts w:hint="eastAsia"/>
                <w:color w:val="000000"/>
                <w:sz w:val="21"/>
                <w:szCs w:val="21"/>
              </w:rPr>
              <w:t>序号</w:t>
            </w:r>
          </w:p>
        </w:tc>
        <w:tc>
          <w:tcPr>
            <w:tcW w:w="1829" w:type="dxa"/>
            <w:noWrap w:val="0"/>
            <w:vAlign w:val="bottom"/>
          </w:tcPr>
          <w:p w14:paraId="4C26E8DF">
            <w:pPr>
              <w:spacing w:line="240" w:lineRule="auto"/>
              <w:ind w:firstLine="0"/>
              <w:jc w:val="center"/>
              <w:rPr>
                <w:rFonts w:hint="eastAsia"/>
                <w:color w:val="000000"/>
                <w:sz w:val="21"/>
                <w:szCs w:val="21"/>
              </w:rPr>
            </w:pPr>
            <w:r>
              <w:rPr>
                <w:rFonts w:hint="eastAsia"/>
                <w:color w:val="000000"/>
                <w:sz w:val="21"/>
                <w:szCs w:val="21"/>
              </w:rPr>
              <w:t>名称</w:t>
            </w:r>
          </w:p>
        </w:tc>
        <w:tc>
          <w:tcPr>
            <w:tcW w:w="2150" w:type="dxa"/>
            <w:noWrap w:val="0"/>
            <w:vAlign w:val="bottom"/>
          </w:tcPr>
          <w:p w14:paraId="6C0C7225">
            <w:pPr>
              <w:spacing w:line="240" w:lineRule="auto"/>
              <w:ind w:firstLine="0"/>
              <w:jc w:val="center"/>
              <w:rPr>
                <w:rFonts w:hint="eastAsia"/>
                <w:color w:val="000000"/>
                <w:sz w:val="21"/>
                <w:szCs w:val="21"/>
              </w:rPr>
            </w:pPr>
            <w:r>
              <w:rPr>
                <w:rFonts w:hint="eastAsia"/>
                <w:color w:val="000000"/>
                <w:sz w:val="21"/>
                <w:szCs w:val="21"/>
              </w:rPr>
              <w:t>年用量</w:t>
            </w:r>
          </w:p>
        </w:tc>
        <w:tc>
          <w:tcPr>
            <w:tcW w:w="1230" w:type="dxa"/>
            <w:noWrap w:val="0"/>
            <w:vAlign w:val="bottom"/>
          </w:tcPr>
          <w:p w14:paraId="505F86D5">
            <w:pPr>
              <w:spacing w:line="240" w:lineRule="auto"/>
              <w:ind w:firstLine="0"/>
              <w:jc w:val="center"/>
              <w:rPr>
                <w:rFonts w:hint="eastAsia"/>
                <w:color w:val="000000"/>
                <w:sz w:val="21"/>
                <w:szCs w:val="21"/>
              </w:rPr>
            </w:pPr>
            <w:r>
              <w:rPr>
                <w:rFonts w:hint="eastAsia"/>
                <w:color w:val="000000"/>
                <w:sz w:val="21"/>
                <w:szCs w:val="21"/>
              </w:rPr>
              <w:t>单位</w:t>
            </w:r>
          </w:p>
        </w:tc>
        <w:tc>
          <w:tcPr>
            <w:tcW w:w="2110" w:type="dxa"/>
            <w:noWrap w:val="0"/>
            <w:vAlign w:val="bottom"/>
          </w:tcPr>
          <w:p w14:paraId="099C59F6">
            <w:pPr>
              <w:spacing w:line="240" w:lineRule="auto"/>
              <w:ind w:firstLine="0"/>
              <w:jc w:val="center"/>
              <w:rPr>
                <w:rFonts w:hint="eastAsia"/>
                <w:color w:val="000000"/>
                <w:sz w:val="21"/>
                <w:szCs w:val="21"/>
              </w:rPr>
            </w:pPr>
            <w:r>
              <w:rPr>
                <w:rFonts w:hint="eastAsia"/>
                <w:color w:val="000000"/>
                <w:sz w:val="21"/>
                <w:szCs w:val="21"/>
              </w:rPr>
              <w:t>备注</w:t>
            </w:r>
          </w:p>
        </w:tc>
      </w:tr>
      <w:tr w14:paraId="7660979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20" w:hRule="atLeast"/>
          <w:jc w:val="center"/>
        </w:trPr>
        <w:tc>
          <w:tcPr>
            <w:tcW w:w="901" w:type="dxa"/>
            <w:noWrap w:val="0"/>
            <w:vAlign w:val="center"/>
          </w:tcPr>
          <w:p w14:paraId="46411401">
            <w:pPr>
              <w:spacing w:line="240" w:lineRule="auto"/>
              <w:ind w:firstLine="0"/>
              <w:jc w:val="center"/>
              <w:rPr>
                <w:rFonts w:hint="eastAsia"/>
                <w:color w:val="000000"/>
                <w:sz w:val="21"/>
                <w:szCs w:val="21"/>
              </w:rPr>
            </w:pPr>
            <w:r>
              <w:rPr>
                <w:rFonts w:hint="eastAsia"/>
                <w:color w:val="000000"/>
                <w:sz w:val="21"/>
                <w:szCs w:val="21"/>
              </w:rPr>
              <w:t>1</w:t>
            </w:r>
          </w:p>
        </w:tc>
        <w:tc>
          <w:tcPr>
            <w:tcW w:w="1829" w:type="dxa"/>
            <w:noWrap w:val="0"/>
            <w:vAlign w:val="center"/>
          </w:tcPr>
          <w:p w14:paraId="05DD3217">
            <w:pPr>
              <w:spacing w:line="240" w:lineRule="auto"/>
              <w:ind w:firstLine="0"/>
              <w:jc w:val="center"/>
              <w:rPr>
                <w:color w:val="000000"/>
                <w:sz w:val="21"/>
                <w:szCs w:val="21"/>
              </w:rPr>
            </w:pPr>
            <w:r>
              <w:rPr>
                <w:rFonts w:hint="eastAsia"/>
                <w:color w:val="000000"/>
                <w:sz w:val="21"/>
                <w:szCs w:val="21"/>
              </w:rPr>
              <w:t>竹材</w:t>
            </w:r>
          </w:p>
        </w:tc>
        <w:tc>
          <w:tcPr>
            <w:tcW w:w="2150" w:type="dxa"/>
            <w:noWrap w:val="0"/>
            <w:vAlign w:val="bottom"/>
          </w:tcPr>
          <w:p w14:paraId="453731F1">
            <w:pPr>
              <w:spacing w:line="240" w:lineRule="auto"/>
              <w:ind w:firstLine="0"/>
              <w:jc w:val="center"/>
              <w:rPr>
                <w:color w:val="000000"/>
                <w:sz w:val="21"/>
                <w:szCs w:val="21"/>
              </w:rPr>
            </w:pPr>
            <w:r>
              <w:rPr>
                <w:rFonts w:hint="eastAsia"/>
                <w:color w:val="000000"/>
                <w:sz w:val="21"/>
                <w:szCs w:val="21"/>
              </w:rPr>
              <w:t>1.5</w:t>
            </w:r>
          </w:p>
        </w:tc>
        <w:tc>
          <w:tcPr>
            <w:tcW w:w="1230" w:type="dxa"/>
            <w:noWrap w:val="0"/>
            <w:vAlign w:val="bottom"/>
          </w:tcPr>
          <w:p w14:paraId="66F6B803">
            <w:pPr>
              <w:spacing w:line="240" w:lineRule="auto"/>
              <w:ind w:firstLine="0"/>
              <w:jc w:val="center"/>
              <w:rPr>
                <w:rFonts w:hint="eastAsia"/>
                <w:color w:val="000000"/>
                <w:sz w:val="21"/>
                <w:szCs w:val="21"/>
              </w:rPr>
            </w:pPr>
            <w:r>
              <w:rPr>
                <w:rFonts w:hint="eastAsia"/>
                <w:color w:val="000000"/>
                <w:sz w:val="21"/>
                <w:szCs w:val="21"/>
              </w:rPr>
              <w:t>万t/a</w:t>
            </w:r>
          </w:p>
        </w:tc>
        <w:tc>
          <w:tcPr>
            <w:tcW w:w="2110" w:type="dxa"/>
            <w:noWrap w:val="0"/>
            <w:vAlign w:val="bottom"/>
          </w:tcPr>
          <w:p w14:paraId="05ABDE44">
            <w:pPr>
              <w:spacing w:line="240" w:lineRule="auto"/>
              <w:ind w:firstLine="0"/>
              <w:jc w:val="center"/>
              <w:rPr>
                <w:color w:val="000000"/>
                <w:sz w:val="21"/>
                <w:szCs w:val="21"/>
              </w:rPr>
            </w:pPr>
            <w:r>
              <w:rPr>
                <w:rFonts w:hint="eastAsia"/>
                <w:color w:val="000000"/>
                <w:sz w:val="21"/>
                <w:szCs w:val="21"/>
              </w:rPr>
              <w:t>当地收购</w:t>
            </w:r>
          </w:p>
        </w:tc>
      </w:tr>
      <w:tr w14:paraId="01E99F5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20" w:hRule="atLeast"/>
          <w:jc w:val="center"/>
        </w:trPr>
        <w:tc>
          <w:tcPr>
            <w:tcW w:w="901" w:type="dxa"/>
            <w:noWrap w:val="0"/>
            <w:vAlign w:val="center"/>
          </w:tcPr>
          <w:p w14:paraId="3F8E7C33">
            <w:pPr>
              <w:spacing w:line="240" w:lineRule="auto"/>
              <w:ind w:firstLine="0"/>
              <w:jc w:val="center"/>
              <w:rPr>
                <w:rFonts w:hint="eastAsia"/>
                <w:color w:val="000000"/>
                <w:sz w:val="21"/>
                <w:szCs w:val="21"/>
              </w:rPr>
            </w:pPr>
            <w:r>
              <w:rPr>
                <w:rFonts w:hint="eastAsia"/>
                <w:color w:val="000000"/>
                <w:sz w:val="21"/>
                <w:szCs w:val="21"/>
              </w:rPr>
              <w:t>2</w:t>
            </w:r>
          </w:p>
        </w:tc>
        <w:tc>
          <w:tcPr>
            <w:tcW w:w="1829" w:type="dxa"/>
            <w:noWrap w:val="0"/>
            <w:vAlign w:val="center"/>
          </w:tcPr>
          <w:p w14:paraId="12E9BA9A">
            <w:pPr>
              <w:spacing w:line="240" w:lineRule="auto"/>
              <w:ind w:firstLine="0"/>
              <w:jc w:val="center"/>
              <w:rPr>
                <w:color w:val="000000"/>
                <w:sz w:val="21"/>
                <w:szCs w:val="21"/>
              </w:rPr>
            </w:pPr>
            <w:r>
              <w:rPr>
                <w:rFonts w:hint="eastAsia"/>
                <w:color w:val="000000"/>
                <w:sz w:val="21"/>
                <w:szCs w:val="21"/>
              </w:rPr>
              <w:t>木材</w:t>
            </w:r>
          </w:p>
        </w:tc>
        <w:tc>
          <w:tcPr>
            <w:tcW w:w="2150" w:type="dxa"/>
            <w:noWrap w:val="0"/>
            <w:vAlign w:val="bottom"/>
          </w:tcPr>
          <w:p w14:paraId="76DE6F3B">
            <w:pPr>
              <w:spacing w:line="240" w:lineRule="auto"/>
              <w:ind w:firstLine="0"/>
              <w:jc w:val="center"/>
              <w:rPr>
                <w:color w:val="000000"/>
                <w:sz w:val="21"/>
                <w:szCs w:val="21"/>
              </w:rPr>
            </w:pPr>
            <w:r>
              <w:rPr>
                <w:rFonts w:hint="eastAsia"/>
                <w:color w:val="000000"/>
                <w:sz w:val="21"/>
                <w:szCs w:val="21"/>
              </w:rPr>
              <w:t>8</w:t>
            </w:r>
          </w:p>
        </w:tc>
        <w:tc>
          <w:tcPr>
            <w:tcW w:w="1230" w:type="dxa"/>
            <w:noWrap w:val="0"/>
            <w:vAlign w:val="bottom"/>
          </w:tcPr>
          <w:p w14:paraId="05C265F5">
            <w:pPr>
              <w:spacing w:line="240" w:lineRule="auto"/>
              <w:ind w:firstLine="0"/>
              <w:jc w:val="center"/>
              <w:rPr>
                <w:rFonts w:hint="eastAsia"/>
                <w:color w:val="000000"/>
                <w:sz w:val="21"/>
                <w:szCs w:val="21"/>
              </w:rPr>
            </w:pPr>
            <w:r>
              <w:rPr>
                <w:rFonts w:hint="eastAsia"/>
                <w:color w:val="000000"/>
                <w:sz w:val="21"/>
                <w:szCs w:val="21"/>
              </w:rPr>
              <w:t>万m</w:t>
            </w:r>
            <w:r>
              <w:rPr>
                <w:rFonts w:hint="eastAsia"/>
                <w:color w:val="000000"/>
                <w:sz w:val="21"/>
                <w:szCs w:val="21"/>
                <w:vertAlign w:val="superscript"/>
              </w:rPr>
              <w:t>3</w:t>
            </w:r>
            <w:r>
              <w:rPr>
                <w:rFonts w:hint="eastAsia"/>
                <w:color w:val="000000"/>
                <w:sz w:val="21"/>
                <w:szCs w:val="21"/>
              </w:rPr>
              <w:t>/a</w:t>
            </w:r>
          </w:p>
        </w:tc>
        <w:tc>
          <w:tcPr>
            <w:tcW w:w="2110" w:type="dxa"/>
            <w:noWrap w:val="0"/>
            <w:vAlign w:val="bottom"/>
          </w:tcPr>
          <w:p w14:paraId="2F837A9D">
            <w:pPr>
              <w:spacing w:line="240" w:lineRule="auto"/>
              <w:ind w:firstLine="0"/>
              <w:jc w:val="center"/>
              <w:rPr>
                <w:rFonts w:hint="eastAsia"/>
                <w:color w:val="000000"/>
                <w:sz w:val="21"/>
                <w:szCs w:val="21"/>
              </w:rPr>
            </w:pPr>
            <w:r>
              <w:rPr>
                <w:rFonts w:hint="eastAsia"/>
                <w:color w:val="000000"/>
                <w:sz w:val="21"/>
                <w:szCs w:val="21"/>
              </w:rPr>
              <w:t>当地外购</w:t>
            </w:r>
          </w:p>
        </w:tc>
      </w:tr>
      <w:tr w14:paraId="3B3CA904">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20" w:hRule="atLeast"/>
          <w:jc w:val="center"/>
        </w:trPr>
        <w:tc>
          <w:tcPr>
            <w:tcW w:w="901" w:type="dxa"/>
            <w:noWrap w:val="0"/>
            <w:vAlign w:val="center"/>
          </w:tcPr>
          <w:p w14:paraId="5C3AAB19">
            <w:pPr>
              <w:spacing w:line="240" w:lineRule="auto"/>
              <w:ind w:firstLine="0"/>
              <w:jc w:val="center"/>
              <w:rPr>
                <w:rFonts w:hint="eastAsia"/>
                <w:color w:val="000000"/>
                <w:sz w:val="21"/>
                <w:szCs w:val="21"/>
              </w:rPr>
            </w:pPr>
            <w:r>
              <w:rPr>
                <w:rFonts w:hint="eastAsia"/>
                <w:color w:val="000000"/>
                <w:sz w:val="21"/>
                <w:szCs w:val="21"/>
              </w:rPr>
              <w:t>3</w:t>
            </w:r>
          </w:p>
        </w:tc>
        <w:tc>
          <w:tcPr>
            <w:tcW w:w="1829" w:type="dxa"/>
            <w:noWrap w:val="0"/>
            <w:vAlign w:val="center"/>
          </w:tcPr>
          <w:p w14:paraId="5DA041A5">
            <w:pPr>
              <w:spacing w:line="240" w:lineRule="auto"/>
              <w:ind w:firstLine="0"/>
              <w:jc w:val="center"/>
              <w:rPr>
                <w:color w:val="000000"/>
                <w:sz w:val="21"/>
                <w:szCs w:val="21"/>
              </w:rPr>
            </w:pPr>
            <w:r>
              <w:rPr>
                <w:rFonts w:hint="eastAsia"/>
                <w:color w:val="000000"/>
                <w:sz w:val="21"/>
                <w:szCs w:val="21"/>
              </w:rPr>
              <w:t>脲醛树脂胶</w:t>
            </w:r>
          </w:p>
        </w:tc>
        <w:tc>
          <w:tcPr>
            <w:tcW w:w="2150" w:type="dxa"/>
            <w:noWrap w:val="0"/>
            <w:vAlign w:val="center"/>
          </w:tcPr>
          <w:p w14:paraId="10C80676">
            <w:pPr>
              <w:spacing w:line="240" w:lineRule="auto"/>
              <w:ind w:firstLine="0"/>
              <w:jc w:val="center"/>
              <w:rPr>
                <w:color w:val="000000"/>
                <w:sz w:val="21"/>
                <w:szCs w:val="21"/>
              </w:rPr>
            </w:pPr>
            <w:r>
              <w:rPr>
                <w:rFonts w:hint="eastAsia"/>
                <w:color w:val="000000"/>
                <w:sz w:val="21"/>
                <w:szCs w:val="21"/>
              </w:rPr>
              <w:t>1.2</w:t>
            </w:r>
          </w:p>
        </w:tc>
        <w:tc>
          <w:tcPr>
            <w:tcW w:w="1230" w:type="dxa"/>
            <w:noWrap w:val="0"/>
            <w:vAlign w:val="center"/>
          </w:tcPr>
          <w:p w14:paraId="4A7C20B7">
            <w:pPr>
              <w:spacing w:line="240" w:lineRule="auto"/>
              <w:ind w:firstLine="0"/>
              <w:jc w:val="center"/>
              <w:rPr>
                <w:rFonts w:hint="eastAsia"/>
                <w:color w:val="000000"/>
                <w:sz w:val="21"/>
                <w:szCs w:val="21"/>
              </w:rPr>
            </w:pPr>
            <w:r>
              <w:rPr>
                <w:rFonts w:hint="eastAsia"/>
                <w:color w:val="000000"/>
                <w:sz w:val="21"/>
                <w:szCs w:val="21"/>
              </w:rPr>
              <w:t>万t/a</w:t>
            </w:r>
          </w:p>
        </w:tc>
        <w:tc>
          <w:tcPr>
            <w:tcW w:w="2110" w:type="dxa"/>
            <w:noWrap w:val="0"/>
            <w:vAlign w:val="bottom"/>
          </w:tcPr>
          <w:p w14:paraId="12463DCD">
            <w:pPr>
              <w:spacing w:line="240" w:lineRule="auto"/>
              <w:ind w:firstLine="0"/>
              <w:jc w:val="center"/>
              <w:rPr>
                <w:rFonts w:hint="eastAsia"/>
                <w:color w:val="000000"/>
                <w:sz w:val="21"/>
                <w:szCs w:val="21"/>
              </w:rPr>
            </w:pPr>
            <w:r>
              <w:rPr>
                <w:rFonts w:hint="eastAsia"/>
                <w:color w:val="000000"/>
                <w:sz w:val="21"/>
                <w:szCs w:val="21"/>
              </w:rPr>
              <w:t>外购</w:t>
            </w:r>
          </w:p>
        </w:tc>
      </w:tr>
      <w:tr w14:paraId="738F63F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20" w:hRule="atLeast"/>
          <w:jc w:val="center"/>
        </w:trPr>
        <w:tc>
          <w:tcPr>
            <w:tcW w:w="901" w:type="dxa"/>
            <w:noWrap w:val="0"/>
            <w:vAlign w:val="center"/>
          </w:tcPr>
          <w:p w14:paraId="3FF03B81">
            <w:pPr>
              <w:spacing w:line="240" w:lineRule="auto"/>
              <w:ind w:firstLine="0"/>
              <w:jc w:val="center"/>
              <w:rPr>
                <w:color w:val="000000"/>
                <w:sz w:val="21"/>
                <w:szCs w:val="21"/>
              </w:rPr>
            </w:pPr>
            <w:r>
              <w:rPr>
                <w:rFonts w:hint="eastAsia"/>
                <w:color w:val="000000"/>
                <w:sz w:val="21"/>
                <w:szCs w:val="21"/>
              </w:rPr>
              <w:t>4</w:t>
            </w:r>
          </w:p>
        </w:tc>
        <w:tc>
          <w:tcPr>
            <w:tcW w:w="1829" w:type="dxa"/>
            <w:noWrap w:val="0"/>
            <w:vAlign w:val="center"/>
          </w:tcPr>
          <w:p w14:paraId="315F8A6D">
            <w:pPr>
              <w:spacing w:line="240" w:lineRule="auto"/>
              <w:ind w:firstLine="0"/>
              <w:jc w:val="center"/>
              <w:rPr>
                <w:color w:val="000000"/>
                <w:sz w:val="21"/>
                <w:szCs w:val="21"/>
              </w:rPr>
            </w:pPr>
            <w:r>
              <w:rPr>
                <w:rFonts w:hint="eastAsia"/>
                <w:color w:val="000000"/>
                <w:sz w:val="21"/>
                <w:szCs w:val="21"/>
              </w:rPr>
              <w:t>水</w:t>
            </w:r>
          </w:p>
        </w:tc>
        <w:tc>
          <w:tcPr>
            <w:tcW w:w="2150" w:type="dxa"/>
            <w:noWrap w:val="0"/>
            <w:vAlign w:val="bottom"/>
          </w:tcPr>
          <w:p w14:paraId="46900B7D">
            <w:pPr>
              <w:spacing w:line="240" w:lineRule="auto"/>
              <w:ind w:firstLine="0"/>
              <w:jc w:val="center"/>
              <w:rPr>
                <w:rFonts w:eastAsia="Calibri"/>
                <w:color w:val="000000"/>
                <w:sz w:val="21"/>
                <w:szCs w:val="21"/>
                <w:lang w:val="en-US" w:eastAsia="zh-CN"/>
              </w:rPr>
            </w:pPr>
            <w:r>
              <w:rPr>
                <w:rFonts w:hint="eastAsia"/>
                <w:color w:val="000000"/>
                <w:sz w:val="21"/>
                <w:szCs w:val="21"/>
                <w:lang w:val="en-US" w:eastAsia="zh-CN"/>
              </w:rPr>
              <w:t>60000</w:t>
            </w:r>
          </w:p>
        </w:tc>
        <w:tc>
          <w:tcPr>
            <w:tcW w:w="1230" w:type="dxa"/>
            <w:noWrap w:val="0"/>
            <w:vAlign w:val="bottom"/>
          </w:tcPr>
          <w:p w14:paraId="5BE9B9EB">
            <w:pPr>
              <w:spacing w:line="240" w:lineRule="auto"/>
              <w:ind w:firstLine="0"/>
              <w:jc w:val="center"/>
              <w:rPr>
                <w:color w:val="000000"/>
                <w:sz w:val="21"/>
                <w:szCs w:val="21"/>
              </w:rPr>
            </w:pPr>
            <w:r>
              <w:rPr>
                <w:rFonts w:hint="eastAsia"/>
                <w:color w:val="000000"/>
                <w:sz w:val="21"/>
                <w:szCs w:val="21"/>
              </w:rPr>
              <w:t>m</w:t>
            </w:r>
            <w:r>
              <w:rPr>
                <w:rFonts w:hint="eastAsia"/>
                <w:color w:val="000000"/>
                <w:sz w:val="21"/>
                <w:szCs w:val="21"/>
                <w:vertAlign w:val="superscript"/>
              </w:rPr>
              <w:t>3</w:t>
            </w:r>
            <w:r>
              <w:rPr>
                <w:rFonts w:hint="eastAsia"/>
                <w:color w:val="000000"/>
                <w:sz w:val="21"/>
                <w:szCs w:val="21"/>
              </w:rPr>
              <w:t>/a</w:t>
            </w:r>
          </w:p>
        </w:tc>
        <w:tc>
          <w:tcPr>
            <w:tcW w:w="2110" w:type="dxa"/>
            <w:noWrap w:val="0"/>
            <w:vAlign w:val="bottom"/>
          </w:tcPr>
          <w:p w14:paraId="465F6D54">
            <w:pPr>
              <w:spacing w:line="240" w:lineRule="auto"/>
              <w:ind w:firstLine="0"/>
              <w:jc w:val="center"/>
              <w:rPr>
                <w:rFonts w:eastAsia="Calibri"/>
                <w:color w:val="000000"/>
                <w:sz w:val="21"/>
                <w:szCs w:val="21"/>
                <w:lang w:val="en-US" w:eastAsia="zh-CN"/>
              </w:rPr>
            </w:pPr>
            <w:r>
              <w:rPr>
                <w:rFonts w:hint="eastAsia"/>
                <w:color w:val="000000"/>
                <w:sz w:val="21"/>
                <w:szCs w:val="21"/>
                <w:lang w:val="en-US" w:eastAsia="zh-CN"/>
              </w:rPr>
              <w:t>自来水公司供水</w:t>
            </w:r>
          </w:p>
        </w:tc>
      </w:tr>
      <w:tr w14:paraId="25BE6631">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15" w:type="dxa"/>
            <w:left w:w="108" w:type="dxa"/>
            <w:bottom w:w="15" w:type="dxa"/>
            <w:right w:w="108" w:type="dxa"/>
          </w:tblCellMar>
        </w:tblPrEx>
        <w:trPr>
          <w:trHeight w:val="20" w:hRule="atLeast"/>
          <w:jc w:val="center"/>
        </w:trPr>
        <w:tc>
          <w:tcPr>
            <w:tcW w:w="901" w:type="dxa"/>
            <w:noWrap w:val="0"/>
            <w:vAlign w:val="center"/>
          </w:tcPr>
          <w:p w14:paraId="50AC1CCE">
            <w:pPr>
              <w:spacing w:line="240" w:lineRule="auto"/>
              <w:ind w:firstLine="0"/>
              <w:jc w:val="center"/>
              <w:rPr>
                <w:color w:val="000000"/>
                <w:sz w:val="21"/>
                <w:szCs w:val="21"/>
              </w:rPr>
            </w:pPr>
            <w:r>
              <w:rPr>
                <w:rFonts w:hint="eastAsia"/>
                <w:color w:val="000000"/>
                <w:sz w:val="21"/>
                <w:szCs w:val="21"/>
              </w:rPr>
              <w:t>5</w:t>
            </w:r>
          </w:p>
        </w:tc>
        <w:tc>
          <w:tcPr>
            <w:tcW w:w="1829" w:type="dxa"/>
            <w:noWrap w:val="0"/>
            <w:vAlign w:val="center"/>
          </w:tcPr>
          <w:p w14:paraId="7C5A0867">
            <w:pPr>
              <w:spacing w:line="240" w:lineRule="auto"/>
              <w:ind w:firstLine="0"/>
              <w:jc w:val="center"/>
              <w:rPr>
                <w:color w:val="000000"/>
                <w:sz w:val="21"/>
                <w:szCs w:val="21"/>
              </w:rPr>
            </w:pPr>
            <w:r>
              <w:rPr>
                <w:rFonts w:hint="eastAsia"/>
                <w:color w:val="000000"/>
                <w:sz w:val="21"/>
                <w:szCs w:val="21"/>
              </w:rPr>
              <w:t>电</w:t>
            </w:r>
          </w:p>
        </w:tc>
        <w:tc>
          <w:tcPr>
            <w:tcW w:w="2150" w:type="dxa"/>
            <w:noWrap w:val="0"/>
            <w:vAlign w:val="bottom"/>
          </w:tcPr>
          <w:p w14:paraId="7832BE5E">
            <w:pPr>
              <w:spacing w:line="240" w:lineRule="auto"/>
              <w:ind w:firstLine="0"/>
              <w:jc w:val="center"/>
              <w:rPr>
                <w:rFonts w:eastAsia="Calibri"/>
                <w:color w:val="000000"/>
                <w:sz w:val="21"/>
                <w:szCs w:val="21"/>
                <w:lang w:val="en-US" w:eastAsia="zh-CN"/>
              </w:rPr>
            </w:pPr>
            <w:r>
              <w:rPr>
                <w:rFonts w:hint="eastAsia"/>
                <w:color w:val="000000"/>
                <w:sz w:val="21"/>
                <w:szCs w:val="21"/>
                <w:lang w:val="en-US" w:eastAsia="zh-CN"/>
              </w:rPr>
              <w:t>600</w:t>
            </w:r>
          </w:p>
        </w:tc>
        <w:tc>
          <w:tcPr>
            <w:tcW w:w="1230" w:type="dxa"/>
            <w:noWrap w:val="0"/>
            <w:vAlign w:val="bottom"/>
          </w:tcPr>
          <w:p w14:paraId="3AAC0181">
            <w:pPr>
              <w:spacing w:line="240" w:lineRule="auto"/>
              <w:ind w:firstLine="0"/>
              <w:jc w:val="center"/>
              <w:rPr>
                <w:rFonts w:hint="eastAsia"/>
                <w:color w:val="000000"/>
                <w:sz w:val="21"/>
                <w:szCs w:val="21"/>
              </w:rPr>
            </w:pPr>
            <w:r>
              <w:rPr>
                <w:color w:val="000000"/>
                <w:sz w:val="21"/>
                <w:szCs w:val="21"/>
              </w:rPr>
              <w:t>万KWh/a</w:t>
            </w:r>
          </w:p>
        </w:tc>
        <w:tc>
          <w:tcPr>
            <w:tcW w:w="2110" w:type="dxa"/>
            <w:noWrap w:val="0"/>
            <w:vAlign w:val="bottom"/>
          </w:tcPr>
          <w:p w14:paraId="1F3EB8B6">
            <w:pPr>
              <w:spacing w:line="240" w:lineRule="auto"/>
              <w:ind w:firstLine="0"/>
              <w:jc w:val="center"/>
              <w:rPr>
                <w:color w:val="000000"/>
                <w:sz w:val="21"/>
                <w:szCs w:val="21"/>
              </w:rPr>
            </w:pPr>
            <w:r>
              <w:rPr>
                <w:rFonts w:hint="eastAsia"/>
                <w:color w:val="000000"/>
                <w:sz w:val="21"/>
                <w:szCs w:val="21"/>
              </w:rPr>
              <w:t>供电电网接入</w:t>
            </w:r>
          </w:p>
        </w:tc>
      </w:tr>
    </w:tbl>
    <w:p w14:paraId="128B0449">
      <w:pPr>
        <w:pStyle w:val="188"/>
        <w:rPr>
          <w:rFonts w:hint="eastAsia"/>
        </w:rPr>
      </w:pPr>
      <w:bookmarkStart w:id="65" w:name="_Toc278532728"/>
      <w:bookmarkStart w:id="66" w:name="_Toc5339"/>
      <w:bookmarkStart w:id="67" w:name="_Toc275940999"/>
      <w:bookmarkStart w:id="68" w:name="_Toc268600748"/>
      <w:bookmarkStart w:id="69" w:name="_Toc184698368"/>
      <w:bookmarkStart w:id="70" w:name="_Toc256148905"/>
      <w:r>
        <w:rPr>
          <w:rFonts w:hint="eastAsia"/>
        </w:rPr>
        <w:t>3.1.4原有项目劳动定员</w:t>
      </w:r>
      <w:bookmarkEnd w:id="63"/>
      <w:bookmarkEnd w:id="64"/>
      <w:bookmarkEnd w:id="65"/>
      <w:bookmarkEnd w:id="66"/>
    </w:p>
    <w:bookmarkEnd w:id="67"/>
    <w:bookmarkEnd w:id="68"/>
    <w:p w14:paraId="1FC9D186">
      <w:pPr>
        <w:ind w:firstLine="480"/>
      </w:pPr>
      <w:bookmarkStart w:id="71" w:name="_Toc184698374"/>
      <w:bookmarkStart w:id="72" w:name="_Toc256148909"/>
      <w:bookmarkStart w:id="73" w:name="_Toc275941005"/>
      <w:bookmarkStart w:id="74" w:name="_Toc3466"/>
      <w:bookmarkStart w:id="75" w:name="_Toc278532729"/>
      <w:bookmarkStart w:id="76" w:name="_Toc268600753"/>
      <w:r>
        <w:rPr>
          <w:rFonts w:hint="eastAsia"/>
        </w:rPr>
        <w:t>（1）</w:t>
      </w:r>
      <w:r>
        <w:t>工作制度</w:t>
      </w:r>
    </w:p>
    <w:p w14:paraId="16D0E68F">
      <w:pPr>
        <w:ind w:firstLine="480"/>
      </w:pPr>
      <w:r>
        <w:t>项目年运营天数达</w:t>
      </w:r>
      <w:r>
        <w:rPr>
          <w:rFonts w:hint="eastAsia"/>
        </w:rPr>
        <w:t>300</w:t>
      </w:r>
      <w:r>
        <w:t>天，</w:t>
      </w:r>
      <w:r>
        <w:rPr>
          <w:rFonts w:hint="eastAsia"/>
          <w:lang w:val="en-US" w:eastAsia="zh-CN"/>
        </w:rPr>
        <w:t>三</w:t>
      </w:r>
      <w:r>
        <w:t>班制，每</w:t>
      </w:r>
      <w:r>
        <w:rPr>
          <w:rFonts w:hint="eastAsia"/>
          <w:lang w:val="en-US" w:eastAsia="zh-CN"/>
        </w:rPr>
        <w:t>班</w:t>
      </w:r>
      <w:r>
        <w:t>工作</w:t>
      </w:r>
      <w:r>
        <w:rPr>
          <w:rFonts w:hint="eastAsia"/>
        </w:rPr>
        <w:t>8</w:t>
      </w:r>
      <w:r>
        <w:t>小时。</w:t>
      </w:r>
    </w:p>
    <w:p w14:paraId="0623EA04">
      <w:pPr>
        <w:ind w:firstLine="480"/>
      </w:pPr>
      <w:r>
        <w:rPr>
          <w:rFonts w:hint="eastAsia"/>
        </w:rPr>
        <w:t>（2）</w:t>
      </w:r>
      <w:r>
        <w:t>劳动定员</w:t>
      </w:r>
    </w:p>
    <w:p w14:paraId="7323CD9B">
      <w:pPr>
        <w:ind w:firstLine="480"/>
        <w:rPr>
          <w:color w:val="FF0000"/>
        </w:rPr>
      </w:pPr>
      <w:r>
        <w:t>项目共</w:t>
      </w:r>
      <w:r>
        <w:rPr>
          <w:color w:val="000000"/>
        </w:rPr>
        <w:t>配置工作人员</w:t>
      </w:r>
      <w:r>
        <w:rPr>
          <w:rFonts w:hint="eastAsia"/>
          <w:color w:val="000000"/>
          <w:lang w:val="en-US" w:eastAsia="zh-CN"/>
        </w:rPr>
        <w:t>2</w:t>
      </w:r>
      <w:r>
        <w:rPr>
          <w:rFonts w:hint="eastAsia"/>
          <w:color w:val="000000"/>
        </w:rPr>
        <w:t>00</w:t>
      </w:r>
      <w:r>
        <w:rPr>
          <w:color w:val="000000"/>
        </w:rPr>
        <w:t>人，其中管理人员</w:t>
      </w:r>
      <w:r>
        <w:rPr>
          <w:rFonts w:hint="eastAsia"/>
          <w:color w:val="000000"/>
          <w:lang w:val="en-US" w:eastAsia="zh-CN"/>
        </w:rPr>
        <w:t>40</w:t>
      </w:r>
      <w:r>
        <w:rPr>
          <w:color w:val="000000"/>
        </w:rPr>
        <w:t>人，技术工人</w:t>
      </w:r>
      <w:r>
        <w:rPr>
          <w:rFonts w:hint="eastAsia"/>
          <w:color w:val="000000"/>
          <w:lang w:val="en-US" w:eastAsia="zh-CN"/>
        </w:rPr>
        <w:t>160</w:t>
      </w:r>
      <w:r>
        <w:rPr>
          <w:color w:val="000000"/>
        </w:rPr>
        <w:t>人；均在项目区内食宿。</w:t>
      </w:r>
    </w:p>
    <w:p w14:paraId="06C8AE92">
      <w:pPr>
        <w:pStyle w:val="187"/>
        <w:rPr>
          <w:rFonts w:hint="eastAsia" w:ascii="Times New Roman" w:hAnsi="Times New Roman"/>
          <w:bCs/>
        </w:rPr>
      </w:pPr>
      <w:bookmarkStart w:id="77" w:name="_Toc9242"/>
      <w:r>
        <w:rPr>
          <w:rFonts w:hint="eastAsia" w:ascii="Times New Roman" w:hAnsi="Times New Roman"/>
          <w:bCs/>
        </w:rPr>
        <w:t>3.</w:t>
      </w:r>
      <w:r>
        <w:rPr>
          <w:rFonts w:hint="eastAsia" w:ascii="Times New Roman" w:hAnsi="Times New Roman"/>
          <w:bCs/>
          <w:lang w:val="en-US" w:eastAsia="zh-CN"/>
        </w:rPr>
        <w:t>2</w:t>
      </w:r>
      <w:r>
        <w:rPr>
          <w:rFonts w:hint="eastAsia" w:ascii="Times New Roman" w:hAnsi="Times New Roman"/>
          <w:bCs/>
        </w:rPr>
        <w:t>原有项目的生产工艺</w:t>
      </w:r>
      <w:bookmarkEnd w:id="69"/>
    </w:p>
    <w:p w14:paraId="2134CF6C">
      <w:pPr>
        <w:ind w:firstLine="480"/>
      </w:pPr>
      <w:r>
        <w:rPr>
          <w:rFonts w:hint="eastAsia"/>
        </w:rPr>
        <w:t>原有项目采用木材、竹材为原料，经过旋切、干燥、剪拼、分选后打包入库成为成品外售。</w:t>
      </w:r>
    </w:p>
    <w:p w14:paraId="5BF6C99D">
      <w:pPr>
        <w:ind w:firstLine="480"/>
        <w:rPr>
          <w:rFonts w:hint="eastAsia"/>
        </w:rPr>
      </w:pPr>
      <w:r>
        <w:rPr>
          <w:rFonts w:hint="eastAsia"/>
        </w:rPr>
        <w:object>
          <v:shape id="_x0000_i1026" o:spt="75" type="#_x0000_t75" style="height:203.55pt;width:415.3pt;" o:ole="t" filled="f" o:preferrelative="t" stroked="f" coordsize="21600,21600">
            <v:path/>
            <v:fill on="f" focussize="0,0"/>
            <v:stroke on="f" joinstyle="miter"/>
            <v:imagedata r:id="rId28" o:title=""/>
            <o:lock v:ext="edit" rotation="t" aspectratio="t"/>
            <w10:wrap type="none"/>
            <w10:anchorlock/>
          </v:shape>
          <o:OLEObject Type="Embed" ProgID="Visio.Drawing.11" ShapeID="_x0000_i1026" DrawAspect="Content" ObjectID="_1468075726" r:id="rId27">
            <o:LockedField>false</o:LockedField>
          </o:OLEObject>
        </w:object>
      </w:r>
    </w:p>
    <w:p w14:paraId="7D40D727">
      <w:pPr>
        <w:ind w:firstLine="480"/>
        <w:rPr>
          <w:rFonts w:hint="eastAsia"/>
        </w:rPr>
      </w:pPr>
    </w:p>
    <w:p w14:paraId="672D5E47">
      <w:pPr>
        <w:ind w:firstLine="482"/>
        <w:jc w:val="center"/>
        <w:rPr>
          <w:b/>
          <w:bCs/>
        </w:rPr>
      </w:pPr>
      <w:r>
        <w:rPr>
          <w:rFonts w:hint="eastAsia"/>
          <w:b/>
          <w:bCs/>
        </w:rPr>
        <w:t>图3</w:t>
      </w:r>
      <w:r>
        <w:rPr>
          <w:rFonts w:hint="eastAsia"/>
          <w:b/>
          <w:bCs/>
          <w:lang w:val="en-US" w:eastAsia="zh-CN"/>
        </w:rPr>
        <w:t>.2</w:t>
      </w:r>
      <w:r>
        <w:rPr>
          <w:rFonts w:hint="eastAsia"/>
          <w:b/>
          <w:bCs/>
        </w:rPr>
        <w:t>-1 原有项目工艺流程就产污节点图</w:t>
      </w:r>
    </w:p>
    <w:p w14:paraId="45C9CBEC">
      <w:pPr>
        <w:pStyle w:val="187"/>
        <w:rPr>
          <w:rFonts w:hint="eastAsia" w:ascii="Times New Roman" w:hAnsi="Times New Roman"/>
          <w:bCs/>
        </w:rPr>
      </w:pPr>
      <w:bookmarkStart w:id="78" w:name="_Toc16799"/>
      <w:r>
        <w:rPr>
          <w:rFonts w:hint="eastAsia" w:ascii="Times New Roman" w:hAnsi="Times New Roman"/>
          <w:bCs/>
        </w:rPr>
        <w:t>3.</w:t>
      </w:r>
      <w:r>
        <w:rPr>
          <w:rFonts w:hint="eastAsia" w:ascii="Times New Roman" w:hAnsi="Times New Roman"/>
          <w:bCs/>
          <w:lang w:val="en-US" w:eastAsia="zh-CN"/>
        </w:rPr>
        <w:t>3</w:t>
      </w:r>
      <w:r>
        <w:rPr>
          <w:rFonts w:hint="eastAsia" w:ascii="Times New Roman" w:hAnsi="Times New Roman"/>
          <w:bCs/>
        </w:rPr>
        <w:t>原有项目污染物排放及环境影响因素</w:t>
      </w:r>
      <w:bookmarkEnd w:id="70"/>
      <w:bookmarkEnd w:id="71"/>
      <w:bookmarkEnd w:id="72"/>
      <w:bookmarkEnd w:id="73"/>
      <w:bookmarkEnd w:id="74"/>
      <w:bookmarkEnd w:id="75"/>
      <w:bookmarkEnd w:id="76"/>
    </w:p>
    <w:p w14:paraId="52DCF92B">
      <w:pPr>
        <w:widowControl w:val="0"/>
        <w:ind w:firstLine="482"/>
        <w:rPr>
          <w:rFonts w:hint="eastAsia" w:ascii="宋体" w:hAnsi="宋体" w:eastAsia="宋体"/>
          <w:color w:val="FF0000"/>
          <w:szCs w:val="24"/>
          <w:lang w:eastAsia="zh-CN"/>
        </w:rPr>
      </w:pPr>
      <w:r>
        <w:rPr>
          <w:rFonts w:hint="eastAsia" w:ascii="宋体" w:hAnsi="宋体"/>
          <w:szCs w:val="24"/>
        </w:rPr>
        <w:t>原有项目污染物产排情况及治理措施参照原环评报告表及竣工环境保护验收监测报告（德环监字[2010]第135号）内容，原有项目污染物产排主要情况如下。</w:t>
      </w:r>
      <w:r>
        <w:rPr>
          <w:rFonts w:hint="eastAsia" w:ascii="宋体" w:hAnsi="宋体"/>
          <w:color w:val="FF0000"/>
          <w:szCs w:val="24"/>
          <w:lang w:eastAsia="zh-CN"/>
        </w:rPr>
        <w:t>（</w:t>
      </w:r>
      <w:r>
        <w:rPr>
          <w:rFonts w:hint="eastAsia" w:ascii="宋体" w:hAnsi="宋体"/>
          <w:color w:val="FF0000"/>
          <w:szCs w:val="24"/>
          <w:lang w:val="en-US" w:eastAsia="zh-CN"/>
        </w:rPr>
        <w:t>见附件5</w:t>
      </w:r>
      <w:r>
        <w:rPr>
          <w:rFonts w:hint="eastAsia" w:ascii="宋体" w:hAnsi="宋体"/>
          <w:color w:val="FF0000"/>
          <w:szCs w:val="24"/>
          <w:lang w:eastAsia="zh-CN"/>
        </w:rPr>
        <w:t>）</w:t>
      </w:r>
    </w:p>
    <w:p w14:paraId="780AD131">
      <w:pPr>
        <w:pStyle w:val="188"/>
        <w:rPr>
          <w:rFonts w:hint="eastAsia"/>
        </w:rPr>
      </w:pPr>
      <w:bookmarkStart w:id="79" w:name="_Toc217800789"/>
      <w:bookmarkStart w:id="80" w:name="_Toc256148910"/>
      <w:bookmarkStart w:id="81" w:name="_Toc275941006"/>
      <w:bookmarkStart w:id="82" w:name="_Toc278532730"/>
      <w:bookmarkStart w:id="83" w:name="_Toc184698375"/>
      <w:bookmarkStart w:id="84" w:name="_Toc268600754"/>
      <w:bookmarkStart w:id="85" w:name="_Toc153178736"/>
      <w:r>
        <w:rPr>
          <w:rFonts w:hint="eastAsia"/>
        </w:rPr>
        <w:t>3.</w:t>
      </w:r>
      <w:r>
        <w:rPr>
          <w:rFonts w:hint="eastAsia"/>
          <w:lang w:val="en-US" w:eastAsia="zh-CN"/>
        </w:rPr>
        <w:t>3</w:t>
      </w:r>
      <w:r>
        <w:rPr>
          <w:rFonts w:hint="eastAsia"/>
        </w:rPr>
        <w:t>.1废气</w:t>
      </w:r>
      <w:bookmarkEnd w:id="77"/>
    </w:p>
    <w:p w14:paraId="2304838D">
      <w:pPr>
        <w:widowControl w:val="0"/>
        <w:ind w:firstLine="480"/>
        <w:jc w:val="left"/>
      </w:pPr>
      <w:r>
        <w:rPr>
          <w:rFonts w:hint="eastAsia" w:ascii="宋体" w:hAnsi="宋体"/>
          <w:szCs w:val="24"/>
        </w:rPr>
        <w:t>原有项目废气主要为锅炉烟气、粉尘、甲醛废气等。排放及治理措施详见表</w:t>
      </w:r>
      <w:r>
        <w:t xml:space="preserve"> </w:t>
      </w:r>
      <w:r>
        <w:rPr>
          <w:rFonts w:hint="eastAsia"/>
        </w:rPr>
        <w:t>3</w:t>
      </w:r>
      <w:r>
        <w:rPr>
          <w:rFonts w:hint="eastAsia"/>
          <w:lang w:val="en-US" w:eastAsia="zh-CN"/>
        </w:rPr>
        <w:t>.3</w:t>
      </w:r>
      <w:r>
        <w:rPr>
          <w:rFonts w:hint="eastAsia"/>
        </w:rPr>
        <w:t>-</w:t>
      </w:r>
      <w:r>
        <w:rPr>
          <w:rFonts w:hint="eastAsia"/>
          <w:lang w:val="en-US" w:eastAsia="zh-CN"/>
        </w:rPr>
        <w:t>1</w:t>
      </w:r>
      <w:r>
        <w:t>。</w:t>
      </w:r>
    </w:p>
    <w:p w14:paraId="30A201B6">
      <w:pPr>
        <w:widowControl w:val="0"/>
        <w:ind w:firstLine="482"/>
        <w:jc w:val="left"/>
        <w:rPr>
          <w:b/>
          <w:szCs w:val="24"/>
        </w:rPr>
      </w:pPr>
      <w:r>
        <w:rPr>
          <w:rFonts w:hint="eastAsia" w:ascii="宋体" w:hAnsi="宋体"/>
          <w:b/>
          <w:szCs w:val="24"/>
        </w:rPr>
        <w:t xml:space="preserve">                 </w:t>
      </w:r>
      <w:r>
        <w:rPr>
          <w:b/>
          <w:szCs w:val="24"/>
        </w:rPr>
        <w:t>表</w:t>
      </w:r>
      <w:r>
        <w:rPr>
          <w:rFonts w:hint="eastAsia"/>
          <w:b/>
          <w:szCs w:val="24"/>
        </w:rPr>
        <w:t>3</w:t>
      </w:r>
      <w:r>
        <w:rPr>
          <w:rFonts w:hint="eastAsia"/>
          <w:b/>
          <w:szCs w:val="24"/>
          <w:lang w:val="en-US" w:eastAsia="zh-CN"/>
        </w:rPr>
        <w:t>.3</w:t>
      </w:r>
      <w:r>
        <w:rPr>
          <w:rFonts w:hint="eastAsia"/>
          <w:b/>
          <w:szCs w:val="24"/>
        </w:rPr>
        <w:t>-</w:t>
      </w:r>
      <w:r>
        <w:rPr>
          <w:rFonts w:hint="eastAsia"/>
          <w:b/>
          <w:szCs w:val="24"/>
          <w:lang w:val="en-US" w:eastAsia="zh-CN"/>
        </w:rPr>
        <w:t>1</w:t>
      </w:r>
      <w:r>
        <w:rPr>
          <w:b/>
          <w:szCs w:val="24"/>
        </w:rPr>
        <w:t xml:space="preserve"> </w:t>
      </w:r>
      <w:r>
        <w:rPr>
          <w:rFonts w:hint="eastAsia"/>
          <w:b/>
          <w:szCs w:val="24"/>
        </w:rPr>
        <w:t>原有项目废气治理措施</w:t>
      </w:r>
    </w:p>
    <w:tbl>
      <w:tblPr>
        <w:tblStyle w:val="32"/>
        <w:tblW w:w="8460" w:type="dxa"/>
        <w:jc w:val="center"/>
        <w:tblBorders>
          <w:top w:val="single" w:color="000000" w:sz="12" w:space="0"/>
          <w:left w:val="none" w:color="000000" w:sz="0" w:space="0"/>
          <w:bottom w:val="single" w:color="000000" w:sz="12" w:space="0"/>
          <w:right w:val="none" w:color="000000" w:sz="0" w:space="0"/>
          <w:insideH w:val="single" w:color="000000" w:sz="6" w:space="0"/>
          <w:insideV w:val="single" w:color="000000" w:sz="4" w:space="0"/>
        </w:tblBorders>
        <w:tblLayout w:type="fixed"/>
        <w:tblCellMar>
          <w:top w:w="0" w:type="dxa"/>
          <w:left w:w="0" w:type="dxa"/>
          <w:bottom w:w="0" w:type="dxa"/>
          <w:right w:w="0" w:type="dxa"/>
        </w:tblCellMar>
      </w:tblPr>
      <w:tblGrid>
        <w:gridCol w:w="1205"/>
        <w:gridCol w:w="1810"/>
        <w:gridCol w:w="1170"/>
        <w:gridCol w:w="1200"/>
        <w:gridCol w:w="3075"/>
      </w:tblGrid>
      <w:tr w14:paraId="6A27493A">
        <w:tblPrEx>
          <w:tblBorders>
            <w:top w:val="single" w:color="000000" w:sz="12" w:space="0"/>
            <w:left w:val="none" w:color="000000" w:sz="0" w:space="0"/>
            <w:bottom w:val="single" w:color="000000" w:sz="12" w:space="0"/>
            <w:right w:val="none" w:color="000000" w:sz="0" w:space="0"/>
            <w:insideH w:val="single" w:color="000000" w:sz="6" w:space="0"/>
            <w:insideV w:val="single" w:color="000000" w:sz="4" w:space="0"/>
          </w:tblBorders>
          <w:tblCellMar>
            <w:top w:w="0" w:type="dxa"/>
            <w:left w:w="0" w:type="dxa"/>
            <w:bottom w:w="0" w:type="dxa"/>
            <w:right w:w="0" w:type="dxa"/>
          </w:tblCellMar>
        </w:tblPrEx>
        <w:trPr>
          <w:trHeight w:val="583" w:hRule="exact"/>
          <w:jc w:val="center"/>
        </w:trPr>
        <w:tc>
          <w:tcPr>
            <w:tcW w:w="1205" w:type="dxa"/>
            <w:noWrap w:val="0"/>
            <w:vAlign w:val="center"/>
          </w:tcPr>
          <w:p w14:paraId="79777038">
            <w:pPr>
              <w:widowControl w:val="0"/>
              <w:spacing w:line="240" w:lineRule="auto"/>
              <w:ind w:right="-20" w:firstLine="0"/>
              <w:jc w:val="center"/>
              <w:rPr>
                <w:sz w:val="21"/>
                <w:szCs w:val="21"/>
              </w:rPr>
            </w:pPr>
            <w:r>
              <w:rPr>
                <w:rFonts w:hint="eastAsia"/>
                <w:sz w:val="21"/>
                <w:szCs w:val="21"/>
              </w:rPr>
              <w:t>排放形式</w:t>
            </w:r>
          </w:p>
        </w:tc>
        <w:tc>
          <w:tcPr>
            <w:tcW w:w="1810" w:type="dxa"/>
            <w:noWrap w:val="0"/>
            <w:vAlign w:val="center"/>
          </w:tcPr>
          <w:p w14:paraId="1D308062">
            <w:pPr>
              <w:widowControl w:val="0"/>
              <w:spacing w:line="240" w:lineRule="auto"/>
              <w:ind w:right="-20" w:firstLine="630"/>
              <w:rPr>
                <w:sz w:val="21"/>
                <w:szCs w:val="21"/>
              </w:rPr>
            </w:pPr>
            <w:r>
              <w:rPr>
                <w:rFonts w:hint="eastAsia"/>
                <w:sz w:val="21"/>
                <w:szCs w:val="21"/>
              </w:rPr>
              <w:t>产污工段</w:t>
            </w:r>
          </w:p>
        </w:tc>
        <w:tc>
          <w:tcPr>
            <w:tcW w:w="1170" w:type="dxa"/>
            <w:noWrap w:val="0"/>
            <w:vAlign w:val="center"/>
          </w:tcPr>
          <w:p w14:paraId="54622A7B">
            <w:pPr>
              <w:widowControl w:val="0"/>
              <w:spacing w:line="240" w:lineRule="auto"/>
              <w:ind w:left="193" w:right="131" w:hanging="1"/>
              <w:rPr>
                <w:rFonts w:hint="eastAsia"/>
                <w:sz w:val="21"/>
                <w:szCs w:val="21"/>
              </w:rPr>
            </w:pPr>
            <w:r>
              <w:rPr>
                <w:rFonts w:hint="eastAsia"/>
                <w:sz w:val="21"/>
                <w:szCs w:val="21"/>
              </w:rPr>
              <w:t>污染物</w:t>
            </w:r>
          </w:p>
        </w:tc>
        <w:tc>
          <w:tcPr>
            <w:tcW w:w="1200" w:type="dxa"/>
            <w:noWrap w:val="0"/>
            <w:vAlign w:val="center"/>
          </w:tcPr>
          <w:p w14:paraId="29DBF475">
            <w:pPr>
              <w:widowControl w:val="0"/>
              <w:spacing w:line="240" w:lineRule="auto"/>
              <w:ind w:left="319" w:right="132" w:hanging="140"/>
              <w:jc w:val="center"/>
              <w:rPr>
                <w:sz w:val="21"/>
                <w:szCs w:val="21"/>
              </w:rPr>
            </w:pPr>
            <w:r>
              <w:rPr>
                <w:rFonts w:hint="eastAsia"/>
                <w:sz w:val="21"/>
                <w:szCs w:val="21"/>
              </w:rPr>
              <w:t>排放规律</w:t>
            </w:r>
          </w:p>
        </w:tc>
        <w:tc>
          <w:tcPr>
            <w:tcW w:w="3075" w:type="dxa"/>
            <w:noWrap w:val="0"/>
            <w:vAlign w:val="center"/>
          </w:tcPr>
          <w:p w14:paraId="5A473400">
            <w:pPr>
              <w:widowControl w:val="0"/>
              <w:spacing w:line="240" w:lineRule="auto"/>
              <w:ind w:left="314" w:right="268" w:firstLine="0"/>
              <w:jc w:val="center"/>
              <w:rPr>
                <w:sz w:val="21"/>
                <w:szCs w:val="21"/>
              </w:rPr>
            </w:pPr>
            <w:r>
              <w:rPr>
                <w:rFonts w:hint="eastAsia"/>
                <w:sz w:val="21"/>
                <w:szCs w:val="21"/>
              </w:rPr>
              <w:t>处理设施</w:t>
            </w:r>
          </w:p>
        </w:tc>
      </w:tr>
      <w:tr w14:paraId="4256FFF7">
        <w:tblPrEx>
          <w:tblBorders>
            <w:top w:val="single" w:color="000000" w:sz="12" w:space="0"/>
            <w:left w:val="none" w:color="000000" w:sz="0" w:space="0"/>
            <w:bottom w:val="single" w:color="000000" w:sz="12" w:space="0"/>
            <w:right w:val="none" w:color="000000" w:sz="0" w:space="0"/>
            <w:insideH w:val="single" w:color="000000" w:sz="6" w:space="0"/>
            <w:insideV w:val="single" w:color="000000" w:sz="4" w:space="0"/>
          </w:tblBorders>
          <w:tblCellMar>
            <w:top w:w="0" w:type="dxa"/>
            <w:left w:w="0" w:type="dxa"/>
            <w:bottom w:w="0" w:type="dxa"/>
            <w:right w:w="0" w:type="dxa"/>
          </w:tblCellMar>
        </w:tblPrEx>
        <w:trPr>
          <w:trHeight w:val="457" w:hRule="exact"/>
          <w:jc w:val="center"/>
        </w:trPr>
        <w:tc>
          <w:tcPr>
            <w:tcW w:w="1205" w:type="dxa"/>
            <w:vMerge w:val="restart"/>
            <w:noWrap w:val="0"/>
            <w:vAlign w:val="center"/>
          </w:tcPr>
          <w:p w14:paraId="1DBDEA8B">
            <w:pPr>
              <w:widowControl w:val="0"/>
              <w:spacing w:line="240" w:lineRule="auto"/>
              <w:ind w:right="-20" w:firstLine="0"/>
              <w:jc w:val="center"/>
              <w:rPr>
                <w:sz w:val="21"/>
                <w:szCs w:val="21"/>
              </w:rPr>
            </w:pPr>
            <w:r>
              <w:rPr>
                <w:rFonts w:hint="eastAsia"/>
                <w:sz w:val="21"/>
                <w:szCs w:val="21"/>
              </w:rPr>
              <w:t>有组织排放</w:t>
            </w:r>
          </w:p>
        </w:tc>
        <w:tc>
          <w:tcPr>
            <w:tcW w:w="1810" w:type="dxa"/>
            <w:noWrap w:val="0"/>
            <w:vAlign w:val="center"/>
          </w:tcPr>
          <w:p w14:paraId="6B8475F8">
            <w:pPr>
              <w:widowControl w:val="0"/>
              <w:spacing w:line="240" w:lineRule="auto"/>
              <w:ind w:right="-20" w:firstLine="0"/>
              <w:jc w:val="center"/>
              <w:rPr>
                <w:sz w:val="21"/>
                <w:szCs w:val="21"/>
              </w:rPr>
            </w:pPr>
            <w:r>
              <w:rPr>
                <w:rFonts w:hint="eastAsia"/>
                <w:sz w:val="21"/>
                <w:szCs w:val="21"/>
              </w:rPr>
              <w:t>旋切、切片</w:t>
            </w:r>
          </w:p>
        </w:tc>
        <w:tc>
          <w:tcPr>
            <w:tcW w:w="1170" w:type="dxa"/>
            <w:noWrap w:val="0"/>
            <w:vAlign w:val="center"/>
          </w:tcPr>
          <w:p w14:paraId="4CADB67E">
            <w:pPr>
              <w:widowControl w:val="0"/>
              <w:spacing w:line="240" w:lineRule="auto"/>
              <w:ind w:right="-20" w:firstLine="0"/>
              <w:jc w:val="center"/>
              <w:rPr>
                <w:sz w:val="21"/>
                <w:szCs w:val="21"/>
              </w:rPr>
            </w:pPr>
            <w:r>
              <w:rPr>
                <w:rFonts w:hint="eastAsia"/>
                <w:sz w:val="21"/>
                <w:szCs w:val="21"/>
              </w:rPr>
              <w:t>粉尘</w:t>
            </w:r>
          </w:p>
        </w:tc>
        <w:tc>
          <w:tcPr>
            <w:tcW w:w="1200" w:type="dxa"/>
            <w:noWrap w:val="0"/>
            <w:vAlign w:val="center"/>
          </w:tcPr>
          <w:p w14:paraId="6C7D9210">
            <w:pPr>
              <w:widowControl w:val="0"/>
              <w:spacing w:line="240" w:lineRule="auto"/>
              <w:ind w:right="-20" w:firstLine="0"/>
              <w:jc w:val="center"/>
              <w:rPr>
                <w:rFonts w:hint="eastAsia"/>
                <w:sz w:val="21"/>
                <w:szCs w:val="21"/>
              </w:rPr>
            </w:pPr>
            <w:r>
              <w:rPr>
                <w:rFonts w:hint="eastAsia"/>
                <w:sz w:val="21"/>
                <w:szCs w:val="21"/>
              </w:rPr>
              <w:t>连续</w:t>
            </w:r>
          </w:p>
        </w:tc>
        <w:tc>
          <w:tcPr>
            <w:tcW w:w="3075" w:type="dxa"/>
            <w:noWrap w:val="0"/>
            <w:vAlign w:val="center"/>
          </w:tcPr>
          <w:p w14:paraId="42172599">
            <w:pPr>
              <w:widowControl w:val="0"/>
              <w:spacing w:line="240" w:lineRule="auto"/>
              <w:ind w:right="-20" w:firstLine="0"/>
              <w:jc w:val="center"/>
              <w:rPr>
                <w:sz w:val="21"/>
                <w:szCs w:val="21"/>
              </w:rPr>
            </w:pPr>
            <w:r>
              <w:rPr>
                <w:rFonts w:hint="eastAsia"/>
                <w:sz w:val="21"/>
                <w:szCs w:val="21"/>
              </w:rPr>
              <w:t>袋式除尘器进行处理</w:t>
            </w:r>
          </w:p>
        </w:tc>
      </w:tr>
      <w:tr w14:paraId="3A9731B0">
        <w:tblPrEx>
          <w:tblBorders>
            <w:top w:val="single" w:color="000000" w:sz="12" w:space="0"/>
            <w:left w:val="none" w:color="000000" w:sz="0" w:space="0"/>
            <w:bottom w:val="single" w:color="000000" w:sz="12" w:space="0"/>
            <w:right w:val="none" w:color="000000" w:sz="0" w:space="0"/>
            <w:insideH w:val="single" w:color="000000" w:sz="6" w:space="0"/>
            <w:insideV w:val="single" w:color="000000" w:sz="4" w:space="0"/>
          </w:tblBorders>
          <w:tblCellMar>
            <w:top w:w="0" w:type="dxa"/>
            <w:left w:w="0" w:type="dxa"/>
            <w:bottom w:w="0" w:type="dxa"/>
            <w:right w:w="0" w:type="dxa"/>
          </w:tblCellMar>
        </w:tblPrEx>
        <w:trPr>
          <w:trHeight w:val="457" w:hRule="exact"/>
          <w:jc w:val="center"/>
        </w:trPr>
        <w:tc>
          <w:tcPr>
            <w:tcW w:w="1205" w:type="dxa"/>
            <w:vMerge w:val="continue"/>
            <w:noWrap w:val="0"/>
            <w:vAlign w:val="center"/>
          </w:tcPr>
          <w:p w14:paraId="784DE452">
            <w:pPr>
              <w:widowControl w:val="0"/>
              <w:spacing w:line="240" w:lineRule="auto"/>
              <w:ind w:right="-20" w:firstLine="0"/>
              <w:jc w:val="center"/>
              <w:rPr>
                <w:rFonts w:hint="eastAsia"/>
                <w:sz w:val="21"/>
                <w:szCs w:val="21"/>
              </w:rPr>
            </w:pPr>
          </w:p>
        </w:tc>
        <w:tc>
          <w:tcPr>
            <w:tcW w:w="1810" w:type="dxa"/>
            <w:noWrap w:val="0"/>
            <w:vAlign w:val="center"/>
          </w:tcPr>
          <w:p w14:paraId="2838BABB">
            <w:pPr>
              <w:widowControl w:val="0"/>
              <w:spacing w:line="240" w:lineRule="auto"/>
              <w:ind w:right="-20" w:firstLine="0"/>
              <w:jc w:val="center"/>
              <w:rPr>
                <w:sz w:val="21"/>
                <w:szCs w:val="21"/>
              </w:rPr>
            </w:pPr>
            <w:r>
              <w:rPr>
                <w:rFonts w:hint="eastAsia"/>
                <w:sz w:val="21"/>
                <w:szCs w:val="21"/>
              </w:rPr>
              <w:t>剪拼</w:t>
            </w:r>
          </w:p>
        </w:tc>
        <w:tc>
          <w:tcPr>
            <w:tcW w:w="1170" w:type="dxa"/>
            <w:noWrap w:val="0"/>
            <w:vAlign w:val="center"/>
          </w:tcPr>
          <w:p w14:paraId="63418604">
            <w:pPr>
              <w:widowControl w:val="0"/>
              <w:spacing w:line="240" w:lineRule="auto"/>
              <w:ind w:right="-20" w:firstLine="0"/>
              <w:jc w:val="center"/>
              <w:rPr>
                <w:sz w:val="21"/>
                <w:szCs w:val="21"/>
              </w:rPr>
            </w:pPr>
            <w:r>
              <w:rPr>
                <w:rFonts w:hint="eastAsia"/>
                <w:sz w:val="21"/>
                <w:szCs w:val="21"/>
              </w:rPr>
              <w:t>甲醛</w:t>
            </w:r>
          </w:p>
        </w:tc>
        <w:tc>
          <w:tcPr>
            <w:tcW w:w="1200" w:type="dxa"/>
            <w:noWrap w:val="0"/>
            <w:vAlign w:val="center"/>
          </w:tcPr>
          <w:p w14:paraId="56FF821C">
            <w:pPr>
              <w:widowControl w:val="0"/>
              <w:spacing w:line="240" w:lineRule="auto"/>
              <w:ind w:right="-20" w:firstLine="0"/>
              <w:jc w:val="center"/>
              <w:rPr>
                <w:rFonts w:hint="eastAsia"/>
                <w:sz w:val="21"/>
                <w:szCs w:val="21"/>
              </w:rPr>
            </w:pPr>
            <w:r>
              <w:rPr>
                <w:rFonts w:hint="eastAsia"/>
                <w:sz w:val="21"/>
                <w:szCs w:val="21"/>
              </w:rPr>
              <w:t>连续</w:t>
            </w:r>
          </w:p>
        </w:tc>
        <w:tc>
          <w:tcPr>
            <w:tcW w:w="3075" w:type="dxa"/>
            <w:noWrap w:val="0"/>
            <w:vAlign w:val="center"/>
          </w:tcPr>
          <w:p w14:paraId="654328EE">
            <w:pPr>
              <w:widowControl w:val="0"/>
              <w:spacing w:line="240" w:lineRule="auto"/>
              <w:ind w:right="-20" w:firstLine="0"/>
              <w:jc w:val="center"/>
              <w:rPr>
                <w:sz w:val="21"/>
                <w:szCs w:val="21"/>
              </w:rPr>
            </w:pPr>
            <w:r>
              <w:rPr>
                <w:rFonts w:hint="eastAsia"/>
                <w:sz w:val="21"/>
                <w:szCs w:val="21"/>
              </w:rPr>
              <w:t>直接利用高烟囱排放</w:t>
            </w:r>
          </w:p>
        </w:tc>
      </w:tr>
      <w:tr w14:paraId="2189BFED">
        <w:tblPrEx>
          <w:tblBorders>
            <w:top w:val="single" w:color="000000" w:sz="12" w:space="0"/>
            <w:left w:val="none" w:color="000000" w:sz="0" w:space="0"/>
            <w:bottom w:val="single" w:color="000000" w:sz="12" w:space="0"/>
            <w:right w:val="none" w:color="000000" w:sz="0" w:space="0"/>
            <w:insideH w:val="single" w:color="000000" w:sz="6" w:space="0"/>
            <w:insideV w:val="single" w:color="000000" w:sz="4" w:space="0"/>
          </w:tblBorders>
          <w:tblCellMar>
            <w:top w:w="0" w:type="dxa"/>
            <w:left w:w="0" w:type="dxa"/>
            <w:bottom w:w="0" w:type="dxa"/>
            <w:right w:w="0" w:type="dxa"/>
          </w:tblCellMar>
        </w:tblPrEx>
        <w:trPr>
          <w:trHeight w:val="457" w:hRule="exact"/>
          <w:jc w:val="center"/>
        </w:trPr>
        <w:tc>
          <w:tcPr>
            <w:tcW w:w="1205" w:type="dxa"/>
            <w:vMerge w:val="continue"/>
            <w:noWrap w:val="0"/>
            <w:vAlign w:val="center"/>
          </w:tcPr>
          <w:p w14:paraId="2089323C">
            <w:pPr>
              <w:widowControl w:val="0"/>
              <w:spacing w:line="240" w:lineRule="auto"/>
              <w:ind w:right="-20" w:firstLine="0"/>
              <w:jc w:val="center"/>
              <w:rPr>
                <w:rFonts w:hint="eastAsia"/>
                <w:sz w:val="21"/>
                <w:szCs w:val="21"/>
              </w:rPr>
            </w:pPr>
          </w:p>
        </w:tc>
        <w:tc>
          <w:tcPr>
            <w:tcW w:w="1810" w:type="dxa"/>
            <w:noWrap w:val="0"/>
            <w:vAlign w:val="center"/>
          </w:tcPr>
          <w:p w14:paraId="7E88EAA9">
            <w:pPr>
              <w:widowControl w:val="0"/>
              <w:spacing w:line="240" w:lineRule="auto"/>
              <w:ind w:right="-20" w:firstLine="0"/>
              <w:jc w:val="center"/>
              <w:rPr>
                <w:sz w:val="21"/>
                <w:szCs w:val="21"/>
              </w:rPr>
            </w:pPr>
            <w:r>
              <w:rPr>
                <w:rFonts w:hint="eastAsia"/>
                <w:sz w:val="21"/>
                <w:szCs w:val="21"/>
              </w:rPr>
              <w:t>锅炉</w:t>
            </w:r>
          </w:p>
        </w:tc>
        <w:tc>
          <w:tcPr>
            <w:tcW w:w="1170" w:type="dxa"/>
            <w:noWrap w:val="0"/>
            <w:vAlign w:val="center"/>
          </w:tcPr>
          <w:p w14:paraId="7E5D3868">
            <w:pPr>
              <w:widowControl w:val="0"/>
              <w:spacing w:line="240" w:lineRule="auto"/>
              <w:ind w:right="-20" w:firstLine="0"/>
              <w:jc w:val="center"/>
              <w:rPr>
                <w:sz w:val="21"/>
                <w:szCs w:val="21"/>
              </w:rPr>
            </w:pPr>
            <w:r>
              <w:rPr>
                <w:rFonts w:hint="eastAsia"/>
                <w:sz w:val="21"/>
                <w:szCs w:val="21"/>
              </w:rPr>
              <w:t>粉尘</w:t>
            </w:r>
          </w:p>
        </w:tc>
        <w:tc>
          <w:tcPr>
            <w:tcW w:w="1200" w:type="dxa"/>
            <w:noWrap w:val="0"/>
            <w:vAlign w:val="center"/>
          </w:tcPr>
          <w:p w14:paraId="2DCC7A2E">
            <w:pPr>
              <w:widowControl w:val="0"/>
              <w:spacing w:line="240" w:lineRule="auto"/>
              <w:ind w:right="-20" w:firstLine="0"/>
              <w:jc w:val="center"/>
              <w:rPr>
                <w:sz w:val="21"/>
                <w:szCs w:val="21"/>
              </w:rPr>
            </w:pPr>
            <w:r>
              <w:rPr>
                <w:rFonts w:hint="eastAsia"/>
                <w:sz w:val="21"/>
                <w:szCs w:val="21"/>
              </w:rPr>
              <w:t>连续</w:t>
            </w:r>
          </w:p>
        </w:tc>
        <w:tc>
          <w:tcPr>
            <w:tcW w:w="3075" w:type="dxa"/>
            <w:noWrap w:val="0"/>
            <w:vAlign w:val="center"/>
          </w:tcPr>
          <w:p w14:paraId="07F59211">
            <w:pPr>
              <w:widowControl w:val="0"/>
              <w:spacing w:line="240" w:lineRule="auto"/>
              <w:ind w:right="-20" w:firstLine="0"/>
              <w:jc w:val="center"/>
              <w:rPr>
                <w:sz w:val="21"/>
                <w:szCs w:val="21"/>
              </w:rPr>
            </w:pPr>
            <w:r>
              <w:rPr>
                <w:rFonts w:hint="eastAsia"/>
                <w:sz w:val="21"/>
                <w:szCs w:val="21"/>
              </w:rPr>
              <w:t>水膜除尘器</w:t>
            </w:r>
          </w:p>
        </w:tc>
      </w:tr>
      <w:tr w14:paraId="189201E9">
        <w:tblPrEx>
          <w:tblBorders>
            <w:top w:val="single" w:color="000000" w:sz="12" w:space="0"/>
            <w:left w:val="none" w:color="000000" w:sz="0" w:space="0"/>
            <w:bottom w:val="single" w:color="000000" w:sz="12" w:space="0"/>
            <w:right w:val="none" w:color="000000" w:sz="0" w:space="0"/>
            <w:insideH w:val="single" w:color="000000" w:sz="6" w:space="0"/>
            <w:insideV w:val="single" w:color="000000" w:sz="4" w:space="0"/>
          </w:tblBorders>
          <w:tblCellMar>
            <w:top w:w="0" w:type="dxa"/>
            <w:left w:w="0" w:type="dxa"/>
            <w:bottom w:w="0" w:type="dxa"/>
            <w:right w:w="0" w:type="dxa"/>
          </w:tblCellMar>
        </w:tblPrEx>
        <w:trPr>
          <w:trHeight w:val="457" w:hRule="exact"/>
          <w:jc w:val="center"/>
        </w:trPr>
        <w:tc>
          <w:tcPr>
            <w:tcW w:w="1205" w:type="dxa"/>
            <w:noWrap w:val="0"/>
            <w:vAlign w:val="center"/>
          </w:tcPr>
          <w:p w14:paraId="6DCE5C18">
            <w:pPr>
              <w:widowControl w:val="0"/>
              <w:spacing w:line="240" w:lineRule="auto"/>
              <w:ind w:right="-20" w:firstLine="0"/>
              <w:jc w:val="center"/>
              <w:rPr>
                <w:sz w:val="21"/>
                <w:szCs w:val="21"/>
              </w:rPr>
            </w:pPr>
            <w:r>
              <w:rPr>
                <w:rFonts w:hint="eastAsia"/>
                <w:sz w:val="21"/>
                <w:szCs w:val="21"/>
              </w:rPr>
              <w:t>无组织排放</w:t>
            </w:r>
          </w:p>
        </w:tc>
        <w:tc>
          <w:tcPr>
            <w:tcW w:w="1810" w:type="dxa"/>
            <w:noWrap w:val="0"/>
            <w:vAlign w:val="center"/>
          </w:tcPr>
          <w:p w14:paraId="69FD0E21">
            <w:pPr>
              <w:widowControl w:val="0"/>
              <w:spacing w:line="240" w:lineRule="auto"/>
              <w:ind w:right="-20" w:firstLine="0"/>
              <w:jc w:val="center"/>
              <w:rPr>
                <w:sz w:val="21"/>
                <w:szCs w:val="21"/>
              </w:rPr>
            </w:pPr>
            <w:r>
              <w:rPr>
                <w:rFonts w:hint="eastAsia"/>
                <w:sz w:val="21"/>
                <w:szCs w:val="21"/>
              </w:rPr>
              <w:t>运输、储存等工序</w:t>
            </w:r>
          </w:p>
        </w:tc>
        <w:tc>
          <w:tcPr>
            <w:tcW w:w="1170" w:type="dxa"/>
            <w:noWrap w:val="0"/>
            <w:vAlign w:val="center"/>
          </w:tcPr>
          <w:p w14:paraId="6600104A">
            <w:pPr>
              <w:widowControl w:val="0"/>
              <w:spacing w:line="240" w:lineRule="auto"/>
              <w:ind w:right="-20" w:firstLine="0"/>
              <w:jc w:val="center"/>
              <w:rPr>
                <w:sz w:val="21"/>
                <w:szCs w:val="21"/>
              </w:rPr>
            </w:pPr>
            <w:r>
              <w:rPr>
                <w:rFonts w:hint="eastAsia"/>
                <w:sz w:val="21"/>
                <w:szCs w:val="21"/>
              </w:rPr>
              <w:t>粉尘、甲醛</w:t>
            </w:r>
          </w:p>
        </w:tc>
        <w:tc>
          <w:tcPr>
            <w:tcW w:w="1200" w:type="dxa"/>
            <w:noWrap w:val="0"/>
            <w:vAlign w:val="center"/>
          </w:tcPr>
          <w:p w14:paraId="1E14E391">
            <w:pPr>
              <w:widowControl w:val="0"/>
              <w:spacing w:line="240" w:lineRule="auto"/>
              <w:ind w:right="-20" w:firstLine="0"/>
              <w:jc w:val="center"/>
              <w:rPr>
                <w:sz w:val="21"/>
                <w:szCs w:val="21"/>
              </w:rPr>
            </w:pPr>
            <w:r>
              <w:rPr>
                <w:rFonts w:hint="eastAsia"/>
                <w:sz w:val="21"/>
                <w:szCs w:val="21"/>
              </w:rPr>
              <w:t>/</w:t>
            </w:r>
          </w:p>
        </w:tc>
        <w:tc>
          <w:tcPr>
            <w:tcW w:w="3075" w:type="dxa"/>
            <w:noWrap w:val="0"/>
            <w:vAlign w:val="center"/>
          </w:tcPr>
          <w:p w14:paraId="436A0EEB">
            <w:pPr>
              <w:widowControl w:val="0"/>
              <w:spacing w:line="240" w:lineRule="auto"/>
              <w:ind w:right="-20" w:firstLine="0"/>
              <w:jc w:val="center"/>
              <w:rPr>
                <w:sz w:val="21"/>
                <w:szCs w:val="21"/>
              </w:rPr>
            </w:pPr>
            <w:r>
              <w:rPr>
                <w:rFonts w:hint="eastAsia"/>
                <w:sz w:val="21"/>
                <w:szCs w:val="21"/>
              </w:rPr>
              <w:t>/</w:t>
            </w:r>
          </w:p>
        </w:tc>
      </w:tr>
    </w:tbl>
    <w:p w14:paraId="0E4C5E10">
      <w:pPr>
        <w:rPr>
          <w:color w:val="FF0000"/>
          <w:lang w:val="en-US" w:eastAsia="zh-CN"/>
        </w:rPr>
      </w:pPr>
      <w:bookmarkStart w:id="86" w:name="_Toc217800790"/>
      <w:r>
        <w:rPr>
          <w:rFonts w:hint="eastAsia"/>
          <w:lang w:val="en-US" w:eastAsia="zh-CN"/>
        </w:rPr>
        <w:t>根据原有项目核发的排污许可证，项目核准废气排污口2个，烟尘排放量为4.51t/a，氮氧化物排放量为5.26t/a，SO2排放量为1.88t/a。</w:t>
      </w:r>
      <w:r>
        <w:rPr>
          <w:rFonts w:hint="eastAsia"/>
          <w:color w:val="FF0000"/>
          <w:lang w:val="en-US" w:eastAsia="zh-CN"/>
        </w:rPr>
        <w:t>（见附件6）</w:t>
      </w:r>
    </w:p>
    <w:p w14:paraId="61AC4C4B">
      <w:pPr>
        <w:widowControl w:val="0"/>
        <w:ind w:firstLine="480"/>
        <w:rPr>
          <w:rFonts w:hint="eastAsia"/>
          <w:szCs w:val="24"/>
        </w:rPr>
      </w:pPr>
      <w:r>
        <w:rPr>
          <w:rFonts w:hint="eastAsia"/>
          <w:szCs w:val="24"/>
        </w:rPr>
        <w:t>根据竣工环境保护验收监测报告，于2009年9月22日-23日连续2天对锅炉烟气、无组织粉尘、甲醛进行监测。根据竣工验收监测的结论，锅炉经过水膜除尘器处理后的烟尘可满足《锅炉大气污染物排放标准》（GB13271-2001）限值的200mg/m</w:t>
      </w:r>
      <w:r>
        <w:rPr>
          <w:rFonts w:hint="eastAsia"/>
          <w:szCs w:val="24"/>
          <w:vertAlign w:val="superscript"/>
        </w:rPr>
        <w:t>3</w:t>
      </w:r>
      <w:r>
        <w:rPr>
          <w:rFonts w:hint="eastAsia"/>
          <w:szCs w:val="24"/>
        </w:rPr>
        <w:t>；无组织颗粒物及甲醛废气可满足《大气污染物综合排放标准》（GB16297-1996）规定的限值，颗粒物</w:t>
      </w:r>
      <w:r>
        <w:rPr>
          <w:rFonts w:ascii="Arial" w:hAnsi="Arial" w:cs="Arial"/>
          <w:szCs w:val="24"/>
        </w:rPr>
        <w:t>≤</w:t>
      </w:r>
      <w:r>
        <w:rPr>
          <w:rFonts w:hint="eastAsia"/>
          <w:szCs w:val="24"/>
        </w:rPr>
        <w:t>1.0mg/m</w:t>
      </w:r>
      <w:r>
        <w:rPr>
          <w:rFonts w:hint="eastAsia"/>
          <w:szCs w:val="24"/>
          <w:vertAlign w:val="superscript"/>
        </w:rPr>
        <w:t>3</w:t>
      </w:r>
      <w:r>
        <w:rPr>
          <w:rFonts w:hint="eastAsia"/>
          <w:szCs w:val="24"/>
        </w:rPr>
        <w:t>、甲醛</w:t>
      </w:r>
      <w:r>
        <w:rPr>
          <w:rFonts w:ascii="Arial" w:hAnsi="Arial" w:cs="Arial"/>
          <w:szCs w:val="24"/>
        </w:rPr>
        <w:t>≤</w:t>
      </w:r>
      <w:r>
        <w:rPr>
          <w:rFonts w:hint="eastAsia"/>
          <w:szCs w:val="24"/>
        </w:rPr>
        <w:t>0.2mg/m</w:t>
      </w:r>
      <w:r>
        <w:rPr>
          <w:rFonts w:hint="eastAsia"/>
          <w:szCs w:val="24"/>
          <w:vertAlign w:val="superscript"/>
        </w:rPr>
        <w:t>3</w:t>
      </w:r>
      <w:r>
        <w:rPr>
          <w:rFonts w:hint="eastAsia"/>
          <w:szCs w:val="24"/>
        </w:rPr>
        <w:t>。具体的监测结果如下：</w:t>
      </w:r>
    </w:p>
    <w:p w14:paraId="1EFB66CE">
      <w:pPr>
        <w:pStyle w:val="2"/>
        <w:ind w:firstLine="482"/>
        <w:jc w:val="center"/>
        <w:rPr>
          <w:rFonts w:hint="eastAsia" w:ascii="Times New Roman" w:hAnsi="Times New Roman" w:cs="Times New Roman"/>
          <w:b/>
          <w:bCs/>
          <w:sz w:val="24"/>
          <w:szCs w:val="24"/>
        </w:rPr>
      </w:pPr>
      <w:r>
        <w:rPr>
          <w:rFonts w:hint="eastAsia" w:ascii="Times New Roman" w:hAnsi="Times New Roman" w:cs="Times New Roman"/>
          <w:b/>
          <w:bCs/>
          <w:sz w:val="24"/>
          <w:szCs w:val="24"/>
        </w:rPr>
        <w:t>表3</w:t>
      </w: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2</w:t>
      </w:r>
      <w:r>
        <w:rPr>
          <w:rFonts w:hint="eastAsia" w:ascii="Times New Roman" w:hAnsi="Times New Roman" w:cs="Times New Roman"/>
          <w:b/>
          <w:bCs/>
          <w:sz w:val="24"/>
          <w:szCs w:val="24"/>
        </w:rPr>
        <w:t>锅炉水膜除尘器出口废气监测结果</w:t>
      </w:r>
    </w:p>
    <w:tbl>
      <w:tblPr>
        <w:tblStyle w:val="32"/>
        <w:tblW w:w="8835" w:type="dxa"/>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autofit"/>
        <w:tblCellMar>
          <w:top w:w="0" w:type="dxa"/>
          <w:left w:w="108" w:type="dxa"/>
          <w:bottom w:w="0" w:type="dxa"/>
          <w:right w:w="108" w:type="dxa"/>
        </w:tblCellMar>
      </w:tblPr>
      <w:tblGrid>
        <w:gridCol w:w="1400"/>
        <w:gridCol w:w="1400"/>
        <w:gridCol w:w="1183"/>
        <w:gridCol w:w="1470"/>
        <w:gridCol w:w="1215"/>
        <w:gridCol w:w="1095"/>
        <w:gridCol w:w="1072"/>
      </w:tblGrid>
      <w:tr w14:paraId="5F1CE17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1400" w:type="dxa"/>
            <w:noWrap w:val="0"/>
            <w:vAlign w:val="center"/>
          </w:tcPr>
          <w:p w14:paraId="4CBC4D08">
            <w:pPr>
              <w:pStyle w:val="2"/>
              <w:widowControl w:val="0"/>
              <w:ind w:firstLine="0"/>
              <w:jc w:val="center"/>
              <w:rPr>
                <w:rFonts w:ascii="Times New Roman" w:hAnsi="Times New Roman" w:cs="Times New Roman"/>
                <w:b/>
                <w:bCs/>
              </w:rPr>
            </w:pPr>
            <w:r>
              <w:rPr>
                <w:rFonts w:hint="eastAsia" w:ascii="Times New Roman" w:hAnsi="Times New Roman" w:cs="Times New Roman"/>
                <w:b/>
                <w:bCs/>
              </w:rPr>
              <w:t>监测点</w:t>
            </w:r>
          </w:p>
        </w:tc>
        <w:tc>
          <w:tcPr>
            <w:tcW w:w="1400" w:type="dxa"/>
            <w:noWrap w:val="0"/>
            <w:vAlign w:val="center"/>
          </w:tcPr>
          <w:p w14:paraId="74601834">
            <w:pPr>
              <w:pStyle w:val="2"/>
              <w:widowControl w:val="0"/>
              <w:ind w:firstLine="0"/>
              <w:jc w:val="center"/>
              <w:rPr>
                <w:rFonts w:ascii="Times New Roman" w:hAnsi="Times New Roman" w:cs="Times New Roman"/>
                <w:b/>
                <w:bCs/>
              </w:rPr>
            </w:pPr>
            <w:r>
              <w:rPr>
                <w:rFonts w:hint="eastAsia" w:ascii="Times New Roman" w:hAnsi="Times New Roman" w:cs="Times New Roman"/>
                <w:b/>
                <w:bCs/>
              </w:rPr>
              <w:t>监测时间</w:t>
            </w:r>
          </w:p>
        </w:tc>
        <w:tc>
          <w:tcPr>
            <w:tcW w:w="1183" w:type="dxa"/>
            <w:noWrap w:val="0"/>
            <w:vAlign w:val="center"/>
          </w:tcPr>
          <w:p w14:paraId="4980BD66">
            <w:pPr>
              <w:pStyle w:val="2"/>
              <w:widowControl w:val="0"/>
              <w:ind w:firstLine="0"/>
              <w:jc w:val="center"/>
              <w:rPr>
                <w:rFonts w:ascii="Times New Roman" w:hAnsi="Times New Roman" w:cs="Times New Roman"/>
                <w:b/>
                <w:bCs/>
              </w:rPr>
            </w:pPr>
            <w:r>
              <w:rPr>
                <w:rFonts w:hint="eastAsia" w:ascii="Times New Roman" w:hAnsi="Times New Roman" w:cs="Times New Roman"/>
                <w:b/>
                <w:bCs/>
              </w:rPr>
              <w:t>监测频次</w:t>
            </w:r>
          </w:p>
        </w:tc>
        <w:tc>
          <w:tcPr>
            <w:tcW w:w="2685" w:type="dxa"/>
            <w:gridSpan w:val="2"/>
            <w:noWrap w:val="0"/>
            <w:vAlign w:val="center"/>
          </w:tcPr>
          <w:p w14:paraId="5578D6A4">
            <w:pPr>
              <w:pStyle w:val="2"/>
              <w:widowControl w:val="0"/>
              <w:ind w:firstLine="0"/>
              <w:rPr>
                <w:rFonts w:ascii="Times New Roman" w:hAnsi="Times New Roman" w:cs="Times New Roman"/>
                <w:b/>
                <w:bCs/>
              </w:rPr>
            </w:pPr>
            <w:r>
              <w:rPr>
                <w:rFonts w:hint="eastAsia" w:ascii="Times New Roman" w:hAnsi="Times New Roman" w:cs="Times New Roman"/>
                <w:b/>
                <w:bCs/>
              </w:rPr>
              <w:t>烟尘浓度mg/m</w:t>
            </w:r>
            <w:r>
              <w:rPr>
                <w:rFonts w:hint="eastAsia" w:ascii="Times New Roman" w:hAnsi="Times New Roman" w:cs="Times New Roman"/>
                <w:b/>
                <w:bCs/>
                <w:vertAlign w:val="superscript"/>
              </w:rPr>
              <w:t>3</w:t>
            </w:r>
            <w:r>
              <w:rPr>
                <w:rFonts w:hint="eastAsia" w:ascii="Times New Roman" w:hAnsi="Times New Roman" w:cs="Times New Roman"/>
                <w:b/>
                <w:bCs/>
              </w:rPr>
              <w:t>（标）</w:t>
            </w:r>
          </w:p>
        </w:tc>
        <w:tc>
          <w:tcPr>
            <w:tcW w:w="1095" w:type="dxa"/>
            <w:noWrap w:val="0"/>
            <w:vAlign w:val="center"/>
          </w:tcPr>
          <w:p w14:paraId="2C47A9A6">
            <w:pPr>
              <w:pStyle w:val="2"/>
              <w:widowControl w:val="0"/>
              <w:ind w:firstLine="0"/>
              <w:jc w:val="center"/>
              <w:rPr>
                <w:rFonts w:ascii="Times New Roman" w:hAnsi="Times New Roman" w:cs="Times New Roman"/>
                <w:b/>
                <w:bCs/>
              </w:rPr>
            </w:pPr>
            <w:r>
              <w:rPr>
                <w:rFonts w:hint="eastAsia" w:ascii="Times New Roman" w:hAnsi="Times New Roman" w:cs="Times New Roman"/>
                <w:b/>
                <w:bCs/>
              </w:rPr>
              <w:t>排放量kg/h</w:t>
            </w:r>
          </w:p>
        </w:tc>
        <w:tc>
          <w:tcPr>
            <w:tcW w:w="1072" w:type="dxa"/>
            <w:noWrap w:val="0"/>
            <w:vAlign w:val="center"/>
          </w:tcPr>
          <w:p w14:paraId="3A229A11">
            <w:pPr>
              <w:pStyle w:val="2"/>
              <w:widowControl w:val="0"/>
              <w:ind w:firstLine="0"/>
              <w:jc w:val="center"/>
              <w:rPr>
                <w:rFonts w:ascii="Times New Roman" w:hAnsi="Times New Roman" w:cs="Times New Roman"/>
                <w:b/>
                <w:bCs/>
              </w:rPr>
            </w:pPr>
            <w:r>
              <w:rPr>
                <w:rFonts w:hint="eastAsia" w:ascii="Times New Roman" w:hAnsi="Times New Roman" w:cs="Times New Roman"/>
                <w:b/>
                <w:bCs/>
              </w:rPr>
              <w:t>排气量m</w:t>
            </w:r>
            <w:r>
              <w:rPr>
                <w:rFonts w:hint="eastAsia" w:ascii="Times New Roman" w:hAnsi="Times New Roman" w:cs="Times New Roman"/>
                <w:b/>
                <w:bCs/>
                <w:vertAlign w:val="superscript"/>
              </w:rPr>
              <w:t>3</w:t>
            </w:r>
            <w:r>
              <w:rPr>
                <w:rFonts w:hint="eastAsia" w:ascii="Times New Roman" w:hAnsi="Times New Roman" w:cs="Times New Roman"/>
                <w:b/>
                <w:bCs/>
              </w:rPr>
              <w:t>/h</w:t>
            </w:r>
          </w:p>
        </w:tc>
      </w:tr>
      <w:tr w14:paraId="2ACE5007">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1400" w:type="dxa"/>
            <w:vMerge w:val="restart"/>
            <w:noWrap w:val="0"/>
            <w:vAlign w:val="center"/>
          </w:tcPr>
          <w:p w14:paraId="1E5BF76E">
            <w:pPr>
              <w:pStyle w:val="2"/>
              <w:widowControl w:val="0"/>
              <w:ind w:firstLine="0"/>
              <w:jc w:val="center"/>
              <w:rPr>
                <w:rFonts w:ascii="Times New Roman" w:hAnsi="Times New Roman" w:cs="Times New Roman"/>
              </w:rPr>
            </w:pPr>
            <w:r>
              <w:rPr>
                <w:rFonts w:hint="eastAsia" w:ascii="Times New Roman" w:hAnsi="Times New Roman" w:cs="Times New Roman"/>
              </w:rPr>
              <w:t>锅炉水膜除尘器出口（烟道截面0.144m</w:t>
            </w:r>
            <w:r>
              <w:rPr>
                <w:rFonts w:hint="eastAsia" w:ascii="Times New Roman" w:hAnsi="Times New Roman" w:cs="Times New Roman"/>
                <w:vertAlign w:val="superscript"/>
              </w:rPr>
              <w:t>2</w:t>
            </w:r>
            <w:r>
              <w:rPr>
                <w:rFonts w:hint="eastAsia" w:ascii="Times New Roman" w:hAnsi="Times New Roman" w:cs="Times New Roman"/>
              </w:rPr>
              <w:t>大气压91.0kPa，含氧量13.0%）</w:t>
            </w:r>
          </w:p>
        </w:tc>
        <w:tc>
          <w:tcPr>
            <w:tcW w:w="1400" w:type="dxa"/>
            <w:vMerge w:val="restart"/>
            <w:noWrap w:val="0"/>
            <w:vAlign w:val="center"/>
          </w:tcPr>
          <w:p w14:paraId="0DF4933E">
            <w:pPr>
              <w:pStyle w:val="2"/>
              <w:widowControl w:val="0"/>
              <w:ind w:firstLine="0"/>
              <w:jc w:val="center"/>
              <w:rPr>
                <w:rFonts w:ascii="Times New Roman" w:hAnsi="Times New Roman" w:cs="Times New Roman"/>
              </w:rPr>
            </w:pPr>
            <w:r>
              <w:rPr>
                <w:rFonts w:hint="eastAsia" w:ascii="Times New Roman" w:hAnsi="Times New Roman" w:cs="Times New Roman"/>
              </w:rPr>
              <w:t>2009年9月22日</w:t>
            </w:r>
          </w:p>
        </w:tc>
        <w:tc>
          <w:tcPr>
            <w:tcW w:w="1183" w:type="dxa"/>
            <w:noWrap w:val="0"/>
            <w:vAlign w:val="center"/>
          </w:tcPr>
          <w:p w14:paraId="6291699B">
            <w:pPr>
              <w:pStyle w:val="2"/>
              <w:widowControl w:val="0"/>
              <w:ind w:firstLine="0"/>
              <w:jc w:val="center"/>
              <w:rPr>
                <w:rFonts w:ascii="Times New Roman" w:hAnsi="Times New Roman" w:cs="Times New Roman"/>
              </w:rPr>
            </w:pPr>
            <w:r>
              <w:rPr>
                <w:rFonts w:hint="eastAsia" w:ascii="Times New Roman" w:hAnsi="Times New Roman" w:cs="Times New Roman"/>
              </w:rPr>
              <w:t>1</w:t>
            </w:r>
          </w:p>
        </w:tc>
        <w:tc>
          <w:tcPr>
            <w:tcW w:w="1470" w:type="dxa"/>
            <w:noWrap w:val="0"/>
            <w:vAlign w:val="center"/>
          </w:tcPr>
          <w:p w14:paraId="330AEFCF">
            <w:pPr>
              <w:pStyle w:val="2"/>
              <w:widowControl w:val="0"/>
              <w:ind w:firstLine="0"/>
              <w:jc w:val="center"/>
              <w:rPr>
                <w:rFonts w:ascii="Times New Roman" w:hAnsi="Times New Roman" w:cs="Times New Roman"/>
              </w:rPr>
            </w:pPr>
            <w:r>
              <w:rPr>
                <w:rFonts w:hint="eastAsia" w:ascii="Times New Roman" w:hAnsi="Times New Roman" w:cs="Times New Roman"/>
              </w:rPr>
              <w:t>83.6</w:t>
            </w:r>
          </w:p>
        </w:tc>
        <w:tc>
          <w:tcPr>
            <w:tcW w:w="1215" w:type="dxa"/>
            <w:noWrap w:val="0"/>
            <w:vAlign w:val="center"/>
          </w:tcPr>
          <w:p w14:paraId="779A37E3">
            <w:pPr>
              <w:pStyle w:val="2"/>
              <w:widowControl w:val="0"/>
              <w:ind w:firstLine="0"/>
              <w:jc w:val="center"/>
              <w:rPr>
                <w:rFonts w:ascii="Times New Roman" w:hAnsi="Times New Roman" w:cs="Times New Roman"/>
              </w:rPr>
            </w:pPr>
            <w:r>
              <w:rPr>
                <w:rFonts w:hint="eastAsia" w:ascii="Times New Roman" w:hAnsi="Times New Roman" w:cs="Times New Roman"/>
              </w:rPr>
              <w:t>121.4</w:t>
            </w:r>
          </w:p>
        </w:tc>
        <w:tc>
          <w:tcPr>
            <w:tcW w:w="1095" w:type="dxa"/>
            <w:noWrap w:val="0"/>
            <w:vAlign w:val="center"/>
          </w:tcPr>
          <w:p w14:paraId="379C29C0">
            <w:pPr>
              <w:pStyle w:val="2"/>
              <w:widowControl w:val="0"/>
              <w:ind w:firstLine="0"/>
              <w:jc w:val="center"/>
              <w:rPr>
                <w:rFonts w:ascii="Times New Roman" w:hAnsi="Times New Roman" w:cs="Times New Roman"/>
              </w:rPr>
            </w:pPr>
            <w:r>
              <w:rPr>
                <w:rFonts w:hint="eastAsia" w:ascii="Times New Roman" w:hAnsi="Times New Roman" w:cs="Times New Roman"/>
              </w:rPr>
              <w:t>1.62</w:t>
            </w:r>
          </w:p>
        </w:tc>
        <w:tc>
          <w:tcPr>
            <w:tcW w:w="1072" w:type="dxa"/>
            <w:noWrap w:val="0"/>
            <w:vAlign w:val="center"/>
          </w:tcPr>
          <w:p w14:paraId="6050A081">
            <w:pPr>
              <w:pStyle w:val="2"/>
              <w:widowControl w:val="0"/>
              <w:ind w:firstLine="0"/>
              <w:jc w:val="center"/>
              <w:rPr>
                <w:rFonts w:ascii="Times New Roman" w:hAnsi="Times New Roman" w:cs="Times New Roman"/>
              </w:rPr>
            </w:pPr>
            <w:r>
              <w:rPr>
                <w:rFonts w:hint="eastAsia" w:ascii="Times New Roman" w:hAnsi="Times New Roman" w:cs="Times New Roman"/>
              </w:rPr>
              <w:t>19381</w:t>
            </w:r>
          </w:p>
        </w:tc>
      </w:tr>
      <w:tr w14:paraId="535AAC1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1400" w:type="dxa"/>
            <w:vMerge w:val="continue"/>
            <w:noWrap w:val="0"/>
            <w:vAlign w:val="center"/>
          </w:tcPr>
          <w:p w14:paraId="3BFD9D9C">
            <w:pPr>
              <w:pStyle w:val="2"/>
              <w:widowControl w:val="0"/>
              <w:ind w:firstLine="420"/>
              <w:jc w:val="center"/>
              <w:rPr>
                <w:rFonts w:hint="eastAsia" w:ascii="Times New Roman" w:hAnsi="Times New Roman" w:cs="Times New Roman"/>
              </w:rPr>
            </w:pPr>
          </w:p>
        </w:tc>
        <w:tc>
          <w:tcPr>
            <w:tcW w:w="1400" w:type="dxa"/>
            <w:vMerge w:val="continue"/>
            <w:noWrap w:val="0"/>
            <w:vAlign w:val="center"/>
          </w:tcPr>
          <w:p w14:paraId="7F0192C7">
            <w:pPr>
              <w:pStyle w:val="2"/>
              <w:widowControl w:val="0"/>
              <w:ind w:firstLine="420"/>
              <w:jc w:val="center"/>
              <w:rPr>
                <w:rFonts w:hint="eastAsia" w:ascii="Times New Roman" w:hAnsi="Times New Roman" w:cs="Times New Roman"/>
              </w:rPr>
            </w:pPr>
          </w:p>
        </w:tc>
        <w:tc>
          <w:tcPr>
            <w:tcW w:w="1183" w:type="dxa"/>
            <w:noWrap w:val="0"/>
            <w:vAlign w:val="center"/>
          </w:tcPr>
          <w:p w14:paraId="57D3C09C">
            <w:pPr>
              <w:pStyle w:val="2"/>
              <w:widowControl w:val="0"/>
              <w:ind w:firstLine="0"/>
              <w:jc w:val="center"/>
              <w:rPr>
                <w:rFonts w:ascii="Times New Roman" w:hAnsi="Times New Roman" w:cs="Times New Roman"/>
              </w:rPr>
            </w:pPr>
            <w:r>
              <w:rPr>
                <w:rFonts w:hint="eastAsia" w:ascii="Times New Roman" w:hAnsi="Times New Roman" w:cs="Times New Roman"/>
              </w:rPr>
              <w:t>2</w:t>
            </w:r>
          </w:p>
        </w:tc>
        <w:tc>
          <w:tcPr>
            <w:tcW w:w="1470" w:type="dxa"/>
            <w:noWrap w:val="0"/>
            <w:vAlign w:val="center"/>
          </w:tcPr>
          <w:p w14:paraId="1444C06F">
            <w:pPr>
              <w:pStyle w:val="2"/>
              <w:widowControl w:val="0"/>
              <w:ind w:firstLine="0"/>
              <w:jc w:val="center"/>
              <w:rPr>
                <w:rFonts w:ascii="Times New Roman" w:hAnsi="Times New Roman" w:cs="Times New Roman"/>
              </w:rPr>
            </w:pPr>
            <w:r>
              <w:rPr>
                <w:rFonts w:hint="eastAsia" w:ascii="Times New Roman" w:hAnsi="Times New Roman" w:cs="Times New Roman"/>
              </w:rPr>
              <w:t>126.0</w:t>
            </w:r>
          </w:p>
        </w:tc>
        <w:tc>
          <w:tcPr>
            <w:tcW w:w="1215" w:type="dxa"/>
            <w:noWrap w:val="0"/>
            <w:vAlign w:val="center"/>
          </w:tcPr>
          <w:p w14:paraId="6BED30EA">
            <w:pPr>
              <w:pStyle w:val="2"/>
              <w:widowControl w:val="0"/>
              <w:ind w:firstLine="0"/>
              <w:jc w:val="center"/>
              <w:rPr>
                <w:rFonts w:ascii="Times New Roman" w:hAnsi="Times New Roman" w:cs="Times New Roman"/>
              </w:rPr>
            </w:pPr>
            <w:r>
              <w:rPr>
                <w:rFonts w:hint="eastAsia" w:ascii="Times New Roman" w:hAnsi="Times New Roman" w:cs="Times New Roman"/>
              </w:rPr>
              <w:t>182.8</w:t>
            </w:r>
          </w:p>
        </w:tc>
        <w:tc>
          <w:tcPr>
            <w:tcW w:w="1095" w:type="dxa"/>
            <w:noWrap w:val="0"/>
            <w:vAlign w:val="center"/>
          </w:tcPr>
          <w:p w14:paraId="4C4EE3E7">
            <w:pPr>
              <w:pStyle w:val="2"/>
              <w:widowControl w:val="0"/>
              <w:ind w:firstLine="0"/>
              <w:jc w:val="center"/>
              <w:rPr>
                <w:rFonts w:ascii="Times New Roman" w:hAnsi="Times New Roman" w:cs="Times New Roman"/>
              </w:rPr>
            </w:pPr>
            <w:r>
              <w:rPr>
                <w:rFonts w:hint="eastAsia" w:ascii="Times New Roman" w:hAnsi="Times New Roman" w:cs="Times New Roman"/>
              </w:rPr>
              <w:t>2.49</w:t>
            </w:r>
          </w:p>
        </w:tc>
        <w:tc>
          <w:tcPr>
            <w:tcW w:w="1072" w:type="dxa"/>
            <w:noWrap w:val="0"/>
            <w:vAlign w:val="center"/>
          </w:tcPr>
          <w:p w14:paraId="00E72850">
            <w:pPr>
              <w:pStyle w:val="2"/>
              <w:widowControl w:val="0"/>
              <w:ind w:firstLine="0"/>
              <w:jc w:val="center"/>
              <w:rPr>
                <w:rFonts w:ascii="Times New Roman" w:hAnsi="Times New Roman" w:cs="Times New Roman"/>
              </w:rPr>
            </w:pPr>
            <w:r>
              <w:rPr>
                <w:rFonts w:hint="eastAsia" w:ascii="Times New Roman" w:hAnsi="Times New Roman" w:cs="Times New Roman"/>
              </w:rPr>
              <w:t>19744</w:t>
            </w:r>
          </w:p>
        </w:tc>
      </w:tr>
      <w:tr w14:paraId="2760F41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1400" w:type="dxa"/>
            <w:vMerge w:val="continue"/>
            <w:noWrap w:val="0"/>
            <w:vAlign w:val="center"/>
          </w:tcPr>
          <w:p w14:paraId="2BAF460C">
            <w:pPr>
              <w:pStyle w:val="2"/>
              <w:widowControl w:val="0"/>
              <w:ind w:firstLine="420"/>
              <w:jc w:val="center"/>
              <w:rPr>
                <w:rFonts w:hint="eastAsia" w:ascii="Times New Roman" w:hAnsi="Times New Roman" w:cs="Times New Roman"/>
              </w:rPr>
            </w:pPr>
          </w:p>
        </w:tc>
        <w:tc>
          <w:tcPr>
            <w:tcW w:w="1400" w:type="dxa"/>
            <w:vMerge w:val="continue"/>
            <w:noWrap w:val="0"/>
            <w:vAlign w:val="center"/>
          </w:tcPr>
          <w:p w14:paraId="46FB8233">
            <w:pPr>
              <w:pStyle w:val="2"/>
              <w:widowControl w:val="0"/>
              <w:ind w:firstLine="420"/>
              <w:jc w:val="center"/>
              <w:rPr>
                <w:rFonts w:hint="eastAsia" w:ascii="Times New Roman" w:hAnsi="Times New Roman" w:cs="Times New Roman"/>
              </w:rPr>
            </w:pPr>
          </w:p>
        </w:tc>
        <w:tc>
          <w:tcPr>
            <w:tcW w:w="1183" w:type="dxa"/>
            <w:noWrap w:val="0"/>
            <w:vAlign w:val="center"/>
          </w:tcPr>
          <w:p w14:paraId="784834AC">
            <w:pPr>
              <w:pStyle w:val="2"/>
              <w:widowControl w:val="0"/>
              <w:ind w:firstLine="0"/>
              <w:jc w:val="center"/>
              <w:rPr>
                <w:rFonts w:ascii="Times New Roman" w:hAnsi="Times New Roman" w:cs="Times New Roman"/>
              </w:rPr>
            </w:pPr>
            <w:r>
              <w:rPr>
                <w:rFonts w:hint="eastAsia" w:ascii="Times New Roman" w:hAnsi="Times New Roman" w:cs="Times New Roman"/>
              </w:rPr>
              <w:t>3</w:t>
            </w:r>
          </w:p>
        </w:tc>
        <w:tc>
          <w:tcPr>
            <w:tcW w:w="1470" w:type="dxa"/>
            <w:noWrap w:val="0"/>
            <w:vAlign w:val="center"/>
          </w:tcPr>
          <w:p w14:paraId="247DEBBA">
            <w:pPr>
              <w:pStyle w:val="2"/>
              <w:widowControl w:val="0"/>
              <w:ind w:firstLine="0"/>
              <w:jc w:val="center"/>
              <w:rPr>
                <w:rFonts w:ascii="Times New Roman" w:hAnsi="Times New Roman" w:cs="Times New Roman"/>
              </w:rPr>
            </w:pPr>
            <w:r>
              <w:rPr>
                <w:rFonts w:hint="eastAsia" w:ascii="Times New Roman" w:hAnsi="Times New Roman" w:cs="Times New Roman"/>
              </w:rPr>
              <w:t>2.0</w:t>
            </w:r>
          </w:p>
        </w:tc>
        <w:tc>
          <w:tcPr>
            <w:tcW w:w="1215" w:type="dxa"/>
            <w:noWrap w:val="0"/>
            <w:vAlign w:val="center"/>
          </w:tcPr>
          <w:p w14:paraId="2B28C466">
            <w:pPr>
              <w:pStyle w:val="2"/>
              <w:widowControl w:val="0"/>
              <w:ind w:firstLine="0"/>
              <w:jc w:val="center"/>
              <w:rPr>
                <w:rFonts w:ascii="Times New Roman" w:hAnsi="Times New Roman" w:cs="Times New Roman"/>
              </w:rPr>
            </w:pPr>
            <w:r>
              <w:rPr>
                <w:rFonts w:hint="eastAsia" w:ascii="Times New Roman" w:hAnsi="Times New Roman" w:cs="Times New Roman"/>
              </w:rPr>
              <w:t>3.0</w:t>
            </w:r>
          </w:p>
        </w:tc>
        <w:tc>
          <w:tcPr>
            <w:tcW w:w="1095" w:type="dxa"/>
            <w:noWrap w:val="0"/>
            <w:vAlign w:val="center"/>
          </w:tcPr>
          <w:p w14:paraId="731D9682">
            <w:pPr>
              <w:pStyle w:val="2"/>
              <w:widowControl w:val="0"/>
              <w:ind w:firstLine="0"/>
              <w:jc w:val="center"/>
              <w:rPr>
                <w:rFonts w:ascii="Times New Roman" w:hAnsi="Times New Roman" w:cs="Times New Roman"/>
              </w:rPr>
            </w:pPr>
            <w:r>
              <w:rPr>
                <w:rFonts w:hint="eastAsia" w:ascii="Times New Roman" w:hAnsi="Times New Roman" w:cs="Times New Roman"/>
              </w:rPr>
              <w:t>0.04</w:t>
            </w:r>
          </w:p>
        </w:tc>
        <w:tc>
          <w:tcPr>
            <w:tcW w:w="1072" w:type="dxa"/>
            <w:noWrap w:val="0"/>
            <w:vAlign w:val="center"/>
          </w:tcPr>
          <w:p w14:paraId="18F31BBD">
            <w:pPr>
              <w:pStyle w:val="2"/>
              <w:widowControl w:val="0"/>
              <w:ind w:firstLine="0"/>
              <w:jc w:val="center"/>
              <w:rPr>
                <w:rFonts w:ascii="Times New Roman" w:hAnsi="Times New Roman" w:cs="Times New Roman"/>
              </w:rPr>
            </w:pPr>
            <w:r>
              <w:rPr>
                <w:rFonts w:hint="eastAsia" w:ascii="Times New Roman" w:hAnsi="Times New Roman" w:cs="Times New Roman"/>
              </w:rPr>
              <w:t>19346</w:t>
            </w:r>
          </w:p>
        </w:tc>
      </w:tr>
      <w:tr w14:paraId="7FF3888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0FE37B22">
            <w:pPr>
              <w:pStyle w:val="2"/>
              <w:widowControl w:val="0"/>
              <w:ind w:firstLine="420"/>
              <w:jc w:val="center"/>
              <w:rPr>
                <w:rFonts w:hint="eastAsia" w:ascii="Times New Roman" w:hAnsi="Times New Roman" w:cs="Times New Roman"/>
              </w:rPr>
            </w:pPr>
          </w:p>
        </w:tc>
        <w:tc>
          <w:tcPr>
            <w:tcW w:w="1400" w:type="dxa"/>
            <w:vMerge w:val="continue"/>
            <w:noWrap w:val="0"/>
            <w:vAlign w:val="center"/>
          </w:tcPr>
          <w:p w14:paraId="2B907503">
            <w:pPr>
              <w:pStyle w:val="2"/>
              <w:widowControl w:val="0"/>
              <w:ind w:firstLine="420"/>
              <w:jc w:val="center"/>
              <w:rPr>
                <w:rFonts w:hint="eastAsia" w:ascii="Times New Roman" w:hAnsi="Times New Roman" w:cs="Times New Roman"/>
              </w:rPr>
            </w:pPr>
          </w:p>
        </w:tc>
        <w:tc>
          <w:tcPr>
            <w:tcW w:w="1183" w:type="dxa"/>
            <w:noWrap w:val="0"/>
            <w:vAlign w:val="center"/>
          </w:tcPr>
          <w:p w14:paraId="210FC437">
            <w:pPr>
              <w:pStyle w:val="2"/>
              <w:widowControl w:val="0"/>
              <w:ind w:firstLine="0"/>
              <w:jc w:val="center"/>
              <w:rPr>
                <w:rFonts w:ascii="Times New Roman" w:hAnsi="Times New Roman" w:cs="Times New Roman"/>
              </w:rPr>
            </w:pPr>
            <w:r>
              <w:rPr>
                <w:rFonts w:hint="eastAsia" w:ascii="Times New Roman" w:hAnsi="Times New Roman" w:cs="Times New Roman"/>
              </w:rPr>
              <w:t>4</w:t>
            </w:r>
          </w:p>
        </w:tc>
        <w:tc>
          <w:tcPr>
            <w:tcW w:w="1470" w:type="dxa"/>
            <w:noWrap w:val="0"/>
            <w:vAlign w:val="center"/>
          </w:tcPr>
          <w:p w14:paraId="3288924A">
            <w:pPr>
              <w:pStyle w:val="2"/>
              <w:widowControl w:val="0"/>
              <w:ind w:firstLine="0"/>
              <w:jc w:val="center"/>
              <w:rPr>
                <w:rFonts w:ascii="Times New Roman" w:hAnsi="Times New Roman" w:cs="Times New Roman"/>
              </w:rPr>
            </w:pPr>
            <w:r>
              <w:rPr>
                <w:rFonts w:hint="eastAsia" w:ascii="Times New Roman" w:hAnsi="Times New Roman" w:cs="Times New Roman"/>
              </w:rPr>
              <w:t>35.4</w:t>
            </w:r>
          </w:p>
        </w:tc>
        <w:tc>
          <w:tcPr>
            <w:tcW w:w="1215" w:type="dxa"/>
            <w:noWrap w:val="0"/>
            <w:vAlign w:val="center"/>
          </w:tcPr>
          <w:p w14:paraId="6775288D">
            <w:pPr>
              <w:pStyle w:val="2"/>
              <w:widowControl w:val="0"/>
              <w:ind w:firstLine="0"/>
              <w:jc w:val="center"/>
              <w:rPr>
                <w:rFonts w:ascii="Times New Roman" w:hAnsi="Times New Roman" w:cs="Times New Roman"/>
              </w:rPr>
            </w:pPr>
            <w:r>
              <w:rPr>
                <w:rFonts w:hint="eastAsia" w:ascii="Times New Roman" w:hAnsi="Times New Roman" w:cs="Times New Roman"/>
              </w:rPr>
              <w:t>51.6</w:t>
            </w:r>
          </w:p>
        </w:tc>
        <w:tc>
          <w:tcPr>
            <w:tcW w:w="1095" w:type="dxa"/>
            <w:noWrap w:val="0"/>
            <w:vAlign w:val="center"/>
          </w:tcPr>
          <w:p w14:paraId="613EB131">
            <w:pPr>
              <w:pStyle w:val="2"/>
              <w:widowControl w:val="0"/>
              <w:ind w:firstLine="0"/>
              <w:jc w:val="center"/>
              <w:rPr>
                <w:rFonts w:ascii="Times New Roman" w:hAnsi="Times New Roman" w:cs="Times New Roman"/>
              </w:rPr>
            </w:pPr>
            <w:r>
              <w:rPr>
                <w:rFonts w:hint="eastAsia" w:ascii="Times New Roman" w:hAnsi="Times New Roman" w:cs="Times New Roman"/>
              </w:rPr>
              <w:t>0.60</w:t>
            </w:r>
          </w:p>
        </w:tc>
        <w:tc>
          <w:tcPr>
            <w:tcW w:w="1072" w:type="dxa"/>
            <w:noWrap w:val="0"/>
            <w:vAlign w:val="center"/>
          </w:tcPr>
          <w:p w14:paraId="1053ED5D">
            <w:pPr>
              <w:pStyle w:val="2"/>
              <w:widowControl w:val="0"/>
              <w:ind w:firstLine="0"/>
              <w:jc w:val="center"/>
              <w:rPr>
                <w:rFonts w:ascii="Times New Roman" w:hAnsi="Times New Roman" w:cs="Times New Roman"/>
              </w:rPr>
            </w:pPr>
            <w:r>
              <w:rPr>
                <w:rFonts w:hint="eastAsia" w:ascii="Times New Roman" w:hAnsi="Times New Roman" w:cs="Times New Roman"/>
              </w:rPr>
              <w:t>16834</w:t>
            </w:r>
          </w:p>
        </w:tc>
      </w:tr>
      <w:tr w14:paraId="7FE7CE0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08EDBAA0">
            <w:pPr>
              <w:pStyle w:val="2"/>
              <w:widowControl w:val="0"/>
              <w:ind w:firstLine="420"/>
              <w:jc w:val="center"/>
              <w:rPr>
                <w:rFonts w:hint="eastAsia" w:ascii="Times New Roman" w:hAnsi="Times New Roman" w:cs="Times New Roman"/>
              </w:rPr>
            </w:pPr>
          </w:p>
        </w:tc>
        <w:tc>
          <w:tcPr>
            <w:tcW w:w="1400" w:type="dxa"/>
            <w:vMerge w:val="continue"/>
            <w:noWrap w:val="0"/>
            <w:vAlign w:val="center"/>
          </w:tcPr>
          <w:p w14:paraId="527633B1">
            <w:pPr>
              <w:pStyle w:val="2"/>
              <w:widowControl w:val="0"/>
              <w:ind w:firstLine="420"/>
              <w:jc w:val="center"/>
              <w:rPr>
                <w:rFonts w:hint="eastAsia" w:ascii="Times New Roman" w:hAnsi="Times New Roman" w:cs="Times New Roman"/>
              </w:rPr>
            </w:pPr>
          </w:p>
        </w:tc>
        <w:tc>
          <w:tcPr>
            <w:tcW w:w="1183" w:type="dxa"/>
            <w:noWrap w:val="0"/>
            <w:vAlign w:val="center"/>
          </w:tcPr>
          <w:p w14:paraId="7D8DE2AD">
            <w:pPr>
              <w:pStyle w:val="2"/>
              <w:widowControl w:val="0"/>
              <w:ind w:firstLine="0"/>
              <w:jc w:val="center"/>
              <w:rPr>
                <w:rFonts w:ascii="Times New Roman" w:hAnsi="Times New Roman" w:cs="Times New Roman"/>
              </w:rPr>
            </w:pPr>
            <w:r>
              <w:rPr>
                <w:rFonts w:hint="eastAsia" w:ascii="Times New Roman" w:hAnsi="Times New Roman" w:cs="Times New Roman"/>
              </w:rPr>
              <w:t>5</w:t>
            </w:r>
          </w:p>
        </w:tc>
        <w:tc>
          <w:tcPr>
            <w:tcW w:w="1470" w:type="dxa"/>
            <w:noWrap w:val="0"/>
            <w:vAlign w:val="center"/>
          </w:tcPr>
          <w:p w14:paraId="43F286BC">
            <w:pPr>
              <w:pStyle w:val="2"/>
              <w:widowControl w:val="0"/>
              <w:ind w:firstLine="0"/>
              <w:jc w:val="center"/>
              <w:rPr>
                <w:rFonts w:ascii="Times New Roman" w:hAnsi="Times New Roman" w:cs="Times New Roman"/>
              </w:rPr>
            </w:pPr>
            <w:r>
              <w:rPr>
                <w:rFonts w:hint="eastAsia" w:ascii="Times New Roman" w:hAnsi="Times New Roman" w:cs="Times New Roman"/>
              </w:rPr>
              <w:t>37.8</w:t>
            </w:r>
          </w:p>
        </w:tc>
        <w:tc>
          <w:tcPr>
            <w:tcW w:w="1215" w:type="dxa"/>
            <w:noWrap w:val="0"/>
            <w:vAlign w:val="center"/>
          </w:tcPr>
          <w:p w14:paraId="2BB1753E">
            <w:pPr>
              <w:pStyle w:val="2"/>
              <w:widowControl w:val="0"/>
              <w:ind w:firstLine="0"/>
              <w:jc w:val="center"/>
              <w:rPr>
                <w:rFonts w:ascii="Times New Roman" w:hAnsi="Times New Roman" w:cs="Times New Roman"/>
              </w:rPr>
            </w:pPr>
            <w:r>
              <w:rPr>
                <w:rFonts w:hint="eastAsia" w:ascii="Times New Roman" w:hAnsi="Times New Roman" w:cs="Times New Roman"/>
              </w:rPr>
              <w:t>54.6</w:t>
            </w:r>
          </w:p>
        </w:tc>
        <w:tc>
          <w:tcPr>
            <w:tcW w:w="1095" w:type="dxa"/>
            <w:noWrap w:val="0"/>
            <w:vAlign w:val="center"/>
          </w:tcPr>
          <w:p w14:paraId="08764F4A">
            <w:pPr>
              <w:pStyle w:val="2"/>
              <w:widowControl w:val="0"/>
              <w:ind w:firstLine="0"/>
              <w:jc w:val="center"/>
              <w:rPr>
                <w:rFonts w:ascii="Times New Roman" w:hAnsi="Times New Roman" w:cs="Times New Roman"/>
              </w:rPr>
            </w:pPr>
            <w:r>
              <w:rPr>
                <w:rFonts w:hint="eastAsia" w:ascii="Times New Roman" w:hAnsi="Times New Roman" w:cs="Times New Roman"/>
              </w:rPr>
              <w:t>0.70</w:t>
            </w:r>
          </w:p>
        </w:tc>
        <w:tc>
          <w:tcPr>
            <w:tcW w:w="1072" w:type="dxa"/>
            <w:noWrap w:val="0"/>
            <w:vAlign w:val="center"/>
          </w:tcPr>
          <w:p w14:paraId="1BAD4008">
            <w:pPr>
              <w:pStyle w:val="2"/>
              <w:widowControl w:val="0"/>
              <w:ind w:firstLine="0"/>
              <w:jc w:val="center"/>
              <w:rPr>
                <w:rFonts w:ascii="Times New Roman" w:hAnsi="Times New Roman" w:cs="Times New Roman"/>
              </w:rPr>
            </w:pPr>
            <w:r>
              <w:rPr>
                <w:rFonts w:hint="eastAsia" w:ascii="Times New Roman" w:hAnsi="Times New Roman" w:cs="Times New Roman"/>
              </w:rPr>
              <w:t>18555</w:t>
            </w:r>
          </w:p>
        </w:tc>
      </w:tr>
      <w:tr w14:paraId="0DF9AB9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6BC345DB">
            <w:pPr>
              <w:pStyle w:val="2"/>
              <w:widowControl w:val="0"/>
              <w:ind w:firstLine="420"/>
              <w:jc w:val="center"/>
              <w:rPr>
                <w:rFonts w:hint="eastAsia" w:ascii="Times New Roman" w:hAnsi="Times New Roman" w:cs="Times New Roman"/>
              </w:rPr>
            </w:pPr>
          </w:p>
        </w:tc>
        <w:tc>
          <w:tcPr>
            <w:tcW w:w="1400" w:type="dxa"/>
            <w:vMerge w:val="continue"/>
            <w:noWrap w:val="0"/>
            <w:vAlign w:val="center"/>
          </w:tcPr>
          <w:p w14:paraId="7EC430C4">
            <w:pPr>
              <w:pStyle w:val="2"/>
              <w:widowControl w:val="0"/>
              <w:ind w:firstLine="420"/>
              <w:jc w:val="center"/>
              <w:rPr>
                <w:rFonts w:hint="eastAsia" w:ascii="Times New Roman" w:hAnsi="Times New Roman" w:cs="Times New Roman"/>
              </w:rPr>
            </w:pPr>
          </w:p>
        </w:tc>
        <w:tc>
          <w:tcPr>
            <w:tcW w:w="1183" w:type="dxa"/>
            <w:noWrap w:val="0"/>
            <w:vAlign w:val="center"/>
          </w:tcPr>
          <w:p w14:paraId="5BF0D510">
            <w:pPr>
              <w:pStyle w:val="2"/>
              <w:widowControl w:val="0"/>
              <w:ind w:firstLine="0"/>
              <w:jc w:val="center"/>
              <w:rPr>
                <w:rFonts w:ascii="Times New Roman" w:hAnsi="Times New Roman" w:cs="Times New Roman"/>
              </w:rPr>
            </w:pPr>
            <w:r>
              <w:rPr>
                <w:rFonts w:hint="eastAsia" w:ascii="Times New Roman" w:hAnsi="Times New Roman" w:cs="Times New Roman"/>
              </w:rPr>
              <w:t>平均</w:t>
            </w:r>
          </w:p>
        </w:tc>
        <w:tc>
          <w:tcPr>
            <w:tcW w:w="1470" w:type="dxa"/>
            <w:noWrap w:val="0"/>
            <w:vAlign w:val="center"/>
          </w:tcPr>
          <w:p w14:paraId="4AB6055A">
            <w:pPr>
              <w:pStyle w:val="2"/>
              <w:widowControl w:val="0"/>
              <w:ind w:firstLine="0"/>
              <w:jc w:val="center"/>
              <w:rPr>
                <w:rFonts w:ascii="Times New Roman" w:hAnsi="Times New Roman" w:cs="Times New Roman"/>
              </w:rPr>
            </w:pPr>
            <w:r>
              <w:rPr>
                <w:rFonts w:hint="eastAsia" w:ascii="Times New Roman" w:hAnsi="Times New Roman" w:cs="Times New Roman"/>
              </w:rPr>
              <w:t>58.0</w:t>
            </w:r>
          </w:p>
        </w:tc>
        <w:tc>
          <w:tcPr>
            <w:tcW w:w="1215" w:type="dxa"/>
            <w:noWrap w:val="0"/>
            <w:vAlign w:val="center"/>
          </w:tcPr>
          <w:p w14:paraId="293E968C">
            <w:pPr>
              <w:pStyle w:val="2"/>
              <w:widowControl w:val="0"/>
              <w:ind w:firstLine="0"/>
              <w:jc w:val="center"/>
              <w:rPr>
                <w:rFonts w:ascii="Times New Roman" w:hAnsi="Times New Roman" w:cs="Times New Roman"/>
              </w:rPr>
            </w:pPr>
            <w:r>
              <w:rPr>
                <w:rFonts w:hint="eastAsia" w:ascii="Times New Roman" w:hAnsi="Times New Roman" w:cs="Times New Roman"/>
              </w:rPr>
              <w:t>84.2</w:t>
            </w:r>
          </w:p>
        </w:tc>
        <w:tc>
          <w:tcPr>
            <w:tcW w:w="1095" w:type="dxa"/>
            <w:noWrap w:val="0"/>
            <w:vAlign w:val="center"/>
          </w:tcPr>
          <w:p w14:paraId="11059FB5">
            <w:pPr>
              <w:pStyle w:val="2"/>
              <w:widowControl w:val="0"/>
              <w:ind w:firstLine="0"/>
              <w:jc w:val="center"/>
              <w:rPr>
                <w:rFonts w:ascii="Times New Roman" w:hAnsi="Times New Roman" w:cs="Times New Roman"/>
              </w:rPr>
            </w:pPr>
            <w:r>
              <w:rPr>
                <w:rFonts w:hint="eastAsia" w:ascii="Times New Roman" w:hAnsi="Times New Roman" w:cs="Times New Roman"/>
              </w:rPr>
              <w:t>1.09</w:t>
            </w:r>
          </w:p>
        </w:tc>
        <w:tc>
          <w:tcPr>
            <w:tcW w:w="1072" w:type="dxa"/>
            <w:noWrap w:val="0"/>
            <w:vAlign w:val="center"/>
          </w:tcPr>
          <w:p w14:paraId="6343513C">
            <w:pPr>
              <w:pStyle w:val="2"/>
              <w:widowControl w:val="0"/>
              <w:ind w:firstLine="0"/>
              <w:jc w:val="center"/>
              <w:rPr>
                <w:rFonts w:ascii="Times New Roman" w:hAnsi="Times New Roman" w:cs="Times New Roman"/>
              </w:rPr>
            </w:pPr>
            <w:r>
              <w:rPr>
                <w:rFonts w:hint="eastAsia" w:ascii="Times New Roman" w:hAnsi="Times New Roman" w:cs="Times New Roman"/>
              </w:rPr>
              <w:t>18772</w:t>
            </w:r>
          </w:p>
        </w:tc>
      </w:tr>
      <w:tr w14:paraId="3ACFA5A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restart"/>
            <w:noWrap w:val="0"/>
            <w:vAlign w:val="center"/>
          </w:tcPr>
          <w:p w14:paraId="0EFD3A5C">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锅炉水膜除尘器出口（烟道截面0.144m</w:t>
            </w:r>
            <w:r>
              <w:rPr>
                <w:rFonts w:hint="eastAsia" w:ascii="Times New Roman" w:hAnsi="Times New Roman" w:cs="Times New Roman"/>
                <w:vertAlign w:val="superscript"/>
              </w:rPr>
              <w:t>2</w:t>
            </w:r>
            <w:r>
              <w:rPr>
                <w:rFonts w:hint="eastAsia" w:ascii="Times New Roman" w:hAnsi="Times New Roman" w:cs="Times New Roman"/>
              </w:rPr>
              <w:t>大气压91.0kPa，含氧量13.0%）</w:t>
            </w:r>
          </w:p>
        </w:tc>
        <w:tc>
          <w:tcPr>
            <w:tcW w:w="1400" w:type="dxa"/>
            <w:vMerge w:val="restart"/>
            <w:noWrap w:val="0"/>
            <w:vAlign w:val="center"/>
          </w:tcPr>
          <w:p w14:paraId="0775F6EF">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2009年9月23日</w:t>
            </w:r>
          </w:p>
        </w:tc>
        <w:tc>
          <w:tcPr>
            <w:tcW w:w="1183" w:type="dxa"/>
            <w:noWrap w:val="0"/>
            <w:vAlign w:val="center"/>
          </w:tcPr>
          <w:p w14:paraId="7C758BAD">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1</w:t>
            </w:r>
          </w:p>
        </w:tc>
        <w:tc>
          <w:tcPr>
            <w:tcW w:w="1470" w:type="dxa"/>
            <w:noWrap w:val="0"/>
            <w:vAlign w:val="center"/>
          </w:tcPr>
          <w:p w14:paraId="564D2983">
            <w:pPr>
              <w:pStyle w:val="2"/>
              <w:widowControl w:val="0"/>
              <w:ind w:firstLine="0"/>
              <w:jc w:val="center"/>
              <w:rPr>
                <w:rFonts w:ascii="Times New Roman" w:hAnsi="Times New Roman" w:cs="Times New Roman"/>
              </w:rPr>
            </w:pPr>
            <w:r>
              <w:rPr>
                <w:rFonts w:hint="eastAsia" w:ascii="Times New Roman" w:hAnsi="Times New Roman" w:cs="Times New Roman"/>
              </w:rPr>
              <w:t>2.8</w:t>
            </w:r>
          </w:p>
        </w:tc>
        <w:tc>
          <w:tcPr>
            <w:tcW w:w="1215" w:type="dxa"/>
            <w:noWrap w:val="0"/>
            <w:vAlign w:val="center"/>
          </w:tcPr>
          <w:p w14:paraId="57FF9992">
            <w:pPr>
              <w:pStyle w:val="2"/>
              <w:widowControl w:val="0"/>
              <w:ind w:firstLine="0"/>
              <w:jc w:val="center"/>
              <w:rPr>
                <w:rFonts w:ascii="Times New Roman" w:hAnsi="Times New Roman" w:cs="Times New Roman"/>
              </w:rPr>
            </w:pPr>
            <w:r>
              <w:rPr>
                <w:rFonts w:hint="eastAsia" w:ascii="Times New Roman" w:hAnsi="Times New Roman" w:cs="Times New Roman"/>
              </w:rPr>
              <w:t>8.4</w:t>
            </w:r>
          </w:p>
        </w:tc>
        <w:tc>
          <w:tcPr>
            <w:tcW w:w="1095" w:type="dxa"/>
            <w:noWrap w:val="0"/>
            <w:vAlign w:val="center"/>
          </w:tcPr>
          <w:p w14:paraId="7632922A">
            <w:pPr>
              <w:pStyle w:val="2"/>
              <w:widowControl w:val="0"/>
              <w:ind w:firstLine="0"/>
              <w:jc w:val="center"/>
              <w:rPr>
                <w:rFonts w:ascii="Times New Roman" w:hAnsi="Times New Roman" w:cs="Times New Roman"/>
              </w:rPr>
            </w:pPr>
            <w:r>
              <w:rPr>
                <w:rFonts w:hint="eastAsia" w:ascii="Times New Roman" w:hAnsi="Times New Roman" w:cs="Times New Roman"/>
              </w:rPr>
              <w:t>0.05</w:t>
            </w:r>
          </w:p>
        </w:tc>
        <w:tc>
          <w:tcPr>
            <w:tcW w:w="1072" w:type="dxa"/>
            <w:noWrap w:val="0"/>
            <w:vAlign w:val="center"/>
          </w:tcPr>
          <w:p w14:paraId="42951A89">
            <w:pPr>
              <w:pStyle w:val="2"/>
              <w:widowControl w:val="0"/>
              <w:ind w:firstLine="0"/>
              <w:jc w:val="center"/>
              <w:rPr>
                <w:rFonts w:ascii="Times New Roman" w:hAnsi="Times New Roman" w:cs="Times New Roman"/>
              </w:rPr>
            </w:pPr>
            <w:r>
              <w:rPr>
                <w:rFonts w:hint="eastAsia" w:ascii="Times New Roman" w:hAnsi="Times New Roman" w:cs="Times New Roman"/>
              </w:rPr>
              <w:t>17388</w:t>
            </w:r>
          </w:p>
        </w:tc>
      </w:tr>
      <w:tr w14:paraId="384C04C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18BCB779">
            <w:pPr>
              <w:pStyle w:val="2"/>
              <w:widowControl w:val="0"/>
              <w:ind w:firstLine="482"/>
              <w:jc w:val="center"/>
              <w:rPr>
                <w:rFonts w:hint="eastAsia" w:ascii="Times New Roman" w:hAnsi="Times New Roman" w:cs="Times New Roman"/>
                <w:b/>
                <w:bCs/>
                <w:sz w:val="24"/>
                <w:szCs w:val="24"/>
              </w:rPr>
            </w:pPr>
          </w:p>
        </w:tc>
        <w:tc>
          <w:tcPr>
            <w:tcW w:w="1400" w:type="dxa"/>
            <w:vMerge w:val="continue"/>
            <w:noWrap w:val="0"/>
            <w:vAlign w:val="center"/>
          </w:tcPr>
          <w:p w14:paraId="744E932D">
            <w:pPr>
              <w:pStyle w:val="2"/>
              <w:widowControl w:val="0"/>
              <w:ind w:firstLine="482"/>
              <w:jc w:val="center"/>
              <w:rPr>
                <w:rFonts w:hint="eastAsia" w:ascii="Times New Roman" w:hAnsi="Times New Roman" w:cs="Times New Roman"/>
                <w:b/>
                <w:bCs/>
                <w:sz w:val="24"/>
                <w:szCs w:val="24"/>
              </w:rPr>
            </w:pPr>
          </w:p>
        </w:tc>
        <w:tc>
          <w:tcPr>
            <w:tcW w:w="1183" w:type="dxa"/>
            <w:noWrap w:val="0"/>
            <w:vAlign w:val="center"/>
          </w:tcPr>
          <w:p w14:paraId="4E5EB479">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2</w:t>
            </w:r>
          </w:p>
        </w:tc>
        <w:tc>
          <w:tcPr>
            <w:tcW w:w="1470" w:type="dxa"/>
            <w:noWrap w:val="0"/>
            <w:vAlign w:val="center"/>
          </w:tcPr>
          <w:p w14:paraId="741A0204">
            <w:pPr>
              <w:pStyle w:val="2"/>
              <w:widowControl w:val="0"/>
              <w:ind w:firstLine="0"/>
              <w:jc w:val="center"/>
              <w:rPr>
                <w:rFonts w:ascii="Times New Roman" w:hAnsi="Times New Roman" w:cs="Times New Roman"/>
              </w:rPr>
            </w:pPr>
            <w:r>
              <w:rPr>
                <w:rFonts w:hint="eastAsia" w:ascii="Times New Roman" w:hAnsi="Times New Roman" w:cs="Times New Roman"/>
              </w:rPr>
              <w:t>2.1</w:t>
            </w:r>
          </w:p>
        </w:tc>
        <w:tc>
          <w:tcPr>
            <w:tcW w:w="1215" w:type="dxa"/>
            <w:noWrap w:val="0"/>
            <w:vAlign w:val="center"/>
          </w:tcPr>
          <w:p w14:paraId="74115FF8">
            <w:pPr>
              <w:pStyle w:val="2"/>
              <w:widowControl w:val="0"/>
              <w:ind w:firstLine="0"/>
              <w:jc w:val="center"/>
              <w:rPr>
                <w:rFonts w:ascii="Times New Roman" w:hAnsi="Times New Roman" w:cs="Times New Roman"/>
              </w:rPr>
            </w:pPr>
            <w:r>
              <w:rPr>
                <w:rFonts w:hint="eastAsia" w:ascii="Times New Roman" w:hAnsi="Times New Roman" w:cs="Times New Roman"/>
              </w:rPr>
              <w:t>6.4</w:t>
            </w:r>
          </w:p>
        </w:tc>
        <w:tc>
          <w:tcPr>
            <w:tcW w:w="1095" w:type="dxa"/>
            <w:noWrap w:val="0"/>
            <w:vAlign w:val="center"/>
          </w:tcPr>
          <w:p w14:paraId="471AC7F8">
            <w:pPr>
              <w:pStyle w:val="2"/>
              <w:widowControl w:val="0"/>
              <w:ind w:firstLine="0"/>
              <w:jc w:val="center"/>
              <w:rPr>
                <w:rFonts w:ascii="Times New Roman" w:hAnsi="Times New Roman" w:cs="Times New Roman"/>
              </w:rPr>
            </w:pPr>
            <w:r>
              <w:rPr>
                <w:rFonts w:hint="eastAsia" w:ascii="Times New Roman" w:hAnsi="Times New Roman" w:cs="Times New Roman"/>
              </w:rPr>
              <w:t>0.04</w:t>
            </w:r>
          </w:p>
        </w:tc>
        <w:tc>
          <w:tcPr>
            <w:tcW w:w="1072" w:type="dxa"/>
            <w:noWrap w:val="0"/>
            <w:vAlign w:val="center"/>
          </w:tcPr>
          <w:p w14:paraId="75C10769">
            <w:pPr>
              <w:pStyle w:val="2"/>
              <w:widowControl w:val="0"/>
              <w:ind w:firstLine="0"/>
              <w:jc w:val="center"/>
              <w:rPr>
                <w:rFonts w:ascii="Times New Roman" w:hAnsi="Times New Roman" w:cs="Times New Roman"/>
              </w:rPr>
            </w:pPr>
            <w:r>
              <w:rPr>
                <w:rFonts w:hint="eastAsia" w:ascii="Times New Roman" w:hAnsi="Times New Roman" w:cs="Times New Roman"/>
              </w:rPr>
              <w:t>18448</w:t>
            </w:r>
          </w:p>
        </w:tc>
      </w:tr>
      <w:tr w14:paraId="2752BBF1">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2AB8F20A">
            <w:pPr>
              <w:pStyle w:val="2"/>
              <w:widowControl w:val="0"/>
              <w:ind w:firstLine="482"/>
              <w:jc w:val="center"/>
              <w:rPr>
                <w:rFonts w:hint="eastAsia" w:ascii="Times New Roman" w:hAnsi="Times New Roman" w:cs="Times New Roman"/>
                <w:b/>
                <w:bCs/>
                <w:sz w:val="24"/>
                <w:szCs w:val="24"/>
              </w:rPr>
            </w:pPr>
          </w:p>
        </w:tc>
        <w:tc>
          <w:tcPr>
            <w:tcW w:w="1400" w:type="dxa"/>
            <w:vMerge w:val="continue"/>
            <w:noWrap w:val="0"/>
            <w:vAlign w:val="center"/>
          </w:tcPr>
          <w:p w14:paraId="3C3AD9E2">
            <w:pPr>
              <w:pStyle w:val="2"/>
              <w:widowControl w:val="0"/>
              <w:ind w:firstLine="482"/>
              <w:jc w:val="center"/>
              <w:rPr>
                <w:rFonts w:hint="eastAsia" w:ascii="Times New Roman" w:hAnsi="Times New Roman" w:cs="Times New Roman"/>
                <w:b/>
                <w:bCs/>
                <w:sz w:val="24"/>
                <w:szCs w:val="24"/>
              </w:rPr>
            </w:pPr>
          </w:p>
        </w:tc>
        <w:tc>
          <w:tcPr>
            <w:tcW w:w="1183" w:type="dxa"/>
            <w:noWrap w:val="0"/>
            <w:vAlign w:val="center"/>
          </w:tcPr>
          <w:p w14:paraId="53DD60A0">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3</w:t>
            </w:r>
          </w:p>
        </w:tc>
        <w:tc>
          <w:tcPr>
            <w:tcW w:w="1470" w:type="dxa"/>
            <w:noWrap w:val="0"/>
            <w:vAlign w:val="center"/>
          </w:tcPr>
          <w:p w14:paraId="2D656B18">
            <w:pPr>
              <w:pStyle w:val="2"/>
              <w:widowControl w:val="0"/>
              <w:ind w:firstLine="0"/>
              <w:jc w:val="center"/>
              <w:rPr>
                <w:rFonts w:ascii="Times New Roman" w:hAnsi="Times New Roman" w:cs="Times New Roman"/>
              </w:rPr>
            </w:pPr>
            <w:r>
              <w:rPr>
                <w:rFonts w:hint="eastAsia" w:ascii="Times New Roman" w:hAnsi="Times New Roman" w:cs="Times New Roman"/>
              </w:rPr>
              <w:t>2.6</w:t>
            </w:r>
          </w:p>
        </w:tc>
        <w:tc>
          <w:tcPr>
            <w:tcW w:w="1215" w:type="dxa"/>
            <w:noWrap w:val="0"/>
            <w:vAlign w:val="center"/>
          </w:tcPr>
          <w:p w14:paraId="20371276">
            <w:pPr>
              <w:pStyle w:val="2"/>
              <w:widowControl w:val="0"/>
              <w:ind w:firstLine="0"/>
              <w:jc w:val="center"/>
              <w:rPr>
                <w:rFonts w:ascii="Times New Roman" w:hAnsi="Times New Roman" w:cs="Times New Roman"/>
              </w:rPr>
            </w:pPr>
            <w:r>
              <w:rPr>
                <w:rFonts w:hint="eastAsia" w:ascii="Times New Roman" w:hAnsi="Times New Roman" w:cs="Times New Roman"/>
              </w:rPr>
              <w:t>8.0</w:t>
            </w:r>
          </w:p>
        </w:tc>
        <w:tc>
          <w:tcPr>
            <w:tcW w:w="1095" w:type="dxa"/>
            <w:noWrap w:val="0"/>
            <w:vAlign w:val="center"/>
          </w:tcPr>
          <w:p w14:paraId="42777E02">
            <w:pPr>
              <w:pStyle w:val="2"/>
              <w:widowControl w:val="0"/>
              <w:ind w:firstLine="0"/>
              <w:jc w:val="center"/>
              <w:rPr>
                <w:rFonts w:ascii="Times New Roman" w:hAnsi="Times New Roman" w:cs="Times New Roman"/>
              </w:rPr>
            </w:pPr>
            <w:r>
              <w:rPr>
                <w:rFonts w:hint="eastAsia" w:ascii="Times New Roman" w:hAnsi="Times New Roman" w:cs="Times New Roman"/>
              </w:rPr>
              <w:t>0.05</w:t>
            </w:r>
          </w:p>
        </w:tc>
        <w:tc>
          <w:tcPr>
            <w:tcW w:w="1072" w:type="dxa"/>
            <w:noWrap w:val="0"/>
            <w:vAlign w:val="center"/>
          </w:tcPr>
          <w:p w14:paraId="0F5B85E7">
            <w:pPr>
              <w:pStyle w:val="2"/>
              <w:widowControl w:val="0"/>
              <w:ind w:firstLine="0"/>
              <w:jc w:val="center"/>
              <w:rPr>
                <w:rFonts w:ascii="Times New Roman" w:hAnsi="Times New Roman" w:cs="Times New Roman"/>
              </w:rPr>
            </w:pPr>
            <w:r>
              <w:rPr>
                <w:rFonts w:hint="eastAsia" w:ascii="Times New Roman" w:hAnsi="Times New Roman" w:cs="Times New Roman"/>
              </w:rPr>
              <w:t>18467</w:t>
            </w:r>
          </w:p>
        </w:tc>
      </w:tr>
      <w:tr w14:paraId="6D2DCE2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188AFB77">
            <w:pPr>
              <w:pStyle w:val="2"/>
              <w:widowControl w:val="0"/>
              <w:ind w:firstLine="482"/>
              <w:jc w:val="center"/>
              <w:rPr>
                <w:rFonts w:hint="eastAsia" w:ascii="Times New Roman" w:hAnsi="Times New Roman" w:cs="Times New Roman"/>
                <w:b/>
                <w:bCs/>
                <w:sz w:val="24"/>
                <w:szCs w:val="24"/>
              </w:rPr>
            </w:pPr>
          </w:p>
        </w:tc>
        <w:tc>
          <w:tcPr>
            <w:tcW w:w="1400" w:type="dxa"/>
            <w:vMerge w:val="continue"/>
            <w:noWrap w:val="0"/>
            <w:vAlign w:val="center"/>
          </w:tcPr>
          <w:p w14:paraId="5B2CE1D5">
            <w:pPr>
              <w:pStyle w:val="2"/>
              <w:widowControl w:val="0"/>
              <w:ind w:firstLine="482"/>
              <w:jc w:val="center"/>
              <w:rPr>
                <w:rFonts w:hint="eastAsia" w:ascii="Times New Roman" w:hAnsi="Times New Roman" w:cs="Times New Roman"/>
                <w:b/>
                <w:bCs/>
                <w:sz w:val="24"/>
                <w:szCs w:val="24"/>
              </w:rPr>
            </w:pPr>
          </w:p>
        </w:tc>
        <w:tc>
          <w:tcPr>
            <w:tcW w:w="1183" w:type="dxa"/>
            <w:noWrap w:val="0"/>
            <w:vAlign w:val="center"/>
          </w:tcPr>
          <w:p w14:paraId="6C9F1B5D">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4</w:t>
            </w:r>
          </w:p>
        </w:tc>
        <w:tc>
          <w:tcPr>
            <w:tcW w:w="1470" w:type="dxa"/>
            <w:noWrap w:val="0"/>
            <w:vAlign w:val="center"/>
          </w:tcPr>
          <w:p w14:paraId="7AF8D133">
            <w:pPr>
              <w:pStyle w:val="2"/>
              <w:widowControl w:val="0"/>
              <w:ind w:firstLine="0"/>
              <w:jc w:val="center"/>
              <w:rPr>
                <w:rFonts w:ascii="Times New Roman" w:hAnsi="Times New Roman" w:cs="Times New Roman"/>
              </w:rPr>
            </w:pPr>
            <w:r>
              <w:rPr>
                <w:rFonts w:hint="eastAsia" w:ascii="Times New Roman" w:hAnsi="Times New Roman" w:cs="Times New Roman"/>
              </w:rPr>
              <w:t>2.2</w:t>
            </w:r>
          </w:p>
        </w:tc>
        <w:tc>
          <w:tcPr>
            <w:tcW w:w="1215" w:type="dxa"/>
            <w:noWrap w:val="0"/>
            <w:vAlign w:val="center"/>
          </w:tcPr>
          <w:p w14:paraId="7AB5BE15">
            <w:pPr>
              <w:pStyle w:val="2"/>
              <w:widowControl w:val="0"/>
              <w:ind w:firstLine="0"/>
              <w:jc w:val="center"/>
              <w:rPr>
                <w:rFonts w:ascii="Times New Roman" w:hAnsi="Times New Roman" w:cs="Times New Roman"/>
              </w:rPr>
            </w:pPr>
            <w:r>
              <w:rPr>
                <w:rFonts w:hint="eastAsia" w:ascii="Times New Roman" w:hAnsi="Times New Roman" w:cs="Times New Roman"/>
              </w:rPr>
              <w:t>6.6</w:t>
            </w:r>
          </w:p>
        </w:tc>
        <w:tc>
          <w:tcPr>
            <w:tcW w:w="1095" w:type="dxa"/>
            <w:noWrap w:val="0"/>
            <w:vAlign w:val="center"/>
          </w:tcPr>
          <w:p w14:paraId="71F370D0">
            <w:pPr>
              <w:pStyle w:val="2"/>
              <w:widowControl w:val="0"/>
              <w:ind w:firstLine="0"/>
              <w:jc w:val="center"/>
              <w:rPr>
                <w:rFonts w:ascii="Times New Roman" w:hAnsi="Times New Roman" w:cs="Times New Roman"/>
              </w:rPr>
            </w:pPr>
            <w:r>
              <w:rPr>
                <w:rFonts w:hint="eastAsia" w:ascii="Times New Roman" w:hAnsi="Times New Roman" w:cs="Times New Roman"/>
              </w:rPr>
              <w:t>0.04</w:t>
            </w:r>
          </w:p>
        </w:tc>
        <w:tc>
          <w:tcPr>
            <w:tcW w:w="1072" w:type="dxa"/>
            <w:noWrap w:val="0"/>
            <w:vAlign w:val="center"/>
          </w:tcPr>
          <w:p w14:paraId="2F7EE1FE">
            <w:pPr>
              <w:pStyle w:val="2"/>
              <w:widowControl w:val="0"/>
              <w:ind w:firstLine="0"/>
              <w:jc w:val="center"/>
              <w:rPr>
                <w:rFonts w:ascii="Times New Roman" w:hAnsi="Times New Roman" w:cs="Times New Roman"/>
              </w:rPr>
            </w:pPr>
            <w:r>
              <w:rPr>
                <w:rFonts w:hint="eastAsia" w:ascii="Times New Roman" w:hAnsi="Times New Roman" w:cs="Times New Roman"/>
              </w:rPr>
              <w:t>17787</w:t>
            </w:r>
          </w:p>
        </w:tc>
      </w:tr>
      <w:tr w14:paraId="3CB9A19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22239D79">
            <w:pPr>
              <w:pStyle w:val="2"/>
              <w:widowControl w:val="0"/>
              <w:ind w:firstLine="482"/>
              <w:jc w:val="center"/>
              <w:rPr>
                <w:rFonts w:hint="eastAsia" w:ascii="Times New Roman" w:hAnsi="Times New Roman" w:cs="Times New Roman"/>
                <w:b/>
                <w:bCs/>
                <w:sz w:val="24"/>
                <w:szCs w:val="24"/>
              </w:rPr>
            </w:pPr>
          </w:p>
        </w:tc>
        <w:tc>
          <w:tcPr>
            <w:tcW w:w="1400" w:type="dxa"/>
            <w:vMerge w:val="continue"/>
            <w:noWrap w:val="0"/>
            <w:vAlign w:val="center"/>
          </w:tcPr>
          <w:p w14:paraId="70829FBD">
            <w:pPr>
              <w:pStyle w:val="2"/>
              <w:widowControl w:val="0"/>
              <w:ind w:firstLine="482"/>
              <w:jc w:val="center"/>
              <w:rPr>
                <w:rFonts w:hint="eastAsia" w:ascii="Times New Roman" w:hAnsi="Times New Roman" w:cs="Times New Roman"/>
                <w:b/>
                <w:bCs/>
                <w:sz w:val="24"/>
                <w:szCs w:val="24"/>
              </w:rPr>
            </w:pPr>
          </w:p>
        </w:tc>
        <w:tc>
          <w:tcPr>
            <w:tcW w:w="1183" w:type="dxa"/>
            <w:noWrap w:val="0"/>
            <w:vAlign w:val="center"/>
          </w:tcPr>
          <w:p w14:paraId="17BD2678">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5</w:t>
            </w:r>
          </w:p>
        </w:tc>
        <w:tc>
          <w:tcPr>
            <w:tcW w:w="1470" w:type="dxa"/>
            <w:noWrap w:val="0"/>
            <w:vAlign w:val="center"/>
          </w:tcPr>
          <w:p w14:paraId="524BB11C">
            <w:pPr>
              <w:pStyle w:val="2"/>
              <w:widowControl w:val="0"/>
              <w:ind w:firstLine="0"/>
              <w:jc w:val="center"/>
              <w:rPr>
                <w:rFonts w:ascii="Times New Roman" w:hAnsi="Times New Roman" w:cs="Times New Roman"/>
              </w:rPr>
            </w:pPr>
            <w:r>
              <w:rPr>
                <w:rFonts w:hint="eastAsia" w:ascii="Times New Roman" w:hAnsi="Times New Roman" w:cs="Times New Roman"/>
              </w:rPr>
              <w:t>2.1</w:t>
            </w:r>
          </w:p>
        </w:tc>
        <w:tc>
          <w:tcPr>
            <w:tcW w:w="1215" w:type="dxa"/>
            <w:noWrap w:val="0"/>
            <w:vAlign w:val="center"/>
          </w:tcPr>
          <w:p w14:paraId="0FBAA47C">
            <w:pPr>
              <w:pStyle w:val="2"/>
              <w:widowControl w:val="0"/>
              <w:ind w:firstLine="0"/>
              <w:jc w:val="center"/>
              <w:rPr>
                <w:rFonts w:ascii="Times New Roman" w:hAnsi="Times New Roman" w:cs="Times New Roman"/>
              </w:rPr>
            </w:pPr>
            <w:r>
              <w:rPr>
                <w:rFonts w:hint="eastAsia" w:ascii="Times New Roman" w:hAnsi="Times New Roman" w:cs="Times New Roman"/>
              </w:rPr>
              <w:t>6.4</w:t>
            </w:r>
          </w:p>
        </w:tc>
        <w:tc>
          <w:tcPr>
            <w:tcW w:w="1095" w:type="dxa"/>
            <w:noWrap w:val="0"/>
            <w:vAlign w:val="center"/>
          </w:tcPr>
          <w:p w14:paraId="4916124F">
            <w:pPr>
              <w:pStyle w:val="2"/>
              <w:widowControl w:val="0"/>
              <w:ind w:firstLine="0"/>
              <w:jc w:val="center"/>
              <w:rPr>
                <w:rFonts w:ascii="Times New Roman" w:hAnsi="Times New Roman" w:cs="Times New Roman"/>
              </w:rPr>
            </w:pPr>
            <w:r>
              <w:rPr>
                <w:rFonts w:hint="eastAsia" w:ascii="Times New Roman" w:hAnsi="Times New Roman" w:cs="Times New Roman"/>
              </w:rPr>
              <w:t>0.040</w:t>
            </w:r>
          </w:p>
        </w:tc>
        <w:tc>
          <w:tcPr>
            <w:tcW w:w="1072" w:type="dxa"/>
            <w:noWrap w:val="0"/>
            <w:vAlign w:val="center"/>
          </w:tcPr>
          <w:p w14:paraId="37C08F32">
            <w:pPr>
              <w:pStyle w:val="2"/>
              <w:widowControl w:val="0"/>
              <w:ind w:firstLine="0"/>
              <w:jc w:val="center"/>
              <w:rPr>
                <w:rFonts w:ascii="Times New Roman" w:hAnsi="Times New Roman" w:cs="Times New Roman"/>
              </w:rPr>
            </w:pPr>
            <w:r>
              <w:rPr>
                <w:rFonts w:hint="eastAsia" w:ascii="Times New Roman" w:hAnsi="Times New Roman" w:cs="Times New Roman"/>
              </w:rPr>
              <w:t>18456</w:t>
            </w:r>
          </w:p>
        </w:tc>
      </w:tr>
      <w:tr w14:paraId="75DF6DD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00" w:type="dxa"/>
            <w:vMerge w:val="continue"/>
            <w:noWrap w:val="0"/>
            <w:vAlign w:val="center"/>
          </w:tcPr>
          <w:p w14:paraId="766FB142">
            <w:pPr>
              <w:pStyle w:val="2"/>
              <w:widowControl w:val="0"/>
              <w:ind w:firstLine="482"/>
              <w:jc w:val="center"/>
              <w:rPr>
                <w:rFonts w:hint="eastAsia" w:ascii="Times New Roman" w:hAnsi="Times New Roman" w:cs="Times New Roman"/>
                <w:b/>
                <w:bCs/>
                <w:sz w:val="24"/>
                <w:szCs w:val="24"/>
              </w:rPr>
            </w:pPr>
          </w:p>
        </w:tc>
        <w:tc>
          <w:tcPr>
            <w:tcW w:w="1400" w:type="dxa"/>
            <w:vMerge w:val="continue"/>
            <w:noWrap w:val="0"/>
            <w:vAlign w:val="center"/>
          </w:tcPr>
          <w:p w14:paraId="0292DB02">
            <w:pPr>
              <w:pStyle w:val="2"/>
              <w:widowControl w:val="0"/>
              <w:ind w:firstLine="482"/>
              <w:jc w:val="center"/>
              <w:rPr>
                <w:rFonts w:hint="eastAsia" w:ascii="Times New Roman" w:hAnsi="Times New Roman" w:cs="Times New Roman"/>
                <w:b/>
                <w:bCs/>
                <w:sz w:val="24"/>
                <w:szCs w:val="24"/>
              </w:rPr>
            </w:pPr>
          </w:p>
        </w:tc>
        <w:tc>
          <w:tcPr>
            <w:tcW w:w="1183" w:type="dxa"/>
            <w:noWrap w:val="0"/>
            <w:vAlign w:val="center"/>
          </w:tcPr>
          <w:p w14:paraId="30A8F15B">
            <w:pPr>
              <w:pStyle w:val="2"/>
              <w:widowControl w:val="0"/>
              <w:ind w:firstLine="0"/>
              <w:jc w:val="center"/>
              <w:rPr>
                <w:rFonts w:hint="eastAsia" w:ascii="Times New Roman" w:hAnsi="Times New Roman" w:cs="Times New Roman"/>
                <w:b/>
                <w:bCs/>
                <w:sz w:val="24"/>
                <w:szCs w:val="24"/>
              </w:rPr>
            </w:pPr>
            <w:r>
              <w:rPr>
                <w:rFonts w:hint="eastAsia" w:ascii="Times New Roman" w:hAnsi="Times New Roman" w:cs="Times New Roman"/>
              </w:rPr>
              <w:t>平均</w:t>
            </w:r>
          </w:p>
        </w:tc>
        <w:tc>
          <w:tcPr>
            <w:tcW w:w="1470" w:type="dxa"/>
            <w:noWrap w:val="0"/>
            <w:vAlign w:val="center"/>
          </w:tcPr>
          <w:p w14:paraId="139E649B">
            <w:pPr>
              <w:pStyle w:val="2"/>
              <w:widowControl w:val="0"/>
              <w:ind w:firstLine="0"/>
              <w:jc w:val="center"/>
              <w:rPr>
                <w:rFonts w:ascii="Times New Roman" w:hAnsi="Times New Roman" w:cs="Times New Roman"/>
              </w:rPr>
            </w:pPr>
            <w:r>
              <w:rPr>
                <w:rFonts w:hint="eastAsia" w:ascii="Times New Roman" w:hAnsi="Times New Roman" w:cs="Times New Roman"/>
              </w:rPr>
              <w:t>2.4</w:t>
            </w:r>
          </w:p>
        </w:tc>
        <w:tc>
          <w:tcPr>
            <w:tcW w:w="1215" w:type="dxa"/>
            <w:noWrap w:val="0"/>
            <w:vAlign w:val="center"/>
          </w:tcPr>
          <w:p w14:paraId="797D8519">
            <w:pPr>
              <w:pStyle w:val="2"/>
              <w:widowControl w:val="0"/>
              <w:ind w:firstLine="0"/>
              <w:jc w:val="center"/>
              <w:rPr>
                <w:rFonts w:ascii="Times New Roman" w:hAnsi="Times New Roman" w:cs="Times New Roman"/>
              </w:rPr>
            </w:pPr>
            <w:r>
              <w:rPr>
                <w:rFonts w:hint="eastAsia" w:ascii="Times New Roman" w:hAnsi="Times New Roman" w:cs="Times New Roman"/>
              </w:rPr>
              <w:t>7.1</w:t>
            </w:r>
          </w:p>
        </w:tc>
        <w:tc>
          <w:tcPr>
            <w:tcW w:w="1095" w:type="dxa"/>
            <w:noWrap w:val="0"/>
            <w:vAlign w:val="center"/>
          </w:tcPr>
          <w:p w14:paraId="3BE3779E">
            <w:pPr>
              <w:pStyle w:val="2"/>
              <w:widowControl w:val="0"/>
              <w:ind w:firstLine="0"/>
              <w:jc w:val="center"/>
              <w:rPr>
                <w:rFonts w:ascii="Times New Roman" w:hAnsi="Times New Roman" w:cs="Times New Roman"/>
              </w:rPr>
            </w:pPr>
            <w:r>
              <w:rPr>
                <w:rFonts w:hint="eastAsia" w:ascii="Times New Roman" w:hAnsi="Times New Roman" w:cs="Times New Roman"/>
              </w:rPr>
              <w:t>0.04</w:t>
            </w:r>
          </w:p>
        </w:tc>
        <w:tc>
          <w:tcPr>
            <w:tcW w:w="1072" w:type="dxa"/>
            <w:noWrap w:val="0"/>
            <w:vAlign w:val="center"/>
          </w:tcPr>
          <w:p w14:paraId="5F372154">
            <w:pPr>
              <w:pStyle w:val="2"/>
              <w:widowControl w:val="0"/>
              <w:ind w:firstLine="0"/>
              <w:jc w:val="center"/>
              <w:rPr>
                <w:rFonts w:ascii="Times New Roman" w:hAnsi="Times New Roman" w:cs="Times New Roman"/>
              </w:rPr>
            </w:pPr>
            <w:r>
              <w:rPr>
                <w:rFonts w:hint="eastAsia" w:ascii="Times New Roman" w:hAnsi="Times New Roman" w:cs="Times New Roman"/>
              </w:rPr>
              <w:t>18109</w:t>
            </w:r>
          </w:p>
        </w:tc>
      </w:tr>
    </w:tbl>
    <w:p w14:paraId="6C8B2581">
      <w:pPr>
        <w:pStyle w:val="2"/>
        <w:ind w:firstLine="482"/>
        <w:jc w:val="center"/>
        <w:rPr>
          <w:rFonts w:hint="eastAsia" w:ascii="Times New Roman" w:hAnsi="Times New Roman" w:cs="Times New Roman"/>
          <w:b/>
          <w:bCs/>
          <w:sz w:val="24"/>
          <w:szCs w:val="24"/>
        </w:rPr>
      </w:pPr>
      <w:r>
        <w:rPr>
          <w:rFonts w:hint="eastAsia" w:ascii="Times New Roman" w:hAnsi="Times New Roman" w:cs="Times New Roman"/>
          <w:b/>
          <w:bCs/>
          <w:sz w:val="24"/>
          <w:szCs w:val="24"/>
        </w:rPr>
        <w:t>表3</w:t>
      </w: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rPr>
        <w:t>无组织颗粒物废气监测结果</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131"/>
        <w:gridCol w:w="1771"/>
        <w:gridCol w:w="2493"/>
      </w:tblGrid>
      <w:tr w14:paraId="7516C740">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noWrap w:val="0"/>
            <w:vAlign w:val="top"/>
          </w:tcPr>
          <w:p w14:paraId="1E85FC0B">
            <w:pPr>
              <w:pStyle w:val="2"/>
              <w:widowControl w:val="0"/>
              <w:ind w:firstLine="482"/>
              <w:rPr>
                <w:rFonts w:ascii="Times New Roman" w:hAnsi="Times New Roman" w:cs="Times New Roman"/>
                <w:b/>
                <w:bCs/>
                <w:sz w:val="24"/>
                <w:szCs w:val="24"/>
              </w:rPr>
            </w:pPr>
            <w:r>
              <w:rPr>
                <w:rFonts w:hint="eastAsia" w:ascii="Times New Roman" w:hAnsi="Times New Roman" w:cs="Times New Roman"/>
                <w:b/>
                <w:bCs/>
                <w:sz w:val="24"/>
                <w:szCs w:val="24"/>
              </w:rPr>
              <w:t>监测日期</w:t>
            </w:r>
          </w:p>
        </w:tc>
        <w:tc>
          <w:tcPr>
            <w:tcW w:w="2131" w:type="dxa"/>
            <w:noWrap w:val="0"/>
            <w:vAlign w:val="top"/>
          </w:tcPr>
          <w:p w14:paraId="315FF7DD">
            <w:pPr>
              <w:pStyle w:val="2"/>
              <w:widowControl w:val="0"/>
              <w:ind w:firstLine="482"/>
              <w:jc w:val="center"/>
              <w:rPr>
                <w:rFonts w:ascii="Times New Roman" w:hAnsi="Times New Roman" w:cs="Times New Roman"/>
                <w:b/>
                <w:bCs/>
                <w:sz w:val="24"/>
                <w:szCs w:val="24"/>
              </w:rPr>
            </w:pPr>
            <w:r>
              <w:rPr>
                <w:rFonts w:hint="eastAsia" w:ascii="Times New Roman" w:hAnsi="Times New Roman" w:cs="Times New Roman"/>
                <w:b/>
                <w:bCs/>
                <w:sz w:val="24"/>
                <w:szCs w:val="24"/>
              </w:rPr>
              <w:t>监测时段</w:t>
            </w:r>
          </w:p>
        </w:tc>
        <w:tc>
          <w:tcPr>
            <w:tcW w:w="1771" w:type="dxa"/>
            <w:noWrap w:val="0"/>
            <w:vAlign w:val="top"/>
          </w:tcPr>
          <w:p w14:paraId="18CE929A">
            <w:pPr>
              <w:pStyle w:val="2"/>
              <w:widowControl w:val="0"/>
              <w:ind w:firstLine="482"/>
              <w:rPr>
                <w:rFonts w:ascii="Times New Roman" w:hAnsi="Times New Roman" w:cs="Times New Roman"/>
                <w:b/>
                <w:bCs/>
                <w:sz w:val="24"/>
                <w:szCs w:val="24"/>
              </w:rPr>
            </w:pPr>
            <w:r>
              <w:rPr>
                <w:rFonts w:hint="eastAsia" w:ascii="Times New Roman" w:hAnsi="Times New Roman" w:cs="Times New Roman"/>
                <w:b/>
                <w:bCs/>
                <w:sz w:val="24"/>
                <w:szCs w:val="24"/>
              </w:rPr>
              <w:t>监测点位</w:t>
            </w:r>
          </w:p>
        </w:tc>
        <w:tc>
          <w:tcPr>
            <w:tcW w:w="2493" w:type="dxa"/>
            <w:noWrap w:val="0"/>
            <w:vAlign w:val="top"/>
          </w:tcPr>
          <w:p w14:paraId="365C4CB9">
            <w:pPr>
              <w:pStyle w:val="2"/>
              <w:widowControl w:val="0"/>
              <w:ind w:firstLine="0"/>
              <w:rPr>
                <w:rFonts w:ascii="Times New Roman" w:hAnsi="Times New Roman" w:cs="Times New Roman"/>
                <w:b/>
                <w:bCs/>
                <w:sz w:val="24"/>
                <w:szCs w:val="24"/>
              </w:rPr>
            </w:pPr>
            <w:r>
              <w:rPr>
                <w:rFonts w:hint="eastAsia" w:ascii="Times New Roman" w:hAnsi="Times New Roman" w:cs="Times New Roman"/>
                <w:b/>
                <w:bCs/>
                <w:sz w:val="24"/>
                <w:szCs w:val="24"/>
              </w:rPr>
              <w:t>颗粒物浓度（mg/m</w:t>
            </w:r>
            <w:r>
              <w:rPr>
                <w:rFonts w:hint="eastAsia" w:ascii="Times New Roman" w:hAnsi="Times New Roman" w:cs="Times New Roman"/>
                <w:b/>
                <w:bCs/>
                <w:sz w:val="24"/>
                <w:szCs w:val="24"/>
                <w:vertAlign w:val="superscript"/>
              </w:rPr>
              <w:t>3</w:t>
            </w:r>
            <w:r>
              <w:rPr>
                <w:rFonts w:hint="eastAsia" w:ascii="Times New Roman" w:hAnsi="Times New Roman" w:cs="Times New Roman"/>
                <w:b/>
                <w:bCs/>
                <w:sz w:val="24"/>
                <w:szCs w:val="24"/>
              </w:rPr>
              <w:t>）</w:t>
            </w:r>
          </w:p>
        </w:tc>
      </w:tr>
      <w:tr w14:paraId="65F1DD8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restart"/>
            <w:noWrap w:val="0"/>
            <w:vAlign w:val="center"/>
          </w:tcPr>
          <w:p w14:paraId="3B1AD8B9">
            <w:pPr>
              <w:pStyle w:val="2"/>
              <w:widowControl w:val="0"/>
              <w:ind w:firstLine="0"/>
              <w:jc w:val="center"/>
              <w:rPr>
                <w:rFonts w:ascii="Times New Roman" w:hAnsi="Times New Roman" w:cs="Times New Roman"/>
              </w:rPr>
            </w:pPr>
            <w:r>
              <w:rPr>
                <w:rFonts w:ascii="Times New Roman" w:hAnsi="Times New Roman" w:cs="Times New Roman"/>
              </w:rPr>
              <w:t>2009年9月22日</w:t>
            </w:r>
          </w:p>
        </w:tc>
        <w:tc>
          <w:tcPr>
            <w:tcW w:w="2131" w:type="dxa"/>
            <w:vMerge w:val="restart"/>
            <w:noWrap w:val="0"/>
            <w:vAlign w:val="center"/>
          </w:tcPr>
          <w:p w14:paraId="784C83DE">
            <w:pPr>
              <w:pStyle w:val="2"/>
              <w:widowControl w:val="0"/>
              <w:ind w:firstLine="0"/>
              <w:jc w:val="center"/>
              <w:rPr>
                <w:rFonts w:ascii="Times New Roman" w:hAnsi="Times New Roman" w:cs="Times New Roman"/>
              </w:rPr>
            </w:pPr>
            <w:r>
              <w:rPr>
                <w:rFonts w:hint="eastAsia" w:ascii="Times New Roman" w:hAnsi="Times New Roman" w:cs="Times New Roman"/>
              </w:rPr>
              <w:t>09</w:t>
            </w:r>
            <w:r>
              <w:rPr>
                <w:rFonts w:ascii="Times New Roman" w:hAnsi="Times New Roman" w:cs="Times New Roman"/>
              </w:rPr>
              <w:t>:00~10:00</w:t>
            </w:r>
          </w:p>
        </w:tc>
        <w:tc>
          <w:tcPr>
            <w:tcW w:w="1771" w:type="dxa"/>
            <w:noWrap w:val="0"/>
            <w:vAlign w:val="center"/>
          </w:tcPr>
          <w:p w14:paraId="6A0463B8">
            <w:pPr>
              <w:pStyle w:val="2"/>
              <w:widowControl w:val="0"/>
              <w:ind w:firstLine="210"/>
              <w:jc w:val="center"/>
              <w:rPr>
                <w:rFonts w:ascii="Times New Roman" w:hAnsi="Times New Roman" w:cs="Times New Roman"/>
              </w:rPr>
            </w:pPr>
            <w:r>
              <w:rPr>
                <w:rFonts w:hint="eastAsia" w:ascii="Times New Roman" w:hAnsi="Times New Roman" w:cs="Times New Roman"/>
              </w:rPr>
              <w:t>下</w:t>
            </w:r>
            <w:r>
              <w:rPr>
                <w:rFonts w:ascii="Times New Roman" w:hAnsi="Times New Roman" w:cs="Times New Roman"/>
              </w:rPr>
              <w:t>风向1#</w:t>
            </w:r>
          </w:p>
        </w:tc>
        <w:tc>
          <w:tcPr>
            <w:tcW w:w="2493" w:type="dxa"/>
            <w:noWrap w:val="0"/>
            <w:vAlign w:val="top"/>
          </w:tcPr>
          <w:p w14:paraId="2DBFCABA">
            <w:pPr>
              <w:pStyle w:val="2"/>
              <w:widowControl w:val="0"/>
              <w:ind w:firstLine="420"/>
              <w:jc w:val="center"/>
              <w:rPr>
                <w:rFonts w:hint="eastAsia" w:ascii="Times New Roman" w:hAnsi="Times New Roman" w:cs="Times New Roman"/>
              </w:rPr>
            </w:pPr>
            <w:r>
              <w:rPr>
                <w:rFonts w:hint="eastAsia" w:ascii="Times New Roman" w:hAnsi="Times New Roman" w:cs="Times New Roman"/>
              </w:rPr>
              <w:t>0.06</w:t>
            </w:r>
          </w:p>
        </w:tc>
      </w:tr>
      <w:tr w14:paraId="6A48A10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08D6B3F5">
            <w:pPr>
              <w:pStyle w:val="2"/>
              <w:widowControl w:val="0"/>
              <w:ind w:firstLine="420"/>
              <w:jc w:val="center"/>
              <w:rPr>
                <w:rFonts w:ascii="Times New Roman" w:hAnsi="Times New Roman" w:cs="Times New Roman"/>
              </w:rPr>
            </w:pPr>
          </w:p>
        </w:tc>
        <w:tc>
          <w:tcPr>
            <w:tcW w:w="2131" w:type="dxa"/>
            <w:vMerge w:val="continue"/>
            <w:noWrap w:val="0"/>
            <w:vAlign w:val="center"/>
          </w:tcPr>
          <w:p w14:paraId="4A2BF3E1">
            <w:pPr>
              <w:pStyle w:val="2"/>
              <w:widowControl w:val="0"/>
              <w:ind w:firstLine="420"/>
              <w:jc w:val="center"/>
              <w:rPr>
                <w:rFonts w:ascii="Times New Roman" w:hAnsi="Times New Roman" w:cs="Times New Roman"/>
              </w:rPr>
            </w:pPr>
          </w:p>
        </w:tc>
        <w:tc>
          <w:tcPr>
            <w:tcW w:w="1771" w:type="dxa"/>
            <w:noWrap w:val="0"/>
            <w:vAlign w:val="center"/>
          </w:tcPr>
          <w:p w14:paraId="79009D32">
            <w:pPr>
              <w:pStyle w:val="2"/>
              <w:widowControl w:val="0"/>
              <w:ind w:firstLine="210"/>
              <w:jc w:val="center"/>
              <w:rPr>
                <w:rFonts w:ascii="Times New Roman" w:hAnsi="Times New Roman" w:cs="Times New Roman"/>
              </w:rPr>
            </w:pPr>
            <w:r>
              <w:rPr>
                <w:rFonts w:ascii="Times New Roman" w:hAnsi="Times New Roman" w:cs="Times New Roman"/>
              </w:rPr>
              <w:t>下风向2#</w:t>
            </w:r>
          </w:p>
        </w:tc>
        <w:tc>
          <w:tcPr>
            <w:tcW w:w="2493" w:type="dxa"/>
            <w:noWrap w:val="0"/>
            <w:vAlign w:val="top"/>
          </w:tcPr>
          <w:p w14:paraId="60DD7424">
            <w:pPr>
              <w:pStyle w:val="2"/>
              <w:widowControl w:val="0"/>
              <w:ind w:firstLine="420"/>
              <w:jc w:val="center"/>
              <w:rPr>
                <w:rFonts w:ascii="Times New Roman" w:hAnsi="Times New Roman" w:cs="Times New Roman"/>
              </w:rPr>
            </w:pPr>
            <w:r>
              <w:rPr>
                <w:rFonts w:hint="eastAsia" w:ascii="Times New Roman" w:hAnsi="Times New Roman" w:cs="Times New Roman"/>
              </w:rPr>
              <w:t>0.49</w:t>
            </w:r>
          </w:p>
        </w:tc>
      </w:tr>
      <w:tr w14:paraId="2EAB593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center"/>
          </w:tcPr>
          <w:p w14:paraId="7EA6D339">
            <w:pPr>
              <w:pStyle w:val="2"/>
              <w:widowControl w:val="0"/>
              <w:ind w:firstLine="420"/>
              <w:jc w:val="center"/>
              <w:rPr>
                <w:rFonts w:ascii="Times New Roman" w:hAnsi="Times New Roman" w:cs="Times New Roman"/>
              </w:rPr>
            </w:pPr>
          </w:p>
        </w:tc>
        <w:tc>
          <w:tcPr>
            <w:tcW w:w="2131" w:type="dxa"/>
            <w:vMerge w:val="restart"/>
            <w:noWrap w:val="0"/>
            <w:vAlign w:val="center"/>
          </w:tcPr>
          <w:p w14:paraId="2D67F700">
            <w:pPr>
              <w:pStyle w:val="2"/>
              <w:widowControl w:val="0"/>
              <w:ind w:firstLine="0"/>
              <w:jc w:val="center"/>
              <w:rPr>
                <w:rFonts w:ascii="Times New Roman" w:hAnsi="Times New Roman" w:cs="Times New Roman"/>
              </w:rPr>
            </w:pPr>
            <w:r>
              <w:rPr>
                <w:rFonts w:ascii="Times New Roman" w:hAnsi="Times New Roman" w:cs="Times New Roman"/>
              </w:rPr>
              <w:t>12:00~13:00</w:t>
            </w:r>
          </w:p>
        </w:tc>
        <w:tc>
          <w:tcPr>
            <w:tcW w:w="1771" w:type="dxa"/>
            <w:noWrap w:val="0"/>
            <w:vAlign w:val="center"/>
          </w:tcPr>
          <w:p w14:paraId="593509B8">
            <w:pPr>
              <w:pStyle w:val="2"/>
              <w:widowControl w:val="0"/>
              <w:ind w:firstLine="210"/>
              <w:jc w:val="center"/>
              <w:rPr>
                <w:rFonts w:ascii="Times New Roman" w:hAnsi="Times New Roman" w:cs="Times New Roman"/>
              </w:rPr>
            </w:pPr>
            <w:r>
              <w:rPr>
                <w:rFonts w:hint="eastAsia" w:ascii="Times New Roman" w:hAnsi="Times New Roman" w:cs="Times New Roman"/>
              </w:rPr>
              <w:t>下</w:t>
            </w:r>
            <w:r>
              <w:rPr>
                <w:rFonts w:ascii="Times New Roman" w:hAnsi="Times New Roman" w:cs="Times New Roman"/>
              </w:rPr>
              <w:t>风向1#</w:t>
            </w:r>
          </w:p>
        </w:tc>
        <w:tc>
          <w:tcPr>
            <w:tcW w:w="2493" w:type="dxa"/>
            <w:noWrap w:val="0"/>
            <w:vAlign w:val="top"/>
          </w:tcPr>
          <w:p w14:paraId="6E7EC986">
            <w:pPr>
              <w:pStyle w:val="2"/>
              <w:widowControl w:val="0"/>
              <w:ind w:firstLine="420"/>
              <w:jc w:val="center"/>
              <w:rPr>
                <w:rFonts w:ascii="Times New Roman" w:hAnsi="Times New Roman" w:cs="Times New Roman"/>
              </w:rPr>
            </w:pPr>
            <w:r>
              <w:rPr>
                <w:rFonts w:hint="eastAsia" w:ascii="Times New Roman" w:hAnsi="Times New Roman" w:cs="Times New Roman"/>
              </w:rPr>
              <w:t>0.04</w:t>
            </w:r>
          </w:p>
        </w:tc>
      </w:tr>
      <w:tr w14:paraId="6AC1B74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10797A8A">
            <w:pPr>
              <w:pStyle w:val="2"/>
              <w:widowControl w:val="0"/>
              <w:ind w:firstLine="420"/>
              <w:jc w:val="center"/>
              <w:rPr>
                <w:rFonts w:ascii="Times New Roman" w:hAnsi="Times New Roman" w:cs="Times New Roman"/>
              </w:rPr>
            </w:pPr>
          </w:p>
        </w:tc>
        <w:tc>
          <w:tcPr>
            <w:tcW w:w="2131" w:type="dxa"/>
            <w:vMerge w:val="continue"/>
            <w:noWrap w:val="0"/>
            <w:vAlign w:val="center"/>
          </w:tcPr>
          <w:p w14:paraId="6A16A02D">
            <w:pPr>
              <w:pStyle w:val="2"/>
              <w:widowControl w:val="0"/>
              <w:ind w:firstLine="420"/>
              <w:jc w:val="center"/>
              <w:rPr>
                <w:rFonts w:ascii="Times New Roman" w:hAnsi="Times New Roman" w:cs="Times New Roman"/>
              </w:rPr>
            </w:pPr>
          </w:p>
        </w:tc>
        <w:tc>
          <w:tcPr>
            <w:tcW w:w="1771" w:type="dxa"/>
            <w:noWrap w:val="0"/>
            <w:vAlign w:val="center"/>
          </w:tcPr>
          <w:p w14:paraId="1A76BE9E">
            <w:pPr>
              <w:pStyle w:val="2"/>
              <w:widowControl w:val="0"/>
              <w:ind w:firstLine="210"/>
              <w:jc w:val="center"/>
              <w:rPr>
                <w:rFonts w:ascii="Times New Roman" w:hAnsi="Times New Roman" w:cs="Times New Roman"/>
              </w:rPr>
            </w:pPr>
            <w:r>
              <w:rPr>
                <w:rFonts w:ascii="Times New Roman" w:hAnsi="Times New Roman" w:cs="Times New Roman"/>
              </w:rPr>
              <w:t>下风向2#</w:t>
            </w:r>
          </w:p>
        </w:tc>
        <w:tc>
          <w:tcPr>
            <w:tcW w:w="2493" w:type="dxa"/>
            <w:noWrap w:val="0"/>
            <w:vAlign w:val="top"/>
          </w:tcPr>
          <w:p w14:paraId="4EBCC8A8">
            <w:pPr>
              <w:pStyle w:val="2"/>
              <w:widowControl w:val="0"/>
              <w:ind w:firstLine="420"/>
              <w:jc w:val="center"/>
              <w:rPr>
                <w:rFonts w:ascii="Times New Roman" w:hAnsi="Times New Roman" w:cs="Times New Roman"/>
              </w:rPr>
            </w:pPr>
            <w:r>
              <w:rPr>
                <w:rFonts w:hint="eastAsia" w:ascii="Times New Roman" w:hAnsi="Times New Roman" w:cs="Times New Roman"/>
              </w:rPr>
              <w:t>0.08</w:t>
            </w:r>
          </w:p>
        </w:tc>
      </w:tr>
      <w:tr w14:paraId="49CAB938">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center"/>
          </w:tcPr>
          <w:p w14:paraId="126C2800">
            <w:pPr>
              <w:pStyle w:val="2"/>
              <w:widowControl w:val="0"/>
              <w:ind w:firstLine="420"/>
              <w:jc w:val="center"/>
              <w:rPr>
                <w:rFonts w:ascii="Times New Roman" w:hAnsi="Times New Roman" w:cs="Times New Roman"/>
              </w:rPr>
            </w:pPr>
          </w:p>
        </w:tc>
        <w:tc>
          <w:tcPr>
            <w:tcW w:w="2131" w:type="dxa"/>
            <w:vMerge w:val="restart"/>
            <w:noWrap w:val="0"/>
            <w:vAlign w:val="center"/>
          </w:tcPr>
          <w:p w14:paraId="42C55CDA">
            <w:pPr>
              <w:pStyle w:val="2"/>
              <w:widowControl w:val="0"/>
              <w:ind w:firstLine="0"/>
              <w:jc w:val="center"/>
              <w:rPr>
                <w:rFonts w:ascii="Times New Roman" w:hAnsi="Times New Roman" w:cs="Times New Roman"/>
              </w:rPr>
            </w:pPr>
            <w:r>
              <w:rPr>
                <w:rFonts w:ascii="Times New Roman" w:hAnsi="Times New Roman" w:cs="Times New Roman"/>
              </w:rPr>
              <w:t>14:00~15:00</w:t>
            </w:r>
          </w:p>
        </w:tc>
        <w:tc>
          <w:tcPr>
            <w:tcW w:w="1771" w:type="dxa"/>
            <w:noWrap w:val="0"/>
            <w:vAlign w:val="center"/>
          </w:tcPr>
          <w:p w14:paraId="009A12F8">
            <w:pPr>
              <w:pStyle w:val="2"/>
              <w:widowControl w:val="0"/>
              <w:ind w:firstLine="210"/>
              <w:jc w:val="center"/>
              <w:rPr>
                <w:rFonts w:ascii="Times New Roman" w:hAnsi="Times New Roman" w:cs="Times New Roman"/>
              </w:rPr>
            </w:pPr>
            <w:r>
              <w:rPr>
                <w:rFonts w:hint="eastAsia" w:ascii="Times New Roman" w:hAnsi="Times New Roman" w:cs="Times New Roman"/>
              </w:rPr>
              <w:t>下</w:t>
            </w:r>
            <w:r>
              <w:rPr>
                <w:rFonts w:ascii="Times New Roman" w:hAnsi="Times New Roman" w:cs="Times New Roman"/>
              </w:rPr>
              <w:t>风向1#</w:t>
            </w:r>
          </w:p>
        </w:tc>
        <w:tc>
          <w:tcPr>
            <w:tcW w:w="2493" w:type="dxa"/>
            <w:noWrap w:val="0"/>
            <w:vAlign w:val="top"/>
          </w:tcPr>
          <w:p w14:paraId="39DECBF2">
            <w:pPr>
              <w:pStyle w:val="2"/>
              <w:widowControl w:val="0"/>
              <w:ind w:firstLine="420"/>
              <w:jc w:val="center"/>
              <w:rPr>
                <w:rFonts w:ascii="Times New Roman" w:hAnsi="Times New Roman" w:cs="Times New Roman"/>
              </w:rPr>
            </w:pPr>
            <w:r>
              <w:rPr>
                <w:rFonts w:hint="eastAsia" w:ascii="Times New Roman" w:hAnsi="Times New Roman" w:cs="Times New Roman"/>
              </w:rPr>
              <w:t>0.04</w:t>
            </w:r>
          </w:p>
        </w:tc>
      </w:tr>
      <w:tr w14:paraId="217A6AA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7FF30A7C">
            <w:pPr>
              <w:pStyle w:val="2"/>
              <w:widowControl w:val="0"/>
              <w:ind w:firstLine="420"/>
              <w:jc w:val="center"/>
              <w:rPr>
                <w:rFonts w:ascii="Times New Roman" w:hAnsi="Times New Roman" w:cs="Times New Roman"/>
              </w:rPr>
            </w:pPr>
          </w:p>
        </w:tc>
        <w:tc>
          <w:tcPr>
            <w:tcW w:w="2131" w:type="dxa"/>
            <w:vMerge w:val="continue"/>
            <w:noWrap w:val="0"/>
            <w:vAlign w:val="center"/>
          </w:tcPr>
          <w:p w14:paraId="4DA7563A">
            <w:pPr>
              <w:pStyle w:val="2"/>
              <w:widowControl w:val="0"/>
              <w:ind w:firstLine="420"/>
              <w:jc w:val="center"/>
              <w:rPr>
                <w:rFonts w:ascii="Times New Roman" w:hAnsi="Times New Roman" w:cs="Times New Roman"/>
              </w:rPr>
            </w:pPr>
          </w:p>
        </w:tc>
        <w:tc>
          <w:tcPr>
            <w:tcW w:w="1771" w:type="dxa"/>
            <w:noWrap w:val="0"/>
            <w:vAlign w:val="center"/>
          </w:tcPr>
          <w:p w14:paraId="3C7133D9">
            <w:pPr>
              <w:pStyle w:val="2"/>
              <w:widowControl w:val="0"/>
              <w:ind w:firstLine="210"/>
              <w:jc w:val="center"/>
              <w:rPr>
                <w:rFonts w:ascii="Times New Roman" w:hAnsi="Times New Roman" w:cs="Times New Roman"/>
              </w:rPr>
            </w:pPr>
            <w:r>
              <w:rPr>
                <w:rFonts w:ascii="Times New Roman" w:hAnsi="Times New Roman" w:cs="Times New Roman"/>
              </w:rPr>
              <w:t>下风向2#</w:t>
            </w:r>
          </w:p>
        </w:tc>
        <w:tc>
          <w:tcPr>
            <w:tcW w:w="2493" w:type="dxa"/>
            <w:noWrap w:val="0"/>
            <w:vAlign w:val="top"/>
          </w:tcPr>
          <w:p w14:paraId="3A5BFCFA">
            <w:pPr>
              <w:pStyle w:val="2"/>
              <w:widowControl w:val="0"/>
              <w:ind w:firstLine="420"/>
              <w:jc w:val="center"/>
              <w:rPr>
                <w:rFonts w:ascii="Times New Roman" w:hAnsi="Times New Roman" w:cs="Times New Roman"/>
              </w:rPr>
            </w:pPr>
            <w:r>
              <w:rPr>
                <w:rFonts w:hint="eastAsia" w:ascii="Times New Roman" w:hAnsi="Times New Roman" w:cs="Times New Roman"/>
              </w:rPr>
              <w:t>0.02</w:t>
            </w:r>
          </w:p>
        </w:tc>
      </w:tr>
      <w:tr w14:paraId="722EBEA2">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center"/>
          </w:tcPr>
          <w:p w14:paraId="548E29AF">
            <w:pPr>
              <w:pStyle w:val="2"/>
              <w:widowControl w:val="0"/>
              <w:ind w:firstLine="420"/>
              <w:jc w:val="center"/>
              <w:rPr>
                <w:rFonts w:ascii="Times New Roman" w:hAnsi="Times New Roman" w:cs="Times New Roman"/>
              </w:rPr>
            </w:pPr>
          </w:p>
        </w:tc>
        <w:tc>
          <w:tcPr>
            <w:tcW w:w="2131" w:type="dxa"/>
            <w:vMerge w:val="restart"/>
            <w:noWrap w:val="0"/>
            <w:vAlign w:val="center"/>
          </w:tcPr>
          <w:p w14:paraId="5CE57F09">
            <w:pPr>
              <w:pStyle w:val="2"/>
              <w:widowControl w:val="0"/>
              <w:ind w:firstLine="0"/>
              <w:jc w:val="center"/>
              <w:rPr>
                <w:rFonts w:ascii="Times New Roman" w:hAnsi="Times New Roman" w:cs="Times New Roman"/>
              </w:rPr>
            </w:pPr>
            <w:r>
              <w:rPr>
                <w:rFonts w:ascii="Times New Roman" w:hAnsi="Times New Roman" w:cs="Times New Roman"/>
              </w:rPr>
              <w:t>15:30~16:30</w:t>
            </w:r>
          </w:p>
        </w:tc>
        <w:tc>
          <w:tcPr>
            <w:tcW w:w="1771" w:type="dxa"/>
            <w:noWrap w:val="0"/>
            <w:vAlign w:val="center"/>
          </w:tcPr>
          <w:p w14:paraId="571A89A6">
            <w:pPr>
              <w:pStyle w:val="2"/>
              <w:widowControl w:val="0"/>
              <w:ind w:firstLine="210"/>
              <w:jc w:val="center"/>
              <w:rPr>
                <w:rFonts w:ascii="Times New Roman" w:hAnsi="Times New Roman" w:cs="Times New Roman"/>
              </w:rPr>
            </w:pPr>
            <w:r>
              <w:rPr>
                <w:rFonts w:hint="eastAsia" w:ascii="Times New Roman" w:hAnsi="Times New Roman" w:cs="Times New Roman"/>
              </w:rPr>
              <w:t>下</w:t>
            </w:r>
            <w:r>
              <w:rPr>
                <w:rFonts w:ascii="Times New Roman" w:hAnsi="Times New Roman" w:cs="Times New Roman"/>
              </w:rPr>
              <w:t>风向1#</w:t>
            </w:r>
          </w:p>
        </w:tc>
        <w:tc>
          <w:tcPr>
            <w:tcW w:w="2493" w:type="dxa"/>
            <w:noWrap w:val="0"/>
            <w:vAlign w:val="top"/>
          </w:tcPr>
          <w:p w14:paraId="20C48353">
            <w:pPr>
              <w:pStyle w:val="2"/>
              <w:widowControl w:val="0"/>
              <w:ind w:firstLine="420"/>
              <w:jc w:val="center"/>
              <w:rPr>
                <w:rFonts w:ascii="Times New Roman" w:hAnsi="Times New Roman" w:cs="Times New Roman"/>
              </w:rPr>
            </w:pPr>
            <w:r>
              <w:rPr>
                <w:rFonts w:hint="eastAsia" w:ascii="Times New Roman" w:hAnsi="Times New Roman" w:cs="Times New Roman"/>
              </w:rPr>
              <w:t>0.04</w:t>
            </w:r>
          </w:p>
        </w:tc>
      </w:tr>
      <w:tr w14:paraId="448C931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629B826C">
            <w:pPr>
              <w:pStyle w:val="2"/>
              <w:widowControl w:val="0"/>
              <w:ind w:firstLine="420"/>
              <w:jc w:val="center"/>
              <w:rPr>
                <w:rFonts w:ascii="Times New Roman" w:hAnsi="Times New Roman" w:cs="Times New Roman"/>
              </w:rPr>
            </w:pPr>
          </w:p>
        </w:tc>
        <w:tc>
          <w:tcPr>
            <w:tcW w:w="2131" w:type="dxa"/>
            <w:vMerge w:val="continue"/>
            <w:noWrap w:val="0"/>
            <w:vAlign w:val="center"/>
          </w:tcPr>
          <w:p w14:paraId="3FC7C045">
            <w:pPr>
              <w:pStyle w:val="2"/>
              <w:widowControl w:val="0"/>
              <w:ind w:firstLine="420"/>
              <w:jc w:val="center"/>
              <w:rPr>
                <w:rFonts w:ascii="Times New Roman" w:hAnsi="Times New Roman" w:cs="Times New Roman"/>
              </w:rPr>
            </w:pPr>
          </w:p>
        </w:tc>
        <w:tc>
          <w:tcPr>
            <w:tcW w:w="1771" w:type="dxa"/>
            <w:noWrap w:val="0"/>
            <w:vAlign w:val="center"/>
          </w:tcPr>
          <w:p w14:paraId="450A1CF3">
            <w:pPr>
              <w:pStyle w:val="2"/>
              <w:widowControl w:val="0"/>
              <w:ind w:firstLine="210"/>
              <w:jc w:val="center"/>
              <w:rPr>
                <w:rFonts w:ascii="Times New Roman" w:hAnsi="Times New Roman" w:cs="Times New Roman"/>
              </w:rPr>
            </w:pPr>
            <w:r>
              <w:rPr>
                <w:rFonts w:ascii="Times New Roman" w:hAnsi="Times New Roman" w:cs="Times New Roman"/>
              </w:rPr>
              <w:t>下风向2#</w:t>
            </w:r>
          </w:p>
        </w:tc>
        <w:tc>
          <w:tcPr>
            <w:tcW w:w="2493" w:type="dxa"/>
            <w:noWrap w:val="0"/>
            <w:vAlign w:val="top"/>
          </w:tcPr>
          <w:p w14:paraId="208EE0DD">
            <w:pPr>
              <w:pStyle w:val="2"/>
              <w:widowControl w:val="0"/>
              <w:ind w:firstLine="420"/>
              <w:jc w:val="center"/>
              <w:rPr>
                <w:rFonts w:ascii="Times New Roman" w:hAnsi="Times New Roman" w:cs="Times New Roman"/>
              </w:rPr>
            </w:pPr>
            <w:r>
              <w:rPr>
                <w:rFonts w:hint="eastAsia" w:ascii="Times New Roman" w:hAnsi="Times New Roman" w:cs="Times New Roman"/>
              </w:rPr>
              <w:t>0.04</w:t>
            </w:r>
          </w:p>
        </w:tc>
      </w:tr>
      <w:tr w14:paraId="4CD96870">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restart"/>
            <w:noWrap w:val="0"/>
            <w:vAlign w:val="center"/>
          </w:tcPr>
          <w:p w14:paraId="14F395E0">
            <w:pPr>
              <w:pStyle w:val="2"/>
              <w:widowControl w:val="0"/>
              <w:ind w:firstLine="0"/>
              <w:jc w:val="center"/>
              <w:rPr>
                <w:rFonts w:hint="eastAsia" w:ascii="Times New Roman" w:hAnsi="Times New Roman" w:cs="Times New Roman"/>
                <w:sz w:val="24"/>
                <w:szCs w:val="24"/>
              </w:rPr>
            </w:pPr>
            <w:r>
              <w:rPr>
                <w:rFonts w:ascii="Times New Roman" w:hAnsi="Times New Roman" w:cs="Times New Roman"/>
              </w:rPr>
              <w:t>2009年9月2</w:t>
            </w:r>
            <w:r>
              <w:rPr>
                <w:rFonts w:hint="eastAsia" w:ascii="Times New Roman" w:hAnsi="Times New Roman" w:cs="Times New Roman"/>
              </w:rPr>
              <w:t>3</w:t>
            </w:r>
            <w:r>
              <w:rPr>
                <w:rFonts w:ascii="Times New Roman" w:hAnsi="Times New Roman" w:cs="Times New Roman"/>
              </w:rPr>
              <w:t>日</w:t>
            </w:r>
          </w:p>
        </w:tc>
        <w:tc>
          <w:tcPr>
            <w:tcW w:w="2131" w:type="dxa"/>
            <w:vMerge w:val="restart"/>
            <w:noWrap w:val="0"/>
            <w:vAlign w:val="center"/>
          </w:tcPr>
          <w:p w14:paraId="458149CA">
            <w:pPr>
              <w:pStyle w:val="2"/>
              <w:widowControl w:val="0"/>
              <w:ind w:firstLine="0"/>
              <w:jc w:val="center"/>
              <w:rPr>
                <w:rFonts w:hint="eastAsia" w:ascii="Times New Roman" w:hAnsi="Times New Roman" w:cs="Times New Roman"/>
                <w:sz w:val="24"/>
                <w:szCs w:val="24"/>
              </w:rPr>
            </w:pPr>
            <w:r>
              <w:rPr>
                <w:rFonts w:hint="eastAsia" w:ascii="Times New Roman" w:hAnsi="Times New Roman" w:cs="Times New Roman"/>
              </w:rPr>
              <w:t>09</w:t>
            </w:r>
            <w:r>
              <w:rPr>
                <w:rFonts w:ascii="Times New Roman" w:hAnsi="Times New Roman" w:cs="Times New Roman"/>
              </w:rPr>
              <w:t>:00~10:00</w:t>
            </w:r>
          </w:p>
        </w:tc>
        <w:tc>
          <w:tcPr>
            <w:tcW w:w="1771" w:type="dxa"/>
            <w:noWrap w:val="0"/>
            <w:vAlign w:val="center"/>
          </w:tcPr>
          <w:p w14:paraId="0917F357">
            <w:pPr>
              <w:pStyle w:val="2"/>
              <w:widowControl w:val="0"/>
              <w:ind w:firstLine="210"/>
              <w:jc w:val="center"/>
              <w:rPr>
                <w:rFonts w:hint="eastAsia" w:ascii="Times New Roman" w:hAnsi="Times New Roman" w:cs="Times New Roman"/>
                <w:sz w:val="24"/>
                <w:szCs w:val="24"/>
              </w:rPr>
            </w:pPr>
            <w:r>
              <w:rPr>
                <w:rFonts w:hint="eastAsia" w:ascii="Times New Roman" w:hAnsi="Times New Roman" w:cs="Times New Roman"/>
              </w:rPr>
              <w:t>下</w:t>
            </w:r>
            <w:r>
              <w:rPr>
                <w:rFonts w:ascii="Times New Roman" w:hAnsi="Times New Roman" w:cs="Times New Roman"/>
              </w:rPr>
              <w:t>风向1#</w:t>
            </w:r>
          </w:p>
        </w:tc>
        <w:tc>
          <w:tcPr>
            <w:tcW w:w="2493" w:type="dxa"/>
            <w:noWrap w:val="0"/>
            <w:vAlign w:val="top"/>
          </w:tcPr>
          <w:p w14:paraId="0108C41F">
            <w:pPr>
              <w:pStyle w:val="2"/>
              <w:widowControl w:val="0"/>
              <w:ind w:firstLine="420"/>
              <w:jc w:val="center"/>
              <w:rPr>
                <w:rFonts w:ascii="Times New Roman" w:hAnsi="Times New Roman" w:cs="Times New Roman"/>
              </w:rPr>
            </w:pPr>
            <w:r>
              <w:rPr>
                <w:rFonts w:hint="eastAsia" w:ascii="Times New Roman" w:hAnsi="Times New Roman" w:cs="Times New Roman"/>
              </w:rPr>
              <w:t>0.26</w:t>
            </w:r>
          </w:p>
        </w:tc>
      </w:tr>
      <w:tr w14:paraId="2E3E79A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31BEA84E">
            <w:pPr>
              <w:pStyle w:val="2"/>
              <w:widowControl w:val="0"/>
              <w:ind w:firstLine="480"/>
              <w:jc w:val="center"/>
              <w:rPr>
                <w:rFonts w:hint="eastAsia" w:ascii="Times New Roman" w:hAnsi="Times New Roman" w:cs="Times New Roman"/>
                <w:sz w:val="24"/>
                <w:szCs w:val="24"/>
              </w:rPr>
            </w:pPr>
          </w:p>
        </w:tc>
        <w:tc>
          <w:tcPr>
            <w:tcW w:w="2131" w:type="dxa"/>
            <w:vMerge w:val="continue"/>
            <w:noWrap w:val="0"/>
            <w:vAlign w:val="center"/>
          </w:tcPr>
          <w:p w14:paraId="11057309">
            <w:pPr>
              <w:pStyle w:val="2"/>
              <w:widowControl w:val="0"/>
              <w:ind w:firstLine="480"/>
              <w:jc w:val="center"/>
              <w:rPr>
                <w:rFonts w:hint="eastAsia" w:ascii="Times New Roman" w:hAnsi="Times New Roman" w:cs="Times New Roman"/>
                <w:sz w:val="24"/>
                <w:szCs w:val="24"/>
              </w:rPr>
            </w:pPr>
          </w:p>
        </w:tc>
        <w:tc>
          <w:tcPr>
            <w:tcW w:w="1771" w:type="dxa"/>
            <w:noWrap w:val="0"/>
            <w:vAlign w:val="center"/>
          </w:tcPr>
          <w:p w14:paraId="1AFCBB49">
            <w:pPr>
              <w:pStyle w:val="2"/>
              <w:widowControl w:val="0"/>
              <w:ind w:firstLine="210"/>
              <w:jc w:val="center"/>
              <w:rPr>
                <w:rFonts w:hint="eastAsia" w:ascii="Times New Roman" w:hAnsi="Times New Roman" w:cs="Times New Roman"/>
                <w:sz w:val="24"/>
                <w:szCs w:val="24"/>
              </w:rPr>
            </w:pPr>
            <w:r>
              <w:rPr>
                <w:rFonts w:ascii="Times New Roman" w:hAnsi="Times New Roman" w:cs="Times New Roman"/>
              </w:rPr>
              <w:t>下风向2#</w:t>
            </w:r>
          </w:p>
        </w:tc>
        <w:tc>
          <w:tcPr>
            <w:tcW w:w="2493" w:type="dxa"/>
            <w:noWrap w:val="0"/>
            <w:vAlign w:val="top"/>
          </w:tcPr>
          <w:p w14:paraId="2940DD92">
            <w:pPr>
              <w:pStyle w:val="2"/>
              <w:widowControl w:val="0"/>
              <w:ind w:firstLine="420"/>
              <w:jc w:val="center"/>
              <w:rPr>
                <w:rFonts w:ascii="Times New Roman" w:hAnsi="Times New Roman" w:cs="Times New Roman"/>
              </w:rPr>
            </w:pPr>
            <w:r>
              <w:rPr>
                <w:rFonts w:hint="eastAsia" w:ascii="Times New Roman" w:hAnsi="Times New Roman" w:cs="Times New Roman"/>
              </w:rPr>
              <w:t>0.08</w:t>
            </w:r>
          </w:p>
        </w:tc>
      </w:tr>
      <w:tr w14:paraId="22A811F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top"/>
          </w:tcPr>
          <w:p w14:paraId="3C4A4E1A">
            <w:pPr>
              <w:pStyle w:val="2"/>
              <w:widowControl w:val="0"/>
              <w:ind w:firstLine="480"/>
              <w:jc w:val="center"/>
              <w:rPr>
                <w:rFonts w:hint="eastAsia" w:ascii="Times New Roman" w:hAnsi="Times New Roman" w:cs="Times New Roman"/>
                <w:sz w:val="24"/>
                <w:szCs w:val="24"/>
              </w:rPr>
            </w:pPr>
          </w:p>
        </w:tc>
        <w:tc>
          <w:tcPr>
            <w:tcW w:w="2131" w:type="dxa"/>
            <w:vMerge w:val="restart"/>
            <w:noWrap w:val="0"/>
            <w:vAlign w:val="center"/>
          </w:tcPr>
          <w:p w14:paraId="3B089B19">
            <w:pPr>
              <w:pStyle w:val="2"/>
              <w:widowControl w:val="0"/>
              <w:ind w:firstLine="0"/>
              <w:jc w:val="center"/>
              <w:rPr>
                <w:rFonts w:hint="eastAsia" w:ascii="Times New Roman" w:hAnsi="Times New Roman" w:cs="Times New Roman"/>
                <w:sz w:val="24"/>
                <w:szCs w:val="24"/>
              </w:rPr>
            </w:pPr>
            <w:r>
              <w:rPr>
                <w:rFonts w:ascii="Times New Roman" w:hAnsi="Times New Roman" w:cs="Times New Roman"/>
              </w:rPr>
              <w:t>12:00~13:00</w:t>
            </w:r>
          </w:p>
        </w:tc>
        <w:tc>
          <w:tcPr>
            <w:tcW w:w="1771" w:type="dxa"/>
            <w:noWrap w:val="0"/>
            <w:vAlign w:val="center"/>
          </w:tcPr>
          <w:p w14:paraId="5ED7FE8B">
            <w:pPr>
              <w:pStyle w:val="2"/>
              <w:widowControl w:val="0"/>
              <w:ind w:firstLine="210"/>
              <w:jc w:val="center"/>
              <w:rPr>
                <w:rFonts w:hint="eastAsia" w:ascii="Times New Roman" w:hAnsi="Times New Roman" w:cs="Times New Roman"/>
                <w:sz w:val="24"/>
                <w:szCs w:val="24"/>
              </w:rPr>
            </w:pPr>
            <w:r>
              <w:rPr>
                <w:rFonts w:hint="eastAsia" w:ascii="Times New Roman" w:hAnsi="Times New Roman" w:cs="Times New Roman"/>
              </w:rPr>
              <w:t>下</w:t>
            </w:r>
            <w:r>
              <w:rPr>
                <w:rFonts w:ascii="Times New Roman" w:hAnsi="Times New Roman" w:cs="Times New Roman"/>
              </w:rPr>
              <w:t>风向1#</w:t>
            </w:r>
          </w:p>
        </w:tc>
        <w:tc>
          <w:tcPr>
            <w:tcW w:w="2493" w:type="dxa"/>
            <w:noWrap w:val="0"/>
            <w:vAlign w:val="top"/>
          </w:tcPr>
          <w:p w14:paraId="1CCBDAF2">
            <w:pPr>
              <w:pStyle w:val="2"/>
              <w:widowControl w:val="0"/>
              <w:ind w:firstLine="420"/>
              <w:jc w:val="center"/>
              <w:rPr>
                <w:rFonts w:ascii="Times New Roman" w:hAnsi="Times New Roman" w:cs="Times New Roman"/>
              </w:rPr>
            </w:pPr>
            <w:r>
              <w:rPr>
                <w:rFonts w:hint="eastAsia" w:ascii="Times New Roman" w:hAnsi="Times New Roman" w:cs="Times New Roman"/>
              </w:rPr>
              <w:t>0.04</w:t>
            </w:r>
          </w:p>
        </w:tc>
      </w:tr>
      <w:tr w14:paraId="1DA2030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0589E7C3">
            <w:pPr>
              <w:pStyle w:val="2"/>
              <w:widowControl w:val="0"/>
              <w:ind w:firstLine="480"/>
              <w:jc w:val="center"/>
              <w:rPr>
                <w:rFonts w:hint="eastAsia" w:ascii="Times New Roman" w:hAnsi="Times New Roman" w:cs="Times New Roman"/>
                <w:sz w:val="24"/>
                <w:szCs w:val="24"/>
              </w:rPr>
            </w:pPr>
          </w:p>
        </w:tc>
        <w:tc>
          <w:tcPr>
            <w:tcW w:w="2131" w:type="dxa"/>
            <w:vMerge w:val="continue"/>
            <w:noWrap w:val="0"/>
            <w:vAlign w:val="center"/>
          </w:tcPr>
          <w:p w14:paraId="4F33783F">
            <w:pPr>
              <w:pStyle w:val="2"/>
              <w:widowControl w:val="0"/>
              <w:ind w:firstLine="480"/>
              <w:jc w:val="center"/>
              <w:rPr>
                <w:rFonts w:hint="eastAsia" w:ascii="Times New Roman" w:hAnsi="Times New Roman" w:cs="Times New Roman"/>
                <w:sz w:val="24"/>
                <w:szCs w:val="24"/>
              </w:rPr>
            </w:pPr>
          </w:p>
        </w:tc>
        <w:tc>
          <w:tcPr>
            <w:tcW w:w="1771" w:type="dxa"/>
            <w:noWrap w:val="0"/>
            <w:vAlign w:val="center"/>
          </w:tcPr>
          <w:p w14:paraId="5A09ADF0">
            <w:pPr>
              <w:pStyle w:val="2"/>
              <w:widowControl w:val="0"/>
              <w:ind w:firstLine="210"/>
              <w:jc w:val="center"/>
              <w:rPr>
                <w:rFonts w:hint="eastAsia" w:ascii="Times New Roman" w:hAnsi="Times New Roman" w:cs="Times New Roman"/>
                <w:sz w:val="24"/>
                <w:szCs w:val="24"/>
              </w:rPr>
            </w:pPr>
            <w:r>
              <w:rPr>
                <w:rFonts w:ascii="Times New Roman" w:hAnsi="Times New Roman" w:cs="Times New Roman"/>
              </w:rPr>
              <w:t>下风向2#</w:t>
            </w:r>
          </w:p>
        </w:tc>
        <w:tc>
          <w:tcPr>
            <w:tcW w:w="2493" w:type="dxa"/>
            <w:noWrap w:val="0"/>
            <w:vAlign w:val="top"/>
          </w:tcPr>
          <w:p w14:paraId="10F61C3F">
            <w:pPr>
              <w:pStyle w:val="2"/>
              <w:widowControl w:val="0"/>
              <w:ind w:firstLine="420"/>
              <w:jc w:val="center"/>
              <w:rPr>
                <w:rFonts w:ascii="Times New Roman" w:hAnsi="Times New Roman" w:cs="Times New Roman"/>
              </w:rPr>
            </w:pPr>
            <w:r>
              <w:rPr>
                <w:rFonts w:hint="eastAsia" w:ascii="Times New Roman" w:hAnsi="Times New Roman" w:cs="Times New Roman"/>
              </w:rPr>
              <w:t>0.12</w:t>
            </w:r>
          </w:p>
        </w:tc>
      </w:tr>
      <w:tr w14:paraId="25CE78F1">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top"/>
          </w:tcPr>
          <w:p w14:paraId="1A12D0CF">
            <w:pPr>
              <w:pStyle w:val="2"/>
              <w:widowControl w:val="0"/>
              <w:ind w:firstLine="480"/>
              <w:jc w:val="center"/>
              <w:rPr>
                <w:rFonts w:hint="eastAsia" w:ascii="Times New Roman" w:hAnsi="Times New Roman" w:cs="Times New Roman"/>
                <w:sz w:val="24"/>
                <w:szCs w:val="24"/>
              </w:rPr>
            </w:pPr>
          </w:p>
        </w:tc>
        <w:tc>
          <w:tcPr>
            <w:tcW w:w="2131" w:type="dxa"/>
            <w:vMerge w:val="restart"/>
            <w:noWrap w:val="0"/>
            <w:vAlign w:val="center"/>
          </w:tcPr>
          <w:p w14:paraId="1659C03B">
            <w:pPr>
              <w:pStyle w:val="2"/>
              <w:widowControl w:val="0"/>
              <w:ind w:firstLine="0"/>
              <w:jc w:val="center"/>
              <w:rPr>
                <w:rFonts w:hint="eastAsia" w:ascii="Times New Roman" w:hAnsi="Times New Roman" w:cs="Times New Roman"/>
                <w:sz w:val="24"/>
                <w:szCs w:val="24"/>
              </w:rPr>
            </w:pPr>
            <w:r>
              <w:rPr>
                <w:rFonts w:ascii="Times New Roman" w:hAnsi="Times New Roman" w:cs="Times New Roman"/>
              </w:rPr>
              <w:t>14:00~15:00</w:t>
            </w:r>
          </w:p>
        </w:tc>
        <w:tc>
          <w:tcPr>
            <w:tcW w:w="1771" w:type="dxa"/>
            <w:noWrap w:val="0"/>
            <w:vAlign w:val="center"/>
          </w:tcPr>
          <w:p w14:paraId="54CC1E9E">
            <w:pPr>
              <w:pStyle w:val="2"/>
              <w:widowControl w:val="0"/>
              <w:ind w:firstLine="210"/>
              <w:jc w:val="center"/>
              <w:rPr>
                <w:rFonts w:hint="eastAsia" w:ascii="Times New Roman" w:hAnsi="Times New Roman" w:cs="Times New Roman"/>
                <w:sz w:val="24"/>
                <w:szCs w:val="24"/>
              </w:rPr>
            </w:pPr>
            <w:r>
              <w:rPr>
                <w:rFonts w:hint="eastAsia" w:ascii="Times New Roman" w:hAnsi="Times New Roman" w:cs="Times New Roman"/>
              </w:rPr>
              <w:t>下</w:t>
            </w:r>
            <w:r>
              <w:rPr>
                <w:rFonts w:ascii="Times New Roman" w:hAnsi="Times New Roman" w:cs="Times New Roman"/>
              </w:rPr>
              <w:t>风向1#</w:t>
            </w:r>
          </w:p>
        </w:tc>
        <w:tc>
          <w:tcPr>
            <w:tcW w:w="2493" w:type="dxa"/>
            <w:noWrap w:val="0"/>
            <w:vAlign w:val="top"/>
          </w:tcPr>
          <w:p w14:paraId="0CC13BF3">
            <w:pPr>
              <w:pStyle w:val="2"/>
              <w:widowControl w:val="0"/>
              <w:ind w:firstLine="420"/>
              <w:jc w:val="center"/>
              <w:rPr>
                <w:rFonts w:ascii="Times New Roman" w:hAnsi="Times New Roman" w:cs="Times New Roman"/>
              </w:rPr>
            </w:pPr>
            <w:r>
              <w:rPr>
                <w:rFonts w:hint="eastAsia" w:ascii="Times New Roman" w:hAnsi="Times New Roman" w:cs="Times New Roman"/>
              </w:rPr>
              <w:t>0.08</w:t>
            </w:r>
          </w:p>
        </w:tc>
      </w:tr>
      <w:tr w14:paraId="02AB534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490AD1D7">
            <w:pPr>
              <w:pStyle w:val="2"/>
              <w:widowControl w:val="0"/>
              <w:ind w:firstLine="480"/>
              <w:jc w:val="center"/>
              <w:rPr>
                <w:rFonts w:hint="eastAsia" w:ascii="Times New Roman" w:hAnsi="Times New Roman" w:cs="Times New Roman"/>
                <w:sz w:val="24"/>
                <w:szCs w:val="24"/>
              </w:rPr>
            </w:pPr>
          </w:p>
        </w:tc>
        <w:tc>
          <w:tcPr>
            <w:tcW w:w="2131" w:type="dxa"/>
            <w:vMerge w:val="continue"/>
            <w:noWrap w:val="0"/>
            <w:vAlign w:val="center"/>
          </w:tcPr>
          <w:p w14:paraId="06173890">
            <w:pPr>
              <w:pStyle w:val="2"/>
              <w:widowControl w:val="0"/>
              <w:ind w:firstLine="480"/>
              <w:jc w:val="center"/>
              <w:rPr>
                <w:rFonts w:hint="eastAsia" w:ascii="Times New Roman" w:hAnsi="Times New Roman" w:cs="Times New Roman"/>
                <w:sz w:val="24"/>
                <w:szCs w:val="24"/>
              </w:rPr>
            </w:pPr>
          </w:p>
        </w:tc>
        <w:tc>
          <w:tcPr>
            <w:tcW w:w="1771" w:type="dxa"/>
            <w:noWrap w:val="0"/>
            <w:vAlign w:val="center"/>
          </w:tcPr>
          <w:p w14:paraId="387C91CA">
            <w:pPr>
              <w:pStyle w:val="2"/>
              <w:widowControl w:val="0"/>
              <w:ind w:firstLine="210"/>
              <w:jc w:val="center"/>
              <w:rPr>
                <w:rFonts w:hint="eastAsia" w:ascii="Times New Roman" w:hAnsi="Times New Roman" w:cs="Times New Roman"/>
                <w:sz w:val="24"/>
                <w:szCs w:val="24"/>
              </w:rPr>
            </w:pPr>
            <w:r>
              <w:rPr>
                <w:rFonts w:ascii="Times New Roman" w:hAnsi="Times New Roman" w:cs="Times New Roman"/>
              </w:rPr>
              <w:t>下风向2#</w:t>
            </w:r>
          </w:p>
        </w:tc>
        <w:tc>
          <w:tcPr>
            <w:tcW w:w="2493" w:type="dxa"/>
            <w:noWrap w:val="0"/>
            <w:vAlign w:val="top"/>
          </w:tcPr>
          <w:p w14:paraId="02AF8C6F">
            <w:pPr>
              <w:pStyle w:val="2"/>
              <w:widowControl w:val="0"/>
              <w:ind w:firstLine="420"/>
              <w:jc w:val="center"/>
              <w:rPr>
                <w:rFonts w:ascii="Times New Roman" w:hAnsi="Times New Roman" w:cs="Times New Roman"/>
              </w:rPr>
            </w:pPr>
            <w:r>
              <w:rPr>
                <w:rFonts w:hint="eastAsia" w:ascii="Times New Roman" w:hAnsi="Times New Roman" w:cs="Times New Roman"/>
              </w:rPr>
              <w:t>0.04</w:t>
            </w:r>
          </w:p>
        </w:tc>
      </w:tr>
      <w:tr w14:paraId="1FDE46C8">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top"/>
          </w:tcPr>
          <w:p w14:paraId="35270E3F">
            <w:pPr>
              <w:pStyle w:val="2"/>
              <w:widowControl w:val="0"/>
              <w:ind w:firstLine="480"/>
              <w:jc w:val="center"/>
              <w:rPr>
                <w:rFonts w:hint="eastAsia" w:ascii="Times New Roman" w:hAnsi="Times New Roman" w:cs="Times New Roman"/>
                <w:sz w:val="24"/>
                <w:szCs w:val="24"/>
              </w:rPr>
            </w:pPr>
          </w:p>
        </w:tc>
        <w:tc>
          <w:tcPr>
            <w:tcW w:w="2131" w:type="dxa"/>
            <w:vMerge w:val="restart"/>
            <w:noWrap w:val="0"/>
            <w:vAlign w:val="center"/>
          </w:tcPr>
          <w:p w14:paraId="035ACF03">
            <w:pPr>
              <w:pStyle w:val="2"/>
              <w:widowControl w:val="0"/>
              <w:ind w:firstLine="0"/>
              <w:jc w:val="center"/>
              <w:rPr>
                <w:rFonts w:hint="eastAsia" w:ascii="Times New Roman" w:hAnsi="Times New Roman" w:cs="Times New Roman"/>
                <w:sz w:val="24"/>
                <w:szCs w:val="24"/>
              </w:rPr>
            </w:pPr>
            <w:r>
              <w:rPr>
                <w:rFonts w:ascii="Times New Roman" w:hAnsi="Times New Roman" w:cs="Times New Roman"/>
              </w:rPr>
              <w:t>15:30~16:30</w:t>
            </w:r>
          </w:p>
        </w:tc>
        <w:tc>
          <w:tcPr>
            <w:tcW w:w="1771" w:type="dxa"/>
            <w:noWrap w:val="0"/>
            <w:vAlign w:val="center"/>
          </w:tcPr>
          <w:p w14:paraId="5834C0AD">
            <w:pPr>
              <w:pStyle w:val="2"/>
              <w:widowControl w:val="0"/>
              <w:ind w:firstLine="210"/>
              <w:jc w:val="center"/>
              <w:rPr>
                <w:rFonts w:hint="eastAsia" w:ascii="Times New Roman" w:hAnsi="Times New Roman" w:cs="Times New Roman"/>
                <w:sz w:val="24"/>
                <w:szCs w:val="24"/>
              </w:rPr>
            </w:pPr>
            <w:r>
              <w:rPr>
                <w:rFonts w:ascii="Times New Roman" w:hAnsi="Times New Roman" w:cs="Times New Roman"/>
              </w:rPr>
              <w:t>上风向1#</w:t>
            </w:r>
          </w:p>
        </w:tc>
        <w:tc>
          <w:tcPr>
            <w:tcW w:w="2493" w:type="dxa"/>
            <w:noWrap w:val="0"/>
            <w:vAlign w:val="top"/>
          </w:tcPr>
          <w:p w14:paraId="1CD62A30">
            <w:pPr>
              <w:pStyle w:val="2"/>
              <w:widowControl w:val="0"/>
              <w:ind w:firstLine="420"/>
              <w:jc w:val="center"/>
              <w:rPr>
                <w:rFonts w:ascii="Times New Roman" w:hAnsi="Times New Roman" w:cs="Times New Roman"/>
              </w:rPr>
            </w:pPr>
            <w:r>
              <w:rPr>
                <w:rFonts w:hint="eastAsia" w:ascii="Times New Roman" w:hAnsi="Times New Roman" w:cs="Times New Roman"/>
              </w:rPr>
              <w:t>0.10</w:t>
            </w:r>
          </w:p>
        </w:tc>
      </w:tr>
      <w:tr w14:paraId="060863C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02A73B2E">
            <w:pPr>
              <w:pStyle w:val="2"/>
              <w:widowControl w:val="0"/>
              <w:ind w:firstLine="480"/>
              <w:jc w:val="center"/>
              <w:rPr>
                <w:rFonts w:hint="eastAsia" w:ascii="Times New Roman" w:hAnsi="Times New Roman" w:cs="Times New Roman"/>
                <w:sz w:val="24"/>
                <w:szCs w:val="24"/>
              </w:rPr>
            </w:pPr>
          </w:p>
        </w:tc>
        <w:tc>
          <w:tcPr>
            <w:tcW w:w="2131" w:type="dxa"/>
            <w:vMerge w:val="continue"/>
            <w:noWrap w:val="0"/>
            <w:vAlign w:val="center"/>
          </w:tcPr>
          <w:p w14:paraId="1275DC04">
            <w:pPr>
              <w:pStyle w:val="2"/>
              <w:widowControl w:val="0"/>
              <w:ind w:firstLine="480"/>
              <w:jc w:val="center"/>
              <w:rPr>
                <w:rFonts w:hint="eastAsia" w:ascii="Times New Roman" w:hAnsi="Times New Roman" w:cs="Times New Roman"/>
                <w:sz w:val="24"/>
                <w:szCs w:val="24"/>
              </w:rPr>
            </w:pPr>
          </w:p>
        </w:tc>
        <w:tc>
          <w:tcPr>
            <w:tcW w:w="1771" w:type="dxa"/>
            <w:noWrap w:val="0"/>
            <w:vAlign w:val="center"/>
          </w:tcPr>
          <w:p w14:paraId="3150C9E4">
            <w:pPr>
              <w:pStyle w:val="2"/>
              <w:widowControl w:val="0"/>
              <w:ind w:firstLine="210"/>
              <w:jc w:val="center"/>
              <w:rPr>
                <w:rFonts w:hint="eastAsia" w:ascii="Times New Roman" w:hAnsi="Times New Roman" w:cs="Times New Roman"/>
                <w:sz w:val="24"/>
                <w:szCs w:val="24"/>
              </w:rPr>
            </w:pPr>
            <w:r>
              <w:rPr>
                <w:rFonts w:ascii="Times New Roman" w:hAnsi="Times New Roman" w:cs="Times New Roman"/>
              </w:rPr>
              <w:t>下风向2#</w:t>
            </w:r>
          </w:p>
        </w:tc>
        <w:tc>
          <w:tcPr>
            <w:tcW w:w="2493" w:type="dxa"/>
            <w:noWrap w:val="0"/>
            <w:vAlign w:val="top"/>
          </w:tcPr>
          <w:p w14:paraId="4DD74941">
            <w:pPr>
              <w:pStyle w:val="2"/>
              <w:widowControl w:val="0"/>
              <w:ind w:firstLine="420"/>
              <w:jc w:val="center"/>
              <w:rPr>
                <w:rFonts w:ascii="Times New Roman" w:hAnsi="Times New Roman" w:cs="Times New Roman"/>
              </w:rPr>
            </w:pPr>
            <w:r>
              <w:rPr>
                <w:rFonts w:hint="eastAsia" w:ascii="Times New Roman" w:hAnsi="Times New Roman" w:cs="Times New Roman"/>
              </w:rPr>
              <w:t>0.10</w:t>
            </w:r>
          </w:p>
        </w:tc>
      </w:tr>
    </w:tbl>
    <w:p w14:paraId="6A348EDB">
      <w:pPr>
        <w:pStyle w:val="2"/>
        <w:ind w:firstLine="482"/>
        <w:jc w:val="center"/>
        <w:rPr>
          <w:rFonts w:hint="eastAsia" w:ascii="Times New Roman" w:hAnsi="Times New Roman" w:cs="Times New Roman"/>
          <w:b/>
          <w:bCs/>
          <w:sz w:val="24"/>
          <w:szCs w:val="24"/>
        </w:rPr>
      </w:pPr>
    </w:p>
    <w:p w14:paraId="123857CC">
      <w:pPr>
        <w:ind w:firstLine="482"/>
        <w:jc w:val="center"/>
        <w:rPr>
          <w:rFonts w:hint="eastAsia"/>
          <w:b/>
          <w:bCs/>
          <w:szCs w:val="24"/>
        </w:rPr>
      </w:pPr>
      <w:r>
        <w:rPr>
          <w:rFonts w:hint="eastAsia"/>
          <w:b/>
          <w:bCs/>
          <w:szCs w:val="24"/>
        </w:rPr>
        <w:t>表3</w:t>
      </w:r>
      <w:r>
        <w:rPr>
          <w:rFonts w:hint="eastAsia"/>
          <w:b/>
          <w:bCs/>
          <w:szCs w:val="24"/>
          <w:lang w:val="en-US" w:eastAsia="zh-CN"/>
        </w:rPr>
        <w:t>.3</w:t>
      </w:r>
      <w:r>
        <w:rPr>
          <w:rFonts w:hint="eastAsia"/>
          <w:b/>
          <w:bCs/>
          <w:szCs w:val="24"/>
        </w:rPr>
        <w:t>-</w:t>
      </w:r>
      <w:r>
        <w:rPr>
          <w:rFonts w:hint="eastAsia"/>
          <w:b/>
          <w:bCs/>
          <w:szCs w:val="24"/>
          <w:lang w:val="en-US" w:eastAsia="zh-CN"/>
        </w:rPr>
        <w:t>4</w:t>
      </w:r>
      <w:r>
        <w:rPr>
          <w:rFonts w:hint="eastAsia"/>
          <w:b/>
          <w:bCs/>
          <w:szCs w:val="24"/>
        </w:rPr>
        <w:t>无组织甲醛废气监测结果</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131"/>
        <w:gridCol w:w="1771"/>
        <w:gridCol w:w="2493"/>
      </w:tblGrid>
      <w:tr w14:paraId="2F6C1FA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noWrap w:val="0"/>
            <w:vAlign w:val="top"/>
          </w:tcPr>
          <w:p w14:paraId="2E323883">
            <w:pPr>
              <w:widowControl w:val="0"/>
              <w:ind w:firstLine="482"/>
              <w:rPr>
                <w:b/>
                <w:bCs/>
                <w:szCs w:val="24"/>
              </w:rPr>
            </w:pPr>
            <w:r>
              <w:rPr>
                <w:rFonts w:hint="eastAsia"/>
                <w:b/>
                <w:bCs/>
                <w:szCs w:val="24"/>
              </w:rPr>
              <w:t>监测日期</w:t>
            </w:r>
          </w:p>
        </w:tc>
        <w:tc>
          <w:tcPr>
            <w:tcW w:w="2131" w:type="dxa"/>
            <w:noWrap w:val="0"/>
            <w:vAlign w:val="top"/>
          </w:tcPr>
          <w:p w14:paraId="2A90CD12">
            <w:pPr>
              <w:widowControl w:val="0"/>
              <w:ind w:firstLine="482"/>
              <w:jc w:val="center"/>
              <w:rPr>
                <w:b/>
                <w:bCs/>
                <w:szCs w:val="24"/>
              </w:rPr>
            </w:pPr>
            <w:r>
              <w:rPr>
                <w:rFonts w:hint="eastAsia"/>
                <w:b/>
                <w:bCs/>
                <w:szCs w:val="24"/>
              </w:rPr>
              <w:t>监测时段</w:t>
            </w:r>
          </w:p>
        </w:tc>
        <w:tc>
          <w:tcPr>
            <w:tcW w:w="1771" w:type="dxa"/>
            <w:noWrap w:val="0"/>
            <w:vAlign w:val="top"/>
          </w:tcPr>
          <w:p w14:paraId="0544D331">
            <w:pPr>
              <w:widowControl w:val="0"/>
              <w:ind w:firstLine="482"/>
              <w:rPr>
                <w:b/>
                <w:bCs/>
                <w:szCs w:val="24"/>
              </w:rPr>
            </w:pPr>
            <w:r>
              <w:rPr>
                <w:rFonts w:hint="eastAsia"/>
                <w:b/>
                <w:bCs/>
                <w:szCs w:val="24"/>
              </w:rPr>
              <w:t>监测点位</w:t>
            </w:r>
          </w:p>
        </w:tc>
        <w:tc>
          <w:tcPr>
            <w:tcW w:w="2493" w:type="dxa"/>
            <w:noWrap w:val="0"/>
            <w:vAlign w:val="top"/>
          </w:tcPr>
          <w:p w14:paraId="0D3343A9">
            <w:pPr>
              <w:widowControl w:val="0"/>
              <w:ind w:firstLine="0"/>
              <w:rPr>
                <w:b/>
                <w:bCs/>
                <w:szCs w:val="24"/>
              </w:rPr>
            </w:pPr>
            <w:r>
              <w:rPr>
                <w:rFonts w:hint="eastAsia"/>
                <w:b/>
                <w:bCs/>
                <w:szCs w:val="24"/>
              </w:rPr>
              <w:t>颗粒物浓度（mg/m</w:t>
            </w:r>
            <w:r>
              <w:rPr>
                <w:rFonts w:hint="eastAsia"/>
                <w:b/>
                <w:bCs/>
                <w:szCs w:val="24"/>
                <w:vertAlign w:val="superscript"/>
              </w:rPr>
              <w:t>3</w:t>
            </w:r>
            <w:r>
              <w:rPr>
                <w:rFonts w:hint="eastAsia"/>
                <w:b/>
                <w:bCs/>
                <w:szCs w:val="24"/>
              </w:rPr>
              <w:t>）</w:t>
            </w:r>
          </w:p>
        </w:tc>
      </w:tr>
      <w:tr w14:paraId="06C7270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restart"/>
            <w:noWrap w:val="0"/>
            <w:vAlign w:val="center"/>
          </w:tcPr>
          <w:p w14:paraId="5689A032">
            <w:pPr>
              <w:widowControl w:val="0"/>
              <w:ind w:firstLine="0"/>
              <w:jc w:val="center"/>
              <w:rPr>
                <w:sz w:val="21"/>
                <w:szCs w:val="21"/>
              </w:rPr>
            </w:pPr>
            <w:r>
              <w:rPr>
                <w:sz w:val="21"/>
                <w:szCs w:val="21"/>
              </w:rPr>
              <w:t>2009年9月22日</w:t>
            </w:r>
          </w:p>
        </w:tc>
        <w:tc>
          <w:tcPr>
            <w:tcW w:w="2131" w:type="dxa"/>
            <w:vMerge w:val="restart"/>
            <w:noWrap w:val="0"/>
            <w:vAlign w:val="center"/>
          </w:tcPr>
          <w:p w14:paraId="49548141">
            <w:pPr>
              <w:widowControl w:val="0"/>
              <w:ind w:firstLine="0"/>
              <w:jc w:val="center"/>
              <w:rPr>
                <w:sz w:val="21"/>
                <w:szCs w:val="21"/>
              </w:rPr>
            </w:pPr>
            <w:r>
              <w:rPr>
                <w:rFonts w:hint="eastAsia"/>
                <w:sz w:val="21"/>
                <w:szCs w:val="21"/>
              </w:rPr>
              <w:t>08</w:t>
            </w:r>
            <w:r>
              <w:rPr>
                <w:sz w:val="21"/>
                <w:szCs w:val="21"/>
              </w:rPr>
              <w:t>:</w:t>
            </w:r>
            <w:r>
              <w:rPr>
                <w:rFonts w:hint="eastAsia"/>
                <w:sz w:val="21"/>
                <w:szCs w:val="21"/>
              </w:rPr>
              <w:t>47</w:t>
            </w:r>
            <w:r>
              <w:rPr>
                <w:sz w:val="21"/>
                <w:szCs w:val="21"/>
              </w:rPr>
              <w:t>~</w:t>
            </w:r>
            <w:r>
              <w:rPr>
                <w:rFonts w:hint="eastAsia"/>
                <w:sz w:val="21"/>
                <w:szCs w:val="21"/>
              </w:rPr>
              <w:t>09</w:t>
            </w:r>
            <w:r>
              <w:rPr>
                <w:sz w:val="21"/>
                <w:szCs w:val="21"/>
              </w:rPr>
              <w:t>:</w:t>
            </w:r>
            <w:r>
              <w:rPr>
                <w:rFonts w:hint="eastAsia"/>
                <w:sz w:val="21"/>
                <w:szCs w:val="21"/>
              </w:rPr>
              <w:t>47</w:t>
            </w:r>
          </w:p>
        </w:tc>
        <w:tc>
          <w:tcPr>
            <w:tcW w:w="1771" w:type="dxa"/>
            <w:noWrap w:val="0"/>
            <w:vAlign w:val="center"/>
          </w:tcPr>
          <w:p w14:paraId="113A1B85">
            <w:pPr>
              <w:widowControl w:val="0"/>
              <w:ind w:firstLine="210"/>
              <w:jc w:val="center"/>
              <w:rPr>
                <w:sz w:val="21"/>
                <w:szCs w:val="21"/>
              </w:rPr>
            </w:pPr>
            <w:r>
              <w:rPr>
                <w:rFonts w:hint="eastAsia"/>
                <w:sz w:val="21"/>
                <w:szCs w:val="21"/>
              </w:rPr>
              <w:t>下</w:t>
            </w:r>
            <w:r>
              <w:rPr>
                <w:sz w:val="21"/>
                <w:szCs w:val="21"/>
              </w:rPr>
              <w:t>风向1#</w:t>
            </w:r>
          </w:p>
        </w:tc>
        <w:tc>
          <w:tcPr>
            <w:tcW w:w="2493" w:type="dxa"/>
            <w:noWrap w:val="0"/>
            <w:vAlign w:val="top"/>
          </w:tcPr>
          <w:p w14:paraId="20D2705C">
            <w:pPr>
              <w:widowControl w:val="0"/>
              <w:ind w:firstLine="420"/>
              <w:jc w:val="center"/>
              <w:rPr>
                <w:sz w:val="21"/>
                <w:szCs w:val="21"/>
              </w:rPr>
            </w:pPr>
            <w:r>
              <w:rPr>
                <w:rFonts w:hint="eastAsia"/>
                <w:sz w:val="21"/>
                <w:szCs w:val="21"/>
              </w:rPr>
              <w:t>0.026</w:t>
            </w:r>
          </w:p>
        </w:tc>
      </w:tr>
      <w:tr w14:paraId="242AA69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13E90477">
            <w:pPr>
              <w:widowControl w:val="0"/>
              <w:ind w:firstLine="420"/>
              <w:jc w:val="center"/>
              <w:rPr>
                <w:sz w:val="21"/>
                <w:szCs w:val="21"/>
              </w:rPr>
            </w:pPr>
          </w:p>
        </w:tc>
        <w:tc>
          <w:tcPr>
            <w:tcW w:w="2131" w:type="dxa"/>
            <w:vMerge w:val="continue"/>
            <w:noWrap w:val="0"/>
            <w:vAlign w:val="center"/>
          </w:tcPr>
          <w:p w14:paraId="3D8332FA">
            <w:pPr>
              <w:widowControl w:val="0"/>
              <w:ind w:firstLine="420"/>
              <w:jc w:val="center"/>
              <w:rPr>
                <w:sz w:val="21"/>
                <w:szCs w:val="21"/>
              </w:rPr>
            </w:pPr>
          </w:p>
        </w:tc>
        <w:tc>
          <w:tcPr>
            <w:tcW w:w="1771" w:type="dxa"/>
            <w:noWrap w:val="0"/>
            <w:vAlign w:val="center"/>
          </w:tcPr>
          <w:p w14:paraId="196A6D94">
            <w:pPr>
              <w:widowControl w:val="0"/>
              <w:ind w:firstLine="210"/>
              <w:jc w:val="center"/>
              <w:rPr>
                <w:sz w:val="21"/>
                <w:szCs w:val="21"/>
              </w:rPr>
            </w:pPr>
            <w:r>
              <w:rPr>
                <w:sz w:val="21"/>
                <w:szCs w:val="21"/>
              </w:rPr>
              <w:t>下风向2#</w:t>
            </w:r>
          </w:p>
        </w:tc>
        <w:tc>
          <w:tcPr>
            <w:tcW w:w="2493" w:type="dxa"/>
            <w:noWrap w:val="0"/>
            <w:vAlign w:val="top"/>
          </w:tcPr>
          <w:p w14:paraId="13ED40A6">
            <w:pPr>
              <w:widowControl w:val="0"/>
              <w:ind w:firstLine="420"/>
              <w:jc w:val="center"/>
              <w:rPr>
                <w:sz w:val="21"/>
                <w:szCs w:val="21"/>
              </w:rPr>
            </w:pPr>
            <w:r>
              <w:rPr>
                <w:rFonts w:hint="eastAsia"/>
                <w:sz w:val="21"/>
                <w:szCs w:val="21"/>
              </w:rPr>
              <w:t>0.029</w:t>
            </w:r>
          </w:p>
        </w:tc>
      </w:tr>
      <w:tr w14:paraId="52057FB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center"/>
          </w:tcPr>
          <w:p w14:paraId="0DD869EF">
            <w:pPr>
              <w:widowControl w:val="0"/>
              <w:ind w:firstLine="420"/>
              <w:jc w:val="center"/>
              <w:rPr>
                <w:sz w:val="21"/>
                <w:szCs w:val="21"/>
              </w:rPr>
            </w:pPr>
          </w:p>
        </w:tc>
        <w:tc>
          <w:tcPr>
            <w:tcW w:w="2131" w:type="dxa"/>
            <w:vMerge w:val="restart"/>
            <w:noWrap w:val="0"/>
            <w:vAlign w:val="center"/>
          </w:tcPr>
          <w:p w14:paraId="69087434">
            <w:pPr>
              <w:widowControl w:val="0"/>
              <w:ind w:firstLine="0"/>
              <w:jc w:val="center"/>
              <w:rPr>
                <w:sz w:val="21"/>
                <w:szCs w:val="21"/>
              </w:rPr>
            </w:pPr>
            <w:r>
              <w:rPr>
                <w:sz w:val="21"/>
                <w:szCs w:val="21"/>
              </w:rPr>
              <w:t>1</w:t>
            </w:r>
            <w:r>
              <w:rPr>
                <w:rFonts w:hint="eastAsia"/>
                <w:sz w:val="21"/>
                <w:szCs w:val="21"/>
              </w:rPr>
              <w:t>1</w:t>
            </w:r>
            <w:r>
              <w:rPr>
                <w:sz w:val="21"/>
                <w:szCs w:val="21"/>
              </w:rPr>
              <w:t>:00~1</w:t>
            </w:r>
            <w:r>
              <w:rPr>
                <w:rFonts w:hint="eastAsia"/>
                <w:sz w:val="21"/>
                <w:szCs w:val="21"/>
              </w:rPr>
              <w:t>2</w:t>
            </w:r>
            <w:r>
              <w:rPr>
                <w:sz w:val="21"/>
                <w:szCs w:val="21"/>
              </w:rPr>
              <w:t>:00</w:t>
            </w:r>
          </w:p>
        </w:tc>
        <w:tc>
          <w:tcPr>
            <w:tcW w:w="1771" w:type="dxa"/>
            <w:noWrap w:val="0"/>
            <w:vAlign w:val="center"/>
          </w:tcPr>
          <w:p w14:paraId="16DAC3A1">
            <w:pPr>
              <w:widowControl w:val="0"/>
              <w:ind w:firstLine="210"/>
              <w:jc w:val="center"/>
              <w:rPr>
                <w:sz w:val="21"/>
                <w:szCs w:val="21"/>
              </w:rPr>
            </w:pPr>
            <w:r>
              <w:rPr>
                <w:rFonts w:hint="eastAsia"/>
                <w:sz w:val="21"/>
                <w:szCs w:val="21"/>
              </w:rPr>
              <w:t>下</w:t>
            </w:r>
            <w:r>
              <w:rPr>
                <w:sz w:val="21"/>
                <w:szCs w:val="21"/>
              </w:rPr>
              <w:t>风向1#</w:t>
            </w:r>
          </w:p>
        </w:tc>
        <w:tc>
          <w:tcPr>
            <w:tcW w:w="2493" w:type="dxa"/>
            <w:noWrap w:val="0"/>
            <w:vAlign w:val="top"/>
          </w:tcPr>
          <w:p w14:paraId="5790D492">
            <w:pPr>
              <w:widowControl w:val="0"/>
              <w:ind w:firstLine="420"/>
              <w:jc w:val="center"/>
              <w:rPr>
                <w:sz w:val="21"/>
                <w:szCs w:val="21"/>
              </w:rPr>
            </w:pPr>
            <w:r>
              <w:rPr>
                <w:rFonts w:hint="eastAsia"/>
                <w:sz w:val="21"/>
                <w:szCs w:val="21"/>
              </w:rPr>
              <w:t>0.017</w:t>
            </w:r>
          </w:p>
        </w:tc>
      </w:tr>
      <w:tr w14:paraId="66753F3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0C2533F2">
            <w:pPr>
              <w:widowControl w:val="0"/>
              <w:ind w:firstLine="420"/>
              <w:jc w:val="center"/>
              <w:rPr>
                <w:sz w:val="21"/>
                <w:szCs w:val="21"/>
              </w:rPr>
            </w:pPr>
          </w:p>
        </w:tc>
        <w:tc>
          <w:tcPr>
            <w:tcW w:w="2131" w:type="dxa"/>
            <w:vMerge w:val="continue"/>
            <w:noWrap w:val="0"/>
            <w:vAlign w:val="center"/>
          </w:tcPr>
          <w:p w14:paraId="40AE2276">
            <w:pPr>
              <w:widowControl w:val="0"/>
              <w:ind w:firstLine="420"/>
              <w:jc w:val="center"/>
              <w:rPr>
                <w:sz w:val="21"/>
                <w:szCs w:val="21"/>
              </w:rPr>
            </w:pPr>
          </w:p>
        </w:tc>
        <w:tc>
          <w:tcPr>
            <w:tcW w:w="1771" w:type="dxa"/>
            <w:noWrap w:val="0"/>
            <w:vAlign w:val="center"/>
          </w:tcPr>
          <w:p w14:paraId="6BB567BA">
            <w:pPr>
              <w:widowControl w:val="0"/>
              <w:ind w:firstLine="210"/>
              <w:jc w:val="center"/>
              <w:rPr>
                <w:sz w:val="21"/>
                <w:szCs w:val="21"/>
              </w:rPr>
            </w:pPr>
            <w:r>
              <w:rPr>
                <w:sz w:val="21"/>
                <w:szCs w:val="21"/>
              </w:rPr>
              <w:t>下风向2#</w:t>
            </w:r>
          </w:p>
        </w:tc>
        <w:tc>
          <w:tcPr>
            <w:tcW w:w="2493" w:type="dxa"/>
            <w:noWrap w:val="0"/>
            <w:vAlign w:val="top"/>
          </w:tcPr>
          <w:p w14:paraId="380DB663">
            <w:pPr>
              <w:widowControl w:val="0"/>
              <w:ind w:firstLine="420"/>
              <w:jc w:val="center"/>
              <w:rPr>
                <w:sz w:val="21"/>
                <w:szCs w:val="21"/>
              </w:rPr>
            </w:pPr>
            <w:r>
              <w:rPr>
                <w:rFonts w:hint="eastAsia"/>
                <w:sz w:val="21"/>
                <w:szCs w:val="21"/>
              </w:rPr>
              <w:t>0.027</w:t>
            </w:r>
          </w:p>
        </w:tc>
      </w:tr>
      <w:tr w14:paraId="0F081C9C">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center"/>
          </w:tcPr>
          <w:p w14:paraId="71F07B76">
            <w:pPr>
              <w:widowControl w:val="0"/>
              <w:ind w:firstLine="420"/>
              <w:jc w:val="center"/>
              <w:rPr>
                <w:sz w:val="21"/>
                <w:szCs w:val="21"/>
              </w:rPr>
            </w:pPr>
          </w:p>
        </w:tc>
        <w:tc>
          <w:tcPr>
            <w:tcW w:w="2131" w:type="dxa"/>
            <w:vMerge w:val="restart"/>
            <w:noWrap w:val="0"/>
            <w:vAlign w:val="center"/>
          </w:tcPr>
          <w:p w14:paraId="455F8782">
            <w:pPr>
              <w:widowControl w:val="0"/>
              <w:ind w:firstLine="0"/>
              <w:jc w:val="center"/>
              <w:rPr>
                <w:sz w:val="21"/>
                <w:szCs w:val="21"/>
              </w:rPr>
            </w:pPr>
            <w:r>
              <w:rPr>
                <w:sz w:val="21"/>
                <w:szCs w:val="21"/>
              </w:rPr>
              <w:t>14:00~15:00</w:t>
            </w:r>
          </w:p>
        </w:tc>
        <w:tc>
          <w:tcPr>
            <w:tcW w:w="1771" w:type="dxa"/>
            <w:noWrap w:val="0"/>
            <w:vAlign w:val="center"/>
          </w:tcPr>
          <w:p w14:paraId="3D54C6A1">
            <w:pPr>
              <w:widowControl w:val="0"/>
              <w:ind w:firstLine="210"/>
              <w:jc w:val="center"/>
              <w:rPr>
                <w:sz w:val="21"/>
                <w:szCs w:val="21"/>
              </w:rPr>
            </w:pPr>
            <w:r>
              <w:rPr>
                <w:rFonts w:hint="eastAsia"/>
                <w:sz w:val="21"/>
                <w:szCs w:val="21"/>
              </w:rPr>
              <w:t>下</w:t>
            </w:r>
            <w:r>
              <w:rPr>
                <w:sz w:val="21"/>
                <w:szCs w:val="21"/>
              </w:rPr>
              <w:t>风向1#</w:t>
            </w:r>
          </w:p>
        </w:tc>
        <w:tc>
          <w:tcPr>
            <w:tcW w:w="2493" w:type="dxa"/>
            <w:noWrap w:val="0"/>
            <w:vAlign w:val="top"/>
          </w:tcPr>
          <w:p w14:paraId="65B7A472">
            <w:pPr>
              <w:widowControl w:val="0"/>
              <w:ind w:firstLine="420"/>
              <w:jc w:val="center"/>
              <w:rPr>
                <w:sz w:val="21"/>
                <w:szCs w:val="21"/>
              </w:rPr>
            </w:pPr>
            <w:r>
              <w:rPr>
                <w:rFonts w:hint="eastAsia"/>
                <w:sz w:val="21"/>
                <w:szCs w:val="21"/>
              </w:rPr>
              <w:t>0.015</w:t>
            </w:r>
          </w:p>
        </w:tc>
      </w:tr>
      <w:tr w14:paraId="709A8D3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6EC55A48">
            <w:pPr>
              <w:widowControl w:val="0"/>
              <w:ind w:firstLine="420"/>
              <w:jc w:val="center"/>
              <w:rPr>
                <w:sz w:val="21"/>
                <w:szCs w:val="21"/>
              </w:rPr>
            </w:pPr>
          </w:p>
        </w:tc>
        <w:tc>
          <w:tcPr>
            <w:tcW w:w="2131" w:type="dxa"/>
            <w:vMerge w:val="continue"/>
            <w:noWrap w:val="0"/>
            <w:vAlign w:val="center"/>
          </w:tcPr>
          <w:p w14:paraId="3779FA59">
            <w:pPr>
              <w:widowControl w:val="0"/>
              <w:ind w:firstLine="420"/>
              <w:jc w:val="center"/>
              <w:rPr>
                <w:sz w:val="21"/>
                <w:szCs w:val="21"/>
              </w:rPr>
            </w:pPr>
          </w:p>
        </w:tc>
        <w:tc>
          <w:tcPr>
            <w:tcW w:w="1771" w:type="dxa"/>
            <w:noWrap w:val="0"/>
            <w:vAlign w:val="center"/>
          </w:tcPr>
          <w:p w14:paraId="42F7C091">
            <w:pPr>
              <w:widowControl w:val="0"/>
              <w:ind w:firstLine="210"/>
              <w:jc w:val="center"/>
              <w:rPr>
                <w:sz w:val="21"/>
                <w:szCs w:val="21"/>
              </w:rPr>
            </w:pPr>
            <w:r>
              <w:rPr>
                <w:sz w:val="21"/>
                <w:szCs w:val="21"/>
              </w:rPr>
              <w:t>下风向2#</w:t>
            </w:r>
          </w:p>
        </w:tc>
        <w:tc>
          <w:tcPr>
            <w:tcW w:w="2493" w:type="dxa"/>
            <w:noWrap w:val="0"/>
            <w:vAlign w:val="top"/>
          </w:tcPr>
          <w:p w14:paraId="4773CE97">
            <w:pPr>
              <w:widowControl w:val="0"/>
              <w:ind w:firstLine="420"/>
              <w:jc w:val="center"/>
              <w:rPr>
                <w:sz w:val="21"/>
                <w:szCs w:val="21"/>
              </w:rPr>
            </w:pPr>
            <w:r>
              <w:rPr>
                <w:rFonts w:hint="eastAsia"/>
                <w:sz w:val="21"/>
                <w:szCs w:val="21"/>
              </w:rPr>
              <w:t>0.026</w:t>
            </w:r>
          </w:p>
        </w:tc>
      </w:tr>
      <w:tr w14:paraId="1F05E4E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center"/>
          </w:tcPr>
          <w:p w14:paraId="6F074706">
            <w:pPr>
              <w:widowControl w:val="0"/>
              <w:ind w:firstLine="420"/>
              <w:jc w:val="center"/>
              <w:rPr>
                <w:sz w:val="21"/>
                <w:szCs w:val="21"/>
              </w:rPr>
            </w:pPr>
          </w:p>
        </w:tc>
        <w:tc>
          <w:tcPr>
            <w:tcW w:w="2131" w:type="dxa"/>
            <w:vMerge w:val="restart"/>
            <w:noWrap w:val="0"/>
            <w:vAlign w:val="center"/>
          </w:tcPr>
          <w:p w14:paraId="749BC4B9">
            <w:pPr>
              <w:widowControl w:val="0"/>
              <w:ind w:firstLine="0"/>
              <w:jc w:val="center"/>
              <w:rPr>
                <w:sz w:val="21"/>
                <w:szCs w:val="21"/>
              </w:rPr>
            </w:pPr>
            <w:r>
              <w:rPr>
                <w:sz w:val="21"/>
                <w:szCs w:val="21"/>
              </w:rPr>
              <w:t>15:</w:t>
            </w:r>
            <w:r>
              <w:rPr>
                <w:rFonts w:hint="eastAsia"/>
                <w:sz w:val="21"/>
                <w:szCs w:val="21"/>
              </w:rPr>
              <w:t>15</w:t>
            </w:r>
            <w:r>
              <w:rPr>
                <w:sz w:val="21"/>
                <w:szCs w:val="21"/>
              </w:rPr>
              <w:t>~16:</w:t>
            </w:r>
            <w:r>
              <w:rPr>
                <w:rFonts w:hint="eastAsia"/>
                <w:sz w:val="21"/>
                <w:szCs w:val="21"/>
              </w:rPr>
              <w:t>15</w:t>
            </w:r>
          </w:p>
        </w:tc>
        <w:tc>
          <w:tcPr>
            <w:tcW w:w="1771" w:type="dxa"/>
            <w:noWrap w:val="0"/>
            <w:vAlign w:val="center"/>
          </w:tcPr>
          <w:p w14:paraId="77693BC6">
            <w:pPr>
              <w:widowControl w:val="0"/>
              <w:ind w:firstLine="210"/>
              <w:jc w:val="center"/>
              <w:rPr>
                <w:sz w:val="21"/>
                <w:szCs w:val="21"/>
              </w:rPr>
            </w:pPr>
            <w:r>
              <w:rPr>
                <w:rFonts w:hint="eastAsia"/>
                <w:sz w:val="21"/>
                <w:szCs w:val="21"/>
              </w:rPr>
              <w:t>下</w:t>
            </w:r>
            <w:r>
              <w:rPr>
                <w:sz w:val="21"/>
                <w:szCs w:val="21"/>
              </w:rPr>
              <w:t>风向1#</w:t>
            </w:r>
          </w:p>
        </w:tc>
        <w:tc>
          <w:tcPr>
            <w:tcW w:w="2493" w:type="dxa"/>
            <w:noWrap w:val="0"/>
            <w:vAlign w:val="top"/>
          </w:tcPr>
          <w:p w14:paraId="57E03D43">
            <w:pPr>
              <w:widowControl w:val="0"/>
              <w:ind w:firstLine="420"/>
              <w:jc w:val="center"/>
              <w:rPr>
                <w:sz w:val="21"/>
                <w:szCs w:val="21"/>
              </w:rPr>
            </w:pPr>
            <w:r>
              <w:rPr>
                <w:rFonts w:hint="eastAsia"/>
                <w:sz w:val="21"/>
                <w:szCs w:val="21"/>
              </w:rPr>
              <w:t>0.017</w:t>
            </w:r>
          </w:p>
        </w:tc>
      </w:tr>
      <w:tr w14:paraId="7BFE32C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center"/>
          </w:tcPr>
          <w:p w14:paraId="6A67056D">
            <w:pPr>
              <w:widowControl w:val="0"/>
              <w:ind w:firstLine="420"/>
              <w:jc w:val="center"/>
              <w:rPr>
                <w:sz w:val="21"/>
                <w:szCs w:val="21"/>
              </w:rPr>
            </w:pPr>
          </w:p>
        </w:tc>
        <w:tc>
          <w:tcPr>
            <w:tcW w:w="2131" w:type="dxa"/>
            <w:vMerge w:val="continue"/>
            <w:noWrap w:val="0"/>
            <w:vAlign w:val="center"/>
          </w:tcPr>
          <w:p w14:paraId="202B3FE8">
            <w:pPr>
              <w:widowControl w:val="0"/>
              <w:ind w:firstLine="420"/>
              <w:jc w:val="center"/>
              <w:rPr>
                <w:sz w:val="21"/>
                <w:szCs w:val="21"/>
              </w:rPr>
            </w:pPr>
          </w:p>
        </w:tc>
        <w:tc>
          <w:tcPr>
            <w:tcW w:w="1771" w:type="dxa"/>
            <w:noWrap w:val="0"/>
            <w:vAlign w:val="center"/>
          </w:tcPr>
          <w:p w14:paraId="4089C93C">
            <w:pPr>
              <w:widowControl w:val="0"/>
              <w:ind w:firstLine="210"/>
              <w:jc w:val="center"/>
              <w:rPr>
                <w:sz w:val="21"/>
                <w:szCs w:val="21"/>
              </w:rPr>
            </w:pPr>
            <w:r>
              <w:rPr>
                <w:sz w:val="21"/>
                <w:szCs w:val="21"/>
              </w:rPr>
              <w:t>下风向2#</w:t>
            </w:r>
          </w:p>
        </w:tc>
        <w:tc>
          <w:tcPr>
            <w:tcW w:w="2493" w:type="dxa"/>
            <w:noWrap w:val="0"/>
            <w:vAlign w:val="top"/>
          </w:tcPr>
          <w:p w14:paraId="2D0EF059">
            <w:pPr>
              <w:widowControl w:val="0"/>
              <w:ind w:firstLine="420"/>
              <w:jc w:val="center"/>
              <w:rPr>
                <w:sz w:val="21"/>
                <w:szCs w:val="21"/>
              </w:rPr>
            </w:pPr>
            <w:r>
              <w:rPr>
                <w:rFonts w:hint="eastAsia"/>
                <w:sz w:val="21"/>
                <w:szCs w:val="21"/>
              </w:rPr>
              <w:t>0.030</w:t>
            </w:r>
          </w:p>
        </w:tc>
      </w:tr>
      <w:tr w14:paraId="23035D8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restart"/>
            <w:noWrap w:val="0"/>
            <w:vAlign w:val="center"/>
          </w:tcPr>
          <w:p w14:paraId="3BEE419D">
            <w:pPr>
              <w:widowControl w:val="0"/>
              <w:ind w:firstLine="0"/>
              <w:jc w:val="center"/>
              <w:rPr>
                <w:rFonts w:hint="eastAsia"/>
                <w:szCs w:val="24"/>
              </w:rPr>
            </w:pPr>
            <w:r>
              <w:rPr>
                <w:sz w:val="21"/>
                <w:szCs w:val="21"/>
              </w:rPr>
              <w:t>2009年9月2</w:t>
            </w:r>
            <w:r>
              <w:rPr>
                <w:rFonts w:hint="eastAsia"/>
                <w:sz w:val="21"/>
                <w:szCs w:val="21"/>
              </w:rPr>
              <w:t>3</w:t>
            </w:r>
            <w:r>
              <w:rPr>
                <w:sz w:val="21"/>
                <w:szCs w:val="21"/>
              </w:rPr>
              <w:t>日</w:t>
            </w:r>
          </w:p>
        </w:tc>
        <w:tc>
          <w:tcPr>
            <w:tcW w:w="2131" w:type="dxa"/>
            <w:vMerge w:val="restart"/>
            <w:noWrap w:val="0"/>
            <w:vAlign w:val="center"/>
          </w:tcPr>
          <w:p w14:paraId="6EABD938">
            <w:pPr>
              <w:widowControl w:val="0"/>
              <w:ind w:firstLine="0"/>
              <w:jc w:val="center"/>
              <w:rPr>
                <w:szCs w:val="24"/>
              </w:rPr>
            </w:pPr>
            <w:r>
              <w:rPr>
                <w:rFonts w:hint="eastAsia"/>
                <w:sz w:val="21"/>
                <w:szCs w:val="21"/>
              </w:rPr>
              <w:t>08</w:t>
            </w:r>
            <w:r>
              <w:rPr>
                <w:sz w:val="21"/>
                <w:szCs w:val="21"/>
              </w:rPr>
              <w:t>:</w:t>
            </w:r>
            <w:r>
              <w:rPr>
                <w:rFonts w:hint="eastAsia"/>
                <w:sz w:val="21"/>
                <w:szCs w:val="21"/>
              </w:rPr>
              <w:t>40</w:t>
            </w:r>
            <w:r>
              <w:rPr>
                <w:sz w:val="21"/>
                <w:szCs w:val="21"/>
              </w:rPr>
              <w:t>~</w:t>
            </w:r>
            <w:r>
              <w:rPr>
                <w:rFonts w:hint="eastAsia"/>
                <w:sz w:val="21"/>
                <w:szCs w:val="21"/>
              </w:rPr>
              <w:t>09</w:t>
            </w:r>
            <w:r>
              <w:rPr>
                <w:sz w:val="21"/>
                <w:szCs w:val="21"/>
              </w:rPr>
              <w:t>:</w:t>
            </w:r>
            <w:r>
              <w:rPr>
                <w:rFonts w:hint="eastAsia"/>
                <w:sz w:val="21"/>
                <w:szCs w:val="21"/>
              </w:rPr>
              <w:t>40</w:t>
            </w:r>
          </w:p>
        </w:tc>
        <w:tc>
          <w:tcPr>
            <w:tcW w:w="1771" w:type="dxa"/>
            <w:noWrap w:val="0"/>
            <w:vAlign w:val="center"/>
          </w:tcPr>
          <w:p w14:paraId="525C24BC">
            <w:pPr>
              <w:widowControl w:val="0"/>
              <w:ind w:firstLine="210"/>
              <w:jc w:val="center"/>
              <w:rPr>
                <w:rFonts w:hint="eastAsia"/>
                <w:szCs w:val="24"/>
              </w:rPr>
            </w:pPr>
            <w:r>
              <w:rPr>
                <w:rFonts w:hint="eastAsia"/>
                <w:sz w:val="21"/>
                <w:szCs w:val="21"/>
              </w:rPr>
              <w:t>下</w:t>
            </w:r>
            <w:r>
              <w:rPr>
                <w:sz w:val="21"/>
                <w:szCs w:val="21"/>
              </w:rPr>
              <w:t>风向1#</w:t>
            </w:r>
          </w:p>
        </w:tc>
        <w:tc>
          <w:tcPr>
            <w:tcW w:w="2493" w:type="dxa"/>
            <w:noWrap w:val="0"/>
            <w:vAlign w:val="top"/>
          </w:tcPr>
          <w:p w14:paraId="3DF274DF">
            <w:pPr>
              <w:widowControl w:val="0"/>
              <w:ind w:firstLine="420"/>
              <w:jc w:val="center"/>
              <w:rPr>
                <w:sz w:val="21"/>
                <w:szCs w:val="21"/>
              </w:rPr>
            </w:pPr>
            <w:r>
              <w:rPr>
                <w:rFonts w:hint="eastAsia"/>
                <w:sz w:val="21"/>
                <w:szCs w:val="21"/>
              </w:rPr>
              <w:t>0.017</w:t>
            </w:r>
          </w:p>
        </w:tc>
      </w:tr>
      <w:tr w14:paraId="081DD4F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68C855A5">
            <w:pPr>
              <w:widowControl w:val="0"/>
              <w:ind w:firstLine="480"/>
              <w:jc w:val="center"/>
              <w:rPr>
                <w:rFonts w:hint="eastAsia"/>
                <w:szCs w:val="24"/>
              </w:rPr>
            </w:pPr>
          </w:p>
        </w:tc>
        <w:tc>
          <w:tcPr>
            <w:tcW w:w="2131" w:type="dxa"/>
            <w:vMerge w:val="continue"/>
            <w:noWrap w:val="0"/>
            <w:vAlign w:val="center"/>
          </w:tcPr>
          <w:p w14:paraId="786F804D">
            <w:pPr>
              <w:widowControl w:val="0"/>
              <w:ind w:firstLine="480"/>
              <w:jc w:val="center"/>
              <w:rPr>
                <w:rFonts w:hint="eastAsia"/>
                <w:szCs w:val="24"/>
              </w:rPr>
            </w:pPr>
          </w:p>
        </w:tc>
        <w:tc>
          <w:tcPr>
            <w:tcW w:w="1771" w:type="dxa"/>
            <w:noWrap w:val="0"/>
            <w:vAlign w:val="center"/>
          </w:tcPr>
          <w:p w14:paraId="1551F033">
            <w:pPr>
              <w:widowControl w:val="0"/>
              <w:ind w:firstLine="210"/>
              <w:jc w:val="center"/>
              <w:rPr>
                <w:rFonts w:hint="eastAsia"/>
                <w:szCs w:val="24"/>
              </w:rPr>
            </w:pPr>
            <w:r>
              <w:rPr>
                <w:sz w:val="21"/>
                <w:szCs w:val="21"/>
              </w:rPr>
              <w:t>下风向2#</w:t>
            </w:r>
          </w:p>
        </w:tc>
        <w:tc>
          <w:tcPr>
            <w:tcW w:w="2493" w:type="dxa"/>
            <w:noWrap w:val="0"/>
            <w:vAlign w:val="top"/>
          </w:tcPr>
          <w:p w14:paraId="0232D97E">
            <w:pPr>
              <w:widowControl w:val="0"/>
              <w:ind w:firstLine="420"/>
              <w:jc w:val="center"/>
              <w:rPr>
                <w:sz w:val="21"/>
                <w:szCs w:val="21"/>
              </w:rPr>
            </w:pPr>
            <w:r>
              <w:rPr>
                <w:rFonts w:hint="eastAsia"/>
                <w:sz w:val="21"/>
                <w:szCs w:val="21"/>
              </w:rPr>
              <w:t>0.024</w:t>
            </w:r>
          </w:p>
        </w:tc>
      </w:tr>
      <w:tr w14:paraId="4CDD5FD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top"/>
          </w:tcPr>
          <w:p w14:paraId="6CF2956C">
            <w:pPr>
              <w:widowControl w:val="0"/>
              <w:ind w:firstLine="480"/>
              <w:jc w:val="center"/>
              <w:rPr>
                <w:rFonts w:hint="eastAsia"/>
                <w:szCs w:val="24"/>
              </w:rPr>
            </w:pPr>
          </w:p>
        </w:tc>
        <w:tc>
          <w:tcPr>
            <w:tcW w:w="2131" w:type="dxa"/>
            <w:vMerge w:val="restart"/>
            <w:noWrap w:val="0"/>
            <w:vAlign w:val="center"/>
          </w:tcPr>
          <w:p w14:paraId="614B882A">
            <w:pPr>
              <w:widowControl w:val="0"/>
              <w:ind w:firstLine="0"/>
              <w:jc w:val="center"/>
              <w:rPr>
                <w:szCs w:val="24"/>
              </w:rPr>
            </w:pPr>
            <w:r>
              <w:rPr>
                <w:rFonts w:hint="eastAsia"/>
                <w:sz w:val="21"/>
                <w:szCs w:val="21"/>
              </w:rPr>
              <w:t>09</w:t>
            </w:r>
            <w:r>
              <w:rPr>
                <w:sz w:val="21"/>
                <w:szCs w:val="21"/>
              </w:rPr>
              <w:t>:</w:t>
            </w:r>
            <w:r>
              <w:rPr>
                <w:rFonts w:hint="eastAsia"/>
                <w:sz w:val="21"/>
                <w:szCs w:val="21"/>
              </w:rPr>
              <w:t>5</w:t>
            </w:r>
            <w:r>
              <w:rPr>
                <w:sz w:val="21"/>
                <w:szCs w:val="21"/>
              </w:rPr>
              <w:t>0~</w:t>
            </w:r>
            <w:r>
              <w:rPr>
                <w:rFonts w:hint="eastAsia"/>
                <w:sz w:val="21"/>
                <w:szCs w:val="21"/>
              </w:rPr>
              <w:t>10</w:t>
            </w:r>
            <w:r>
              <w:rPr>
                <w:sz w:val="21"/>
                <w:szCs w:val="21"/>
              </w:rPr>
              <w:t>:</w:t>
            </w:r>
            <w:r>
              <w:rPr>
                <w:rFonts w:hint="eastAsia"/>
                <w:sz w:val="21"/>
                <w:szCs w:val="21"/>
              </w:rPr>
              <w:t>50</w:t>
            </w:r>
          </w:p>
        </w:tc>
        <w:tc>
          <w:tcPr>
            <w:tcW w:w="1771" w:type="dxa"/>
            <w:noWrap w:val="0"/>
            <w:vAlign w:val="center"/>
          </w:tcPr>
          <w:p w14:paraId="20AA5A46">
            <w:pPr>
              <w:widowControl w:val="0"/>
              <w:ind w:firstLine="210"/>
              <w:jc w:val="center"/>
              <w:rPr>
                <w:rFonts w:hint="eastAsia"/>
                <w:szCs w:val="24"/>
              </w:rPr>
            </w:pPr>
            <w:r>
              <w:rPr>
                <w:rFonts w:hint="eastAsia"/>
                <w:sz w:val="21"/>
                <w:szCs w:val="21"/>
              </w:rPr>
              <w:t>下</w:t>
            </w:r>
            <w:r>
              <w:rPr>
                <w:sz w:val="21"/>
                <w:szCs w:val="21"/>
              </w:rPr>
              <w:t>风向1#</w:t>
            </w:r>
          </w:p>
        </w:tc>
        <w:tc>
          <w:tcPr>
            <w:tcW w:w="2493" w:type="dxa"/>
            <w:noWrap w:val="0"/>
            <w:vAlign w:val="top"/>
          </w:tcPr>
          <w:p w14:paraId="79E5CE29">
            <w:pPr>
              <w:widowControl w:val="0"/>
              <w:ind w:firstLine="420"/>
              <w:jc w:val="center"/>
              <w:rPr>
                <w:sz w:val="21"/>
                <w:szCs w:val="21"/>
              </w:rPr>
            </w:pPr>
            <w:r>
              <w:rPr>
                <w:rFonts w:hint="eastAsia"/>
                <w:sz w:val="21"/>
                <w:szCs w:val="21"/>
              </w:rPr>
              <w:t>0.016</w:t>
            </w:r>
          </w:p>
        </w:tc>
      </w:tr>
      <w:tr w14:paraId="5BAA561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7607674B">
            <w:pPr>
              <w:widowControl w:val="0"/>
              <w:ind w:firstLine="480"/>
              <w:jc w:val="center"/>
              <w:rPr>
                <w:rFonts w:hint="eastAsia"/>
                <w:szCs w:val="24"/>
              </w:rPr>
            </w:pPr>
          </w:p>
        </w:tc>
        <w:tc>
          <w:tcPr>
            <w:tcW w:w="2131" w:type="dxa"/>
            <w:vMerge w:val="continue"/>
            <w:noWrap w:val="0"/>
            <w:vAlign w:val="center"/>
          </w:tcPr>
          <w:p w14:paraId="2C6C1530">
            <w:pPr>
              <w:widowControl w:val="0"/>
              <w:ind w:firstLine="480"/>
              <w:jc w:val="center"/>
              <w:rPr>
                <w:rFonts w:hint="eastAsia"/>
                <w:szCs w:val="24"/>
              </w:rPr>
            </w:pPr>
          </w:p>
        </w:tc>
        <w:tc>
          <w:tcPr>
            <w:tcW w:w="1771" w:type="dxa"/>
            <w:noWrap w:val="0"/>
            <w:vAlign w:val="center"/>
          </w:tcPr>
          <w:p w14:paraId="5116029D">
            <w:pPr>
              <w:widowControl w:val="0"/>
              <w:ind w:firstLine="210"/>
              <w:jc w:val="center"/>
              <w:rPr>
                <w:rFonts w:hint="eastAsia"/>
                <w:szCs w:val="24"/>
              </w:rPr>
            </w:pPr>
            <w:r>
              <w:rPr>
                <w:sz w:val="21"/>
                <w:szCs w:val="21"/>
              </w:rPr>
              <w:t>下风向2#</w:t>
            </w:r>
          </w:p>
        </w:tc>
        <w:tc>
          <w:tcPr>
            <w:tcW w:w="2493" w:type="dxa"/>
            <w:noWrap w:val="0"/>
            <w:vAlign w:val="top"/>
          </w:tcPr>
          <w:p w14:paraId="46C20CC8">
            <w:pPr>
              <w:widowControl w:val="0"/>
              <w:ind w:firstLine="420"/>
              <w:jc w:val="center"/>
              <w:rPr>
                <w:sz w:val="21"/>
                <w:szCs w:val="21"/>
              </w:rPr>
            </w:pPr>
            <w:r>
              <w:rPr>
                <w:rFonts w:hint="eastAsia"/>
                <w:sz w:val="21"/>
                <w:szCs w:val="21"/>
              </w:rPr>
              <w:t>0.025</w:t>
            </w:r>
          </w:p>
        </w:tc>
      </w:tr>
      <w:tr w14:paraId="25C880E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top"/>
          </w:tcPr>
          <w:p w14:paraId="7712CA0D">
            <w:pPr>
              <w:widowControl w:val="0"/>
              <w:ind w:firstLine="480"/>
              <w:jc w:val="center"/>
              <w:rPr>
                <w:rFonts w:hint="eastAsia"/>
                <w:szCs w:val="24"/>
              </w:rPr>
            </w:pPr>
          </w:p>
        </w:tc>
        <w:tc>
          <w:tcPr>
            <w:tcW w:w="2131" w:type="dxa"/>
            <w:vMerge w:val="restart"/>
            <w:noWrap w:val="0"/>
            <w:vAlign w:val="center"/>
          </w:tcPr>
          <w:p w14:paraId="18AD6FBF">
            <w:pPr>
              <w:widowControl w:val="0"/>
              <w:ind w:firstLine="0"/>
              <w:jc w:val="center"/>
              <w:rPr>
                <w:szCs w:val="24"/>
              </w:rPr>
            </w:pPr>
            <w:r>
              <w:rPr>
                <w:sz w:val="21"/>
                <w:szCs w:val="21"/>
              </w:rPr>
              <w:t>1</w:t>
            </w:r>
            <w:r>
              <w:rPr>
                <w:rFonts w:hint="eastAsia"/>
                <w:sz w:val="21"/>
                <w:szCs w:val="21"/>
              </w:rPr>
              <w:t>0</w:t>
            </w:r>
            <w:r>
              <w:rPr>
                <w:sz w:val="21"/>
                <w:szCs w:val="21"/>
              </w:rPr>
              <w:t>:</w:t>
            </w:r>
            <w:r>
              <w:rPr>
                <w:rFonts w:hint="eastAsia"/>
                <w:sz w:val="21"/>
                <w:szCs w:val="21"/>
              </w:rPr>
              <w:t>50</w:t>
            </w:r>
            <w:r>
              <w:rPr>
                <w:sz w:val="21"/>
                <w:szCs w:val="21"/>
              </w:rPr>
              <w:t>~1</w:t>
            </w:r>
            <w:r>
              <w:rPr>
                <w:rFonts w:hint="eastAsia"/>
                <w:sz w:val="21"/>
                <w:szCs w:val="21"/>
              </w:rPr>
              <w:t>1</w:t>
            </w:r>
            <w:r>
              <w:rPr>
                <w:sz w:val="21"/>
                <w:szCs w:val="21"/>
              </w:rPr>
              <w:t>:</w:t>
            </w:r>
            <w:r>
              <w:rPr>
                <w:rFonts w:hint="eastAsia"/>
                <w:sz w:val="21"/>
                <w:szCs w:val="21"/>
              </w:rPr>
              <w:t>50</w:t>
            </w:r>
          </w:p>
        </w:tc>
        <w:tc>
          <w:tcPr>
            <w:tcW w:w="1771" w:type="dxa"/>
            <w:noWrap w:val="0"/>
            <w:vAlign w:val="center"/>
          </w:tcPr>
          <w:p w14:paraId="12453A7A">
            <w:pPr>
              <w:widowControl w:val="0"/>
              <w:ind w:firstLine="210"/>
              <w:jc w:val="center"/>
              <w:rPr>
                <w:rFonts w:hint="eastAsia"/>
                <w:szCs w:val="24"/>
              </w:rPr>
            </w:pPr>
            <w:r>
              <w:rPr>
                <w:rFonts w:hint="eastAsia"/>
                <w:sz w:val="21"/>
                <w:szCs w:val="21"/>
              </w:rPr>
              <w:t>下</w:t>
            </w:r>
            <w:r>
              <w:rPr>
                <w:sz w:val="21"/>
                <w:szCs w:val="21"/>
              </w:rPr>
              <w:t>风向1#</w:t>
            </w:r>
          </w:p>
        </w:tc>
        <w:tc>
          <w:tcPr>
            <w:tcW w:w="2493" w:type="dxa"/>
            <w:noWrap w:val="0"/>
            <w:vAlign w:val="top"/>
          </w:tcPr>
          <w:p w14:paraId="54B81B1A">
            <w:pPr>
              <w:widowControl w:val="0"/>
              <w:ind w:firstLine="420"/>
              <w:jc w:val="center"/>
              <w:rPr>
                <w:sz w:val="21"/>
                <w:szCs w:val="21"/>
              </w:rPr>
            </w:pPr>
            <w:r>
              <w:rPr>
                <w:rFonts w:hint="eastAsia"/>
                <w:sz w:val="21"/>
                <w:szCs w:val="21"/>
              </w:rPr>
              <w:t>0.016</w:t>
            </w:r>
          </w:p>
        </w:tc>
      </w:tr>
      <w:tr w14:paraId="1C27E6E8">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3C69E30E">
            <w:pPr>
              <w:widowControl w:val="0"/>
              <w:ind w:firstLine="480"/>
              <w:jc w:val="center"/>
              <w:rPr>
                <w:rFonts w:hint="eastAsia"/>
                <w:szCs w:val="24"/>
              </w:rPr>
            </w:pPr>
          </w:p>
        </w:tc>
        <w:tc>
          <w:tcPr>
            <w:tcW w:w="2131" w:type="dxa"/>
            <w:vMerge w:val="continue"/>
            <w:noWrap w:val="0"/>
            <w:vAlign w:val="center"/>
          </w:tcPr>
          <w:p w14:paraId="550343CA">
            <w:pPr>
              <w:widowControl w:val="0"/>
              <w:ind w:firstLine="480"/>
              <w:jc w:val="center"/>
              <w:rPr>
                <w:rFonts w:hint="eastAsia"/>
                <w:szCs w:val="24"/>
              </w:rPr>
            </w:pPr>
          </w:p>
        </w:tc>
        <w:tc>
          <w:tcPr>
            <w:tcW w:w="1771" w:type="dxa"/>
            <w:noWrap w:val="0"/>
            <w:vAlign w:val="center"/>
          </w:tcPr>
          <w:p w14:paraId="168FF2D9">
            <w:pPr>
              <w:widowControl w:val="0"/>
              <w:ind w:firstLine="210"/>
              <w:jc w:val="center"/>
              <w:rPr>
                <w:rFonts w:hint="eastAsia"/>
                <w:szCs w:val="24"/>
              </w:rPr>
            </w:pPr>
            <w:r>
              <w:rPr>
                <w:sz w:val="21"/>
                <w:szCs w:val="21"/>
              </w:rPr>
              <w:t>下风向2#</w:t>
            </w:r>
          </w:p>
        </w:tc>
        <w:tc>
          <w:tcPr>
            <w:tcW w:w="2493" w:type="dxa"/>
            <w:noWrap w:val="0"/>
            <w:vAlign w:val="top"/>
          </w:tcPr>
          <w:p w14:paraId="570B3FAA">
            <w:pPr>
              <w:widowControl w:val="0"/>
              <w:ind w:firstLine="420"/>
              <w:jc w:val="center"/>
              <w:rPr>
                <w:sz w:val="21"/>
                <w:szCs w:val="21"/>
              </w:rPr>
            </w:pPr>
            <w:r>
              <w:rPr>
                <w:rFonts w:hint="eastAsia"/>
                <w:sz w:val="21"/>
                <w:szCs w:val="21"/>
              </w:rPr>
              <w:t>0.022</w:t>
            </w:r>
          </w:p>
        </w:tc>
      </w:tr>
      <w:tr w14:paraId="3D1122C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131" w:type="dxa"/>
            <w:vMerge w:val="continue"/>
            <w:noWrap w:val="0"/>
            <w:vAlign w:val="top"/>
          </w:tcPr>
          <w:p w14:paraId="3E38BDA1">
            <w:pPr>
              <w:widowControl w:val="0"/>
              <w:ind w:firstLine="480"/>
              <w:jc w:val="center"/>
              <w:rPr>
                <w:rFonts w:hint="eastAsia"/>
                <w:szCs w:val="24"/>
              </w:rPr>
            </w:pPr>
          </w:p>
        </w:tc>
        <w:tc>
          <w:tcPr>
            <w:tcW w:w="2131" w:type="dxa"/>
            <w:vMerge w:val="restart"/>
            <w:noWrap w:val="0"/>
            <w:vAlign w:val="center"/>
          </w:tcPr>
          <w:p w14:paraId="63F8F471">
            <w:pPr>
              <w:widowControl w:val="0"/>
              <w:ind w:firstLine="0"/>
              <w:jc w:val="center"/>
              <w:rPr>
                <w:rFonts w:hint="eastAsia"/>
                <w:szCs w:val="24"/>
              </w:rPr>
            </w:pPr>
            <w:r>
              <w:rPr>
                <w:sz w:val="21"/>
                <w:szCs w:val="21"/>
              </w:rPr>
              <w:t>15:</w:t>
            </w:r>
            <w:r>
              <w:rPr>
                <w:rFonts w:hint="eastAsia"/>
                <w:sz w:val="21"/>
                <w:szCs w:val="21"/>
              </w:rPr>
              <w:t>15</w:t>
            </w:r>
            <w:r>
              <w:rPr>
                <w:sz w:val="21"/>
                <w:szCs w:val="21"/>
              </w:rPr>
              <w:t>~16:</w:t>
            </w:r>
            <w:r>
              <w:rPr>
                <w:rFonts w:hint="eastAsia"/>
                <w:sz w:val="21"/>
                <w:szCs w:val="21"/>
              </w:rPr>
              <w:t>15</w:t>
            </w:r>
          </w:p>
        </w:tc>
        <w:tc>
          <w:tcPr>
            <w:tcW w:w="1771" w:type="dxa"/>
            <w:noWrap w:val="0"/>
            <w:vAlign w:val="center"/>
          </w:tcPr>
          <w:p w14:paraId="2569290E">
            <w:pPr>
              <w:widowControl w:val="0"/>
              <w:ind w:firstLine="210"/>
              <w:jc w:val="center"/>
              <w:rPr>
                <w:rFonts w:hint="eastAsia"/>
                <w:szCs w:val="24"/>
              </w:rPr>
            </w:pPr>
            <w:r>
              <w:rPr>
                <w:sz w:val="21"/>
                <w:szCs w:val="21"/>
              </w:rPr>
              <w:t>上风向1#</w:t>
            </w:r>
          </w:p>
        </w:tc>
        <w:tc>
          <w:tcPr>
            <w:tcW w:w="2493" w:type="dxa"/>
            <w:noWrap w:val="0"/>
            <w:vAlign w:val="top"/>
          </w:tcPr>
          <w:p w14:paraId="739B8196">
            <w:pPr>
              <w:widowControl w:val="0"/>
              <w:ind w:firstLine="420"/>
              <w:jc w:val="center"/>
              <w:rPr>
                <w:sz w:val="21"/>
                <w:szCs w:val="21"/>
              </w:rPr>
            </w:pPr>
            <w:r>
              <w:rPr>
                <w:rFonts w:hint="eastAsia"/>
                <w:sz w:val="21"/>
                <w:szCs w:val="21"/>
              </w:rPr>
              <w:t>0.018</w:t>
            </w:r>
          </w:p>
        </w:tc>
      </w:tr>
      <w:tr w14:paraId="063E0618">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vMerge w:val="continue"/>
            <w:noWrap w:val="0"/>
            <w:vAlign w:val="top"/>
          </w:tcPr>
          <w:p w14:paraId="3DB4301D">
            <w:pPr>
              <w:widowControl w:val="0"/>
              <w:ind w:firstLine="480"/>
              <w:jc w:val="center"/>
              <w:rPr>
                <w:rFonts w:hint="eastAsia"/>
                <w:szCs w:val="24"/>
              </w:rPr>
            </w:pPr>
          </w:p>
        </w:tc>
        <w:tc>
          <w:tcPr>
            <w:tcW w:w="2131" w:type="dxa"/>
            <w:vMerge w:val="continue"/>
            <w:noWrap w:val="0"/>
            <w:vAlign w:val="center"/>
          </w:tcPr>
          <w:p w14:paraId="08EFB1E1">
            <w:pPr>
              <w:widowControl w:val="0"/>
              <w:ind w:firstLine="480"/>
              <w:jc w:val="center"/>
              <w:rPr>
                <w:rFonts w:hint="eastAsia"/>
                <w:szCs w:val="24"/>
              </w:rPr>
            </w:pPr>
          </w:p>
        </w:tc>
        <w:tc>
          <w:tcPr>
            <w:tcW w:w="1771" w:type="dxa"/>
            <w:noWrap w:val="0"/>
            <w:vAlign w:val="center"/>
          </w:tcPr>
          <w:p w14:paraId="7858DDB8">
            <w:pPr>
              <w:widowControl w:val="0"/>
              <w:ind w:firstLine="210"/>
              <w:jc w:val="center"/>
              <w:rPr>
                <w:rFonts w:hint="eastAsia"/>
                <w:szCs w:val="24"/>
              </w:rPr>
            </w:pPr>
            <w:r>
              <w:rPr>
                <w:sz w:val="21"/>
                <w:szCs w:val="21"/>
              </w:rPr>
              <w:t>下风向2#</w:t>
            </w:r>
          </w:p>
        </w:tc>
        <w:tc>
          <w:tcPr>
            <w:tcW w:w="2493" w:type="dxa"/>
            <w:noWrap w:val="0"/>
            <w:vAlign w:val="top"/>
          </w:tcPr>
          <w:p w14:paraId="6766CCB3">
            <w:pPr>
              <w:widowControl w:val="0"/>
              <w:ind w:firstLine="420"/>
              <w:jc w:val="center"/>
              <w:rPr>
                <w:sz w:val="21"/>
                <w:szCs w:val="21"/>
              </w:rPr>
            </w:pPr>
            <w:r>
              <w:rPr>
                <w:rFonts w:hint="eastAsia"/>
                <w:sz w:val="21"/>
                <w:szCs w:val="21"/>
              </w:rPr>
              <w:t>0.023</w:t>
            </w:r>
          </w:p>
        </w:tc>
      </w:tr>
    </w:tbl>
    <w:p w14:paraId="554FD52F">
      <w:pPr>
        <w:pStyle w:val="188"/>
        <w:rPr>
          <w:rFonts w:hint="eastAsia"/>
        </w:rPr>
      </w:pPr>
      <w:r>
        <w:rPr>
          <w:rFonts w:hint="eastAsia"/>
        </w:rPr>
        <w:t>3.</w:t>
      </w:r>
      <w:r>
        <w:rPr>
          <w:rFonts w:hint="eastAsia"/>
          <w:lang w:val="en-US" w:eastAsia="zh-CN"/>
        </w:rPr>
        <w:t>3</w:t>
      </w:r>
      <w:r>
        <w:rPr>
          <w:rFonts w:hint="eastAsia"/>
        </w:rPr>
        <w:t>.2废水</w:t>
      </w:r>
      <w:bookmarkEnd w:id="78"/>
    </w:p>
    <w:p w14:paraId="11724898">
      <w:pPr>
        <w:pStyle w:val="2"/>
        <w:numPr>
          <w:ilvl w:val="0"/>
          <w:numId w:val="4"/>
        </w:numPr>
        <w:ind w:firstLine="480"/>
        <w:rPr>
          <w:rFonts w:hint="eastAsia" w:ascii="Times New Roman" w:hAnsi="Times New Roman" w:cs="Times New Roman"/>
          <w:sz w:val="24"/>
          <w:szCs w:val="24"/>
        </w:rPr>
      </w:pPr>
      <w:r>
        <w:rPr>
          <w:rFonts w:hint="eastAsia" w:ascii="Times New Roman" w:hAnsi="Times New Roman" w:cs="Times New Roman"/>
          <w:sz w:val="24"/>
          <w:szCs w:val="24"/>
        </w:rPr>
        <w:t>蒸煮废水</w:t>
      </w:r>
    </w:p>
    <w:p w14:paraId="4E336910">
      <w:pPr>
        <w:pStyle w:val="2"/>
        <w:ind w:firstLine="480"/>
        <w:rPr>
          <w:rFonts w:hint="eastAsia" w:ascii="Times New Roman" w:hAnsi="Times New Roman" w:cs="Times New Roman"/>
          <w:sz w:val="24"/>
          <w:szCs w:val="24"/>
        </w:rPr>
      </w:pPr>
      <w:r>
        <w:rPr>
          <w:rFonts w:hint="eastAsia" w:ascii="Times New Roman" w:hAnsi="Times New Roman" w:cs="Times New Roman"/>
          <w:sz w:val="24"/>
          <w:szCs w:val="24"/>
        </w:rPr>
        <w:t>根据验收调查，2006-2007年度，公司购进了一批缅甸进口材，根据生产工艺要求，为了适应产品需要，通过蒸煮，对提高产品的品质性起到重要作用，即从2006年起逐步建成了10个蒸煮池子。2007年受金融危机的影响蒸煮池完全停用。</w:t>
      </w:r>
      <w:r>
        <w:rPr>
          <w:rFonts w:hint="eastAsia" w:ascii="Times New Roman" w:hAnsi="Times New Roman" w:cs="Times New Roman"/>
          <w:color w:val="FF0000"/>
          <w:sz w:val="24"/>
          <w:szCs w:val="24"/>
          <w:lang w:val="en-US" w:eastAsia="zh-CN"/>
        </w:rPr>
        <w:t>金融</w:t>
      </w:r>
      <w:r>
        <w:rPr>
          <w:rFonts w:hint="eastAsia" w:ascii="Times New Roman" w:hAnsi="Times New Roman" w:cs="Times New Roman"/>
          <w:color w:val="FF0000"/>
          <w:sz w:val="24"/>
          <w:szCs w:val="24"/>
        </w:rPr>
        <w:t>危机</w:t>
      </w:r>
      <w:r>
        <w:rPr>
          <w:rFonts w:hint="eastAsia" w:ascii="Times New Roman" w:hAnsi="Times New Roman" w:cs="Times New Roman"/>
          <w:sz w:val="24"/>
          <w:szCs w:val="24"/>
        </w:rPr>
        <w:t>期间，该公司积极调整了产品结构，购进部分国内材，为了防止木材干裂、枯死，启用了蒸煮池，仅用作浸泡木材之用，该浸泡水循环使用，不对外排放。</w:t>
      </w:r>
    </w:p>
    <w:p w14:paraId="56154D81">
      <w:pPr>
        <w:pStyle w:val="2"/>
        <w:numPr>
          <w:ilvl w:val="0"/>
          <w:numId w:val="4"/>
        </w:numPr>
        <w:ind w:firstLine="480"/>
        <w:rPr>
          <w:rFonts w:hint="eastAsia" w:ascii="Times New Roman" w:hAnsi="Times New Roman" w:cs="Times New Roman"/>
          <w:sz w:val="24"/>
          <w:szCs w:val="24"/>
        </w:rPr>
      </w:pPr>
      <w:r>
        <w:rPr>
          <w:rFonts w:hint="eastAsia" w:ascii="Times New Roman" w:hAnsi="Times New Roman" w:cs="Times New Roman"/>
          <w:sz w:val="24"/>
          <w:szCs w:val="24"/>
        </w:rPr>
        <w:t>锅炉水膜除尘器用水循环使用，只补不排。</w:t>
      </w:r>
    </w:p>
    <w:p w14:paraId="245A015A">
      <w:pPr>
        <w:pStyle w:val="2"/>
        <w:numPr>
          <w:ilvl w:val="0"/>
          <w:numId w:val="4"/>
        </w:numPr>
        <w:ind w:firstLine="480"/>
        <w:rPr>
          <w:rFonts w:ascii="Times New Roman" w:hAnsi="Times New Roman" w:cs="Times New Roman"/>
          <w:sz w:val="24"/>
          <w:szCs w:val="24"/>
        </w:rPr>
      </w:pPr>
      <w:r>
        <w:rPr>
          <w:rFonts w:hint="eastAsia" w:ascii="Times New Roman" w:hAnsi="Times New Roman" w:cs="Times New Roman"/>
          <w:sz w:val="24"/>
          <w:szCs w:val="24"/>
        </w:rPr>
        <w:t>生活污水</w:t>
      </w:r>
      <w:r>
        <w:rPr>
          <w:rFonts w:hint="eastAsia" w:ascii="Times New Roman" w:hAnsi="Times New Roman" w:cs="Times New Roman"/>
          <w:sz w:val="24"/>
          <w:szCs w:val="24"/>
          <w:lang w:val="en-US" w:eastAsia="zh-CN"/>
        </w:rPr>
        <w:t>产生量为5760m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w:t>
      </w:r>
      <w:r>
        <w:rPr>
          <w:rFonts w:hint="eastAsia" w:ascii="Times New Roman" w:hAnsi="Times New Roman" w:cs="Times New Roman"/>
          <w:sz w:val="24"/>
          <w:szCs w:val="24"/>
        </w:rPr>
        <w:t>经过化粪池处理后沿公路排水沟排放，未进入芒市污水处理厂处理。</w:t>
      </w:r>
    </w:p>
    <w:p w14:paraId="51E68932">
      <w:pPr>
        <w:pStyle w:val="188"/>
        <w:rPr>
          <w:rFonts w:hint="eastAsia"/>
        </w:rPr>
      </w:pPr>
      <w:bookmarkStart w:id="87" w:name="_Toc217800791"/>
      <w:r>
        <w:rPr>
          <w:rFonts w:hint="eastAsia"/>
        </w:rPr>
        <w:t>3.</w:t>
      </w:r>
      <w:r>
        <w:rPr>
          <w:rFonts w:hint="eastAsia"/>
          <w:lang w:val="en-US" w:eastAsia="zh-CN"/>
        </w:rPr>
        <w:t>3</w:t>
      </w:r>
      <w:r>
        <w:rPr>
          <w:rFonts w:hint="eastAsia"/>
        </w:rPr>
        <w:t>.3噪声</w:t>
      </w:r>
      <w:bookmarkEnd w:id="79"/>
    </w:p>
    <w:p w14:paraId="4036B672">
      <w:pPr>
        <w:widowControl w:val="0"/>
        <w:ind w:firstLine="480"/>
        <w:rPr>
          <w:rFonts w:ascii="宋体" w:hAnsi="宋体"/>
          <w:szCs w:val="24"/>
        </w:rPr>
      </w:pPr>
      <w:r>
        <w:rPr>
          <w:rFonts w:hint="eastAsia" w:ascii="宋体" w:hAnsi="宋体"/>
          <w:szCs w:val="24"/>
        </w:rPr>
        <w:t>原有项目的噪声源主要为削片设备、砂光设备、引风除尘设备、风机等机械设备噪声及交通</w:t>
      </w:r>
      <w:r>
        <w:rPr>
          <w:szCs w:val="24"/>
        </w:rPr>
        <w:t>噪声，其中机械设备噪声源强约</w:t>
      </w:r>
      <w:r>
        <w:rPr>
          <w:rFonts w:hint="eastAsia"/>
          <w:szCs w:val="24"/>
          <w:lang w:val="en-US" w:eastAsia="zh-CN"/>
        </w:rPr>
        <w:t>75</w:t>
      </w:r>
      <w:r>
        <w:rPr>
          <w:szCs w:val="24"/>
        </w:rPr>
        <w:t>-</w:t>
      </w:r>
      <w:r>
        <w:rPr>
          <w:rFonts w:hint="eastAsia"/>
          <w:szCs w:val="24"/>
          <w:lang w:val="en-US" w:eastAsia="zh-CN"/>
        </w:rPr>
        <w:t>9</w:t>
      </w:r>
      <w:r>
        <w:rPr>
          <w:szCs w:val="24"/>
        </w:rPr>
        <w:t>0dB（A），交通噪声源强为</w:t>
      </w:r>
      <w:r>
        <w:rPr>
          <w:szCs w:val="21"/>
        </w:rPr>
        <w:t>60～75dB（A）。项目选用低噪声设备，</w:t>
      </w:r>
      <w:r>
        <w:rPr>
          <w:rFonts w:hint="eastAsia"/>
          <w:szCs w:val="21"/>
        </w:rPr>
        <w:t>加强车辆周围及道路绿化，通过合理布局，根据验收监测报告，原有</w:t>
      </w:r>
      <w:r>
        <w:rPr>
          <w:rFonts w:hint="eastAsia" w:ascii="宋体" w:hAnsi="宋体"/>
          <w:szCs w:val="24"/>
        </w:rPr>
        <w:t>项目内</w:t>
      </w:r>
      <w:r>
        <w:rPr>
          <w:rFonts w:ascii="宋体" w:hAnsi="宋体"/>
          <w:szCs w:val="24"/>
        </w:rPr>
        <w:t>各噪声设备基本能够达标排放，没有发生噪声扰民</w:t>
      </w:r>
      <w:r>
        <w:rPr>
          <w:rFonts w:hint="eastAsia" w:ascii="宋体" w:hAnsi="宋体"/>
          <w:szCs w:val="24"/>
        </w:rPr>
        <w:t>投诉</w:t>
      </w:r>
      <w:r>
        <w:rPr>
          <w:rFonts w:ascii="宋体" w:hAnsi="宋体"/>
          <w:szCs w:val="24"/>
        </w:rPr>
        <w:t>现象。</w:t>
      </w:r>
    </w:p>
    <w:p w14:paraId="3EFEAB37">
      <w:pPr>
        <w:pStyle w:val="2"/>
        <w:ind w:firstLine="480"/>
        <w:rPr>
          <w:rFonts w:ascii="Times New Roman" w:hAnsi="Times New Roman" w:cs="Times New Roman"/>
          <w:sz w:val="24"/>
          <w:szCs w:val="24"/>
        </w:rPr>
      </w:pPr>
      <w:r>
        <w:rPr>
          <w:rFonts w:hint="eastAsia" w:ascii="Times New Roman" w:hAnsi="Times New Roman" w:cs="Times New Roman"/>
          <w:sz w:val="24"/>
          <w:szCs w:val="24"/>
        </w:rPr>
        <w:t>根据竣工环境保护验收监测报告，于2009年9月22日-23日对厂界四周进行连续2天的监测，根据验收监测结果厂界四周噪声能够满足</w:t>
      </w:r>
      <w:r>
        <w:rPr>
          <w:rFonts w:ascii="Times New Roman" w:hAnsi="Times New Roman" w:cs="Times New Roman"/>
          <w:sz w:val="24"/>
          <w:szCs w:val="24"/>
        </w:rPr>
        <w:t>《工业企业厂界环境噪声排放标准》</w:t>
      </w:r>
      <w:r>
        <w:rPr>
          <w:rFonts w:hint="eastAsia" w:ascii="Times New Roman" w:hAnsi="Times New Roman" w:cs="Times New Roman"/>
          <w:sz w:val="24"/>
          <w:szCs w:val="24"/>
        </w:rPr>
        <w:t>3</w:t>
      </w:r>
      <w:r>
        <w:rPr>
          <w:rFonts w:ascii="Times New Roman" w:hAnsi="Times New Roman" w:cs="Times New Roman"/>
          <w:sz w:val="24"/>
          <w:szCs w:val="24"/>
        </w:rPr>
        <w:t>类标准。</w:t>
      </w:r>
    </w:p>
    <w:p w14:paraId="6CE6A2C9">
      <w:pPr>
        <w:pStyle w:val="2"/>
        <w:ind w:firstLine="482"/>
        <w:jc w:val="center"/>
        <w:rPr>
          <w:rFonts w:ascii="Times New Roman" w:hAnsi="Times New Roman" w:cs="Times New Roman"/>
          <w:b/>
          <w:bCs/>
          <w:sz w:val="24"/>
          <w:szCs w:val="24"/>
        </w:rPr>
      </w:pPr>
      <w:r>
        <w:rPr>
          <w:rFonts w:hint="eastAsia" w:ascii="Times New Roman" w:hAnsi="Times New Roman" w:cs="Times New Roman"/>
          <w:b/>
          <w:bCs/>
          <w:sz w:val="24"/>
          <w:szCs w:val="24"/>
        </w:rPr>
        <w:t>表3</w:t>
      </w: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5</w:t>
      </w:r>
      <w:r>
        <w:rPr>
          <w:rFonts w:hint="eastAsia" w:ascii="Times New Roman" w:hAnsi="Times New Roman" w:cs="Times New Roman"/>
          <w:b/>
          <w:bCs/>
          <w:sz w:val="24"/>
          <w:szCs w:val="24"/>
        </w:rPr>
        <w:t xml:space="preserve"> 厂界噪声监测结果</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1705"/>
        <w:gridCol w:w="1705"/>
        <w:gridCol w:w="1705"/>
        <w:gridCol w:w="1705"/>
        <w:gridCol w:w="1706"/>
      </w:tblGrid>
      <w:tr w14:paraId="16B735F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vMerge w:val="restart"/>
            <w:noWrap w:val="0"/>
            <w:vAlign w:val="center"/>
          </w:tcPr>
          <w:p w14:paraId="34F10DAD">
            <w:pPr>
              <w:pStyle w:val="2"/>
              <w:widowControl w:val="0"/>
              <w:ind w:firstLine="211"/>
              <w:jc w:val="center"/>
              <w:rPr>
                <w:rFonts w:ascii="Times New Roman" w:hAnsi="Times New Roman" w:cs="Times New Roman"/>
                <w:b/>
                <w:bCs/>
              </w:rPr>
            </w:pPr>
            <w:r>
              <w:rPr>
                <w:rFonts w:ascii="Times New Roman" w:hAnsi="Times New Roman" w:cs="Times New Roman"/>
                <w:b/>
                <w:bCs/>
              </w:rPr>
              <w:t>监测点位</w:t>
            </w:r>
          </w:p>
        </w:tc>
        <w:tc>
          <w:tcPr>
            <w:tcW w:w="3410" w:type="dxa"/>
            <w:gridSpan w:val="2"/>
            <w:noWrap w:val="0"/>
            <w:vAlign w:val="center"/>
          </w:tcPr>
          <w:p w14:paraId="2AAFCA1A">
            <w:pPr>
              <w:pStyle w:val="2"/>
              <w:widowControl w:val="0"/>
              <w:ind w:firstLine="422"/>
              <w:jc w:val="center"/>
              <w:rPr>
                <w:rFonts w:ascii="Times New Roman" w:hAnsi="Times New Roman" w:cs="Times New Roman"/>
                <w:b/>
                <w:bCs/>
              </w:rPr>
            </w:pPr>
            <w:r>
              <w:rPr>
                <w:rFonts w:ascii="Times New Roman" w:hAnsi="Times New Roman" w:cs="Times New Roman"/>
                <w:b/>
                <w:bCs/>
              </w:rPr>
              <w:t>2009年9月22日</w:t>
            </w:r>
          </w:p>
        </w:tc>
        <w:tc>
          <w:tcPr>
            <w:tcW w:w="3411" w:type="dxa"/>
            <w:gridSpan w:val="2"/>
            <w:noWrap w:val="0"/>
            <w:vAlign w:val="center"/>
          </w:tcPr>
          <w:p w14:paraId="08ECB201">
            <w:pPr>
              <w:pStyle w:val="2"/>
              <w:widowControl w:val="0"/>
              <w:ind w:firstLine="422"/>
              <w:jc w:val="center"/>
              <w:rPr>
                <w:rFonts w:ascii="Times New Roman" w:hAnsi="Times New Roman" w:cs="Times New Roman"/>
                <w:b/>
                <w:bCs/>
              </w:rPr>
            </w:pPr>
            <w:r>
              <w:rPr>
                <w:rFonts w:ascii="Times New Roman" w:hAnsi="Times New Roman" w:cs="Times New Roman"/>
                <w:b/>
                <w:bCs/>
              </w:rPr>
              <w:t>2009年9月23日</w:t>
            </w:r>
          </w:p>
        </w:tc>
      </w:tr>
      <w:tr w14:paraId="0FB590F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vMerge w:val="continue"/>
            <w:noWrap w:val="0"/>
            <w:vAlign w:val="center"/>
          </w:tcPr>
          <w:p w14:paraId="0B2F3177">
            <w:pPr>
              <w:pStyle w:val="2"/>
              <w:widowControl w:val="0"/>
              <w:ind w:firstLine="422"/>
              <w:jc w:val="center"/>
              <w:rPr>
                <w:rFonts w:ascii="Times New Roman" w:hAnsi="Times New Roman" w:cs="Times New Roman"/>
                <w:b/>
                <w:bCs/>
              </w:rPr>
            </w:pPr>
          </w:p>
        </w:tc>
        <w:tc>
          <w:tcPr>
            <w:tcW w:w="1705" w:type="dxa"/>
            <w:noWrap w:val="0"/>
            <w:vAlign w:val="center"/>
          </w:tcPr>
          <w:p w14:paraId="457CDC03">
            <w:pPr>
              <w:pStyle w:val="2"/>
              <w:widowControl w:val="0"/>
              <w:ind w:firstLine="422"/>
              <w:jc w:val="center"/>
              <w:rPr>
                <w:rFonts w:ascii="Times New Roman" w:hAnsi="Times New Roman" w:cs="Times New Roman"/>
                <w:b/>
                <w:bCs/>
              </w:rPr>
            </w:pPr>
            <w:r>
              <w:rPr>
                <w:rFonts w:ascii="Times New Roman" w:hAnsi="Times New Roman" w:cs="Times New Roman"/>
                <w:b/>
                <w:bCs/>
              </w:rPr>
              <w:t>昼间</w:t>
            </w:r>
          </w:p>
        </w:tc>
        <w:tc>
          <w:tcPr>
            <w:tcW w:w="1705" w:type="dxa"/>
            <w:noWrap w:val="0"/>
            <w:vAlign w:val="center"/>
          </w:tcPr>
          <w:p w14:paraId="17881310">
            <w:pPr>
              <w:pStyle w:val="2"/>
              <w:widowControl w:val="0"/>
              <w:ind w:firstLine="632"/>
              <w:rPr>
                <w:rFonts w:ascii="Times New Roman" w:hAnsi="Times New Roman" w:cs="Times New Roman"/>
                <w:b/>
                <w:bCs/>
              </w:rPr>
            </w:pPr>
            <w:r>
              <w:rPr>
                <w:rFonts w:ascii="Times New Roman" w:hAnsi="Times New Roman" w:cs="Times New Roman"/>
                <w:b/>
                <w:bCs/>
              </w:rPr>
              <w:t>夜间</w:t>
            </w:r>
          </w:p>
        </w:tc>
        <w:tc>
          <w:tcPr>
            <w:tcW w:w="1705" w:type="dxa"/>
            <w:noWrap w:val="0"/>
            <w:vAlign w:val="center"/>
          </w:tcPr>
          <w:p w14:paraId="307CC95E">
            <w:pPr>
              <w:pStyle w:val="2"/>
              <w:widowControl w:val="0"/>
              <w:ind w:firstLine="422"/>
              <w:jc w:val="center"/>
              <w:rPr>
                <w:rFonts w:ascii="Times New Roman" w:hAnsi="Times New Roman" w:cs="Times New Roman"/>
                <w:b/>
                <w:bCs/>
              </w:rPr>
            </w:pPr>
            <w:r>
              <w:rPr>
                <w:rFonts w:ascii="Times New Roman" w:hAnsi="Times New Roman" w:cs="Times New Roman"/>
                <w:b/>
                <w:bCs/>
              </w:rPr>
              <w:t>昼间</w:t>
            </w:r>
          </w:p>
        </w:tc>
        <w:tc>
          <w:tcPr>
            <w:tcW w:w="1706" w:type="dxa"/>
            <w:noWrap w:val="0"/>
            <w:vAlign w:val="center"/>
          </w:tcPr>
          <w:p w14:paraId="660295FC">
            <w:pPr>
              <w:pStyle w:val="2"/>
              <w:widowControl w:val="0"/>
              <w:ind w:firstLine="422"/>
              <w:rPr>
                <w:rFonts w:ascii="Times New Roman" w:hAnsi="Times New Roman" w:cs="Times New Roman"/>
                <w:b/>
                <w:bCs/>
              </w:rPr>
            </w:pPr>
            <w:r>
              <w:rPr>
                <w:rFonts w:ascii="Times New Roman" w:hAnsi="Times New Roman" w:cs="Times New Roman"/>
                <w:b/>
                <w:bCs/>
              </w:rPr>
              <w:t>夜间</w:t>
            </w:r>
          </w:p>
        </w:tc>
      </w:tr>
      <w:tr w14:paraId="288DA89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noWrap w:val="0"/>
            <w:vAlign w:val="center"/>
          </w:tcPr>
          <w:p w14:paraId="23D28862">
            <w:pPr>
              <w:pStyle w:val="2"/>
              <w:widowControl w:val="0"/>
              <w:ind w:firstLine="420"/>
              <w:rPr>
                <w:rFonts w:ascii="Times New Roman" w:hAnsi="Times New Roman" w:cs="Times New Roman"/>
              </w:rPr>
            </w:pPr>
            <w:r>
              <w:rPr>
                <w:rFonts w:hint="eastAsia" w:ascii="Times New Roman" w:hAnsi="Times New Roman" w:cs="Times New Roman"/>
              </w:rPr>
              <w:t xml:space="preserve"> 厂界东面</w:t>
            </w:r>
          </w:p>
        </w:tc>
        <w:tc>
          <w:tcPr>
            <w:tcW w:w="1705" w:type="dxa"/>
            <w:noWrap w:val="0"/>
            <w:vAlign w:val="center"/>
          </w:tcPr>
          <w:p w14:paraId="779F4CA8">
            <w:pPr>
              <w:pStyle w:val="2"/>
              <w:widowControl w:val="0"/>
              <w:ind w:firstLine="420"/>
              <w:jc w:val="center"/>
              <w:rPr>
                <w:rFonts w:ascii="Times New Roman" w:hAnsi="Times New Roman" w:cs="Times New Roman"/>
              </w:rPr>
            </w:pPr>
            <w:r>
              <w:rPr>
                <w:rFonts w:hint="eastAsia" w:ascii="Times New Roman" w:hAnsi="Times New Roman" w:cs="Times New Roman"/>
              </w:rPr>
              <w:t>57.1</w:t>
            </w:r>
          </w:p>
        </w:tc>
        <w:tc>
          <w:tcPr>
            <w:tcW w:w="1705" w:type="dxa"/>
            <w:noWrap w:val="0"/>
            <w:vAlign w:val="center"/>
          </w:tcPr>
          <w:p w14:paraId="686F6E7F">
            <w:pPr>
              <w:pStyle w:val="2"/>
              <w:widowControl w:val="0"/>
              <w:ind w:firstLine="0"/>
              <w:jc w:val="center"/>
              <w:rPr>
                <w:rFonts w:ascii="Times New Roman" w:hAnsi="Times New Roman" w:cs="Times New Roman"/>
              </w:rPr>
            </w:pPr>
            <w:r>
              <w:rPr>
                <w:rFonts w:hint="eastAsia" w:ascii="Times New Roman" w:hAnsi="Times New Roman" w:cs="Times New Roman"/>
              </w:rPr>
              <w:t xml:space="preserve">— </w:t>
            </w:r>
          </w:p>
        </w:tc>
        <w:tc>
          <w:tcPr>
            <w:tcW w:w="1705" w:type="dxa"/>
            <w:noWrap w:val="0"/>
            <w:vAlign w:val="center"/>
          </w:tcPr>
          <w:p w14:paraId="4BCACECC">
            <w:pPr>
              <w:pStyle w:val="2"/>
              <w:widowControl w:val="0"/>
              <w:ind w:firstLine="420"/>
              <w:jc w:val="center"/>
              <w:rPr>
                <w:rFonts w:ascii="Times New Roman" w:hAnsi="Times New Roman" w:cs="Times New Roman"/>
              </w:rPr>
            </w:pPr>
            <w:r>
              <w:rPr>
                <w:rFonts w:hint="eastAsia" w:ascii="Times New Roman" w:hAnsi="Times New Roman" w:cs="Times New Roman"/>
              </w:rPr>
              <w:t>64.7</w:t>
            </w:r>
          </w:p>
        </w:tc>
        <w:tc>
          <w:tcPr>
            <w:tcW w:w="1706" w:type="dxa"/>
            <w:noWrap w:val="0"/>
            <w:vAlign w:val="center"/>
          </w:tcPr>
          <w:p w14:paraId="22426797">
            <w:pPr>
              <w:pStyle w:val="2"/>
              <w:widowControl w:val="0"/>
              <w:ind w:firstLine="0"/>
              <w:jc w:val="center"/>
              <w:rPr>
                <w:rFonts w:ascii="Times New Roman" w:hAnsi="Times New Roman" w:cs="Times New Roman"/>
              </w:rPr>
            </w:pPr>
            <w:r>
              <w:rPr>
                <w:rFonts w:hint="eastAsia" w:ascii="Times New Roman" w:hAnsi="Times New Roman" w:cs="Times New Roman"/>
              </w:rPr>
              <w:t>—</w:t>
            </w:r>
          </w:p>
        </w:tc>
      </w:tr>
      <w:tr w14:paraId="73F1E72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noWrap w:val="0"/>
            <w:vAlign w:val="center"/>
          </w:tcPr>
          <w:p w14:paraId="092315B6">
            <w:pPr>
              <w:pStyle w:val="2"/>
              <w:widowControl w:val="0"/>
              <w:ind w:firstLine="420"/>
              <w:jc w:val="center"/>
              <w:rPr>
                <w:rFonts w:ascii="Times New Roman" w:hAnsi="Times New Roman" w:cs="Times New Roman"/>
              </w:rPr>
            </w:pPr>
            <w:r>
              <w:rPr>
                <w:rFonts w:hint="eastAsia" w:ascii="Times New Roman" w:hAnsi="Times New Roman" w:cs="Times New Roman"/>
              </w:rPr>
              <w:t>厂界南面</w:t>
            </w:r>
          </w:p>
        </w:tc>
        <w:tc>
          <w:tcPr>
            <w:tcW w:w="1705" w:type="dxa"/>
            <w:noWrap w:val="0"/>
            <w:vAlign w:val="center"/>
          </w:tcPr>
          <w:p w14:paraId="32182011">
            <w:pPr>
              <w:pStyle w:val="2"/>
              <w:widowControl w:val="0"/>
              <w:ind w:firstLine="420"/>
              <w:jc w:val="center"/>
              <w:rPr>
                <w:rFonts w:ascii="Times New Roman" w:hAnsi="Times New Roman" w:cs="Times New Roman"/>
              </w:rPr>
            </w:pPr>
            <w:r>
              <w:rPr>
                <w:rFonts w:hint="eastAsia" w:ascii="Times New Roman" w:hAnsi="Times New Roman" w:cs="Times New Roman"/>
              </w:rPr>
              <w:t>52.9</w:t>
            </w:r>
          </w:p>
        </w:tc>
        <w:tc>
          <w:tcPr>
            <w:tcW w:w="1705" w:type="dxa"/>
            <w:noWrap w:val="0"/>
            <w:vAlign w:val="center"/>
          </w:tcPr>
          <w:p w14:paraId="56CD915F">
            <w:pPr>
              <w:pStyle w:val="2"/>
              <w:widowControl w:val="0"/>
              <w:ind w:firstLine="0"/>
              <w:jc w:val="center"/>
              <w:rPr>
                <w:rFonts w:ascii="Times New Roman" w:hAnsi="Times New Roman" w:cs="Times New Roman"/>
              </w:rPr>
            </w:pPr>
            <w:r>
              <w:rPr>
                <w:rFonts w:hint="eastAsia" w:ascii="Times New Roman" w:hAnsi="Times New Roman" w:cs="Times New Roman"/>
              </w:rPr>
              <w:t>—</w:t>
            </w:r>
          </w:p>
        </w:tc>
        <w:tc>
          <w:tcPr>
            <w:tcW w:w="1705" w:type="dxa"/>
            <w:noWrap w:val="0"/>
            <w:vAlign w:val="center"/>
          </w:tcPr>
          <w:p w14:paraId="5E3E39E1">
            <w:pPr>
              <w:pStyle w:val="2"/>
              <w:widowControl w:val="0"/>
              <w:ind w:firstLine="420"/>
              <w:jc w:val="center"/>
              <w:rPr>
                <w:rFonts w:ascii="Times New Roman" w:hAnsi="Times New Roman" w:cs="Times New Roman"/>
              </w:rPr>
            </w:pPr>
            <w:r>
              <w:rPr>
                <w:rFonts w:hint="eastAsia" w:ascii="Times New Roman" w:hAnsi="Times New Roman" w:cs="Times New Roman"/>
              </w:rPr>
              <w:t>54.4</w:t>
            </w:r>
          </w:p>
        </w:tc>
        <w:tc>
          <w:tcPr>
            <w:tcW w:w="1706" w:type="dxa"/>
            <w:noWrap w:val="0"/>
            <w:vAlign w:val="center"/>
          </w:tcPr>
          <w:p w14:paraId="0BA930BB">
            <w:pPr>
              <w:pStyle w:val="2"/>
              <w:widowControl w:val="0"/>
              <w:ind w:firstLine="0"/>
              <w:jc w:val="center"/>
              <w:rPr>
                <w:rFonts w:ascii="Times New Roman" w:hAnsi="Times New Roman" w:cs="Times New Roman"/>
              </w:rPr>
            </w:pPr>
            <w:r>
              <w:rPr>
                <w:rFonts w:hint="eastAsia" w:ascii="Times New Roman" w:hAnsi="Times New Roman" w:cs="Times New Roman"/>
              </w:rPr>
              <w:t>—</w:t>
            </w:r>
          </w:p>
        </w:tc>
      </w:tr>
      <w:tr w14:paraId="7C2F903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noWrap w:val="0"/>
            <w:vAlign w:val="center"/>
          </w:tcPr>
          <w:p w14:paraId="238D2564">
            <w:pPr>
              <w:pStyle w:val="2"/>
              <w:widowControl w:val="0"/>
              <w:ind w:firstLine="420"/>
              <w:jc w:val="center"/>
              <w:rPr>
                <w:rFonts w:ascii="Times New Roman" w:hAnsi="Times New Roman" w:cs="Times New Roman"/>
              </w:rPr>
            </w:pPr>
            <w:r>
              <w:rPr>
                <w:rFonts w:hint="eastAsia" w:ascii="Times New Roman" w:hAnsi="Times New Roman" w:cs="Times New Roman"/>
              </w:rPr>
              <w:t>厂界北面</w:t>
            </w:r>
          </w:p>
        </w:tc>
        <w:tc>
          <w:tcPr>
            <w:tcW w:w="1705" w:type="dxa"/>
            <w:noWrap w:val="0"/>
            <w:vAlign w:val="center"/>
          </w:tcPr>
          <w:p w14:paraId="52BBC55B">
            <w:pPr>
              <w:pStyle w:val="2"/>
              <w:widowControl w:val="0"/>
              <w:ind w:firstLine="420"/>
              <w:jc w:val="center"/>
              <w:rPr>
                <w:rFonts w:ascii="Times New Roman" w:hAnsi="Times New Roman" w:cs="Times New Roman"/>
              </w:rPr>
            </w:pPr>
            <w:r>
              <w:rPr>
                <w:rFonts w:hint="eastAsia" w:ascii="Times New Roman" w:hAnsi="Times New Roman" w:cs="Times New Roman"/>
              </w:rPr>
              <w:t>58.4</w:t>
            </w:r>
          </w:p>
        </w:tc>
        <w:tc>
          <w:tcPr>
            <w:tcW w:w="1705" w:type="dxa"/>
            <w:noWrap w:val="0"/>
            <w:vAlign w:val="center"/>
          </w:tcPr>
          <w:p w14:paraId="04154D4A">
            <w:pPr>
              <w:pStyle w:val="2"/>
              <w:widowControl w:val="0"/>
              <w:ind w:firstLine="0"/>
              <w:jc w:val="center"/>
              <w:rPr>
                <w:rFonts w:ascii="Times New Roman" w:hAnsi="Times New Roman" w:cs="Times New Roman"/>
              </w:rPr>
            </w:pPr>
            <w:r>
              <w:rPr>
                <w:rFonts w:hint="eastAsia" w:ascii="Times New Roman" w:hAnsi="Times New Roman" w:cs="Times New Roman"/>
              </w:rPr>
              <w:t>—</w:t>
            </w:r>
          </w:p>
        </w:tc>
        <w:tc>
          <w:tcPr>
            <w:tcW w:w="1705" w:type="dxa"/>
            <w:noWrap w:val="0"/>
            <w:vAlign w:val="center"/>
          </w:tcPr>
          <w:p w14:paraId="58C42F0E">
            <w:pPr>
              <w:pStyle w:val="2"/>
              <w:widowControl w:val="0"/>
              <w:ind w:firstLine="420"/>
              <w:jc w:val="center"/>
              <w:rPr>
                <w:rFonts w:ascii="Times New Roman" w:hAnsi="Times New Roman" w:cs="Times New Roman"/>
              </w:rPr>
            </w:pPr>
            <w:r>
              <w:rPr>
                <w:rFonts w:hint="eastAsia" w:ascii="Times New Roman" w:hAnsi="Times New Roman" w:cs="Times New Roman"/>
              </w:rPr>
              <w:t>53.4</w:t>
            </w:r>
          </w:p>
        </w:tc>
        <w:tc>
          <w:tcPr>
            <w:tcW w:w="1706" w:type="dxa"/>
            <w:noWrap w:val="0"/>
            <w:vAlign w:val="center"/>
          </w:tcPr>
          <w:p w14:paraId="7BE55FB4">
            <w:pPr>
              <w:pStyle w:val="2"/>
              <w:widowControl w:val="0"/>
              <w:ind w:firstLine="0"/>
              <w:jc w:val="center"/>
              <w:rPr>
                <w:rFonts w:ascii="Times New Roman" w:hAnsi="Times New Roman" w:cs="Times New Roman"/>
              </w:rPr>
            </w:pPr>
            <w:r>
              <w:rPr>
                <w:rFonts w:hint="eastAsia" w:ascii="Times New Roman" w:hAnsi="Times New Roman" w:cs="Times New Roman"/>
              </w:rPr>
              <w:t>—</w:t>
            </w:r>
          </w:p>
        </w:tc>
      </w:tr>
      <w:tr w14:paraId="4471BDB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noWrap w:val="0"/>
            <w:vAlign w:val="center"/>
          </w:tcPr>
          <w:p w14:paraId="5D780A05">
            <w:pPr>
              <w:pStyle w:val="2"/>
              <w:widowControl w:val="0"/>
              <w:ind w:firstLine="420"/>
              <w:jc w:val="center"/>
              <w:rPr>
                <w:rFonts w:ascii="Times New Roman" w:hAnsi="Times New Roman" w:cs="Times New Roman"/>
              </w:rPr>
            </w:pPr>
            <w:r>
              <w:rPr>
                <w:rFonts w:hint="eastAsia" w:ascii="Times New Roman" w:hAnsi="Times New Roman" w:cs="Times New Roman"/>
              </w:rPr>
              <w:t>厂界西面</w:t>
            </w:r>
          </w:p>
        </w:tc>
        <w:tc>
          <w:tcPr>
            <w:tcW w:w="1705" w:type="dxa"/>
            <w:noWrap w:val="0"/>
            <w:vAlign w:val="center"/>
          </w:tcPr>
          <w:p w14:paraId="3C8FC300">
            <w:pPr>
              <w:pStyle w:val="2"/>
              <w:widowControl w:val="0"/>
              <w:ind w:firstLine="420"/>
              <w:jc w:val="center"/>
              <w:rPr>
                <w:rFonts w:ascii="Times New Roman" w:hAnsi="Times New Roman" w:cs="Times New Roman"/>
              </w:rPr>
            </w:pPr>
            <w:r>
              <w:rPr>
                <w:rFonts w:hint="eastAsia" w:ascii="Times New Roman" w:hAnsi="Times New Roman" w:cs="Times New Roman"/>
              </w:rPr>
              <w:t>55.1</w:t>
            </w:r>
          </w:p>
        </w:tc>
        <w:tc>
          <w:tcPr>
            <w:tcW w:w="1705" w:type="dxa"/>
            <w:noWrap w:val="0"/>
            <w:vAlign w:val="center"/>
          </w:tcPr>
          <w:p w14:paraId="60EB8FEA">
            <w:pPr>
              <w:pStyle w:val="2"/>
              <w:widowControl w:val="0"/>
              <w:ind w:firstLine="0"/>
              <w:jc w:val="center"/>
              <w:rPr>
                <w:rFonts w:hint="eastAsia" w:ascii="Times New Roman" w:hAnsi="Times New Roman" w:cs="Times New Roman"/>
              </w:rPr>
            </w:pPr>
            <w:r>
              <w:rPr>
                <w:rFonts w:hint="eastAsia" w:ascii="Times New Roman" w:hAnsi="Times New Roman" w:cs="Times New Roman"/>
              </w:rPr>
              <w:t>—</w:t>
            </w:r>
          </w:p>
        </w:tc>
        <w:tc>
          <w:tcPr>
            <w:tcW w:w="1705" w:type="dxa"/>
            <w:noWrap w:val="0"/>
            <w:vAlign w:val="center"/>
          </w:tcPr>
          <w:p w14:paraId="066E6789">
            <w:pPr>
              <w:pStyle w:val="2"/>
              <w:widowControl w:val="0"/>
              <w:ind w:firstLine="420"/>
              <w:jc w:val="center"/>
              <w:rPr>
                <w:rFonts w:ascii="Times New Roman" w:hAnsi="Times New Roman" w:cs="Times New Roman"/>
              </w:rPr>
            </w:pPr>
            <w:r>
              <w:rPr>
                <w:rFonts w:hint="eastAsia" w:ascii="Times New Roman" w:hAnsi="Times New Roman" w:cs="Times New Roman"/>
              </w:rPr>
              <w:t>58.6</w:t>
            </w:r>
          </w:p>
        </w:tc>
        <w:tc>
          <w:tcPr>
            <w:tcW w:w="1706" w:type="dxa"/>
            <w:noWrap w:val="0"/>
            <w:vAlign w:val="center"/>
          </w:tcPr>
          <w:p w14:paraId="1515FDF4">
            <w:pPr>
              <w:pStyle w:val="2"/>
              <w:widowControl w:val="0"/>
              <w:ind w:firstLine="0"/>
              <w:jc w:val="center"/>
              <w:rPr>
                <w:rFonts w:ascii="Times New Roman" w:hAnsi="Times New Roman" w:cs="Times New Roman"/>
              </w:rPr>
            </w:pPr>
            <w:r>
              <w:rPr>
                <w:rFonts w:hint="eastAsia" w:ascii="Times New Roman" w:hAnsi="Times New Roman" w:cs="Times New Roman"/>
              </w:rPr>
              <w:t>—</w:t>
            </w:r>
          </w:p>
        </w:tc>
      </w:tr>
    </w:tbl>
    <w:p w14:paraId="3BCEFDE0">
      <w:pPr>
        <w:pStyle w:val="188"/>
        <w:rPr>
          <w:rFonts w:hint="eastAsia"/>
        </w:rPr>
      </w:pPr>
      <w:bookmarkStart w:id="88" w:name="_Toc16485"/>
      <w:bookmarkStart w:id="89" w:name="_Toc217800792"/>
      <w:r>
        <w:rPr>
          <w:rFonts w:hint="eastAsia"/>
        </w:rPr>
        <w:t>3.</w:t>
      </w:r>
      <w:r>
        <w:rPr>
          <w:rFonts w:hint="eastAsia"/>
          <w:lang w:val="en-US" w:eastAsia="zh-CN"/>
        </w:rPr>
        <w:t>3.</w:t>
      </w:r>
      <w:r>
        <w:rPr>
          <w:rFonts w:hint="eastAsia"/>
        </w:rPr>
        <w:t>4固体废弃物</w:t>
      </w:r>
      <w:bookmarkEnd w:id="80"/>
      <w:bookmarkEnd w:id="81"/>
    </w:p>
    <w:bookmarkEnd w:id="82"/>
    <w:p w14:paraId="1210D384">
      <w:pPr>
        <w:ind w:firstLine="480"/>
      </w:pPr>
      <w:bookmarkStart w:id="90" w:name="_Toc16909"/>
      <w:bookmarkStart w:id="91" w:name="_Toc278532733"/>
      <w:r>
        <w:rPr>
          <w:rFonts w:hint="eastAsia"/>
        </w:rPr>
        <w:t>原有项目产生的固体废物主要是边角料和生活垃圾，生产过程产生的废边角料用于锅炉燃料使用；生活垃圾经收集后送当地环卫部门指定地点处理。</w:t>
      </w:r>
    </w:p>
    <w:p w14:paraId="72D8A2C1">
      <w:pPr>
        <w:pStyle w:val="187"/>
        <w:rPr>
          <w:rFonts w:hint="eastAsia" w:ascii="Times New Roman" w:hAnsi="Times New Roman"/>
          <w:bCs/>
        </w:rPr>
      </w:pPr>
      <w:bookmarkStart w:id="92" w:name="_Toc4680"/>
      <w:r>
        <w:rPr>
          <w:rFonts w:hint="eastAsia" w:ascii="Times New Roman" w:hAnsi="Times New Roman"/>
          <w:bCs/>
        </w:rPr>
        <w:t>3.</w:t>
      </w:r>
      <w:r>
        <w:rPr>
          <w:rFonts w:hint="eastAsia" w:ascii="Times New Roman" w:hAnsi="Times New Roman"/>
          <w:bCs/>
          <w:lang w:val="en-US" w:eastAsia="zh-CN"/>
        </w:rPr>
        <w:t>3</w:t>
      </w:r>
      <w:r>
        <w:rPr>
          <w:rFonts w:hint="eastAsia" w:ascii="Times New Roman" w:hAnsi="Times New Roman"/>
          <w:bCs/>
        </w:rPr>
        <w:t>原有项目存在的主要环境问题</w:t>
      </w:r>
      <w:bookmarkEnd w:id="83"/>
      <w:bookmarkEnd w:id="84"/>
      <w:bookmarkEnd w:id="85"/>
      <w:bookmarkEnd w:id="86"/>
      <w:bookmarkEnd w:id="87"/>
      <w:bookmarkEnd w:id="88"/>
      <w:bookmarkEnd w:id="89"/>
      <w:r>
        <w:rPr>
          <w:rFonts w:hint="eastAsia" w:ascii="Times New Roman" w:hAnsi="Times New Roman"/>
          <w:bCs/>
        </w:rPr>
        <w:t>及整改方案</w:t>
      </w:r>
      <w:bookmarkEnd w:id="90"/>
    </w:p>
    <w:p w14:paraId="50E14FAF">
      <w:pPr>
        <w:widowControl w:val="0"/>
        <w:ind w:firstLine="480"/>
        <w:rPr>
          <w:szCs w:val="22"/>
        </w:rPr>
      </w:pPr>
      <w:r>
        <w:rPr>
          <w:rFonts w:hint="eastAsia"/>
          <w:szCs w:val="22"/>
        </w:rPr>
        <w:t>原有项目虽然已经通过了环境保护竣工验收，但是</w:t>
      </w:r>
      <w:r>
        <w:rPr>
          <w:szCs w:val="22"/>
          <w:lang w:val="zh-CN"/>
        </w:rPr>
        <w:t>《锅炉大气污染物排放标准》</w:t>
      </w:r>
      <w:r>
        <w:rPr>
          <w:rFonts w:hint="eastAsia"/>
          <w:szCs w:val="22"/>
        </w:rPr>
        <w:t>已经更新，</w:t>
      </w:r>
      <w:r>
        <w:rPr>
          <w:rFonts w:hint="eastAsia"/>
          <w:szCs w:val="24"/>
        </w:rPr>
        <w:t>与新标准对照达标</w:t>
      </w:r>
      <w:r>
        <w:rPr>
          <w:rFonts w:hint="eastAsia"/>
          <w:color w:val="000000"/>
          <w:szCs w:val="24"/>
        </w:rPr>
        <w:t>情况：</w:t>
      </w:r>
      <w:r>
        <w:rPr>
          <w:color w:val="000000"/>
          <w:szCs w:val="22"/>
          <w:lang w:val="zh-CN"/>
        </w:rPr>
        <w:t>《锅炉大气污染物排放标准》（GB13271-2014）</w:t>
      </w:r>
      <w:r>
        <w:rPr>
          <w:rFonts w:hint="eastAsia"/>
          <w:color w:val="000000"/>
          <w:szCs w:val="22"/>
        </w:rPr>
        <w:t>指出：“10t/h以下在用蒸汽锅炉和7MW以下在用热水锅炉自2016年7月1日起执行在用锅炉大气污染物排放浓度限值”，烟尘80mg/m</w:t>
      </w:r>
      <w:r>
        <w:rPr>
          <w:rFonts w:hint="eastAsia"/>
          <w:color w:val="000000"/>
          <w:szCs w:val="22"/>
          <w:vertAlign w:val="superscript"/>
        </w:rPr>
        <w:t>3</w:t>
      </w:r>
      <w:r>
        <w:rPr>
          <w:rFonts w:hint="eastAsia"/>
          <w:color w:val="000000"/>
          <w:szCs w:val="22"/>
        </w:rPr>
        <w:t>，根据验收监测结果，原有项目锅炉采用水膜除尘器净化处理后颗粒物排放浓度不能满足</w:t>
      </w:r>
      <w:r>
        <w:rPr>
          <w:color w:val="000000"/>
          <w:szCs w:val="22"/>
          <w:lang w:val="zh-CN"/>
        </w:rPr>
        <w:t>《锅炉大气污染物排放标准》（GB13271-2014）</w:t>
      </w:r>
      <w:r>
        <w:rPr>
          <w:rFonts w:hint="eastAsia"/>
          <w:color w:val="000000"/>
          <w:szCs w:val="22"/>
        </w:rPr>
        <w:t>在用</w:t>
      </w:r>
      <w:r>
        <w:rPr>
          <w:color w:val="000000"/>
          <w:szCs w:val="22"/>
          <w:lang w:val="zh-CN"/>
        </w:rPr>
        <w:t>锅炉</w:t>
      </w:r>
      <w:r>
        <w:rPr>
          <w:rFonts w:hint="eastAsia"/>
          <w:color w:val="000000"/>
          <w:szCs w:val="22"/>
        </w:rPr>
        <w:t>中颗粒物</w:t>
      </w:r>
      <w:r>
        <w:rPr>
          <w:color w:val="000000"/>
          <w:szCs w:val="22"/>
        </w:rPr>
        <w:t>≤</w:t>
      </w:r>
      <w:r>
        <w:rPr>
          <w:rFonts w:hint="eastAsia"/>
          <w:color w:val="000000"/>
          <w:szCs w:val="22"/>
        </w:rPr>
        <w:t>80mg/m</w:t>
      </w:r>
      <w:r>
        <w:rPr>
          <w:rFonts w:hint="eastAsia"/>
          <w:color w:val="000000"/>
          <w:szCs w:val="22"/>
          <w:vertAlign w:val="superscript"/>
        </w:rPr>
        <w:t>3</w:t>
      </w:r>
      <w:r>
        <w:rPr>
          <w:rFonts w:hint="eastAsia"/>
          <w:color w:val="000000"/>
          <w:szCs w:val="22"/>
        </w:rPr>
        <w:t>的限值要求，颗</w:t>
      </w:r>
      <w:r>
        <w:rPr>
          <w:rFonts w:hint="eastAsia"/>
          <w:szCs w:val="22"/>
        </w:rPr>
        <w:t>粒物超标；同时生活污水的排放方式不符合现行的环保要求。根据</w:t>
      </w:r>
      <w:r>
        <w:rPr>
          <w:rFonts w:hint="eastAsia"/>
          <w:szCs w:val="22"/>
          <w:lang w:val="zh-CN"/>
        </w:rPr>
        <w:t>云南省德宏州芒市声环境功能区划分（</w:t>
      </w:r>
      <w:r>
        <w:rPr>
          <w:szCs w:val="22"/>
          <w:lang w:val="zh-CN"/>
        </w:rPr>
        <w:t>2019~2029</w:t>
      </w:r>
      <w:r>
        <w:rPr>
          <w:rFonts w:hint="eastAsia"/>
          <w:szCs w:val="22"/>
          <w:lang w:val="zh-CN"/>
        </w:rPr>
        <w:t>）</w:t>
      </w:r>
      <w:r>
        <w:rPr>
          <w:rFonts w:hint="eastAsia"/>
          <w:szCs w:val="22"/>
        </w:rPr>
        <w:t>，项目所在区域已经被划为2类声功能区，因此原有项目各厂界噪声不能完全满足</w:t>
      </w:r>
      <w:r>
        <w:t>《工业企业厂界环境噪声排放标准》2类</w:t>
      </w:r>
      <w:r>
        <w:rPr>
          <w:bCs/>
        </w:rPr>
        <w:t>标准</w:t>
      </w:r>
      <w:r>
        <w:rPr>
          <w:szCs w:val="24"/>
        </w:rPr>
        <w:t>。</w:t>
      </w:r>
    </w:p>
    <w:p w14:paraId="4AB6F0B2">
      <w:pPr>
        <w:widowControl w:val="0"/>
        <w:ind w:firstLine="480"/>
        <w:rPr>
          <w:rFonts w:hint="eastAsia" w:hAnsi="宋体"/>
          <w:szCs w:val="24"/>
        </w:rPr>
      </w:pPr>
      <w:r>
        <w:rPr>
          <w:rFonts w:hint="eastAsia" w:hAnsi="宋体"/>
          <w:szCs w:val="24"/>
        </w:rPr>
        <w:t>针对原有项目存在的环境问题将随着项目扩建一并进行整改。</w:t>
      </w:r>
    </w:p>
    <w:p w14:paraId="7D97A7F9">
      <w:pPr>
        <w:pStyle w:val="2"/>
        <w:rPr>
          <w:rFonts w:hint="eastAsia" w:hAnsi="宋体"/>
          <w:szCs w:val="24"/>
        </w:rPr>
      </w:pPr>
    </w:p>
    <w:p w14:paraId="23158444">
      <w:pPr>
        <w:pStyle w:val="2"/>
        <w:rPr>
          <w:rFonts w:hint="eastAsia" w:hAnsi="宋体"/>
          <w:szCs w:val="24"/>
        </w:rPr>
      </w:pPr>
    </w:p>
    <w:p w14:paraId="787573B3">
      <w:pPr>
        <w:pStyle w:val="2"/>
        <w:rPr>
          <w:rFonts w:hint="eastAsia" w:hAnsi="宋体"/>
          <w:szCs w:val="24"/>
        </w:rPr>
      </w:pPr>
    </w:p>
    <w:p w14:paraId="555BAF5E">
      <w:pPr>
        <w:pStyle w:val="2"/>
        <w:rPr>
          <w:rFonts w:hint="eastAsia" w:hAnsi="宋体"/>
          <w:szCs w:val="24"/>
        </w:rPr>
      </w:pPr>
    </w:p>
    <w:p w14:paraId="1458827F">
      <w:pPr>
        <w:pStyle w:val="2"/>
        <w:rPr>
          <w:rFonts w:hint="eastAsia" w:hAnsi="宋体"/>
          <w:szCs w:val="24"/>
        </w:rPr>
      </w:pPr>
    </w:p>
    <w:p w14:paraId="7CC475FB">
      <w:pPr>
        <w:pStyle w:val="2"/>
        <w:rPr>
          <w:rFonts w:hint="eastAsia" w:hAnsi="宋体"/>
          <w:szCs w:val="24"/>
        </w:rPr>
      </w:pPr>
    </w:p>
    <w:p w14:paraId="5FAA81F7">
      <w:pPr>
        <w:pStyle w:val="2"/>
        <w:rPr>
          <w:rFonts w:hint="eastAsia" w:hAnsi="宋体"/>
          <w:szCs w:val="24"/>
        </w:rPr>
      </w:pPr>
    </w:p>
    <w:p w14:paraId="00403423">
      <w:pPr>
        <w:pStyle w:val="2"/>
        <w:rPr>
          <w:rFonts w:hint="eastAsia" w:hAnsi="宋体"/>
          <w:szCs w:val="24"/>
        </w:rPr>
      </w:pPr>
    </w:p>
    <w:p w14:paraId="436642F8">
      <w:pPr>
        <w:pStyle w:val="2"/>
        <w:rPr>
          <w:rFonts w:hint="eastAsia" w:hAnsi="宋体"/>
          <w:szCs w:val="24"/>
        </w:rPr>
      </w:pPr>
    </w:p>
    <w:p w14:paraId="0A28274E">
      <w:pPr>
        <w:pStyle w:val="2"/>
        <w:rPr>
          <w:rFonts w:hint="eastAsia" w:hAnsi="宋体"/>
          <w:szCs w:val="24"/>
        </w:rPr>
      </w:pPr>
    </w:p>
    <w:p w14:paraId="7A55BBCC">
      <w:pPr>
        <w:pStyle w:val="2"/>
        <w:rPr>
          <w:rFonts w:hint="eastAsia" w:hAnsi="宋体"/>
          <w:szCs w:val="24"/>
        </w:rPr>
      </w:pPr>
    </w:p>
    <w:p w14:paraId="502A6C3D">
      <w:pPr>
        <w:pStyle w:val="2"/>
        <w:rPr>
          <w:rFonts w:hint="eastAsia" w:hAnsi="宋体"/>
          <w:szCs w:val="24"/>
        </w:rPr>
      </w:pPr>
    </w:p>
    <w:p w14:paraId="0201CCC6">
      <w:pPr>
        <w:pStyle w:val="2"/>
        <w:rPr>
          <w:rFonts w:hint="eastAsia" w:hAnsi="宋体"/>
          <w:szCs w:val="24"/>
        </w:rPr>
      </w:pPr>
    </w:p>
    <w:p w14:paraId="1BF1197E">
      <w:pPr>
        <w:pStyle w:val="2"/>
        <w:rPr>
          <w:rFonts w:hint="eastAsia" w:hAnsi="宋体"/>
          <w:szCs w:val="24"/>
        </w:rPr>
      </w:pPr>
    </w:p>
    <w:p w14:paraId="54CD3309">
      <w:pPr>
        <w:pStyle w:val="2"/>
        <w:rPr>
          <w:rFonts w:hint="eastAsia" w:hAnsi="宋体"/>
          <w:szCs w:val="24"/>
        </w:rPr>
      </w:pPr>
    </w:p>
    <w:p w14:paraId="65F2092C">
      <w:pPr>
        <w:pStyle w:val="2"/>
        <w:rPr>
          <w:rFonts w:hint="eastAsia" w:hAnsi="宋体"/>
          <w:szCs w:val="24"/>
        </w:rPr>
      </w:pPr>
    </w:p>
    <w:p w14:paraId="5E875BCD">
      <w:pPr>
        <w:pStyle w:val="2"/>
        <w:rPr>
          <w:rFonts w:hint="eastAsia" w:hAnsi="宋体"/>
          <w:szCs w:val="24"/>
        </w:rPr>
      </w:pPr>
    </w:p>
    <w:p w14:paraId="68DEA6BB">
      <w:pPr>
        <w:pStyle w:val="2"/>
        <w:rPr>
          <w:rFonts w:hint="eastAsia" w:hAnsi="宋体"/>
          <w:szCs w:val="24"/>
        </w:rPr>
      </w:pPr>
    </w:p>
    <w:p w14:paraId="6779ADDC">
      <w:pPr>
        <w:pStyle w:val="2"/>
        <w:rPr>
          <w:rFonts w:hint="eastAsia" w:hAnsi="宋体"/>
          <w:szCs w:val="24"/>
        </w:rPr>
      </w:pPr>
    </w:p>
    <w:p w14:paraId="401DD6A0">
      <w:pPr>
        <w:pStyle w:val="2"/>
        <w:rPr>
          <w:rFonts w:hint="eastAsia" w:hAnsi="宋体"/>
          <w:szCs w:val="24"/>
        </w:rPr>
      </w:pPr>
    </w:p>
    <w:p w14:paraId="3FEED6C3">
      <w:pPr>
        <w:pStyle w:val="2"/>
        <w:rPr>
          <w:rFonts w:hint="eastAsia" w:hAnsi="宋体"/>
          <w:szCs w:val="24"/>
        </w:rPr>
      </w:pPr>
    </w:p>
    <w:p w14:paraId="5F507CA5">
      <w:pPr>
        <w:pStyle w:val="2"/>
        <w:rPr>
          <w:rFonts w:hint="eastAsia" w:hAnsi="宋体"/>
          <w:szCs w:val="24"/>
        </w:rPr>
      </w:pPr>
    </w:p>
    <w:p w14:paraId="0B3AB2E3">
      <w:pPr>
        <w:pStyle w:val="2"/>
        <w:rPr>
          <w:rFonts w:hint="eastAsia" w:hAnsi="宋体"/>
          <w:szCs w:val="24"/>
        </w:rPr>
      </w:pPr>
    </w:p>
    <w:p w14:paraId="507BE475">
      <w:pPr>
        <w:pStyle w:val="2"/>
        <w:rPr>
          <w:rFonts w:hint="eastAsia" w:hAnsi="宋体"/>
          <w:szCs w:val="24"/>
        </w:rPr>
      </w:pPr>
    </w:p>
    <w:p w14:paraId="31AB1C72">
      <w:pPr>
        <w:pStyle w:val="2"/>
        <w:rPr>
          <w:rFonts w:hint="eastAsia" w:hAnsi="宋体"/>
          <w:szCs w:val="24"/>
        </w:rPr>
      </w:pPr>
    </w:p>
    <w:p w14:paraId="7D7B7C92">
      <w:pPr>
        <w:pStyle w:val="2"/>
        <w:rPr>
          <w:rFonts w:hint="eastAsia" w:hAnsi="宋体"/>
          <w:szCs w:val="24"/>
        </w:rPr>
      </w:pPr>
    </w:p>
    <w:p w14:paraId="4AE85706">
      <w:pPr>
        <w:pStyle w:val="186"/>
        <w:numPr>
          <w:ilvl w:val="0"/>
          <w:numId w:val="3"/>
        </w:numPr>
        <w:ind w:firstLine="640"/>
        <w:rPr>
          <w:rFonts w:hint="eastAsia"/>
        </w:rPr>
      </w:pPr>
      <w:bookmarkStart w:id="93" w:name="_Toc1874"/>
      <w:r>
        <w:rPr>
          <w:rFonts w:hint="eastAsia"/>
          <w:lang w:val="en-US" w:eastAsia="zh-CN"/>
        </w:rPr>
        <w:t>建设项目工程分析</w:t>
      </w:r>
      <w:bookmarkEnd w:id="91"/>
    </w:p>
    <w:bookmarkEnd w:id="92"/>
    <w:bookmarkEnd w:id="93"/>
    <w:p w14:paraId="1DF49929">
      <w:pPr>
        <w:pStyle w:val="187"/>
        <w:rPr>
          <w:rFonts w:ascii="Times New Roman" w:hAnsi="Times New Roman"/>
        </w:rPr>
      </w:pPr>
      <w:bookmarkStart w:id="94" w:name="_Toc418954600"/>
      <w:bookmarkStart w:id="95" w:name="_Toc2837"/>
      <w:bookmarkStart w:id="96" w:name="_Toc335320849"/>
      <w:r>
        <w:rPr>
          <w:rFonts w:hint="eastAsia" w:ascii="Times New Roman" w:hAnsi="Times New Roman"/>
          <w:lang w:val="en-US" w:eastAsia="zh-CN"/>
        </w:rPr>
        <w:t>4.1</w:t>
      </w:r>
      <w:r>
        <w:rPr>
          <w:rFonts w:hint="eastAsia" w:ascii="Times New Roman" w:hAnsi="Times New Roman"/>
        </w:rPr>
        <w:t>建设项目概况</w:t>
      </w:r>
      <w:bookmarkEnd w:id="94"/>
      <w:bookmarkEnd w:id="95"/>
      <w:bookmarkEnd w:id="96"/>
    </w:p>
    <w:p w14:paraId="2BED0816">
      <w:pPr>
        <w:pStyle w:val="188"/>
      </w:pPr>
      <w:r>
        <w:rPr>
          <w:rFonts w:hint="eastAsia"/>
          <w:lang w:val="en-US" w:eastAsia="zh-CN"/>
        </w:rPr>
        <w:t>4.1</w:t>
      </w:r>
      <w:r>
        <w:t>.1</w:t>
      </w:r>
      <w:r>
        <w:rPr>
          <w:rFonts w:hint="eastAsia"/>
        </w:rPr>
        <w:t>项目</w:t>
      </w:r>
      <w:r>
        <w:t>基本情况</w:t>
      </w:r>
    </w:p>
    <w:p w14:paraId="66007D94">
      <w:pPr>
        <w:ind w:firstLine="496"/>
        <w:rPr>
          <w:rFonts w:ascii="宋体" w:hAnsi="宋体"/>
          <w:bCs/>
          <w:szCs w:val="24"/>
        </w:rPr>
      </w:pPr>
      <w:r>
        <w:rPr>
          <w:bCs/>
          <w:spacing w:val="4"/>
          <w:szCs w:val="24"/>
        </w:rPr>
        <w:t>项目名称：</w:t>
      </w:r>
      <w:r>
        <w:rPr>
          <w:rFonts w:hint="eastAsia" w:ascii="宋体" w:hAnsi="宋体"/>
          <w:bCs/>
          <w:szCs w:val="24"/>
        </w:rPr>
        <w:t>云南永利发林业有限公司年产10万立方米全竹、竹木复合地板一厂区改扩建项目</w:t>
      </w:r>
    </w:p>
    <w:p w14:paraId="1054797E">
      <w:pPr>
        <w:ind w:firstLine="496"/>
        <w:rPr>
          <w:rFonts w:hint="eastAsia"/>
          <w:bCs/>
          <w:spacing w:val="4"/>
          <w:szCs w:val="24"/>
        </w:rPr>
      </w:pPr>
      <w:r>
        <w:rPr>
          <w:bCs/>
          <w:spacing w:val="4"/>
          <w:szCs w:val="24"/>
        </w:rPr>
        <w:t>建设单</w:t>
      </w:r>
      <w:r>
        <w:rPr>
          <w:bCs/>
          <w:color w:val="FF0000"/>
          <w:spacing w:val="4"/>
          <w:szCs w:val="24"/>
        </w:rPr>
        <w:t>位：</w:t>
      </w:r>
      <w:r>
        <w:rPr>
          <w:rFonts w:hint="eastAsia"/>
          <w:bCs/>
          <w:color w:val="FF0000"/>
          <w:spacing w:val="4"/>
          <w:szCs w:val="24"/>
        </w:rPr>
        <w:t>云南永利发林业有限公司</w:t>
      </w:r>
    </w:p>
    <w:p w14:paraId="0871CD8D">
      <w:pPr>
        <w:ind w:firstLine="496"/>
        <w:rPr>
          <w:rFonts w:hint="eastAsia"/>
          <w:bCs/>
          <w:spacing w:val="4"/>
          <w:szCs w:val="24"/>
        </w:rPr>
      </w:pPr>
      <w:r>
        <w:rPr>
          <w:bCs/>
          <w:spacing w:val="4"/>
          <w:szCs w:val="24"/>
        </w:rPr>
        <w:t>建设性质：</w:t>
      </w:r>
      <w:r>
        <w:rPr>
          <w:rFonts w:hint="eastAsia"/>
          <w:bCs/>
          <w:spacing w:val="4"/>
          <w:szCs w:val="24"/>
          <w:lang w:val="en-US" w:eastAsia="zh-CN"/>
        </w:rPr>
        <w:t>改</w:t>
      </w:r>
      <w:r>
        <w:rPr>
          <w:rFonts w:hint="eastAsia"/>
          <w:bCs/>
          <w:spacing w:val="4"/>
          <w:szCs w:val="24"/>
        </w:rPr>
        <w:t>扩建</w:t>
      </w:r>
    </w:p>
    <w:p w14:paraId="56F3B88D">
      <w:pPr>
        <w:ind w:right="28" w:firstLine="496"/>
      </w:pPr>
      <w:r>
        <w:rPr>
          <w:bCs/>
          <w:spacing w:val="4"/>
          <w:szCs w:val="24"/>
        </w:rPr>
        <w:t>建设地点：</w:t>
      </w:r>
      <w:r>
        <w:rPr>
          <w:rFonts w:hint="eastAsia"/>
          <w:bCs/>
          <w:spacing w:val="4"/>
          <w:szCs w:val="24"/>
        </w:rPr>
        <w:t>德宏州芒市镇大湾村委会街坡村民小组（奥环水泥厂西面），</w:t>
      </w:r>
      <w:r>
        <w:rPr>
          <w:szCs w:val="24"/>
        </w:rPr>
        <w:t>项目区中心地理位置坐标为：N 24°27'38.58"，E98°35'37.60"，项目区外有一条简易道路</w:t>
      </w:r>
      <w:r>
        <w:rPr>
          <w:rFonts w:hint="eastAsia"/>
          <w:szCs w:val="24"/>
        </w:rPr>
        <w:t>与G320国道连接</w:t>
      </w:r>
      <w:r>
        <w:rPr>
          <w:szCs w:val="24"/>
        </w:rPr>
        <w:t>，交通便利，</w:t>
      </w:r>
      <w:r>
        <w:rPr>
          <w:rFonts w:hAnsi="宋体"/>
        </w:rPr>
        <w:t>项目</w:t>
      </w:r>
      <w:r>
        <w:rPr>
          <w:rFonts w:hint="eastAsia" w:hAnsi="宋体"/>
        </w:rPr>
        <w:t>所在区域</w:t>
      </w:r>
      <w:r>
        <w:rPr>
          <w:rFonts w:hAnsi="宋体"/>
        </w:rPr>
        <w:t>通水、通电、道路交通以及通讯条件较好</w:t>
      </w:r>
      <w:r>
        <w:rPr>
          <w:rFonts w:hint="eastAsia" w:hAnsi="宋体"/>
        </w:rPr>
        <w:t>。</w:t>
      </w:r>
      <w:r>
        <w:t>项目地理位置见附图</w:t>
      </w:r>
      <w:r>
        <w:rPr>
          <w:rFonts w:hint="eastAsia"/>
          <w:lang w:val="en-US" w:eastAsia="zh-CN"/>
        </w:rPr>
        <w:t>1</w:t>
      </w:r>
      <w:r>
        <w:t>。</w:t>
      </w:r>
    </w:p>
    <w:p w14:paraId="14ACFEBD">
      <w:pPr>
        <w:ind w:firstLine="496"/>
        <w:rPr>
          <w:rFonts w:hint="eastAsia"/>
          <w:bCs/>
          <w:spacing w:val="4"/>
          <w:szCs w:val="24"/>
        </w:rPr>
      </w:pPr>
      <w:r>
        <w:rPr>
          <w:rFonts w:hint="eastAsia"/>
          <w:bCs/>
          <w:spacing w:val="4"/>
          <w:szCs w:val="24"/>
        </w:rPr>
        <w:t>总投资：100万元，企业自筹。</w:t>
      </w:r>
    </w:p>
    <w:p w14:paraId="5C39AF83">
      <w:pPr>
        <w:pStyle w:val="2"/>
        <w:ind w:firstLine="496"/>
        <w:rPr>
          <w:rFonts w:hint="eastAsia" w:ascii="Times New Roman" w:hAnsi="Times New Roman" w:cs="Times New Roman"/>
          <w:bCs/>
          <w:spacing w:val="4"/>
          <w:sz w:val="24"/>
          <w:szCs w:val="24"/>
        </w:rPr>
      </w:pPr>
      <w:r>
        <w:rPr>
          <w:rFonts w:hint="eastAsia" w:ascii="Times New Roman" w:hAnsi="Times New Roman" w:cs="Times New Roman"/>
          <w:bCs/>
          <w:spacing w:val="4"/>
          <w:sz w:val="24"/>
          <w:szCs w:val="24"/>
        </w:rPr>
        <w:t>建设规模：</w:t>
      </w:r>
      <w:r>
        <w:rPr>
          <w:rFonts w:hint="eastAsia" w:ascii="Times New Roman" w:hAnsi="Times New Roman" w:cs="Times New Roman"/>
          <w:bCs/>
          <w:spacing w:val="4"/>
          <w:sz w:val="24"/>
          <w:szCs w:val="24"/>
          <w:lang w:val="en-US" w:eastAsia="zh-CN"/>
        </w:rPr>
        <w:t>在原有项目的基础上，对板材生产工艺进行技改，并</w:t>
      </w:r>
      <w:r>
        <w:rPr>
          <w:rFonts w:hint="eastAsia" w:ascii="Times New Roman" w:hAnsi="Times New Roman" w:cs="Times New Roman"/>
          <w:bCs/>
          <w:spacing w:val="4"/>
          <w:sz w:val="24"/>
          <w:szCs w:val="24"/>
        </w:rPr>
        <w:t>增设制胶生产线1条，改扩建完成后，年产10万立方米全竹、竹木</w:t>
      </w:r>
      <w:r>
        <w:rPr>
          <w:rFonts w:hint="eastAsia" w:ascii="Times New Roman" w:hAnsi="Times New Roman" w:cs="Times New Roman"/>
          <w:bCs/>
          <w:spacing w:val="4"/>
          <w:sz w:val="24"/>
          <w:szCs w:val="24"/>
          <w:lang w:val="en-US" w:eastAsia="zh-CN"/>
        </w:rPr>
        <w:t>复合</w:t>
      </w:r>
      <w:r>
        <w:rPr>
          <w:rFonts w:hint="eastAsia" w:ascii="Times New Roman" w:hAnsi="Times New Roman" w:cs="Times New Roman"/>
          <w:bCs/>
          <w:spacing w:val="4"/>
          <w:sz w:val="24"/>
          <w:szCs w:val="24"/>
        </w:rPr>
        <w:t>地板，年产5000吨胶水。</w:t>
      </w:r>
    </w:p>
    <w:p w14:paraId="570CC41F">
      <w:pPr>
        <w:ind w:firstLine="496"/>
        <w:rPr>
          <w:color w:val="FF0000"/>
        </w:rPr>
      </w:pPr>
      <w:r>
        <w:rPr>
          <w:bCs/>
          <w:spacing w:val="4"/>
          <w:szCs w:val="24"/>
        </w:rPr>
        <w:t>用地情况：</w:t>
      </w:r>
      <w:bookmarkStart w:id="97" w:name="_Hlk885306"/>
      <w:r>
        <w:rPr>
          <w:rFonts w:hint="eastAsia"/>
          <w:bCs/>
          <w:spacing w:val="4"/>
          <w:szCs w:val="24"/>
          <w:lang w:val="en-US" w:eastAsia="zh-CN"/>
        </w:rPr>
        <w:t>扩建完成后，</w:t>
      </w:r>
      <w:r>
        <w:rPr>
          <w:bCs/>
          <w:spacing w:val="4"/>
          <w:szCs w:val="24"/>
        </w:rPr>
        <w:t>项目总用地面积77042.6m</w:t>
      </w:r>
      <w:r>
        <w:rPr>
          <w:bCs/>
          <w:spacing w:val="4"/>
          <w:szCs w:val="24"/>
          <w:vertAlign w:val="superscript"/>
        </w:rPr>
        <w:t>2</w:t>
      </w:r>
      <w:r>
        <w:rPr>
          <w:bCs/>
          <w:spacing w:val="4"/>
          <w:szCs w:val="24"/>
        </w:rPr>
        <w:t>，</w:t>
      </w:r>
      <w:r>
        <w:rPr>
          <w:rFonts w:hint="eastAsia"/>
          <w:bCs/>
          <w:spacing w:val="4"/>
          <w:szCs w:val="24"/>
        </w:rPr>
        <w:t>根据现场实地调查，项目分2个地块进行建设，其中地块一（即原有项目）位于北侧，实际占地面积76038.5m</w:t>
      </w:r>
      <w:r>
        <w:rPr>
          <w:rFonts w:hint="eastAsia"/>
          <w:bCs/>
          <w:spacing w:val="4"/>
          <w:szCs w:val="24"/>
          <w:vertAlign w:val="superscript"/>
        </w:rPr>
        <w:t>2</w:t>
      </w:r>
      <w:r>
        <w:rPr>
          <w:rFonts w:hint="eastAsia"/>
          <w:bCs/>
          <w:spacing w:val="4"/>
          <w:szCs w:val="24"/>
          <w:lang w:eastAsia="zh-CN"/>
        </w:rPr>
        <w:t>；</w:t>
      </w:r>
      <w:r>
        <w:rPr>
          <w:rFonts w:hint="eastAsia"/>
          <w:bCs/>
          <w:spacing w:val="4"/>
          <w:szCs w:val="24"/>
        </w:rPr>
        <w:t>地块二位于东南侧，占地面积1004.1m</w:t>
      </w:r>
      <w:r>
        <w:rPr>
          <w:rFonts w:hint="eastAsia"/>
          <w:bCs/>
          <w:spacing w:val="4"/>
          <w:szCs w:val="24"/>
          <w:vertAlign w:val="superscript"/>
        </w:rPr>
        <w:t>2</w:t>
      </w:r>
      <w:r>
        <w:rPr>
          <w:rFonts w:hint="eastAsia"/>
          <w:bCs/>
          <w:spacing w:val="4"/>
          <w:szCs w:val="24"/>
        </w:rPr>
        <w:t>。</w:t>
      </w:r>
      <w:r>
        <w:rPr>
          <w:bCs/>
          <w:color w:val="FF0000"/>
          <w:spacing w:val="4"/>
          <w:szCs w:val="24"/>
        </w:rPr>
        <w:t>建设方已经取</w:t>
      </w:r>
      <w:r>
        <w:rPr>
          <w:rFonts w:hint="eastAsia"/>
          <w:bCs/>
          <w:color w:val="FF0000"/>
          <w:spacing w:val="4"/>
          <w:szCs w:val="24"/>
          <w:lang w:val="en-US" w:eastAsia="zh-CN"/>
        </w:rPr>
        <w:t>得</w:t>
      </w:r>
      <w:r>
        <w:rPr>
          <w:rFonts w:hint="eastAsia"/>
          <w:bCs/>
          <w:color w:val="FF0000"/>
          <w:spacing w:val="4"/>
          <w:szCs w:val="24"/>
        </w:rPr>
        <w:t>了</w:t>
      </w:r>
      <w:r>
        <w:rPr>
          <w:bCs/>
          <w:color w:val="FF0000"/>
          <w:spacing w:val="4"/>
          <w:szCs w:val="24"/>
        </w:rPr>
        <w:t>不动产权证书，</w:t>
      </w:r>
      <w:r>
        <w:rPr>
          <w:bCs/>
          <w:spacing w:val="4"/>
          <w:szCs w:val="24"/>
        </w:rPr>
        <w:t>项目用地性质为工业用地，项目使用期限为国有建设用地使用权2009年2月2日~2059年2月2日止。</w:t>
      </w:r>
      <w:bookmarkEnd w:id="97"/>
      <w:r>
        <w:rPr>
          <w:color w:val="FF0000"/>
        </w:rPr>
        <w:t>（见附件</w:t>
      </w:r>
      <w:r>
        <w:rPr>
          <w:rFonts w:hint="eastAsia"/>
          <w:color w:val="FF0000"/>
          <w:lang w:val="en-US" w:eastAsia="zh-CN"/>
        </w:rPr>
        <w:t>8</w:t>
      </w:r>
      <w:r>
        <w:rPr>
          <w:color w:val="FF0000"/>
        </w:rPr>
        <w:t>不动产权证书）</w:t>
      </w:r>
    </w:p>
    <w:p w14:paraId="40275E5E">
      <w:pPr>
        <w:pStyle w:val="433"/>
        <w:ind w:firstLine="496"/>
        <w:jc w:val="both"/>
        <w:rPr>
          <w:rFonts w:eastAsia="宋体"/>
          <w:bCs/>
          <w:spacing w:val="4"/>
          <w:szCs w:val="24"/>
          <w:lang w:val="en-US" w:eastAsia="zh-CN"/>
        </w:rPr>
      </w:pPr>
      <w:r>
        <w:rPr>
          <w:bCs/>
          <w:spacing w:val="4"/>
          <w:szCs w:val="24"/>
        </w:rPr>
        <w:t>建设工期：</w:t>
      </w:r>
      <w:r>
        <w:rPr>
          <w:color w:val="FF0000"/>
          <w:szCs w:val="24"/>
        </w:rPr>
        <w:t>项目</w:t>
      </w:r>
      <w:r>
        <w:rPr>
          <w:rFonts w:hint="eastAsia"/>
          <w:color w:val="FF0000"/>
          <w:szCs w:val="24"/>
          <w:lang w:val="en-US" w:eastAsia="zh-CN"/>
        </w:rPr>
        <w:t>于2008年2月初开始进行改扩建，于2013年底改扩建完成，因此目前</w:t>
      </w:r>
      <w:r>
        <w:rPr>
          <w:rFonts w:hint="eastAsia"/>
          <w:bCs/>
          <w:color w:val="FF0000"/>
          <w:spacing w:val="4"/>
          <w:szCs w:val="24"/>
        </w:rPr>
        <w:t>项目</w:t>
      </w:r>
      <w:r>
        <w:rPr>
          <w:rFonts w:hint="eastAsia"/>
          <w:bCs/>
          <w:color w:val="FF0000"/>
          <w:spacing w:val="4"/>
          <w:szCs w:val="24"/>
          <w:lang w:val="en-US" w:eastAsia="zh-CN"/>
        </w:rPr>
        <w:t>改扩建内容</w:t>
      </w:r>
      <w:r>
        <w:rPr>
          <w:rFonts w:hint="eastAsia"/>
          <w:bCs/>
          <w:color w:val="FF0000"/>
          <w:spacing w:val="4"/>
          <w:szCs w:val="24"/>
        </w:rPr>
        <w:t>已经建设完毕</w:t>
      </w:r>
      <w:r>
        <w:rPr>
          <w:rFonts w:hint="eastAsia"/>
          <w:bCs/>
          <w:color w:val="FF0000"/>
          <w:spacing w:val="4"/>
          <w:szCs w:val="24"/>
          <w:lang w:eastAsia="zh-CN"/>
        </w:rPr>
        <w:t>，</w:t>
      </w:r>
      <w:r>
        <w:rPr>
          <w:rFonts w:hint="eastAsia"/>
          <w:bCs/>
          <w:color w:val="FF0000"/>
          <w:spacing w:val="4"/>
          <w:szCs w:val="24"/>
          <w:lang w:val="en-US" w:eastAsia="zh-CN"/>
        </w:rPr>
        <w:t>仅需要对厂区存在的环境问题进行整改，计划于2020年12月底整改完毕。</w:t>
      </w:r>
    </w:p>
    <w:p w14:paraId="28B599F4">
      <w:pPr>
        <w:pStyle w:val="188"/>
        <w:rPr>
          <w:rFonts w:hint="eastAsia"/>
        </w:rPr>
      </w:pPr>
      <w:r>
        <w:rPr>
          <w:rFonts w:hint="eastAsia"/>
          <w:lang w:val="en-US" w:eastAsia="zh-CN"/>
        </w:rPr>
        <w:t>4.1.2改扩建项目</w:t>
      </w:r>
      <w:r>
        <w:rPr>
          <w:rFonts w:hint="eastAsia"/>
        </w:rPr>
        <w:t>建设内容</w:t>
      </w:r>
    </w:p>
    <w:p w14:paraId="554FDDA1">
      <w:pPr>
        <w:pStyle w:val="2"/>
        <w:ind w:firstLine="496"/>
        <w:rPr>
          <w:rFonts w:hint="eastAsia" w:ascii="Times New Roman" w:hAnsi="Times New Roman" w:cs="Times New Roman"/>
          <w:bCs/>
          <w:spacing w:val="4"/>
          <w:sz w:val="24"/>
          <w:szCs w:val="24"/>
          <w:lang w:val="en-US" w:eastAsia="zh-CN"/>
        </w:rPr>
      </w:pPr>
      <w:bookmarkStart w:id="98" w:name="_Hlk1208339"/>
      <w:r>
        <w:rPr>
          <w:rFonts w:hint="eastAsia" w:ascii="Times New Roman" w:hAnsi="Times New Roman" w:cs="Times New Roman"/>
          <w:bCs/>
          <w:spacing w:val="4"/>
          <w:sz w:val="24"/>
          <w:szCs w:val="24"/>
        </w:rPr>
        <w:t>本项目</w:t>
      </w:r>
      <w:r>
        <w:rPr>
          <w:rFonts w:hint="eastAsia" w:ascii="Times New Roman" w:hAnsi="Times New Roman" w:cs="Times New Roman"/>
          <w:bCs/>
          <w:spacing w:val="4"/>
          <w:sz w:val="24"/>
          <w:szCs w:val="24"/>
          <w:lang w:val="en-US" w:eastAsia="zh-CN"/>
        </w:rPr>
        <w:t>改扩建的内容具体如下：</w:t>
      </w:r>
    </w:p>
    <w:p w14:paraId="33B39A07">
      <w:pPr>
        <w:pStyle w:val="2"/>
        <w:numPr>
          <w:ilvl w:val="0"/>
          <w:numId w:val="5"/>
        </w:numPr>
        <w:ind w:firstLine="496"/>
        <w:rPr>
          <w:rFonts w:hint="eastAsia" w:ascii="Times New Roman" w:hAnsi="Times New Roman" w:cs="Times New Roman"/>
          <w:bCs/>
          <w:spacing w:val="4"/>
          <w:sz w:val="24"/>
          <w:szCs w:val="24"/>
          <w:lang w:val="en-US" w:eastAsia="zh-CN"/>
        </w:rPr>
      </w:pPr>
      <w:r>
        <w:rPr>
          <w:rFonts w:hint="eastAsia" w:ascii="Times New Roman" w:hAnsi="Times New Roman" w:cs="Times New Roman"/>
          <w:bCs/>
          <w:spacing w:val="4"/>
          <w:sz w:val="24"/>
          <w:szCs w:val="24"/>
          <w:lang w:val="en-US" w:eastAsia="zh-CN"/>
        </w:rPr>
        <w:t>将原有项目的成品库作为制胶车间，并增设制胶反应釜、反应釜、甲醛罐等设施，主要产品为酚醛树脂胶和脲醛树脂胶，年产量为5000吨。</w:t>
      </w:r>
    </w:p>
    <w:p w14:paraId="1A100D7E">
      <w:pPr>
        <w:pStyle w:val="2"/>
        <w:numPr>
          <w:ilvl w:val="0"/>
          <w:numId w:val="5"/>
        </w:numPr>
        <w:ind w:left="0" w:firstLine="496"/>
        <w:rPr>
          <w:rFonts w:hint="eastAsia" w:ascii="Times New Roman" w:hAnsi="Times New Roman" w:cs="Times New Roman"/>
          <w:bCs/>
          <w:spacing w:val="4"/>
          <w:sz w:val="24"/>
          <w:szCs w:val="24"/>
          <w:lang w:val="en-US" w:eastAsia="zh-CN"/>
        </w:rPr>
      </w:pPr>
      <w:r>
        <w:rPr>
          <w:rFonts w:hint="eastAsia" w:ascii="Times New Roman" w:hAnsi="Times New Roman" w:cs="Times New Roman"/>
          <w:bCs/>
          <w:spacing w:val="4"/>
          <w:sz w:val="24"/>
          <w:szCs w:val="24"/>
          <w:lang w:val="en-US" w:eastAsia="zh-CN"/>
        </w:rPr>
        <w:t>依托原有项目生产车间、增设断竹区、刨片仓库等，对原有的竹木板材加工生产线进行技改，对原有项目的生产工艺进行调整，主要产品为全竹地板、竹木复合地板，年产量为10万m</w:t>
      </w:r>
      <w:r>
        <w:rPr>
          <w:rFonts w:hint="eastAsia" w:ascii="Times New Roman" w:hAnsi="Times New Roman" w:cs="Times New Roman"/>
          <w:bCs/>
          <w:spacing w:val="4"/>
          <w:sz w:val="24"/>
          <w:szCs w:val="24"/>
          <w:vertAlign w:val="superscript"/>
          <w:lang w:val="en-US" w:eastAsia="zh-CN"/>
        </w:rPr>
        <w:t>3</w:t>
      </w:r>
      <w:r>
        <w:rPr>
          <w:rFonts w:hint="eastAsia" w:ascii="Times New Roman" w:hAnsi="Times New Roman" w:cs="Times New Roman"/>
          <w:bCs/>
          <w:spacing w:val="4"/>
          <w:sz w:val="24"/>
          <w:szCs w:val="24"/>
          <w:lang w:val="en-US" w:eastAsia="zh-CN"/>
        </w:rPr>
        <w:t>。</w:t>
      </w:r>
    </w:p>
    <w:p w14:paraId="0EECBBB1">
      <w:pPr>
        <w:pStyle w:val="2"/>
        <w:numPr>
          <w:ilvl w:val="0"/>
          <w:numId w:val="5"/>
        </w:numPr>
        <w:ind w:left="0" w:firstLine="496"/>
        <w:rPr>
          <w:rFonts w:hint="eastAsia" w:ascii="Times New Roman" w:hAnsi="Times New Roman" w:cs="Times New Roman"/>
          <w:bCs/>
          <w:color w:val="000000"/>
          <w:spacing w:val="4"/>
          <w:sz w:val="24"/>
          <w:szCs w:val="24"/>
          <w:lang w:val="en-US" w:eastAsia="zh-CN"/>
        </w:rPr>
      </w:pPr>
      <w:r>
        <w:rPr>
          <w:rFonts w:hint="eastAsia" w:ascii="Times New Roman" w:hAnsi="Times New Roman" w:cs="Times New Roman"/>
          <w:bCs/>
          <w:color w:val="000000"/>
          <w:spacing w:val="4"/>
          <w:sz w:val="24"/>
          <w:szCs w:val="24"/>
          <w:lang w:val="en-US" w:eastAsia="zh-CN"/>
        </w:rPr>
        <w:t>原有项目的1台6t/h的生物质燃料蒸汽锅炉更换为1台型号为YGL-12000有机热载体炉，为板材加工生产线干燥工序、热压工序及制胶生产线提供热源。</w:t>
      </w:r>
    </w:p>
    <w:p w14:paraId="1448F0C9">
      <w:pPr>
        <w:pStyle w:val="2"/>
        <w:numPr>
          <w:ilvl w:val="0"/>
          <w:numId w:val="5"/>
        </w:numPr>
        <w:spacing w:line="360" w:lineRule="auto"/>
        <w:ind w:left="0" w:firstLine="496"/>
        <w:jc w:val="both"/>
        <w:rPr>
          <w:rFonts w:ascii="Times New Roman" w:hAnsi="Times New Roman" w:cs="Times New Roman"/>
          <w:bCs/>
          <w:color w:val="000000"/>
          <w:spacing w:val="4"/>
          <w:sz w:val="24"/>
          <w:szCs w:val="24"/>
          <w:lang w:val="en-US" w:eastAsia="zh-CN"/>
        </w:rPr>
      </w:pPr>
      <w:r>
        <w:rPr>
          <w:rFonts w:hint="eastAsia" w:ascii="Times New Roman" w:hAnsi="Times New Roman" w:cs="Times New Roman"/>
          <w:bCs/>
          <w:color w:val="000000"/>
          <w:spacing w:val="4"/>
          <w:sz w:val="24"/>
          <w:szCs w:val="24"/>
          <w:lang w:val="en-US" w:eastAsia="zh-CN"/>
        </w:rPr>
        <w:t>原有项目用地范围新增成品仓库、装车棚、机修车间、车库、食堂、厂棚及危险废物暂存间、断竹区、刨片仓库等构筑物。新增建筑面积约7952.0m</w:t>
      </w:r>
      <w:r>
        <w:rPr>
          <w:rFonts w:hint="eastAsia" w:ascii="Times New Roman" w:hAnsi="Times New Roman" w:cs="Times New Roman"/>
          <w:bCs/>
          <w:color w:val="000000"/>
          <w:spacing w:val="4"/>
          <w:sz w:val="24"/>
          <w:szCs w:val="24"/>
          <w:vertAlign w:val="superscript"/>
          <w:lang w:val="en-US" w:eastAsia="zh-CN"/>
        </w:rPr>
        <w:t>2</w:t>
      </w:r>
      <w:r>
        <w:rPr>
          <w:rFonts w:hint="eastAsia" w:ascii="Times New Roman" w:hAnsi="Times New Roman" w:cs="Times New Roman"/>
          <w:bCs/>
          <w:color w:val="000000"/>
          <w:spacing w:val="4"/>
          <w:sz w:val="24"/>
          <w:szCs w:val="24"/>
          <w:lang w:val="en-US" w:eastAsia="zh-CN"/>
        </w:rPr>
        <w:t>。</w:t>
      </w:r>
    </w:p>
    <w:p w14:paraId="6649910B">
      <w:pPr>
        <w:pStyle w:val="2"/>
        <w:numPr>
          <w:ilvl w:val="0"/>
          <w:numId w:val="0"/>
        </w:numPr>
        <w:spacing w:line="360" w:lineRule="auto"/>
        <w:ind w:firstLine="512"/>
        <w:jc w:val="both"/>
        <w:rPr>
          <w:rFonts w:ascii="Times New Roman" w:hAnsi="Times New Roman" w:eastAsia="宋体" w:cs="Times New Roman"/>
          <w:bCs/>
          <w:spacing w:val="4"/>
          <w:sz w:val="24"/>
          <w:szCs w:val="24"/>
          <w:vertAlign w:val="baseline"/>
          <w:lang w:val="en-US" w:eastAsia="zh-CN"/>
        </w:rPr>
      </w:pPr>
      <w:r>
        <w:rPr>
          <w:rFonts w:hint="eastAsia" w:ascii="Times New Roman" w:hAnsi="Times New Roman" w:cs="Times New Roman"/>
          <w:bCs/>
          <w:spacing w:val="4"/>
          <w:sz w:val="24"/>
          <w:szCs w:val="24"/>
          <w:lang w:val="en-US" w:eastAsia="zh-CN"/>
        </w:rPr>
        <w:t>5、</w:t>
      </w:r>
      <w:r>
        <w:rPr>
          <w:rFonts w:ascii="Times New Roman" w:hAnsi="Times New Roman" w:cs="Times New Roman"/>
          <w:bCs/>
          <w:spacing w:val="4"/>
          <w:sz w:val="24"/>
          <w:szCs w:val="24"/>
          <w:lang w:val="en-US" w:eastAsia="zh-CN"/>
        </w:rPr>
        <w:t>新增用地面积</w:t>
      </w:r>
      <w:r>
        <w:rPr>
          <w:rFonts w:ascii="Times New Roman" w:hAnsi="Times New Roman" w:cs="Times New Roman"/>
          <w:bCs/>
          <w:spacing w:val="4"/>
          <w:sz w:val="24"/>
          <w:szCs w:val="24"/>
        </w:rPr>
        <w:t>1004.1m</w:t>
      </w:r>
      <w:r>
        <w:rPr>
          <w:rFonts w:ascii="Times New Roman" w:hAnsi="Times New Roman" w:cs="Times New Roman"/>
          <w:bCs/>
          <w:spacing w:val="4"/>
          <w:sz w:val="24"/>
          <w:szCs w:val="24"/>
          <w:vertAlign w:val="superscript"/>
        </w:rPr>
        <w:t>2</w:t>
      </w:r>
      <w:r>
        <w:rPr>
          <w:rFonts w:ascii="Times New Roman" w:hAnsi="Times New Roman" w:cs="Times New Roman"/>
          <w:bCs/>
          <w:spacing w:val="4"/>
          <w:sz w:val="24"/>
          <w:szCs w:val="24"/>
          <w:lang w:eastAsia="zh-CN"/>
        </w:rPr>
        <w:t>，</w:t>
      </w:r>
      <w:r>
        <w:rPr>
          <w:rFonts w:ascii="Times New Roman" w:hAnsi="Times New Roman" w:cs="Times New Roman"/>
          <w:bCs/>
          <w:spacing w:val="4"/>
          <w:sz w:val="24"/>
          <w:szCs w:val="24"/>
          <w:lang w:val="en-US" w:eastAsia="zh-CN"/>
        </w:rPr>
        <w:t>位于原有项目的东南侧，主要建设管理人员宿舍楼</w:t>
      </w:r>
      <w:r>
        <w:rPr>
          <w:rFonts w:hint="eastAsia" w:ascii="Times New Roman" w:hAnsi="Times New Roman" w:cs="Times New Roman"/>
          <w:bCs/>
          <w:spacing w:val="4"/>
          <w:sz w:val="24"/>
          <w:szCs w:val="24"/>
          <w:lang w:val="en-US" w:eastAsia="zh-CN"/>
        </w:rPr>
        <w:t>2栋</w:t>
      </w:r>
      <w:r>
        <w:rPr>
          <w:rFonts w:ascii="Times New Roman" w:hAnsi="Times New Roman" w:cs="Times New Roman"/>
          <w:bCs/>
          <w:spacing w:val="4"/>
          <w:sz w:val="24"/>
          <w:szCs w:val="24"/>
          <w:lang w:val="en-US" w:eastAsia="zh-CN"/>
        </w:rPr>
        <w:t>、磅秤房</w:t>
      </w:r>
      <w:r>
        <w:rPr>
          <w:rFonts w:hint="eastAsia" w:ascii="Times New Roman" w:hAnsi="Times New Roman" w:cs="Times New Roman"/>
          <w:bCs/>
          <w:spacing w:val="4"/>
          <w:sz w:val="24"/>
          <w:szCs w:val="24"/>
          <w:lang w:val="en-US" w:eastAsia="zh-CN"/>
        </w:rPr>
        <w:t>1栋</w:t>
      </w:r>
      <w:r>
        <w:rPr>
          <w:rFonts w:ascii="Times New Roman" w:hAnsi="Times New Roman" w:cs="Times New Roman"/>
          <w:bCs/>
          <w:spacing w:val="4"/>
          <w:sz w:val="24"/>
          <w:szCs w:val="24"/>
          <w:lang w:val="en-US" w:eastAsia="zh-CN"/>
        </w:rPr>
        <w:t>等，</w:t>
      </w:r>
      <w:r>
        <w:rPr>
          <w:rFonts w:hint="eastAsia" w:ascii="Times New Roman" w:hAnsi="Times New Roman" w:cs="Times New Roman"/>
          <w:bCs/>
          <w:spacing w:val="4"/>
          <w:sz w:val="24"/>
          <w:szCs w:val="24"/>
          <w:lang w:val="en-US" w:eastAsia="zh-CN"/>
        </w:rPr>
        <w:t>新增</w:t>
      </w:r>
      <w:r>
        <w:rPr>
          <w:rFonts w:ascii="Times New Roman" w:hAnsi="Times New Roman" w:cs="Times New Roman"/>
          <w:bCs/>
          <w:spacing w:val="4"/>
          <w:sz w:val="24"/>
          <w:szCs w:val="24"/>
          <w:lang w:val="en-US" w:eastAsia="zh-CN"/>
        </w:rPr>
        <w:t>总建筑面积约845.32</w:t>
      </w:r>
      <w:r>
        <w:rPr>
          <w:rFonts w:ascii="Times New Roman" w:hAnsi="Times New Roman" w:cs="Times New Roman"/>
          <w:bCs/>
          <w:spacing w:val="4"/>
          <w:sz w:val="24"/>
          <w:szCs w:val="24"/>
        </w:rPr>
        <w:t>m</w:t>
      </w:r>
      <w:r>
        <w:rPr>
          <w:rFonts w:ascii="Times New Roman" w:hAnsi="Times New Roman" w:cs="Times New Roman"/>
          <w:bCs/>
          <w:spacing w:val="4"/>
          <w:sz w:val="24"/>
          <w:szCs w:val="24"/>
          <w:vertAlign w:val="superscript"/>
        </w:rPr>
        <w:t>2</w:t>
      </w:r>
      <w:r>
        <w:rPr>
          <w:rFonts w:ascii="Times New Roman" w:hAnsi="Times New Roman" w:cs="Times New Roman"/>
          <w:bCs/>
          <w:spacing w:val="4"/>
          <w:sz w:val="24"/>
          <w:szCs w:val="24"/>
          <w:vertAlign w:val="baseline"/>
          <w:lang w:eastAsia="zh-CN"/>
        </w:rPr>
        <w:t>。</w:t>
      </w:r>
    </w:p>
    <w:p w14:paraId="02DE18AE">
      <w:pPr>
        <w:pStyle w:val="2"/>
        <w:numPr>
          <w:ilvl w:val="0"/>
          <w:numId w:val="0"/>
        </w:numPr>
        <w:spacing w:line="360" w:lineRule="auto"/>
        <w:ind w:firstLine="512"/>
        <w:jc w:val="both"/>
        <w:rPr>
          <w:rFonts w:ascii="Times New Roman" w:hAnsi="Times New Roman" w:cs="Times New Roman"/>
          <w:bCs/>
          <w:spacing w:val="4"/>
          <w:sz w:val="24"/>
          <w:szCs w:val="24"/>
          <w:lang w:val="en-US" w:eastAsia="zh-CN"/>
        </w:rPr>
      </w:pPr>
      <w:r>
        <w:rPr>
          <w:rFonts w:hint="eastAsia" w:ascii="Times New Roman" w:hAnsi="Times New Roman" w:cs="Times New Roman"/>
          <w:bCs/>
          <w:spacing w:val="4"/>
          <w:sz w:val="24"/>
          <w:szCs w:val="24"/>
          <w:lang w:val="en-US" w:eastAsia="zh-CN"/>
        </w:rPr>
        <w:t>6、结合项目现状，</w:t>
      </w:r>
      <w:r>
        <w:rPr>
          <w:rFonts w:ascii="Times New Roman" w:hAnsi="Times New Roman" w:cs="Times New Roman"/>
          <w:bCs/>
          <w:spacing w:val="4"/>
          <w:sz w:val="24"/>
          <w:szCs w:val="24"/>
          <w:lang w:val="en-US" w:eastAsia="zh-CN"/>
        </w:rPr>
        <w:t>对项目存在的环境问题进行整改。经过环评调查，目前厂区存在问题：</w:t>
      </w:r>
      <w:r>
        <w:rPr>
          <w:rFonts w:ascii="Times New Roman" w:hAnsi="Times New Roman" w:eastAsia="华文宋体" w:cs="Times New Roman"/>
          <w:bCs/>
          <w:spacing w:val="4"/>
          <w:sz w:val="24"/>
          <w:szCs w:val="24"/>
          <w:lang w:val="en-US" w:eastAsia="zh-CN"/>
        </w:rPr>
        <w:t>①</w:t>
      </w:r>
      <w:r>
        <w:rPr>
          <w:rFonts w:ascii="Times New Roman" w:hAnsi="Times New Roman" w:cs="Times New Roman"/>
          <w:bCs/>
          <w:spacing w:val="4"/>
          <w:sz w:val="24"/>
          <w:szCs w:val="24"/>
          <w:lang w:val="en-US" w:eastAsia="zh-CN"/>
        </w:rPr>
        <w:t>6t/h锅炉、有机热载体炉烟气仅各自通过水膜除尘装置处理后排放，外排烟气中的污染浓度不能满足</w:t>
      </w:r>
      <w:r>
        <w:rPr>
          <w:rFonts w:ascii="Times New Roman" w:hAnsi="Times New Roman" w:cs="Times New Roman"/>
          <w:bCs/>
          <w:spacing w:val="4"/>
          <w:sz w:val="24"/>
          <w:szCs w:val="24"/>
          <w:lang w:val="zh-CN" w:eastAsia="zh-CN"/>
        </w:rPr>
        <w:t>《锅炉大气污染物排放标准》（GB13271-2014）</w:t>
      </w:r>
      <w:r>
        <w:rPr>
          <w:rFonts w:ascii="Times New Roman" w:hAnsi="Times New Roman" w:cs="Times New Roman"/>
          <w:bCs/>
          <w:spacing w:val="4"/>
          <w:sz w:val="24"/>
          <w:szCs w:val="24"/>
          <w:lang w:val="en-US" w:eastAsia="zh-CN"/>
        </w:rPr>
        <w:t>在用</w:t>
      </w:r>
      <w:r>
        <w:rPr>
          <w:rFonts w:ascii="Times New Roman" w:hAnsi="Times New Roman" w:cs="Times New Roman"/>
          <w:bCs/>
          <w:spacing w:val="4"/>
          <w:sz w:val="24"/>
          <w:szCs w:val="24"/>
          <w:lang w:val="zh-CN" w:eastAsia="zh-CN"/>
        </w:rPr>
        <w:t>锅炉</w:t>
      </w:r>
      <w:r>
        <w:rPr>
          <w:rFonts w:hint="eastAsia" w:ascii="Times New Roman" w:hAnsi="Times New Roman" w:cs="Times New Roman"/>
          <w:bCs/>
          <w:spacing w:val="4"/>
          <w:sz w:val="24"/>
          <w:szCs w:val="24"/>
          <w:lang w:val="zh-CN" w:eastAsia="zh-CN"/>
        </w:rPr>
        <w:t>、</w:t>
      </w:r>
      <w:r>
        <w:rPr>
          <w:rFonts w:hint="eastAsia" w:ascii="Times New Roman" w:hAnsi="Times New Roman" w:cs="Times New Roman"/>
          <w:bCs/>
          <w:spacing w:val="4"/>
          <w:sz w:val="24"/>
          <w:szCs w:val="24"/>
          <w:lang w:val="en-US" w:eastAsia="zh-CN"/>
        </w:rPr>
        <w:t>新建锅炉</w:t>
      </w:r>
      <w:r>
        <w:rPr>
          <w:rFonts w:ascii="Times New Roman" w:hAnsi="Times New Roman" w:cs="Times New Roman"/>
          <w:bCs/>
          <w:spacing w:val="4"/>
          <w:sz w:val="24"/>
          <w:szCs w:val="24"/>
          <w:lang w:val="en-US" w:eastAsia="zh-CN"/>
        </w:rPr>
        <w:t>中颗粒物的限值要求；</w:t>
      </w:r>
      <w:r>
        <w:rPr>
          <w:rFonts w:ascii="Times New Roman" w:hAnsi="Times New Roman" w:eastAsia="宋体" w:cs="Times New Roman"/>
          <w:bCs/>
          <w:spacing w:val="4"/>
          <w:sz w:val="24"/>
          <w:szCs w:val="24"/>
          <w:lang w:val="en-US" w:eastAsia="zh-CN"/>
        </w:rPr>
        <w:t>②厂区刨片区无采取相应的收尘设施，粉尘散逸污染严重；</w:t>
      </w:r>
      <w:r>
        <w:rPr>
          <w:rFonts w:ascii="Times New Roman" w:hAnsi="Times New Roman" w:eastAsia="华文宋体" w:cs="Times New Roman"/>
          <w:bCs/>
          <w:spacing w:val="4"/>
          <w:sz w:val="24"/>
          <w:szCs w:val="24"/>
          <w:lang w:val="en-US" w:eastAsia="zh-CN"/>
        </w:rPr>
        <w:t>③</w:t>
      </w:r>
      <w:r>
        <w:rPr>
          <w:rFonts w:ascii="Times New Roman" w:hAnsi="Times New Roman" w:eastAsia="宋体" w:cs="Times New Roman"/>
          <w:bCs/>
          <w:color w:val="FF0000"/>
          <w:spacing w:val="4"/>
          <w:sz w:val="24"/>
          <w:szCs w:val="24"/>
          <w:lang w:val="en-US" w:eastAsia="zh-CN"/>
        </w:rPr>
        <w:t>干燥</w:t>
      </w:r>
      <w:r>
        <w:rPr>
          <w:rFonts w:hint="eastAsia" w:ascii="Times New Roman" w:hAnsi="Times New Roman" w:eastAsia="宋体" w:cs="Times New Roman"/>
          <w:bCs/>
          <w:color w:val="FF0000"/>
          <w:spacing w:val="4"/>
          <w:sz w:val="24"/>
          <w:szCs w:val="24"/>
          <w:lang w:val="en-US" w:eastAsia="zh-CN"/>
        </w:rPr>
        <w:t>、铺装</w:t>
      </w:r>
      <w:r>
        <w:rPr>
          <w:rFonts w:ascii="Times New Roman" w:hAnsi="Times New Roman" w:eastAsia="宋体" w:cs="Times New Roman"/>
          <w:bCs/>
          <w:color w:val="FF0000"/>
          <w:spacing w:val="4"/>
          <w:sz w:val="24"/>
          <w:szCs w:val="24"/>
          <w:lang w:val="en-US" w:eastAsia="zh-CN"/>
        </w:rPr>
        <w:t>工序粉尘仅采用旋风除尘器进行处理，</w:t>
      </w:r>
      <w:r>
        <w:rPr>
          <w:rFonts w:hint="eastAsia" w:ascii="Times New Roman" w:hAnsi="Times New Roman" w:eastAsia="宋体" w:cs="Times New Roman"/>
          <w:bCs/>
          <w:color w:val="FF0000"/>
          <w:spacing w:val="4"/>
          <w:sz w:val="24"/>
          <w:szCs w:val="24"/>
          <w:lang w:val="en-US" w:eastAsia="zh-CN"/>
        </w:rPr>
        <w:t>筛选无任何除尘措施，粉尘治理</w:t>
      </w:r>
      <w:r>
        <w:rPr>
          <w:rFonts w:ascii="Times New Roman" w:hAnsi="Times New Roman" w:eastAsia="宋体" w:cs="Times New Roman"/>
          <w:bCs/>
          <w:color w:val="FF0000"/>
          <w:spacing w:val="4"/>
          <w:sz w:val="24"/>
          <w:szCs w:val="24"/>
          <w:lang w:val="en-US" w:eastAsia="zh-CN"/>
        </w:rPr>
        <w:t>效果差</w:t>
      </w:r>
      <w:r>
        <w:rPr>
          <w:rFonts w:ascii="Times New Roman" w:hAnsi="Times New Roman" w:eastAsia="宋体" w:cs="Times New Roman"/>
          <w:bCs/>
          <w:spacing w:val="4"/>
          <w:sz w:val="24"/>
          <w:szCs w:val="24"/>
          <w:lang w:val="en-US" w:eastAsia="zh-CN"/>
        </w:rPr>
        <w:t>；</w:t>
      </w:r>
      <w:r>
        <w:rPr>
          <w:rFonts w:ascii="Times New Roman" w:hAnsi="Times New Roman" w:eastAsia="华文宋体" w:cs="Times New Roman"/>
          <w:bCs/>
          <w:spacing w:val="4"/>
          <w:sz w:val="24"/>
          <w:szCs w:val="24"/>
          <w:lang w:val="en-US" w:eastAsia="zh-CN"/>
        </w:rPr>
        <w:t>④</w:t>
      </w:r>
      <w:r>
        <w:rPr>
          <w:rFonts w:ascii="Times New Roman" w:hAnsi="Times New Roman" w:eastAsia="宋体" w:cs="Times New Roman"/>
          <w:bCs/>
          <w:color w:val="FF0000"/>
          <w:spacing w:val="4"/>
          <w:sz w:val="24"/>
          <w:szCs w:val="24"/>
          <w:lang w:val="en-US" w:eastAsia="zh-CN"/>
        </w:rPr>
        <w:t>制胶生过程</w:t>
      </w:r>
      <w:r>
        <w:rPr>
          <w:rFonts w:hint="eastAsia" w:ascii="Times New Roman" w:hAnsi="Times New Roman" w:eastAsia="宋体" w:cs="Times New Roman"/>
          <w:bCs/>
          <w:color w:val="FF0000"/>
          <w:spacing w:val="4"/>
          <w:sz w:val="24"/>
          <w:szCs w:val="24"/>
          <w:lang w:val="en-US" w:eastAsia="zh-CN"/>
        </w:rPr>
        <w:t>及板材加工热压、贴面工序均</w:t>
      </w:r>
      <w:r>
        <w:rPr>
          <w:rFonts w:ascii="Times New Roman" w:hAnsi="Times New Roman" w:eastAsia="宋体" w:cs="Times New Roman"/>
          <w:bCs/>
          <w:color w:val="FF0000"/>
          <w:spacing w:val="4"/>
          <w:sz w:val="24"/>
          <w:szCs w:val="24"/>
          <w:lang w:val="en-US" w:eastAsia="zh-CN"/>
        </w:rPr>
        <w:t>中未对挥发气体进行收集处理</w:t>
      </w:r>
      <w:r>
        <w:rPr>
          <w:rFonts w:ascii="Times New Roman" w:hAnsi="Times New Roman" w:eastAsia="宋体" w:cs="Times New Roman"/>
          <w:bCs/>
          <w:spacing w:val="4"/>
          <w:sz w:val="24"/>
          <w:szCs w:val="24"/>
          <w:lang w:val="en-US" w:eastAsia="zh-CN"/>
        </w:rPr>
        <w:t>；⑤厂区固体废物堆放混乱，不符合固废堆存的要求。</w:t>
      </w:r>
    </w:p>
    <w:bookmarkEnd w:id="98"/>
    <w:p w14:paraId="4F846580">
      <w:pPr>
        <w:pStyle w:val="2"/>
        <w:ind w:firstLine="496"/>
        <w:rPr>
          <w:rFonts w:hint="eastAsia" w:ascii="Times New Roman" w:hAnsi="Times New Roman" w:cs="Times New Roman"/>
          <w:bCs/>
          <w:spacing w:val="4"/>
          <w:sz w:val="24"/>
          <w:szCs w:val="24"/>
        </w:rPr>
      </w:pPr>
      <w:bookmarkStart w:id="99" w:name="_Hlk1207944"/>
      <w:r>
        <w:rPr>
          <w:rFonts w:hint="eastAsia" w:ascii="Times New Roman" w:hAnsi="Times New Roman" w:cs="Times New Roman"/>
          <w:bCs/>
          <w:spacing w:val="4"/>
          <w:sz w:val="24"/>
          <w:szCs w:val="24"/>
          <w:lang w:val="en-US" w:eastAsia="zh-CN"/>
        </w:rPr>
        <w:t>经过调查，</w:t>
      </w:r>
      <w:r>
        <w:rPr>
          <w:rFonts w:hint="eastAsia" w:ascii="Times New Roman" w:hAnsi="Times New Roman" w:cs="Times New Roman"/>
          <w:bCs/>
          <w:spacing w:val="4"/>
          <w:sz w:val="24"/>
          <w:szCs w:val="24"/>
        </w:rPr>
        <w:t>环评阶段项目</w:t>
      </w:r>
      <w:r>
        <w:rPr>
          <w:rFonts w:hint="eastAsia" w:ascii="Times New Roman" w:hAnsi="Times New Roman" w:cs="Times New Roman"/>
          <w:bCs/>
          <w:spacing w:val="4"/>
          <w:sz w:val="24"/>
          <w:szCs w:val="24"/>
          <w:lang w:val="en-US" w:eastAsia="zh-CN"/>
        </w:rPr>
        <w:t>除了第6条尚未建设完成外，其余内容</w:t>
      </w:r>
      <w:r>
        <w:rPr>
          <w:rFonts w:hint="eastAsia" w:ascii="Times New Roman" w:hAnsi="Times New Roman" w:cs="Times New Roman"/>
          <w:bCs/>
          <w:spacing w:val="4"/>
          <w:sz w:val="24"/>
          <w:szCs w:val="24"/>
        </w:rPr>
        <w:t>已经全部改扩建完成。</w:t>
      </w:r>
    </w:p>
    <w:p w14:paraId="27B6135A">
      <w:pPr>
        <w:widowControl w:val="0"/>
        <w:ind w:firstLine="0"/>
        <w:jc w:val="center"/>
        <w:rPr>
          <w:rFonts w:ascii="宋体" w:hAnsi="宋体" w:eastAsia="宋体" w:cs="Times New Roman"/>
          <w:b/>
          <w:sz w:val="24"/>
          <w:szCs w:val="24"/>
          <w:lang w:val="en-US" w:eastAsia="zh-CN" w:bidi="ar-SA"/>
        </w:rPr>
      </w:pPr>
      <w:r>
        <w:rPr>
          <w:rFonts w:hint="eastAsia" w:ascii="Times New Roman" w:hAnsi="Times New Roman" w:eastAsia="宋体" w:cs="Times New Roman"/>
          <w:b/>
          <w:bCs/>
          <w:sz w:val="24"/>
          <w:szCs w:val="24"/>
          <w:lang w:val="en-US" w:eastAsia="zh-CN" w:bidi="ar-SA"/>
        </w:rPr>
        <w:t>表4.1-1  改扩建前后项目变化情况对比表</w:t>
      </w:r>
    </w:p>
    <w:tbl>
      <w:tblPr>
        <w:tblStyle w:val="32"/>
        <w:tblW w:w="0" w:type="auto"/>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879"/>
        <w:gridCol w:w="1235"/>
        <w:gridCol w:w="1765"/>
        <w:gridCol w:w="2006"/>
        <w:gridCol w:w="2421"/>
      </w:tblGrid>
      <w:tr w14:paraId="1DC25CD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879" w:type="dxa"/>
            <w:noWrap w:val="0"/>
            <w:vAlign w:val="center"/>
          </w:tcPr>
          <w:p w14:paraId="377811A5">
            <w:pPr>
              <w:widowControl w:val="0"/>
              <w:ind w:firstLine="0"/>
              <w:jc w:val="center"/>
              <w:rPr>
                <w:rFonts w:ascii="Times New Roman" w:hAnsi="Times New Roman" w:eastAsia="宋体" w:cs="Times New Roman"/>
                <w:b/>
                <w:bCs w:val="0"/>
                <w:sz w:val="21"/>
                <w:szCs w:val="21"/>
                <w:lang w:val="en-US" w:eastAsia="zh-CN" w:bidi="ar-SA"/>
              </w:rPr>
            </w:pPr>
            <w:r>
              <w:rPr>
                <w:rFonts w:ascii="Times New Roman" w:hAnsi="Times New Roman" w:eastAsia="宋体" w:cs="Times New Roman"/>
                <w:b/>
                <w:bCs w:val="0"/>
                <w:sz w:val="21"/>
                <w:szCs w:val="21"/>
                <w:lang w:val="en-US" w:eastAsia="zh-CN" w:bidi="ar-SA"/>
              </w:rPr>
              <w:t>序号</w:t>
            </w:r>
          </w:p>
        </w:tc>
        <w:tc>
          <w:tcPr>
            <w:tcW w:w="1235" w:type="dxa"/>
            <w:noWrap w:val="0"/>
            <w:vAlign w:val="center"/>
          </w:tcPr>
          <w:p w14:paraId="64AFFCE0">
            <w:pPr>
              <w:widowControl w:val="0"/>
              <w:ind w:firstLine="0"/>
              <w:jc w:val="center"/>
              <w:rPr>
                <w:rFonts w:ascii="Times New Roman" w:hAnsi="Times New Roman" w:eastAsia="宋体" w:cs="Times New Roman"/>
                <w:b/>
                <w:bCs w:val="0"/>
                <w:sz w:val="21"/>
                <w:szCs w:val="21"/>
                <w:lang w:val="en-US" w:eastAsia="zh-CN" w:bidi="ar-SA"/>
              </w:rPr>
            </w:pPr>
            <w:r>
              <w:rPr>
                <w:rFonts w:ascii="Times New Roman" w:hAnsi="Times New Roman" w:eastAsia="宋体" w:cs="Times New Roman"/>
                <w:b/>
                <w:bCs w:val="0"/>
                <w:sz w:val="21"/>
                <w:szCs w:val="21"/>
                <w:lang w:val="en-US" w:eastAsia="zh-CN" w:bidi="ar-SA"/>
              </w:rPr>
              <w:t>项目</w:t>
            </w:r>
          </w:p>
        </w:tc>
        <w:tc>
          <w:tcPr>
            <w:tcW w:w="1765" w:type="dxa"/>
            <w:noWrap w:val="0"/>
            <w:vAlign w:val="center"/>
          </w:tcPr>
          <w:p w14:paraId="23870875">
            <w:pPr>
              <w:widowControl w:val="0"/>
              <w:ind w:firstLine="0"/>
              <w:jc w:val="center"/>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改</w:t>
            </w:r>
            <w:r>
              <w:rPr>
                <w:rFonts w:ascii="Times New Roman" w:hAnsi="Times New Roman" w:eastAsia="宋体" w:cs="Times New Roman"/>
                <w:b/>
                <w:bCs w:val="0"/>
                <w:sz w:val="21"/>
                <w:szCs w:val="21"/>
                <w:lang w:val="en-US" w:eastAsia="zh-CN" w:bidi="ar-SA"/>
              </w:rPr>
              <w:t>扩建前</w:t>
            </w:r>
          </w:p>
        </w:tc>
        <w:tc>
          <w:tcPr>
            <w:tcW w:w="2006" w:type="dxa"/>
            <w:noWrap w:val="0"/>
            <w:vAlign w:val="center"/>
          </w:tcPr>
          <w:p w14:paraId="1D369695">
            <w:pPr>
              <w:widowControl w:val="0"/>
              <w:ind w:firstLine="0"/>
              <w:jc w:val="center"/>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改</w:t>
            </w:r>
            <w:r>
              <w:rPr>
                <w:rFonts w:ascii="Times New Roman" w:hAnsi="Times New Roman" w:eastAsia="宋体" w:cs="Times New Roman"/>
                <w:b/>
                <w:bCs w:val="0"/>
                <w:sz w:val="21"/>
                <w:szCs w:val="21"/>
                <w:lang w:val="en-US" w:eastAsia="zh-CN" w:bidi="ar-SA"/>
              </w:rPr>
              <w:t>扩建后</w:t>
            </w:r>
          </w:p>
        </w:tc>
        <w:tc>
          <w:tcPr>
            <w:tcW w:w="2421" w:type="dxa"/>
            <w:noWrap w:val="0"/>
            <w:vAlign w:val="center"/>
          </w:tcPr>
          <w:p w14:paraId="7C0D183E">
            <w:pPr>
              <w:widowControl w:val="0"/>
              <w:ind w:firstLine="0"/>
              <w:jc w:val="center"/>
              <w:rPr>
                <w:rFonts w:ascii="Times New Roman" w:hAnsi="Times New Roman" w:eastAsia="宋体" w:cs="Times New Roman"/>
                <w:b/>
                <w:bCs w:val="0"/>
                <w:sz w:val="21"/>
                <w:szCs w:val="21"/>
                <w:lang w:val="en-US" w:eastAsia="zh-CN" w:bidi="ar-SA"/>
              </w:rPr>
            </w:pPr>
            <w:r>
              <w:rPr>
                <w:rFonts w:ascii="Times New Roman" w:hAnsi="Times New Roman" w:eastAsia="宋体" w:cs="Times New Roman"/>
                <w:b/>
                <w:bCs w:val="0"/>
                <w:sz w:val="21"/>
                <w:szCs w:val="21"/>
                <w:lang w:val="en-US" w:eastAsia="zh-CN" w:bidi="ar-SA"/>
              </w:rPr>
              <w:t>变化情况</w:t>
            </w:r>
          </w:p>
        </w:tc>
      </w:tr>
      <w:tr w14:paraId="4D37C07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879" w:type="dxa"/>
            <w:noWrap w:val="0"/>
            <w:vAlign w:val="center"/>
          </w:tcPr>
          <w:p w14:paraId="59F72225">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1</w:t>
            </w:r>
          </w:p>
        </w:tc>
        <w:tc>
          <w:tcPr>
            <w:tcW w:w="1235" w:type="dxa"/>
            <w:noWrap w:val="0"/>
            <w:vAlign w:val="center"/>
          </w:tcPr>
          <w:p w14:paraId="2CF9BB54">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占地面积</w:t>
            </w:r>
          </w:p>
        </w:tc>
        <w:tc>
          <w:tcPr>
            <w:tcW w:w="1765" w:type="dxa"/>
            <w:noWrap w:val="0"/>
            <w:vAlign w:val="center"/>
          </w:tcPr>
          <w:p w14:paraId="3C3BE7E9">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76038.5</w:t>
            </w:r>
          </w:p>
        </w:tc>
        <w:tc>
          <w:tcPr>
            <w:tcW w:w="2006" w:type="dxa"/>
            <w:noWrap w:val="0"/>
            <w:vAlign w:val="center"/>
          </w:tcPr>
          <w:p w14:paraId="0411E2BB">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77042.6</w:t>
            </w:r>
          </w:p>
        </w:tc>
        <w:tc>
          <w:tcPr>
            <w:tcW w:w="2421" w:type="dxa"/>
            <w:noWrap w:val="0"/>
            <w:vAlign w:val="center"/>
          </w:tcPr>
          <w:p w14:paraId="2BDD24D0">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+1004.1</w:t>
            </w:r>
          </w:p>
        </w:tc>
      </w:tr>
      <w:tr w14:paraId="46CA4A1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879" w:type="dxa"/>
            <w:noWrap w:val="0"/>
            <w:vAlign w:val="center"/>
          </w:tcPr>
          <w:p w14:paraId="4970832F">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2</w:t>
            </w:r>
          </w:p>
        </w:tc>
        <w:tc>
          <w:tcPr>
            <w:tcW w:w="1235" w:type="dxa"/>
            <w:noWrap w:val="0"/>
            <w:vAlign w:val="center"/>
          </w:tcPr>
          <w:p w14:paraId="53E329FA">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建筑面积</w:t>
            </w:r>
          </w:p>
        </w:tc>
        <w:tc>
          <w:tcPr>
            <w:tcW w:w="1765" w:type="dxa"/>
            <w:noWrap w:val="0"/>
            <w:vAlign w:val="center"/>
          </w:tcPr>
          <w:p w14:paraId="0EA65B03">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33574.92</w:t>
            </w:r>
          </w:p>
        </w:tc>
        <w:tc>
          <w:tcPr>
            <w:tcW w:w="2006" w:type="dxa"/>
            <w:noWrap w:val="0"/>
            <w:vAlign w:val="center"/>
          </w:tcPr>
          <w:p w14:paraId="5FD02E6C">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cs="Times New Roman"/>
                <w:bCs/>
                <w:color w:val="000000"/>
                <w:spacing w:val="4"/>
                <w:sz w:val="21"/>
                <w:szCs w:val="21"/>
                <w:lang w:val="en-US" w:eastAsia="zh-CN"/>
              </w:rPr>
              <w:t>42472.24</w:t>
            </w:r>
          </w:p>
        </w:tc>
        <w:tc>
          <w:tcPr>
            <w:tcW w:w="2421" w:type="dxa"/>
            <w:noWrap w:val="0"/>
            <w:vAlign w:val="center"/>
          </w:tcPr>
          <w:p w14:paraId="7A2AE1D0">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+8797.32</w:t>
            </w:r>
          </w:p>
        </w:tc>
      </w:tr>
      <w:tr w14:paraId="203481D4">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879" w:type="dxa"/>
            <w:vMerge w:val="restart"/>
            <w:noWrap w:val="0"/>
            <w:vAlign w:val="center"/>
          </w:tcPr>
          <w:p w14:paraId="4F323C36">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3</w:t>
            </w:r>
          </w:p>
        </w:tc>
        <w:tc>
          <w:tcPr>
            <w:tcW w:w="1235" w:type="dxa"/>
            <w:vMerge w:val="restart"/>
            <w:noWrap w:val="0"/>
            <w:vAlign w:val="center"/>
          </w:tcPr>
          <w:p w14:paraId="1ED79170">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建设规模</w:t>
            </w:r>
          </w:p>
        </w:tc>
        <w:tc>
          <w:tcPr>
            <w:tcW w:w="1765" w:type="dxa"/>
            <w:vMerge w:val="restart"/>
            <w:noWrap w:val="0"/>
            <w:vAlign w:val="center"/>
          </w:tcPr>
          <w:p w14:paraId="20BD1375">
            <w:pPr>
              <w:keepNext w:val="0"/>
              <w:keepLines w:val="0"/>
              <w:pageBreakBefore w:val="0"/>
              <w:widowControl w:val="0"/>
              <w:spacing w:line="240" w:lineRule="auto"/>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年产竹木符合箱用地板、建筑模板、胶合板10万m</w:t>
            </w:r>
            <w:r>
              <w:rPr>
                <w:rFonts w:ascii="Times New Roman" w:hAnsi="Times New Roman" w:eastAsia="宋体" w:cs="Times New Roman"/>
                <w:b w:val="0"/>
                <w:bCs/>
                <w:sz w:val="21"/>
                <w:szCs w:val="21"/>
                <w:vertAlign w:val="superscript"/>
                <w:lang w:val="en-US" w:eastAsia="zh-CN" w:bidi="ar-SA"/>
              </w:rPr>
              <w:t>3</w:t>
            </w:r>
          </w:p>
        </w:tc>
        <w:tc>
          <w:tcPr>
            <w:tcW w:w="2006" w:type="dxa"/>
            <w:noWrap w:val="0"/>
            <w:vAlign w:val="center"/>
          </w:tcPr>
          <w:p w14:paraId="452149E2">
            <w:pPr>
              <w:pStyle w:val="2"/>
              <w:keepNext w:val="0"/>
              <w:keepLines w:val="0"/>
              <w:pageBreakBefore w:val="0"/>
              <w:widowControl/>
              <w:numPr>
                <w:ilvl w:val="0"/>
                <w:numId w:val="0"/>
              </w:numPr>
              <w:spacing w:line="240" w:lineRule="auto"/>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年产量为10万m</w:t>
            </w:r>
            <w:r>
              <w:rPr>
                <w:rFonts w:ascii="Times New Roman" w:hAnsi="Times New Roman" w:eastAsia="宋体" w:cs="Times New Roman"/>
                <w:b w:val="0"/>
                <w:bCs/>
                <w:sz w:val="21"/>
                <w:szCs w:val="21"/>
                <w:vertAlign w:val="superscript"/>
                <w:lang w:val="en-US" w:eastAsia="zh-CN" w:bidi="ar-SA"/>
              </w:rPr>
              <w:t>3</w:t>
            </w:r>
            <w:r>
              <w:rPr>
                <w:rFonts w:ascii="Times New Roman" w:hAnsi="Times New Roman" w:eastAsia="宋体" w:cs="Times New Roman"/>
                <w:b w:val="0"/>
                <w:bCs/>
                <w:sz w:val="21"/>
                <w:szCs w:val="21"/>
                <w:lang w:val="en-US" w:eastAsia="zh-CN" w:bidi="ar-SA"/>
              </w:rPr>
              <w:t>全竹地板、竹木复合地板</w:t>
            </w:r>
          </w:p>
        </w:tc>
        <w:tc>
          <w:tcPr>
            <w:tcW w:w="2421" w:type="dxa"/>
            <w:vMerge w:val="restart"/>
            <w:noWrap w:val="0"/>
            <w:vAlign w:val="center"/>
          </w:tcPr>
          <w:p w14:paraId="1EB35FBE">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产品方案发生变化，规模增加</w:t>
            </w:r>
          </w:p>
        </w:tc>
      </w:tr>
      <w:tr w14:paraId="0BEB71C7">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879" w:type="dxa"/>
            <w:vMerge w:val="continue"/>
            <w:noWrap w:val="0"/>
            <w:vAlign w:val="center"/>
          </w:tcPr>
          <w:p w14:paraId="595D44C0">
            <w:pPr>
              <w:widowControl w:val="0"/>
              <w:ind w:firstLine="0"/>
              <w:jc w:val="center"/>
              <w:rPr>
                <w:rFonts w:ascii="Times New Roman" w:hAnsi="Times New Roman" w:eastAsia="宋体" w:cs="Times New Roman"/>
                <w:b w:val="0"/>
                <w:bCs/>
                <w:sz w:val="21"/>
                <w:szCs w:val="21"/>
                <w:lang w:val="en-US" w:eastAsia="zh-CN" w:bidi="ar-SA"/>
              </w:rPr>
            </w:pPr>
          </w:p>
        </w:tc>
        <w:tc>
          <w:tcPr>
            <w:tcW w:w="1235" w:type="dxa"/>
            <w:vMerge w:val="continue"/>
            <w:noWrap w:val="0"/>
            <w:vAlign w:val="center"/>
          </w:tcPr>
          <w:p w14:paraId="53B4EB02">
            <w:pPr>
              <w:widowControl w:val="0"/>
              <w:ind w:firstLine="0"/>
              <w:jc w:val="center"/>
              <w:rPr>
                <w:rFonts w:ascii="Times New Roman" w:hAnsi="Times New Roman" w:eastAsia="宋体" w:cs="Times New Roman"/>
                <w:b w:val="0"/>
                <w:bCs/>
                <w:sz w:val="21"/>
                <w:szCs w:val="21"/>
                <w:lang w:val="en-US" w:eastAsia="zh-CN" w:bidi="ar-SA"/>
              </w:rPr>
            </w:pPr>
          </w:p>
        </w:tc>
        <w:tc>
          <w:tcPr>
            <w:tcW w:w="1765" w:type="dxa"/>
            <w:vMerge w:val="continue"/>
            <w:noWrap w:val="0"/>
            <w:vAlign w:val="center"/>
          </w:tcPr>
          <w:p w14:paraId="4AF7D266">
            <w:pPr>
              <w:widowControl w:val="0"/>
              <w:ind w:firstLine="0"/>
              <w:jc w:val="center"/>
              <w:rPr>
                <w:rFonts w:ascii="Times New Roman" w:hAnsi="Times New Roman" w:eastAsia="宋体" w:cs="Times New Roman"/>
                <w:b w:val="0"/>
                <w:bCs/>
                <w:sz w:val="21"/>
                <w:szCs w:val="21"/>
                <w:lang w:val="en-US" w:eastAsia="zh-CN" w:bidi="ar-SA"/>
              </w:rPr>
            </w:pPr>
          </w:p>
        </w:tc>
        <w:tc>
          <w:tcPr>
            <w:tcW w:w="2006" w:type="dxa"/>
            <w:noWrap w:val="0"/>
            <w:vAlign w:val="center"/>
          </w:tcPr>
          <w:p w14:paraId="28FBBAE7">
            <w:pPr>
              <w:keepNext w:val="0"/>
              <w:keepLines w:val="0"/>
              <w:pageBreakBefore w:val="0"/>
              <w:widowControl w:val="0"/>
              <w:spacing w:line="240" w:lineRule="auto"/>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年产量为5000吨酚醛树脂胶和脲醛树脂胶</w:t>
            </w:r>
          </w:p>
        </w:tc>
        <w:tc>
          <w:tcPr>
            <w:tcW w:w="2421" w:type="dxa"/>
            <w:vMerge w:val="continue"/>
            <w:noWrap w:val="0"/>
            <w:vAlign w:val="center"/>
          </w:tcPr>
          <w:p w14:paraId="3AA2FFB7">
            <w:pPr>
              <w:widowControl w:val="0"/>
              <w:ind w:firstLine="0"/>
              <w:jc w:val="center"/>
              <w:rPr>
                <w:rFonts w:ascii="Times New Roman" w:hAnsi="Times New Roman" w:eastAsia="宋体" w:cs="Times New Roman"/>
                <w:b w:val="0"/>
                <w:bCs/>
                <w:sz w:val="21"/>
                <w:szCs w:val="21"/>
                <w:lang w:val="en-US" w:eastAsia="zh-CN" w:bidi="ar-SA"/>
              </w:rPr>
            </w:pPr>
          </w:p>
        </w:tc>
      </w:tr>
      <w:tr w14:paraId="1C33CA10">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879" w:type="dxa"/>
            <w:noWrap w:val="0"/>
            <w:vAlign w:val="center"/>
          </w:tcPr>
          <w:p w14:paraId="61484732">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4</w:t>
            </w:r>
          </w:p>
        </w:tc>
        <w:tc>
          <w:tcPr>
            <w:tcW w:w="1235" w:type="dxa"/>
            <w:noWrap w:val="0"/>
            <w:vAlign w:val="center"/>
          </w:tcPr>
          <w:p w14:paraId="6C30C4C6">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生产工艺</w:t>
            </w:r>
          </w:p>
        </w:tc>
        <w:tc>
          <w:tcPr>
            <w:tcW w:w="1765" w:type="dxa"/>
            <w:noWrap w:val="0"/>
            <w:vAlign w:val="center"/>
          </w:tcPr>
          <w:p w14:paraId="116A9C80">
            <w:pPr>
              <w:keepNext w:val="0"/>
              <w:keepLines w:val="0"/>
              <w:pageBreakBefore w:val="0"/>
              <w:widowControl w:val="0"/>
              <w:spacing w:line="240" w:lineRule="auto"/>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原有项目采用木材、竹材为原料，经过旋切、干燥、剪拼、分选后打包入库成为成品外售。具体工艺流程见图3.1-1</w:t>
            </w:r>
          </w:p>
        </w:tc>
        <w:tc>
          <w:tcPr>
            <w:tcW w:w="2006" w:type="dxa"/>
            <w:noWrap w:val="0"/>
            <w:vAlign w:val="center"/>
          </w:tcPr>
          <w:p w14:paraId="4E689839">
            <w:pPr>
              <w:keepNext w:val="0"/>
              <w:keepLines w:val="0"/>
              <w:pageBreakBefore w:val="0"/>
              <w:widowControl w:val="0"/>
              <w:spacing w:line="240" w:lineRule="auto"/>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color w:val="000000"/>
                <w:sz w:val="21"/>
                <w:szCs w:val="21"/>
                <w:lang w:val="en-US" w:eastAsia="zh-CN" w:bidi="ar-SA"/>
              </w:rPr>
              <w:t>具体工艺见工程分析3.3</w:t>
            </w:r>
          </w:p>
        </w:tc>
        <w:tc>
          <w:tcPr>
            <w:tcW w:w="2421" w:type="dxa"/>
            <w:noWrap w:val="0"/>
            <w:vAlign w:val="center"/>
          </w:tcPr>
          <w:p w14:paraId="06777344">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发生变化</w:t>
            </w:r>
          </w:p>
        </w:tc>
      </w:tr>
      <w:tr w14:paraId="574197C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879" w:type="dxa"/>
            <w:noWrap w:val="0"/>
            <w:vAlign w:val="center"/>
          </w:tcPr>
          <w:p w14:paraId="0CC7D89C">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5</w:t>
            </w:r>
          </w:p>
        </w:tc>
        <w:tc>
          <w:tcPr>
            <w:tcW w:w="1235" w:type="dxa"/>
            <w:noWrap w:val="0"/>
            <w:vAlign w:val="center"/>
          </w:tcPr>
          <w:p w14:paraId="5F50DC15">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生产时间</w:t>
            </w:r>
          </w:p>
        </w:tc>
        <w:tc>
          <w:tcPr>
            <w:tcW w:w="1765" w:type="dxa"/>
            <w:noWrap w:val="0"/>
            <w:vAlign w:val="center"/>
          </w:tcPr>
          <w:p w14:paraId="462DE10E">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3</w:t>
            </w:r>
            <w:r>
              <w:rPr>
                <w:rFonts w:ascii="Times New Roman" w:hAnsi="Times New Roman" w:eastAsia="宋体" w:cs="Times New Roman"/>
                <w:b w:val="0"/>
                <w:bCs/>
                <w:sz w:val="21"/>
                <w:szCs w:val="21"/>
                <w:lang w:val="en-US" w:eastAsia="zh-CN" w:bidi="ar-SA"/>
              </w:rPr>
              <w:t>00d/a</w:t>
            </w:r>
          </w:p>
        </w:tc>
        <w:tc>
          <w:tcPr>
            <w:tcW w:w="2006" w:type="dxa"/>
            <w:noWrap w:val="0"/>
            <w:vAlign w:val="center"/>
          </w:tcPr>
          <w:p w14:paraId="079B006C">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300d/a</w:t>
            </w:r>
          </w:p>
        </w:tc>
        <w:tc>
          <w:tcPr>
            <w:tcW w:w="2421" w:type="dxa"/>
            <w:noWrap w:val="0"/>
            <w:vAlign w:val="center"/>
          </w:tcPr>
          <w:p w14:paraId="5FDD8C4B">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不变</w:t>
            </w:r>
          </w:p>
        </w:tc>
      </w:tr>
      <w:tr w14:paraId="61D01734">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jc w:val="center"/>
        </w:trPr>
        <w:tc>
          <w:tcPr>
            <w:tcW w:w="879" w:type="dxa"/>
            <w:noWrap w:val="0"/>
            <w:vAlign w:val="center"/>
          </w:tcPr>
          <w:p w14:paraId="32338B8E">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6</w:t>
            </w:r>
          </w:p>
        </w:tc>
        <w:tc>
          <w:tcPr>
            <w:tcW w:w="1235" w:type="dxa"/>
            <w:noWrap w:val="0"/>
            <w:vAlign w:val="center"/>
          </w:tcPr>
          <w:p w14:paraId="4788501B">
            <w:pPr>
              <w:widowControl w:val="0"/>
              <w:ind w:firstLine="0"/>
              <w:jc w:val="center"/>
              <w:rPr>
                <w:rFonts w:ascii="Times New Roman" w:hAnsi="Times New Roman" w:eastAsia="宋体" w:cs="Times New Roman"/>
                <w:b w:val="0"/>
                <w:bCs/>
                <w:sz w:val="21"/>
                <w:szCs w:val="21"/>
                <w:lang w:val="en-US" w:eastAsia="zh-CN" w:bidi="ar-SA"/>
              </w:rPr>
            </w:pPr>
            <w:r>
              <w:rPr>
                <w:rFonts w:ascii="Times New Roman" w:hAnsi="Times New Roman" w:eastAsia="宋体" w:cs="Times New Roman"/>
                <w:b w:val="0"/>
                <w:bCs/>
                <w:sz w:val="21"/>
                <w:szCs w:val="21"/>
                <w:lang w:val="en-US" w:eastAsia="zh-CN" w:bidi="ar-SA"/>
              </w:rPr>
              <w:t>劳动定员</w:t>
            </w:r>
          </w:p>
        </w:tc>
        <w:tc>
          <w:tcPr>
            <w:tcW w:w="1765" w:type="dxa"/>
            <w:noWrap w:val="0"/>
            <w:vAlign w:val="center"/>
          </w:tcPr>
          <w:p w14:paraId="5BE7A579">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200人</w:t>
            </w:r>
          </w:p>
        </w:tc>
        <w:tc>
          <w:tcPr>
            <w:tcW w:w="2006" w:type="dxa"/>
            <w:noWrap w:val="0"/>
            <w:vAlign w:val="center"/>
          </w:tcPr>
          <w:p w14:paraId="15787023">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300人</w:t>
            </w:r>
          </w:p>
        </w:tc>
        <w:tc>
          <w:tcPr>
            <w:tcW w:w="2421" w:type="dxa"/>
            <w:noWrap w:val="0"/>
            <w:vAlign w:val="center"/>
          </w:tcPr>
          <w:p w14:paraId="098194E0">
            <w:pPr>
              <w:widowControl w:val="0"/>
              <w:ind w:firstLine="0"/>
              <w:jc w:val="center"/>
              <w:rPr>
                <w:rFonts w:ascii="Times New Roman" w:hAnsi="Times New Roman" w:eastAsia="宋体" w:cs="Times New Roman"/>
                <w:b w:val="0"/>
                <w:bCs/>
                <w:sz w:val="21"/>
                <w:szCs w:val="21"/>
                <w:lang w:val="en-US" w:eastAsia="zh-CN" w:bidi="ar-SA"/>
              </w:rPr>
            </w:pPr>
            <w:r>
              <w:rPr>
                <w:rFonts w:hint="eastAsia" w:ascii="Times New Roman" w:hAnsi="Times New Roman" w:eastAsia="宋体" w:cs="Times New Roman"/>
                <w:b w:val="0"/>
                <w:bCs/>
                <w:sz w:val="21"/>
                <w:szCs w:val="21"/>
                <w:lang w:val="en-US" w:eastAsia="zh-CN" w:bidi="ar-SA"/>
              </w:rPr>
              <w:t>+100</w:t>
            </w:r>
          </w:p>
        </w:tc>
      </w:tr>
    </w:tbl>
    <w:p w14:paraId="0698A69C">
      <w:pPr>
        <w:pStyle w:val="188"/>
        <w:rPr>
          <w:lang w:val="en-US" w:eastAsia="zh-CN"/>
        </w:rPr>
      </w:pPr>
      <w:r>
        <w:rPr>
          <w:rFonts w:hint="eastAsia"/>
          <w:lang w:val="en-US" w:eastAsia="zh-CN"/>
        </w:rPr>
        <w:t>4.1.3改扩建后项目组成</w:t>
      </w:r>
    </w:p>
    <w:p w14:paraId="47CE54C5">
      <w:pPr>
        <w:pStyle w:val="2"/>
        <w:ind w:firstLine="496"/>
        <w:rPr>
          <w:rFonts w:ascii="Times New Roman" w:hAnsi="Times New Roman" w:cs="Times New Roman"/>
          <w:bCs/>
          <w:color w:val="000000"/>
          <w:spacing w:val="4"/>
          <w:sz w:val="24"/>
          <w:szCs w:val="24"/>
          <w:lang w:val="en-US" w:eastAsia="zh-CN"/>
        </w:rPr>
      </w:pPr>
      <w:r>
        <w:rPr>
          <w:rFonts w:hint="eastAsia" w:ascii="Times New Roman" w:hAnsi="Times New Roman" w:cs="Times New Roman"/>
          <w:bCs/>
          <w:color w:val="000000"/>
          <w:spacing w:val="4"/>
          <w:sz w:val="24"/>
          <w:szCs w:val="24"/>
        </w:rPr>
        <w:t>项目扩建完成后，</w:t>
      </w:r>
      <w:r>
        <w:rPr>
          <w:rFonts w:hint="eastAsia" w:ascii="Times New Roman" w:hAnsi="Times New Roman" w:cs="Times New Roman"/>
          <w:bCs/>
          <w:color w:val="000000"/>
          <w:spacing w:val="4"/>
          <w:sz w:val="24"/>
          <w:szCs w:val="24"/>
          <w:lang w:val="en-US" w:eastAsia="zh-CN"/>
        </w:rPr>
        <w:t>总用地</w:t>
      </w:r>
      <w:r>
        <w:rPr>
          <w:rFonts w:ascii="Times New Roman" w:hAnsi="Times New Roman" w:cs="Times New Roman"/>
          <w:bCs/>
          <w:color w:val="000000"/>
          <w:spacing w:val="4"/>
          <w:sz w:val="24"/>
          <w:szCs w:val="24"/>
          <w:lang w:val="en-US" w:eastAsia="zh-CN"/>
        </w:rPr>
        <w:t>面积</w:t>
      </w:r>
      <w:r>
        <w:rPr>
          <w:rFonts w:ascii="Times New Roman" w:hAnsi="Times New Roman" w:cs="Times New Roman"/>
          <w:bCs/>
          <w:color w:val="000000"/>
          <w:spacing w:val="4"/>
          <w:sz w:val="24"/>
          <w:szCs w:val="24"/>
        </w:rPr>
        <w:t>77042.6m</w:t>
      </w:r>
      <w:r>
        <w:rPr>
          <w:rFonts w:ascii="Times New Roman" w:hAnsi="Times New Roman" w:cs="Times New Roman"/>
          <w:bCs/>
          <w:color w:val="000000"/>
          <w:spacing w:val="4"/>
          <w:sz w:val="24"/>
          <w:szCs w:val="24"/>
          <w:vertAlign w:val="superscript"/>
        </w:rPr>
        <w:t>2</w:t>
      </w:r>
      <w:r>
        <w:rPr>
          <w:rFonts w:ascii="Times New Roman" w:hAnsi="Times New Roman" w:cs="Times New Roman"/>
          <w:bCs/>
          <w:color w:val="000000"/>
          <w:spacing w:val="4"/>
          <w:sz w:val="24"/>
          <w:szCs w:val="24"/>
        </w:rPr>
        <w:t>，</w:t>
      </w:r>
      <w:r>
        <w:rPr>
          <w:rFonts w:ascii="Times New Roman" w:hAnsi="Times New Roman" w:cs="Times New Roman"/>
          <w:bCs/>
          <w:color w:val="000000"/>
          <w:spacing w:val="4"/>
          <w:sz w:val="24"/>
          <w:szCs w:val="24"/>
          <w:lang w:val="en-US" w:eastAsia="zh-CN"/>
        </w:rPr>
        <w:t>新增用地面积</w:t>
      </w:r>
      <w:r>
        <w:rPr>
          <w:rFonts w:ascii="Times New Roman" w:hAnsi="Times New Roman" w:cs="Times New Roman"/>
          <w:bCs/>
          <w:color w:val="000000"/>
          <w:spacing w:val="4"/>
          <w:sz w:val="24"/>
          <w:szCs w:val="24"/>
        </w:rPr>
        <w:t>1004.1m</w:t>
      </w:r>
      <w:r>
        <w:rPr>
          <w:rFonts w:ascii="Times New Roman" w:hAnsi="Times New Roman" w:cs="Times New Roman"/>
          <w:bCs/>
          <w:color w:val="000000"/>
          <w:spacing w:val="4"/>
          <w:sz w:val="24"/>
          <w:szCs w:val="24"/>
          <w:vertAlign w:val="superscript"/>
        </w:rPr>
        <w:t>2</w:t>
      </w:r>
      <w:r>
        <w:rPr>
          <w:rFonts w:ascii="Times New Roman" w:hAnsi="Times New Roman" w:cs="Times New Roman"/>
          <w:bCs/>
          <w:color w:val="000000"/>
          <w:spacing w:val="4"/>
          <w:sz w:val="24"/>
          <w:szCs w:val="24"/>
          <w:vertAlign w:val="baseline"/>
          <w:lang w:eastAsia="zh-CN"/>
        </w:rPr>
        <w:t>。</w:t>
      </w:r>
      <w:r>
        <w:rPr>
          <w:rFonts w:ascii="Times New Roman" w:hAnsi="Times New Roman" w:cs="Times New Roman"/>
          <w:bCs/>
          <w:color w:val="000000"/>
          <w:spacing w:val="4"/>
          <w:sz w:val="24"/>
          <w:szCs w:val="24"/>
        </w:rPr>
        <w:t>总建筑面积为</w:t>
      </w:r>
      <w:r>
        <w:rPr>
          <w:rFonts w:hint="eastAsia" w:ascii="Times New Roman" w:hAnsi="Times New Roman" w:cs="Times New Roman"/>
          <w:bCs/>
          <w:color w:val="000000"/>
          <w:spacing w:val="4"/>
          <w:sz w:val="24"/>
          <w:szCs w:val="24"/>
          <w:lang w:val="en-US" w:eastAsia="zh-CN"/>
        </w:rPr>
        <w:t>42472.24</w:t>
      </w:r>
      <w:r>
        <w:rPr>
          <w:rFonts w:ascii="Times New Roman" w:hAnsi="Times New Roman" w:cs="Times New Roman"/>
          <w:bCs/>
          <w:color w:val="000000"/>
          <w:spacing w:val="4"/>
          <w:sz w:val="24"/>
          <w:szCs w:val="24"/>
        </w:rPr>
        <w:t>m</w:t>
      </w:r>
      <w:r>
        <w:rPr>
          <w:rFonts w:ascii="Times New Roman" w:hAnsi="Times New Roman" w:cs="Times New Roman"/>
          <w:bCs/>
          <w:color w:val="000000"/>
          <w:spacing w:val="4"/>
          <w:sz w:val="24"/>
          <w:szCs w:val="24"/>
          <w:vertAlign w:val="superscript"/>
        </w:rPr>
        <w:t>2</w:t>
      </w:r>
      <w:r>
        <w:rPr>
          <w:rFonts w:ascii="Times New Roman" w:hAnsi="Times New Roman" w:cs="Times New Roman"/>
          <w:bCs/>
          <w:color w:val="000000"/>
          <w:spacing w:val="4"/>
          <w:sz w:val="24"/>
          <w:szCs w:val="24"/>
        </w:rPr>
        <w:t>，</w:t>
      </w:r>
      <w:r>
        <w:rPr>
          <w:rFonts w:ascii="Times New Roman" w:hAnsi="Times New Roman" w:cs="Times New Roman"/>
          <w:bCs/>
          <w:color w:val="000000"/>
          <w:spacing w:val="4"/>
          <w:sz w:val="24"/>
          <w:szCs w:val="24"/>
          <w:lang w:val="en-US" w:eastAsia="zh-CN"/>
        </w:rPr>
        <w:t>新增建筑面积</w:t>
      </w:r>
      <w:r>
        <w:rPr>
          <w:rFonts w:hint="eastAsia" w:ascii="Times New Roman" w:hAnsi="Times New Roman" w:cs="Times New Roman"/>
          <w:bCs/>
          <w:color w:val="000000"/>
          <w:spacing w:val="4"/>
          <w:sz w:val="24"/>
          <w:szCs w:val="24"/>
          <w:lang w:val="en-US" w:eastAsia="zh-CN"/>
        </w:rPr>
        <w:t>8797.32</w:t>
      </w:r>
      <w:r>
        <w:rPr>
          <w:rFonts w:ascii="Times New Roman" w:hAnsi="Times New Roman" w:cs="Times New Roman"/>
          <w:bCs/>
          <w:color w:val="000000"/>
          <w:spacing w:val="4"/>
          <w:sz w:val="24"/>
          <w:szCs w:val="24"/>
          <w:lang w:val="en-US" w:eastAsia="zh-CN"/>
        </w:rPr>
        <w:t>m</w:t>
      </w:r>
      <w:r>
        <w:rPr>
          <w:rFonts w:ascii="Times New Roman" w:hAnsi="Times New Roman" w:cs="Times New Roman"/>
          <w:bCs/>
          <w:color w:val="000000"/>
          <w:spacing w:val="4"/>
          <w:sz w:val="24"/>
          <w:szCs w:val="24"/>
          <w:vertAlign w:val="superscript"/>
          <w:lang w:val="en-US" w:eastAsia="zh-CN"/>
        </w:rPr>
        <w:t>2</w:t>
      </w:r>
      <w:r>
        <w:rPr>
          <w:rFonts w:ascii="Times New Roman" w:hAnsi="Times New Roman" w:cs="Times New Roman"/>
          <w:bCs/>
          <w:color w:val="000000"/>
          <w:spacing w:val="4"/>
          <w:sz w:val="24"/>
          <w:szCs w:val="24"/>
          <w:lang w:val="en-US" w:eastAsia="zh-CN"/>
        </w:rPr>
        <w:t>，</w:t>
      </w:r>
      <w:r>
        <w:rPr>
          <w:rFonts w:hint="eastAsia" w:ascii="Times New Roman" w:hAnsi="Times New Roman" w:cs="Times New Roman"/>
          <w:bCs/>
          <w:color w:val="000000"/>
          <w:spacing w:val="4"/>
          <w:sz w:val="24"/>
          <w:szCs w:val="24"/>
        </w:rPr>
        <w:t>整个项目由生产区、办公区、生活区等组成</w:t>
      </w:r>
      <w:r>
        <w:rPr>
          <w:rFonts w:hint="eastAsia" w:ascii="Times New Roman" w:hAnsi="Times New Roman" w:cs="Times New Roman"/>
          <w:bCs/>
          <w:color w:val="000000"/>
          <w:spacing w:val="4"/>
          <w:sz w:val="24"/>
          <w:szCs w:val="24"/>
          <w:lang w:eastAsia="zh-CN"/>
        </w:rPr>
        <w:t>。</w:t>
      </w:r>
    </w:p>
    <w:p w14:paraId="250C51A0">
      <w:pPr>
        <w:pStyle w:val="2"/>
        <w:ind w:firstLine="496"/>
        <w:rPr>
          <w:rFonts w:ascii="Times New Roman" w:hAnsi="Times New Roman" w:eastAsia="宋体" w:cs="Times New Roman"/>
          <w:bCs/>
          <w:spacing w:val="4"/>
          <w:sz w:val="24"/>
          <w:szCs w:val="24"/>
          <w:lang w:val="en-US" w:eastAsia="zh-CN"/>
        </w:rPr>
      </w:pPr>
      <w:r>
        <w:rPr>
          <w:rFonts w:hint="eastAsia" w:ascii="Times New Roman" w:hAnsi="Times New Roman" w:cs="Times New Roman"/>
          <w:bCs/>
          <w:spacing w:val="4"/>
          <w:sz w:val="24"/>
          <w:szCs w:val="24"/>
          <w:lang w:val="en-US" w:eastAsia="zh-CN"/>
        </w:rPr>
        <w:t>根据环评现场调查，目前项目改扩建已经建设完毕，目前厂区主要由板材生产车间、制胶车间、堆场、仓库、办公生活用房及配套附属设施组成，目前厂区的现状组成如表4.1-2。</w:t>
      </w:r>
    </w:p>
    <w:p w14:paraId="399D8B35">
      <w:pPr>
        <w:spacing w:line="276" w:lineRule="auto"/>
        <w:ind w:firstLine="0"/>
        <w:jc w:val="center"/>
        <w:rPr>
          <w:rFonts w:hint="eastAsia"/>
          <w:b/>
        </w:rPr>
      </w:pPr>
      <w:r>
        <w:rPr>
          <w:b/>
        </w:rPr>
        <w:t>表</w:t>
      </w:r>
      <w:r>
        <w:rPr>
          <w:rFonts w:hint="eastAsia"/>
          <w:b/>
          <w:lang w:val="en-US" w:eastAsia="zh-CN"/>
        </w:rPr>
        <w:t>4.1</w:t>
      </w:r>
      <w:r>
        <w:rPr>
          <w:rFonts w:hint="eastAsia"/>
          <w:b/>
        </w:rPr>
        <w:t>-</w:t>
      </w:r>
      <w:r>
        <w:rPr>
          <w:rFonts w:hint="eastAsia"/>
          <w:b/>
          <w:lang w:val="en-US" w:eastAsia="zh-CN"/>
        </w:rPr>
        <w:t>2</w:t>
      </w:r>
      <w:r>
        <w:rPr>
          <w:rFonts w:hint="eastAsia"/>
          <w:b/>
        </w:rPr>
        <w:t xml:space="preserve">  扩建完成后</w:t>
      </w:r>
      <w:r>
        <w:rPr>
          <w:rFonts w:hint="eastAsia"/>
          <w:b/>
          <w:lang w:val="en-US" w:eastAsia="zh-CN"/>
        </w:rPr>
        <w:t>厂区现状</w:t>
      </w:r>
      <w:r>
        <w:rPr>
          <w:rFonts w:hint="eastAsia"/>
          <w:b/>
        </w:rPr>
        <w:t>组成表</w:t>
      </w:r>
    </w:p>
    <w:tbl>
      <w:tblPr>
        <w:tblStyle w:val="32"/>
        <w:tblW w:w="8699" w:type="dxa"/>
        <w:jc w:val="center"/>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Layout w:type="fixed"/>
        <w:tblCellMar>
          <w:top w:w="0" w:type="dxa"/>
          <w:left w:w="108" w:type="dxa"/>
          <w:bottom w:w="0" w:type="dxa"/>
          <w:right w:w="108" w:type="dxa"/>
        </w:tblCellMar>
      </w:tblPr>
      <w:tblGrid>
        <w:gridCol w:w="783"/>
        <w:gridCol w:w="1809"/>
        <w:gridCol w:w="4869"/>
        <w:gridCol w:w="1238"/>
      </w:tblGrid>
      <w:tr w14:paraId="2BBAA9C8">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592" w:type="dxa"/>
            <w:gridSpan w:val="2"/>
            <w:noWrap w:val="0"/>
            <w:vAlign w:val="center"/>
          </w:tcPr>
          <w:p w14:paraId="45289645">
            <w:pPr>
              <w:spacing w:line="276" w:lineRule="auto"/>
              <w:ind w:firstLine="420"/>
              <w:jc w:val="center"/>
              <w:rPr>
                <w:rFonts w:hint="eastAsia"/>
                <w:b/>
                <w:bCs/>
                <w:sz w:val="21"/>
                <w:szCs w:val="21"/>
              </w:rPr>
            </w:pPr>
            <w:r>
              <w:rPr>
                <w:rFonts w:hint="eastAsia"/>
                <w:b/>
                <w:bCs/>
                <w:sz w:val="21"/>
                <w:szCs w:val="21"/>
              </w:rPr>
              <w:t>工程类别</w:t>
            </w:r>
          </w:p>
        </w:tc>
        <w:tc>
          <w:tcPr>
            <w:tcW w:w="4869" w:type="dxa"/>
            <w:noWrap w:val="0"/>
            <w:vAlign w:val="center"/>
          </w:tcPr>
          <w:p w14:paraId="3FD50588">
            <w:pPr>
              <w:spacing w:line="276" w:lineRule="auto"/>
              <w:ind w:firstLine="420"/>
              <w:jc w:val="center"/>
              <w:rPr>
                <w:rFonts w:hint="eastAsia"/>
                <w:b/>
                <w:bCs/>
                <w:sz w:val="21"/>
                <w:szCs w:val="21"/>
              </w:rPr>
            </w:pPr>
            <w:r>
              <w:rPr>
                <w:rFonts w:hint="eastAsia"/>
                <w:b/>
                <w:bCs/>
                <w:sz w:val="21"/>
                <w:szCs w:val="21"/>
              </w:rPr>
              <w:t>主要内容</w:t>
            </w:r>
          </w:p>
        </w:tc>
        <w:tc>
          <w:tcPr>
            <w:tcW w:w="1238" w:type="dxa"/>
            <w:noWrap w:val="0"/>
            <w:vAlign w:val="center"/>
          </w:tcPr>
          <w:p w14:paraId="4FD741F9">
            <w:pPr>
              <w:spacing w:line="276" w:lineRule="auto"/>
              <w:ind w:firstLine="0"/>
              <w:rPr>
                <w:rFonts w:hint="eastAsia"/>
                <w:b/>
                <w:bCs/>
                <w:sz w:val="21"/>
                <w:szCs w:val="21"/>
              </w:rPr>
            </w:pPr>
            <w:r>
              <w:rPr>
                <w:rFonts w:hint="eastAsia"/>
                <w:b/>
                <w:bCs/>
                <w:sz w:val="21"/>
                <w:szCs w:val="21"/>
              </w:rPr>
              <w:t>备注</w:t>
            </w:r>
          </w:p>
        </w:tc>
      </w:tr>
      <w:tr w14:paraId="6AF71370">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restart"/>
            <w:noWrap w:val="0"/>
            <w:vAlign w:val="center"/>
          </w:tcPr>
          <w:p w14:paraId="4832C574">
            <w:pPr>
              <w:spacing w:line="276" w:lineRule="auto"/>
              <w:ind w:firstLine="0"/>
              <w:jc w:val="center"/>
              <w:rPr>
                <w:rFonts w:hint="eastAsia"/>
                <w:color w:val="0000FF"/>
                <w:sz w:val="21"/>
                <w:szCs w:val="21"/>
              </w:rPr>
            </w:pPr>
            <w:r>
              <w:rPr>
                <w:rFonts w:hint="eastAsia"/>
                <w:sz w:val="21"/>
                <w:szCs w:val="21"/>
              </w:rPr>
              <w:t>主体工程</w:t>
            </w:r>
          </w:p>
        </w:tc>
        <w:tc>
          <w:tcPr>
            <w:tcW w:w="1809" w:type="dxa"/>
            <w:noWrap w:val="0"/>
            <w:vAlign w:val="center"/>
          </w:tcPr>
          <w:p w14:paraId="04DF8EF9">
            <w:pPr>
              <w:spacing w:line="276" w:lineRule="auto"/>
              <w:ind w:firstLine="0"/>
              <w:jc w:val="center"/>
              <w:rPr>
                <w:rFonts w:hint="eastAsia"/>
                <w:sz w:val="21"/>
                <w:szCs w:val="21"/>
              </w:rPr>
            </w:pPr>
            <w:r>
              <w:rPr>
                <w:rFonts w:hint="eastAsia"/>
                <w:sz w:val="21"/>
                <w:szCs w:val="21"/>
                <w:lang w:val="en-US" w:eastAsia="zh-CN"/>
              </w:rPr>
              <w:t>板材</w:t>
            </w:r>
            <w:r>
              <w:rPr>
                <w:rFonts w:hint="eastAsia"/>
                <w:sz w:val="21"/>
                <w:szCs w:val="21"/>
              </w:rPr>
              <w:t>生产车间</w:t>
            </w:r>
          </w:p>
        </w:tc>
        <w:tc>
          <w:tcPr>
            <w:tcW w:w="4869" w:type="dxa"/>
            <w:noWrap w:val="0"/>
            <w:vAlign w:val="center"/>
          </w:tcPr>
          <w:p w14:paraId="041BAE7C">
            <w:pPr>
              <w:spacing w:line="276" w:lineRule="auto"/>
              <w:ind w:firstLine="0"/>
              <w:jc w:val="left"/>
              <w:rPr>
                <w:rFonts w:hint="eastAsia"/>
                <w:sz w:val="21"/>
                <w:szCs w:val="21"/>
              </w:rPr>
            </w:pPr>
            <w:r>
              <w:rPr>
                <w:rFonts w:hint="eastAsia"/>
                <w:sz w:val="21"/>
                <w:szCs w:val="21"/>
              </w:rPr>
              <w:t>1层钢架结构，建筑面积258</w:t>
            </w:r>
            <w:r>
              <w:rPr>
                <w:rFonts w:hint="eastAsia"/>
                <w:sz w:val="21"/>
                <w:szCs w:val="21"/>
                <w:lang w:val="en-US" w:eastAsia="zh-CN"/>
              </w:rPr>
              <w:t>00</w:t>
            </w:r>
            <w:r>
              <w:rPr>
                <w:rFonts w:hint="eastAsia"/>
                <w:sz w:val="21"/>
                <w:szCs w:val="21"/>
              </w:rPr>
              <w:t>m</w:t>
            </w:r>
            <w:r>
              <w:rPr>
                <w:rFonts w:hint="eastAsia"/>
                <w:sz w:val="21"/>
                <w:szCs w:val="21"/>
                <w:vertAlign w:val="superscript"/>
              </w:rPr>
              <w:t>2</w:t>
            </w:r>
            <w:r>
              <w:rPr>
                <w:rFonts w:hint="eastAsia"/>
                <w:sz w:val="21"/>
                <w:szCs w:val="21"/>
              </w:rPr>
              <w:t>，建筑物高度</w:t>
            </w:r>
            <w:r>
              <w:rPr>
                <w:rFonts w:hint="eastAsia"/>
                <w:sz w:val="21"/>
                <w:szCs w:val="21"/>
                <w:lang w:val="en-US" w:eastAsia="zh-CN"/>
              </w:rPr>
              <w:t>10</w:t>
            </w:r>
            <w:r>
              <w:rPr>
                <w:rFonts w:hint="eastAsia"/>
                <w:sz w:val="21"/>
                <w:szCs w:val="21"/>
              </w:rPr>
              <w:t>m，内设刨片区、竹子定向刨花板线、组胚区、涂胶铺装区等，配置1条年产10万立方米的全竹、竹木复合地板生产线。</w:t>
            </w:r>
          </w:p>
        </w:tc>
        <w:tc>
          <w:tcPr>
            <w:tcW w:w="1238" w:type="dxa"/>
            <w:noWrap w:val="0"/>
            <w:vAlign w:val="center"/>
          </w:tcPr>
          <w:p w14:paraId="22AA15D1">
            <w:pPr>
              <w:spacing w:line="276" w:lineRule="auto"/>
              <w:ind w:firstLine="0"/>
              <w:jc w:val="center"/>
              <w:rPr>
                <w:sz w:val="21"/>
                <w:szCs w:val="21"/>
              </w:rPr>
            </w:pPr>
            <w:r>
              <w:rPr>
                <w:rFonts w:hint="eastAsia"/>
                <w:sz w:val="21"/>
                <w:szCs w:val="22"/>
              </w:rPr>
              <w:t>依托原有</w:t>
            </w:r>
          </w:p>
        </w:tc>
      </w:tr>
      <w:tr w14:paraId="3AD2A74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79BD07E1">
            <w:pPr>
              <w:spacing w:line="276" w:lineRule="auto"/>
              <w:ind w:firstLine="0"/>
              <w:jc w:val="center"/>
              <w:rPr>
                <w:rFonts w:hint="eastAsia"/>
                <w:sz w:val="21"/>
                <w:szCs w:val="21"/>
              </w:rPr>
            </w:pPr>
          </w:p>
        </w:tc>
        <w:tc>
          <w:tcPr>
            <w:tcW w:w="1809" w:type="dxa"/>
            <w:noWrap w:val="0"/>
            <w:vAlign w:val="center"/>
          </w:tcPr>
          <w:p w14:paraId="3DE6A6A1">
            <w:pPr>
              <w:spacing w:line="276" w:lineRule="auto"/>
              <w:ind w:firstLine="0"/>
              <w:jc w:val="center"/>
              <w:rPr>
                <w:rFonts w:hint="eastAsia"/>
                <w:sz w:val="21"/>
                <w:szCs w:val="21"/>
              </w:rPr>
            </w:pPr>
            <w:r>
              <w:rPr>
                <w:rFonts w:hint="eastAsia"/>
                <w:sz w:val="21"/>
                <w:szCs w:val="21"/>
              </w:rPr>
              <w:t>制胶车间</w:t>
            </w:r>
          </w:p>
        </w:tc>
        <w:tc>
          <w:tcPr>
            <w:tcW w:w="4869" w:type="dxa"/>
            <w:noWrap w:val="0"/>
            <w:vAlign w:val="center"/>
          </w:tcPr>
          <w:p w14:paraId="49F1F022">
            <w:pPr>
              <w:spacing w:line="276" w:lineRule="auto"/>
              <w:ind w:firstLine="0"/>
              <w:jc w:val="left"/>
              <w:rPr>
                <w:rFonts w:hint="eastAsia"/>
                <w:sz w:val="21"/>
                <w:szCs w:val="21"/>
              </w:rPr>
            </w:pPr>
            <w:r>
              <w:rPr>
                <w:rFonts w:hint="eastAsia"/>
                <w:sz w:val="21"/>
                <w:szCs w:val="21"/>
              </w:rPr>
              <w:t>1栋，建筑面积1520m</w:t>
            </w:r>
            <w:r>
              <w:rPr>
                <w:rFonts w:hint="eastAsia"/>
                <w:sz w:val="21"/>
                <w:szCs w:val="21"/>
                <w:vertAlign w:val="superscript"/>
              </w:rPr>
              <w:t>2</w:t>
            </w:r>
            <w:r>
              <w:rPr>
                <w:rFonts w:hint="eastAsia"/>
                <w:sz w:val="21"/>
                <w:szCs w:val="21"/>
              </w:rPr>
              <w:t>，钢架结构，建筑物高度</w:t>
            </w:r>
            <w:r>
              <w:rPr>
                <w:rFonts w:hint="eastAsia"/>
                <w:sz w:val="21"/>
                <w:szCs w:val="21"/>
                <w:lang w:val="en-US" w:eastAsia="zh-CN"/>
              </w:rPr>
              <w:t>10</w:t>
            </w:r>
            <w:r>
              <w:rPr>
                <w:rFonts w:hint="eastAsia"/>
                <w:sz w:val="21"/>
                <w:szCs w:val="21"/>
              </w:rPr>
              <w:t>m，内设制胶生产线1条，作为脲醛树脂胶、酚醛树脂胶</w:t>
            </w:r>
            <w:r>
              <w:rPr>
                <w:rFonts w:hint="eastAsia"/>
                <w:sz w:val="21"/>
                <w:szCs w:val="21"/>
                <w:lang w:val="en-US" w:eastAsia="zh-CN"/>
              </w:rPr>
              <w:t>的</w:t>
            </w:r>
            <w:r>
              <w:rPr>
                <w:rFonts w:hint="eastAsia"/>
                <w:sz w:val="21"/>
                <w:szCs w:val="21"/>
              </w:rPr>
              <w:t>原料</w:t>
            </w:r>
            <w:r>
              <w:rPr>
                <w:rFonts w:hint="eastAsia"/>
                <w:sz w:val="21"/>
                <w:szCs w:val="21"/>
                <w:lang w:eastAsia="zh-CN"/>
              </w:rPr>
              <w:t>、</w:t>
            </w:r>
            <w:r>
              <w:rPr>
                <w:rFonts w:hint="eastAsia"/>
                <w:sz w:val="21"/>
                <w:szCs w:val="21"/>
                <w:lang w:val="en-US" w:eastAsia="zh-CN"/>
              </w:rPr>
              <w:t>成品</w:t>
            </w:r>
            <w:r>
              <w:rPr>
                <w:rFonts w:hint="eastAsia"/>
                <w:sz w:val="21"/>
                <w:szCs w:val="21"/>
              </w:rPr>
              <w:t>存储及生产</w:t>
            </w:r>
            <w:r>
              <w:rPr>
                <w:rFonts w:hint="eastAsia"/>
                <w:sz w:val="21"/>
                <w:szCs w:val="21"/>
                <w:lang w:val="en-US" w:eastAsia="zh-CN"/>
              </w:rPr>
              <w:t>使用</w:t>
            </w:r>
            <w:r>
              <w:rPr>
                <w:rFonts w:hint="eastAsia"/>
                <w:sz w:val="21"/>
                <w:szCs w:val="21"/>
              </w:rPr>
              <w:t>。</w:t>
            </w:r>
          </w:p>
        </w:tc>
        <w:tc>
          <w:tcPr>
            <w:tcW w:w="1238" w:type="dxa"/>
            <w:noWrap w:val="0"/>
            <w:vAlign w:val="center"/>
          </w:tcPr>
          <w:p w14:paraId="7C67BD2E">
            <w:pPr>
              <w:spacing w:line="276" w:lineRule="auto"/>
              <w:ind w:firstLine="0"/>
              <w:jc w:val="center"/>
              <w:rPr>
                <w:rFonts w:eastAsia="宋体"/>
                <w:sz w:val="21"/>
                <w:szCs w:val="22"/>
                <w:lang w:val="en-US" w:eastAsia="zh-CN"/>
              </w:rPr>
            </w:pPr>
            <w:r>
              <w:rPr>
                <w:rFonts w:hint="eastAsia"/>
                <w:sz w:val="21"/>
                <w:szCs w:val="22"/>
                <w:lang w:val="en-US" w:eastAsia="zh-CN"/>
              </w:rPr>
              <w:t>依托原有项目成品库</w:t>
            </w:r>
          </w:p>
        </w:tc>
      </w:tr>
      <w:tr w14:paraId="600CB2F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restart"/>
            <w:noWrap w:val="0"/>
            <w:vAlign w:val="center"/>
          </w:tcPr>
          <w:p w14:paraId="635260F3">
            <w:pPr>
              <w:spacing w:line="276" w:lineRule="auto"/>
              <w:ind w:firstLine="0"/>
              <w:jc w:val="center"/>
              <w:rPr>
                <w:rFonts w:hint="eastAsia"/>
                <w:sz w:val="21"/>
                <w:szCs w:val="21"/>
              </w:rPr>
            </w:pPr>
            <w:r>
              <w:rPr>
                <w:rFonts w:hint="eastAsia"/>
                <w:sz w:val="21"/>
                <w:szCs w:val="21"/>
              </w:rPr>
              <w:t>辅助工程</w:t>
            </w:r>
          </w:p>
          <w:p w14:paraId="6172B365">
            <w:pPr>
              <w:spacing w:line="276" w:lineRule="auto"/>
              <w:ind w:firstLine="480"/>
              <w:jc w:val="center"/>
              <w:rPr>
                <w:rFonts w:hint="eastAsia"/>
              </w:rPr>
            </w:pPr>
          </w:p>
          <w:p w14:paraId="5F82249B">
            <w:pPr>
              <w:pStyle w:val="2"/>
              <w:ind w:firstLine="420"/>
              <w:rPr>
                <w:rFonts w:hint="eastAsia"/>
                <w:color w:val="0000FF"/>
              </w:rPr>
            </w:pPr>
          </w:p>
          <w:p w14:paraId="215AECC9">
            <w:pPr>
              <w:pStyle w:val="2"/>
              <w:ind w:firstLine="420"/>
              <w:rPr>
                <w:rFonts w:hint="eastAsia"/>
                <w:color w:val="0000FF"/>
              </w:rPr>
            </w:pPr>
          </w:p>
          <w:p w14:paraId="67B64C9E">
            <w:pPr>
              <w:pStyle w:val="2"/>
              <w:ind w:firstLine="420"/>
              <w:rPr>
                <w:rFonts w:hint="eastAsia"/>
                <w:color w:val="0000FF"/>
              </w:rPr>
            </w:pPr>
          </w:p>
        </w:tc>
        <w:tc>
          <w:tcPr>
            <w:tcW w:w="1809" w:type="dxa"/>
            <w:noWrap w:val="0"/>
            <w:vAlign w:val="center"/>
          </w:tcPr>
          <w:p w14:paraId="5AB7BECE">
            <w:pPr>
              <w:spacing w:line="276" w:lineRule="auto"/>
              <w:ind w:firstLine="0"/>
              <w:jc w:val="center"/>
              <w:rPr>
                <w:sz w:val="21"/>
                <w:szCs w:val="21"/>
              </w:rPr>
            </w:pPr>
            <w:r>
              <w:rPr>
                <w:rFonts w:hint="eastAsia"/>
                <w:sz w:val="21"/>
                <w:szCs w:val="21"/>
              </w:rPr>
              <w:t>断竹区</w:t>
            </w:r>
          </w:p>
        </w:tc>
        <w:tc>
          <w:tcPr>
            <w:tcW w:w="4869" w:type="dxa"/>
            <w:noWrap w:val="0"/>
            <w:vAlign w:val="center"/>
          </w:tcPr>
          <w:p w14:paraId="6F653AEB">
            <w:pPr>
              <w:ind w:firstLine="0"/>
              <w:rPr>
                <w:sz w:val="21"/>
                <w:szCs w:val="21"/>
              </w:rPr>
            </w:pPr>
            <w:r>
              <w:rPr>
                <w:rFonts w:hint="eastAsia"/>
                <w:sz w:val="21"/>
              </w:rPr>
              <w:t>2栋，分别建筑面积528m</w:t>
            </w:r>
            <w:r>
              <w:rPr>
                <w:rFonts w:hint="eastAsia"/>
                <w:sz w:val="21"/>
                <w:vertAlign w:val="superscript"/>
              </w:rPr>
              <w:t>2</w:t>
            </w:r>
            <w:r>
              <w:rPr>
                <w:rFonts w:hint="eastAsia"/>
                <w:sz w:val="21"/>
              </w:rPr>
              <w:t>，264m</w:t>
            </w:r>
            <w:r>
              <w:rPr>
                <w:rFonts w:hint="eastAsia"/>
                <w:sz w:val="21"/>
                <w:vertAlign w:val="superscript"/>
              </w:rPr>
              <w:t>2</w:t>
            </w:r>
            <w:r>
              <w:rPr>
                <w:rFonts w:hint="eastAsia"/>
                <w:sz w:val="21"/>
              </w:rPr>
              <w:t>。建筑结构钢架结构，四面敞开式。</w:t>
            </w:r>
          </w:p>
        </w:tc>
        <w:tc>
          <w:tcPr>
            <w:tcW w:w="1238" w:type="dxa"/>
            <w:noWrap w:val="0"/>
            <w:vAlign w:val="center"/>
          </w:tcPr>
          <w:p w14:paraId="27A9F0F0">
            <w:pPr>
              <w:spacing w:line="276" w:lineRule="auto"/>
              <w:ind w:firstLine="0"/>
              <w:jc w:val="center"/>
              <w:rPr>
                <w:sz w:val="21"/>
                <w:szCs w:val="21"/>
              </w:rPr>
            </w:pPr>
            <w:r>
              <w:rPr>
                <w:rFonts w:hint="eastAsia"/>
                <w:sz w:val="21"/>
                <w:szCs w:val="21"/>
              </w:rPr>
              <w:t>新建</w:t>
            </w:r>
          </w:p>
        </w:tc>
      </w:tr>
      <w:tr w14:paraId="3D84DB4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520412A6">
            <w:pPr>
              <w:spacing w:line="276" w:lineRule="auto"/>
              <w:ind w:firstLine="0"/>
              <w:jc w:val="center"/>
              <w:rPr>
                <w:rFonts w:hint="eastAsia"/>
                <w:color w:val="0000FF"/>
                <w:sz w:val="21"/>
                <w:szCs w:val="21"/>
              </w:rPr>
            </w:pPr>
          </w:p>
        </w:tc>
        <w:tc>
          <w:tcPr>
            <w:tcW w:w="1809" w:type="dxa"/>
            <w:noWrap w:val="0"/>
            <w:vAlign w:val="center"/>
          </w:tcPr>
          <w:p w14:paraId="2FCACE80">
            <w:pPr>
              <w:spacing w:line="276" w:lineRule="auto"/>
              <w:ind w:firstLine="0"/>
              <w:jc w:val="center"/>
              <w:rPr>
                <w:sz w:val="21"/>
                <w:szCs w:val="21"/>
              </w:rPr>
            </w:pPr>
            <w:r>
              <w:rPr>
                <w:rFonts w:hint="eastAsia"/>
                <w:sz w:val="21"/>
                <w:szCs w:val="21"/>
              </w:rPr>
              <w:t>堆场</w:t>
            </w:r>
          </w:p>
        </w:tc>
        <w:tc>
          <w:tcPr>
            <w:tcW w:w="4869" w:type="dxa"/>
            <w:noWrap w:val="0"/>
            <w:vAlign w:val="center"/>
          </w:tcPr>
          <w:p w14:paraId="50E63D5F">
            <w:pPr>
              <w:ind w:firstLine="0"/>
              <w:rPr>
                <w:sz w:val="21"/>
              </w:rPr>
            </w:pPr>
            <w:r>
              <w:rPr>
                <w:rFonts w:hint="eastAsia"/>
                <w:sz w:val="21"/>
              </w:rPr>
              <w:t>占地面积10000m</w:t>
            </w:r>
            <w:r>
              <w:rPr>
                <w:rFonts w:hint="eastAsia"/>
                <w:sz w:val="21"/>
                <w:vertAlign w:val="superscript"/>
              </w:rPr>
              <w:t>2</w:t>
            </w:r>
            <w:r>
              <w:rPr>
                <w:rFonts w:hint="eastAsia"/>
                <w:sz w:val="21"/>
              </w:rPr>
              <w:t>，露天堆放。</w:t>
            </w:r>
          </w:p>
        </w:tc>
        <w:tc>
          <w:tcPr>
            <w:tcW w:w="1238" w:type="dxa"/>
            <w:noWrap w:val="0"/>
            <w:vAlign w:val="center"/>
          </w:tcPr>
          <w:p w14:paraId="70A807E0">
            <w:pPr>
              <w:spacing w:line="276" w:lineRule="auto"/>
              <w:ind w:firstLine="0"/>
              <w:jc w:val="center"/>
              <w:rPr>
                <w:rFonts w:hint="eastAsia"/>
                <w:sz w:val="21"/>
                <w:szCs w:val="21"/>
              </w:rPr>
            </w:pPr>
            <w:r>
              <w:rPr>
                <w:rFonts w:hint="eastAsia"/>
                <w:sz w:val="21"/>
                <w:szCs w:val="21"/>
              </w:rPr>
              <w:t>/</w:t>
            </w:r>
          </w:p>
        </w:tc>
      </w:tr>
      <w:tr w14:paraId="4BA1465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3" w:type="dxa"/>
            <w:vMerge w:val="continue"/>
            <w:noWrap w:val="0"/>
            <w:vAlign w:val="center"/>
          </w:tcPr>
          <w:p w14:paraId="17C4B3E2">
            <w:pPr>
              <w:spacing w:line="276" w:lineRule="auto"/>
              <w:ind w:firstLine="0"/>
              <w:jc w:val="center"/>
              <w:rPr>
                <w:rFonts w:hint="eastAsia"/>
                <w:color w:val="0000FF"/>
                <w:sz w:val="21"/>
                <w:szCs w:val="21"/>
              </w:rPr>
            </w:pPr>
          </w:p>
        </w:tc>
        <w:tc>
          <w:tcPr>
            <w:tcW w:w="1809" w:type="dxa"/>
            <w:noWrap w:val="0"/>
            <w:vAlign w:val="center"/>
          </w:tcPr>
          <w:p w14:paraId="48B607D0">
            <w:pPr>
              <w:spacing w:line="276" w:lineRule="auto"/>
              <w:ind w:firstLine="0"/>
              <w:jc w:val="center"/>
              <w:rPr>
                <w:sz w:val="21"/>
                <w:szCs w:val="21"/>
              </w:rPr>
            </w:pPr>
            <w:r>
              <w:rPr>
                <w:rFonts w:hint="eastAsia"/>
                <w:sz w:val="21"/>
                <w:szCs w:val="21"/>
              </w:rPr>
              <w:t>刨片仓库</w:t>
            </w:r>
          </w:p>
        </w:tc>
        <w:tc>
          <w:tcPr>
            <w:tcW w:w="4869" w:type="dxa"/>
            <w:noWrap w:val="0"/>
            <w:vAlign w:val="center"/>
          </w:tcPr>
          <w:p w14:paraId="048773FB">
            <w:pPr>
              <w:ind w:firstLine="0"/>
              <w:rPr>
                <w:sz w:val="21"/>
              </w:rPr>
            </w:pPr>
            <w:r>
              <w:rPr>
                <w:rFonts w:hint="eastAsia"/>
                <w:sz w:val="21"/>
              </w:rPr>
              <w:t>1栋，建筑面积1701m</w:t>
            </w:r>
            <w:r>
              <w:rPr>
                <w:rFonts w:hint="eastAsia"/>
                <w:sz w:val="21"/>
                <w:vertAlign w:val="superscript"/>
              </w:rPr>
              <w:t>2</w:t>
            </w:r>
            <w:r>
              <w:rPr>
                <w:rFonts w:hint="eastAsia"/>
                <w:sz w:val="21"/>
              </w:rPr>
              <w:t>，钢架结构，建筑物高度8m，主要作为</w:t>
            </w:r>
            <w:r>
              <w:rPr>
                <w:rFonts w:hint="eastAsia"/>
                <w:sz w:val="21"/>
                <w:lang w:val="en-US" w:eastAsia="zh-CN"/>
              </w:rPr>
              <w:t>刨花</w:t>
            </w:r>
            <w:r>
              <w:rPr>
                <w:rFonts w:hint="eastAsia"/>
                <w:sz w:val="21"/>
              </w:rPr>
              <w:t>物料仓库使用。</w:t>
            </w:r>
          </w:p>
        </w:tc>
        <w:tc>
          <w:tcPr>
            <w:tcW w:w="1238" w:type="dxa"/>
            <w:noWrap w:val="0"/>
            <w:vAlign w:val="center"/>
          </w:tcPr>
          <w:p w14:paraId="5B812DE3">
            <w:pPr>
              <w:spacing w:line="276" w:lineRule="auto"/>
              <w:ind w:firstLine="0"/>
              <w:jc w:val="center"/>
              <w:rPr>
                <w:rFonts w:hint="eastAsia"/>
                <w:sz w:val="21"/>
                <w:szCs w:val="21"/>
              </w:rPr>
            </w:pPr>
            <w:r>
              <w:rPr>
                <w:rFonts w:hint="eastAsia"/>
                <w:sz w:val="21"/>
                <w:szCs w:val="21"/>
              </w:rPr>
              <w:t>新建</w:t>
            </w:r>
          </w:p>
        </w:tc>
      </w:tr>
      <w:tr w14:paraId="0390C879">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0A3DA3B7">
            <w:pPr>
              <w:spacing w:line="276" w:lineRule="auto"/>
              <w:ind w:firstLine="0"/>
              <w:jc w:val="center"/>
              <w:rPr>
                <w:rFonts w:hint="eastAsia"/>
                <w:color w:val="0000FF"/>
                <w:sz w:val="21"/>
                <w:szCs w:val="21"/>
              </w:rPr>
            </w:pPr>
          </w:p>
        </w:tc>
        <w:tc>
          <w:tcPr>
            <w:tcW w:w="1809" w:type="dxa"/>
            <w:noWrap w:val="0"/>
            <w:vAlign w:val="center"/>
          </w:tcPr>
          <w:p w14:paraId="0AB83686">
            <w:pPr>
              <w:spacing w:line="276" w:lineRule="auto"/>
              <w:ind w:firstLine="0"/>
              <w:jc w:val="center"/>
              <w:rPr>
                <w:sz w:val="21"/>
                <w:szCs w:val="21"/>
              </w:rPr>
            </w:pPr>
            <w:r>
              <w:rPr>
                <w:rFonts w:hint="eastAsia"/>
                <w:sz w:val="21"/>
                <w:szCs w:val="21"/>
              </w:rPr>
              <w:t>成品仓库</w:t>
            </w:r>
          </w:p>
        </w:tc>
        <w:tc>
          <w:tcPr>
            <w:tcW w:w="4869" w:type="dxa"/>
            <w:noWrap w:val="0"/>
            <w:vAlign w:val="center"/>
          </w:tcPr>
          <w:p w14:paraId="6345793F">
            <w:pPr>
              <w:ind w:firstLine="0"/>
              <w:rPr>
                <w:sz w:val="21"/>
              </w:rPr>
            </w:pPr>
            <w:r>
              <w:rPr>
                <w:rFonts w:hint="eastAsia"/>
                <w:sz w:val="21"/>
              </w:rPr>
              <w:t>1栋，建筑面积2880m</w:t>
            </w:r>
            <w:r>
              <w:rPr>
                <w:rFonts w:hint="eastAsia"/>
                <w:sz w:val="21"/>
                <w:vertAlign w:val="superscript"/>
              </w:rPr>
              <w:t>2</w:t>
            </w:r>
            <w:r>
              <w:rPr>
                <w:rFonts w:hint="eastAsia"/>
                <w:sz w:val="21"/>
              </w:rPr>
              <w:t>，钢架结构，建筑物高度</w:t>
            </w:r>
            <w:r>
              <w:rPr>
                <w:rFonts w:hint="eastAsia"/>
                <w:sz w:val="21"/>
                <w:lang w:val="en-US" w:eastAsia="zh-CN"/>
              </w:rPr>
              <w:t>10</w:t>
            </w:r>
            <w:r>
              <w:rPr>
                <w:rFonts w:hint="eastAsia"/>
                <w:sz w:val="21"/>
              </w:rPr>
              <w:t>m，主要作为</w:t>
            </w:r>
            <w:r>
              <w:rPr>
                <w:rFonts w:hint="eastAsia"/>
                <w:sz w:val="21"/>
                <w:lang w:val="en-US" w:eastAsia="zh-CN"/>
              </w:rPr>
              <w:t>板材</w:t>
            </w:r>
            <w:r>
              <w:rPr>
                <w:rFonts w:hint="eastAsia"/>
                <w:sz w:val="21"/>
              </w:rPr>
              <w:t>成品仓库使用。</w:t>
            </w:r>
          </w:p>
        </w:tc>
        <w:tc>
          <w:tcPr>
            <w:tcW w:w="1238" w:type="dxa"/>
            <w:noWrap w:val="0"/>
            <w:vAlign w:val="center"/>
          </w:tcPr>
          <w:p w14:paraId="5AEC5A7C">
            <w:pPr>
              <w:spacing w:line="276" w:lineRule="auto"/>
              <w:ind w:firstLine="0"/>
              <w:jc w:val="center"/>
              <w:rPr>
                <w:rFonts w:hint="eastAsia"/>
                <w:sz w:val="21"/>
                <w:szCs w:val="21"/>
              </w:rPr>
            </w:pPr>
            <w:r>
              <w:rPr>
                <w:rFonts w:hint="eastAsia"/>
                <w:sz w:val="21"/>
                <w:szCs w:val="21"/>
              </w:rPr>
              <w:t>新建</w:t>
            </w:r>
          </w:p>
        </w:tc>
      </w:tr>
      <w:tr w14:paraId="622E6DD7">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162AC6D3">
            <w:pPr>
              <w:spacing w:line="276" w:lineRule="auto"/>
              <w:ind w:firstLine="0"/>
              <w:jc w:val="center"/>
              <w:rPr>
                <w:rFonts w:hint="eastAsia"/>
                <w:color w:val="0000FF"/>
                <w:sz w:val="21"/>
                <w:szCs w:val="21"/>
              </w:rPr>
            </w:pPr>
          </w:p>
        </w:tc>
        <w:tc>
          <w:tcPr>
            <w:tcW w:w="1809" w:type="dxa"/>
            <w:noWrap w:val="0"/>
            <w:vAlign w:val="center"/>
          </w:tcPr>
          <w:p w14:paraId="715BDBE0">
            <w:pPr>
              <w:spacing w:line="276" w:lineRule="auto"/>
              <w:ind w:firstLine="0"/>
              <w:jc w:val="center"/>
              <w:rPr>
                <w:sz w:val="21"/>
                <w:szCs w:val="21"/>
              </w:rPr>
            </w:pPr>
            <w:r>
              <w:rPr>
                <w:rFonts w:hint="eastAsia"/>
                <w:sz w:val="21"/>
                <w:szCs w:val="21"/>
              </w:rPr>
              <w:t>装车棚</w:t>
            </w:r>
          </w:p>
        </w:tc>
        <w:tc>
          <w:tcPr>
            <w:tcW w:w="4869" w:type="dxa"/>
            <w:noWrap w:val="0"/>
            <w:vAlign w:val="center"/>
          </w:tcPr>
          <w:p w14:paraId="526E8297">
            <w:pPr>
              <w:ind w:firstLine="0"/>
              <w:rPr>
                <w:sz w:val="21"/>
              </w:rPr>
            </w:pPr>
            <w:r>
              <w:rPr>
                <w:rFonts w:hint="eastAsia"/>
                <w:sz w:val="21"/>
              </w:rPr>
              <w:t>1栋，建筑面积432m</w:t>
            </w:r>
            <w:r>
              <w:rPr>
                <w:rFonts w:hint="eastAsia"/>
                <w:sz w:val="21"/>
                <w:vertAlign w:val="superscript"/>
              </w:rPr>
              <w:t>2</w:t>
            </w:r>
            <w:r>
              <w:rPr>
                <w:rFonts w:hint="eastAsia"/>
                <w:sz w:val="21"/>
              </w:rPr>
              <w:t>，钢架顶棚</w:t>
            </w:r>
            <w:r>
              <w:rPr>
                <w:rFonts w:hint="eastAsia"/>
                <w:sz w:val="21"/>
                <w:lang w:eastAsia="zh-CN"/>
              </w:rPr>
              <w:t>，</w:t>
            </w:r>
            <w:r>
              <w:rPr>
                <w:rFonts w:hint="eastAsia"/>
                <w:sz w:val="21"/>
                <w:lang w:val="en-US" w:eastAsia="zh-CN"/>
              </w:rPr>
              <w:t>建筑物高度8m</w:t>
            </w:r>
            <w:r>
              <w:rPr>
                <w:rFonts w:hint="eastAsia"/>
                <w:sz w:val="21"/>
              </w:rPr>
              <w:t>。</w:t>
            </w:r>
          </w:p>
        </w:tc>
        <w:tc>
          <w:tcPr>
            <w:tcW w:w="1238" w:type="dxa"/>
            <w:noWrap w:val="0"/>
            <w:vAlign w:val="center"/>
          </w:tcPr>
          <w:p w14:paraId="1CE1FC94">
            <w:pPr>
              <w:spacing w:line="276" w:lineRule="auto"/>
              <w:ind w:firstLine="0"/>
              <w:jc w:val="center"/>
              <w:rPr>
                <w:rFonts w:hint="eastAsia"/>
                <w:sz w:val="21"/>
                <w:szCs w:val="21"/>
              </w:rPr>
            </w:pPr>
            <w:r>
              <w:rPr>
                <w:rFonts w:hint="eastAsia"/>
                <w:sz w:val="21"/>
                <w:szCs w:val="21"/>
              </w:rPr>
              <w:t>新建</w:t>
            </w:r>
          </w:p>
        </w:tc>
      </w:tr>
      <w:tr w14:paraId="10A97C3C">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564F0D76">
            <w:pPr>
              <w:spacing w:line="276" w:lineRule="auto"/>
              <w:ind w:firstLine="0"/>
              <w:jc w:val="center"/>
              <w:rPr>
                <w:rFonts w:hint="eastAsia"/>
                <w:color w:val="0000FF"/>
                <w:sz w:val="21"/>
                <w:szCs w:val="21"/>
              </w:rPr>
            </w:pPr>
          </w:p>
        </w:tc>
        <w:tc>
          <w:tcPr>
            <w:tcW w:w="1809" w:type="dxa"/>
            <w:noWrap w:val="0"/>
            <w:vAlign w:val="center"/>
          </w:tcPr>
          <w:p w14:paraId="0C3951D9">
            <w:pPr>
              <w:spacing w:line="276" w:lineRule="auto"/>
              <w:ind w:firstLine="0"/>
              <w:jc w:val="center"/>
              <w:rPr>
                <w:sz w:val="21"/>
                <w:szCs w:val="21"/>
              </w:rPr>
            </w:pPr>
            <w:r>
              <w:rPr>
                <w:rFonts w:hint="eastAsia"/>
                <w:sz w:val="21"/>
                <w:szCs w:val="21"/>
              </w:rPr>
              <w:t>机修车间</w:t>
            </w:r>
          </w:p>
        </w:tc>
        <w:tc>
          <w:tcPr>
            <w:tcW w:w="4869" w:type="dxa"/>
            <w:noWrap w:val="0"/>
            <w:vAlign w:val="center"/>
          </w:tcPr>
          <w:p w14:paraId="71555B7D">
            <w:pPr>
              <w:ind w:firstLine="0"/>
              <w:rPr>
                <w:sz w:val="21"/>
              </w:rPr>
            </w:pPr>
            <w:r>
              <w:rPr>
                <w:rFonts w:hint="eastAsia"/>
                <w:sz w:val="21"/>
              </w:rPr>
              <w:t>1栋，建筑面积360m</w:t>
            </w:r>
            <w:r>
              <w:rPr>
                <w:rFonts w:hint="eastAsia"/>
                <w:sz w:val="21"/>
                <w:vertAlign w:val="superscript"/>
              </w:rPr>
              <w:t>2</w:t>
            </w:r>
            <w:r>
              <w:rPr>
                <w:rFonts w:hint="eastAsia"/>
                <w:sz w:val="21"/>
              </w:rPr>
              <w:t>，钢架结构</w:t>
            </w:r>
            <w:r>
              <w:rPr>
                <w:rFonts w:hint="eastAsia"/>
                <w:sz w:val="21"/>
                <w:lang w:eastAsia="zh-CN"/>
              </w:rPr>
              <w:t>，</w:t>
            </w:r>
            <w:r>
              <w:rPr>
                <w:rFonts w:hint="eastAsia"/>
                <w:sz w:val="21"/>
                <w:lang w:val="en-US" w:eastAsia="zh-CN"/>
              </w:rPr>
              <w:t>建筑物高度6m</w:t>
            </w:r>
            <w:r>
              <w:rPr>
                <w:rFonts w:hint="eastAsia"/>
                <w:sz w:val="21"/>
              </w:rPr>
              <w:t>。</w:t>
            </w:r>
          </w:p>
        </w:tc>
        <w:tc>
          <w:tcPr>
            <w:tcW w:w="1238" w:type="dxa"/>
            <w:noWrap w:val="0"/>
            <w:vAlign w:val="center"/>
          </w:tcPr>
          <w:p w14:paraId="3BA7E84E">
            <w:pPr>
              <w:spacing w:line="276" w:lineRule="auto"/>
              <w:ind w:firstLine="0"/>
              <w:jc w:val="center"/>
              <w:rPr>
                <w:rFonts w:hint="eastAsia"/>
                <w:sz w:val="21"/>
                <w:szCs w:val="21"/>
              </w:rPr>
            </w:pPr>
            <w:r>
              <w:rPr>
                <w:rFonts w:hint="eastAsia"/>
                <w:sz w:val="21"/>
                <w:szCs w:val="21"/>
              </w:rPr>
              <w:t>新建</w:t>
            </w:r>
          </w:p>
        </w:tc>
      </w:tr>
      <w:tr w14:paraId="5A93FB7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0F39B208">
            <w:pPr>
              <w:spacing w:line="276" w:lineRule="auto"/>
              <w:ind w:firstLine="0"/>
              <w:jc w:val="center"/>
              <w:rPr>
                <w:rFonts w:hint="eastAsia"/>
                <w:color w:val="0000FF"/>
                <w:sz w:val="21"/>
                <w:szCs w:val="21"/>
              </w:rPr>
            </w:pPr>
          </w:p>
        </w:tc>
        <w:tc>
          <w:tcPr>
            <w:tcW w:w="1809" w:type="dxa"/>
            <w:noWrap w:val="0"/>
            <w:vAlign w:val="center"/>
          </w:tcPr>
          <w:p w14:paraId="397F24D4">
            <w:pPr>
              <w:spacing w:line="276" w:lineRule="auto"/>
              <w:ind w:firstLine="0"/>
              <w:jc w:val="center"/>
              <w:rPr>
                <w:sz w:val="21"/>
                <w:szCs w:val="21"/>
              </w:rPr>
            </w:pPr>
            <w:r>
              <w:rPr>
                <w:rFonts w:hint="eastAsia"/>
                <w:sz w:val="21"/>
                <w:szCs w:val="21"/>
              </w:rPr>
              <w:t>办公楼</w:t>
            </w:r>
          </w:p>
        </w:tc>
        <w:tc>
          <w:tcPr>
            <w:tcW w:w="4869" w:type="dxa"/>
            <w:noWrap w:val="0"/>
            <w:vAlign w:val="center"/>
          </w:tcPr>
          <w:p w14:paraId="71AEEB0F">
            <w:pPr>
              <w:ind w:firstLine="0"/>
              <w:rPr>
                <w:sz w:val="21"/>
              </w:rPr>
            </w:pPr>
            <w:r>
              <w:rPr>
                <w:rFonts w:hint="eastAsia"/>
                <w:sz w:val="21"/>
              </w:rPr>
              <w:t>1栋，3层钢筋混凝土结构，建筑面积</w:t>
            </w:r>
            <w:r>
              <w:rPr>
                <w:rFonts w:hint="eastAsia"/>
                <w:sz w:val="21"/>
                <w:lang w:val="en-US" w:eastAsia="zh-CN"/>
              </w:rPr>
              <w:t>1211.22</w:t>
            </w:r>
            <w:r>
              <w:rPr>
                <w:rFonts w:hint="eastAsia"/>
                <w:sz w:val="21"/>
              </w:rPr>
              <w:t>m</w:t>
            </w:r>
            <w:r>
              <w:rPr>
                <w:rFonts w:hint="eastAsia"/>
                <w:sz w:val="21"/>
                <w:vertAlign w:val="superscript"/>
              </w:rPr>
              <w:t>2</w:t>
            </w:r>
            <w:r>
              <w:rPr>
                <w:rFonts w:hint="eastAsia"/>
                <w:sz w:val="21"/>
              </w:rPr>
              <w:t>，用于厂区办公使用。</w:t>
            </w:r>
          </w:p>
        </w:tc>
        <w:tc>
          <w:tcPr>
            <w:tcW w:w="1238" w:type="dxa"/>
            <w:noWrap w:val="0"/>
            <w:vAlign w:val="center"/>
          </w:tcPr>
          <w:p w14:paraId="63659D75">
            <w:pPr>
              <w:spacing w:line="276" w:lineRule="auto"/>
              <w:ind w:firstLine="0"/>
              <w:jc w:val="center"/>
              <w:rPr>
                <w:sz w:val="21"/>
                <w:szCs w:val="21"/>
              </w:rPr>
            </w:pPr>
            <w:r>
              <w:rPr>
                <w:rFonts w:hint="eastAsia"/>
                <w:sz w:val="21"/>
                <w:szCs w:val="21"/>
              </w:rPr>
              <w:t>依托原有</w:t>
            </w:r>
          </w:p>
        </w:tc>
      </w:tr>
      <w:tr w14:paraId="52C9D3A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0978C7FE">
            <w:pPr>
              <w:spacing w:line="276" w:lineRule="auto"/>
              <w:ind w:firstLine="0"/>
              <w:jc w:val="center"/>
              <w:rPr>
                <w:rFonts w:hint="eastAsia"/>
                <w:color w:val="0000FF"/>
                <w:sz w:val="21"/>
                <w:szCs w:val="21"/>
              </w:rPr>
            </w:pPr>
          </w:p>
        </w:tc>
        <w:tc>
          <w:tcPr>
            <w:tcW w:w="1809" w:type="dxa"/>
            <w:noWrap w:val="0"/>
            <w:vAlign w:val="center"/>
          </w:tcPr>
          <w:p w14:paraId="3743D365">
            <w:pPr>
              <w:spacing w:line="276" w:lineRule="auto"/>
              <w:ind w:firstLine="0"/>
              <w:jc w:val="center"/>
              <w:rPr>
                <w:sz w:val="21"/>
                <w:szCs w:val="21"/>
              </w:rPr>
            </w:pPr>
            <w:r>
              <w:rPr>
                <w:rFonts w:hint="eastAsia"/>
                <w:sz w:val="21"/>
                <w:szCs w:val="21"/>
              </w:rPr>
              <w:t>车库、车棚</w:t>
            </w:r>
          </w:p>
        </w:tc>
        <w:tc>
          <w:tcPr>
            <w:tcW w:w="4869" w:type="dxa"/>
            <w:noWrap w:val="0"/>
            <w:vAlign w:val="center"/>
          </w:tcPr>
          <w:p w14:paraId="117B520D">
            <w:pPr>
              <w:ind w:firstLine="0"/>
              <w:rPr>
                <w:sz w:val="21"/>
              </w:rPr>
            </w:pPr>
            <w:r>
              <w:rPr>
                <w:rFonts w:hint="eastAsia"/>
                <w:sz w:val="21"/>
              </w:rPr>
              <w:t>3栋，分别建筑面积169m</w:t>
            </w:r>
            <w:r>
              <w:rPr>
                <w:rFonts w:hint="eastAsia"/>
                <w:sz w:val="21"/>
                <w:vertAlign w:val="superscript"/>
              </w:rPr>
              <w:t>2</w:t>
            </w:r>
            <w:r>
              <w:rPr>
                <w:rFonts w:hint="eastAsia"/>
                <w:sz w:val="21"/>
              </w:rPr>
              <w:t>、300m</w:t>
            </w:r>
            <w:r>
              <w:rPr>
                <w:rFonts w:hint="eastAsia"/>
                <w:sz w:val="21"/>
                <w:vertAlign w:val="superscript"/>
              </w:rPr>
              <w:t>2</w:t>
            </w:r>
            <w:r>
              <w:rPr>
                <w:rFonts w:hint="eastAsia"/>
                <w:sz w:val="21"/>
              </w:rPr>
              <w:t>、135m</w:t>
            </w:r>
            <w:r>
              <w:rPr>
                <w:rFonts w:hint="eastAsia"/>
                <w:sz w:val="21"/>
                <w:vertAlign w:val="superscript"/>
              </w:rPr>
              <w:t>2</w:t>
            </w:r>
            <w:r>
              <w:rPr>
                <w:rFonts w:hint="eastAsia"/>
                <w:sz w:val="21"/>
              </w:rPr>
              <w:t>，</w:t>
            </w:r>
            <w:r>
              <w:rPr>
                <w:rFonts w:hint="eastAsia"/>
                <w:sz w:val="21"/>
                <w:lang w:val="en-US" w:eastAsia="zh-CN"/>
              </w:rPr>
              <w:t>钢架结构，</w:t>
            </w:r>
            <w:r>
              <w:rPr>
                <w:rFonts w:hint="eastAsia"/>
                <w:sz w:val="21"/>
              </w:rPr>
              <w:t>用做车辆的停放。</w:t>
            </w:r>
          </w:p>
        </w:tc>
        <w:tc>
          <w:tcPr>
            <w:tcW w:w="1238" w:type="dxa"/>
            <w:noWrap w:val="0"/>
            <w:vAlign w:val="center"/>
          </w:tcPr>
          <w:p w14:paraId="663BC6C5">
            <w:pPr>
              <w:spacing w:line="276" w:lineRule="auto"/>
              <w:ind w:firstLine="0"/>
              <w:jc w:val="center"/>
              <w:rPr>
                <w:rFonts w:hint="eastAsia"/>
                <w:sz w:val="21"/>
                <w:szCs w:val="21"/>
              </w:rPr>
            </w:pPr>
            <w:r>
              <w:rPr>
                <w:rFonts w:hint="eastAsia"/>
                <w:sz w:val="21"/>
                <w:szCs w:val="21"/>
              </w:rPr>
              <w:t>新建</w:t>
            </w:r>
          </w:p>
        </w:tc>
      </w:tr>
      <w:tr w14:paraId="44A3FBB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3E784728">
            <w:pPr>
              <w:spacing w:line="276" w:lineRule="auto"/>
              <w:ind w:firstLine="0"/>
              <w:jc w:val="center"/>
              <w:rPr>
                <w:rFonts w:hint="eastAsia"/>
                <w:color w:val="0000FF"/>
                <w:sz w:val="21"/>
                <w:szCs w:val="21"/>
              </w:rPr>
            </w:pPr>
          </w:p>
        </w:tc>
        <w:tc>
          <w:tcPr>
            <w:tcW w:w="1809" w:type="dxa"/>
            <w:noWrap w:val="0"/>
            <w:vAlign w:val="center"/>
          </w:tcPr>
          <w:p w14:paraId="7C7EC0FE">
            <w:pPr>
              <w:spacing w:line="276" w:lineRule="auto"/>
              <w:ind w:firstLine="0"/>
              <w:jc w:val="center"/>
              <w:rPr>
                <w:sz w:val="21"/>
                <w:szCs w:val="21"/>
              </w:rPr>
            </w:pPr>
            <w:r>
              <w:rPr>
                <w:rFonts w:hint="eastAsia"/>
                <w:sz w:val="21"/>
                <w:szCs w:val="21"/>
              </w:rPr>
              <w:t>配电房</w:t>
            </w:r>
          </w:p>
        </w:tc>
        <w:tc>
          <w:tcPr>
            <w:tcW w:w="4869" w:type="dxa"/>
            <w:noWrap w:val="0"/>
            <w:vAlign w:val="center"/>
          </w:tcPr>
          <w:p w14:paraId="36BF8E81">
            <w:pPr>
              <w:ind w:firstLine="0"/>
              <w:rPr>
                <w:rFonts w:eastAsia="宋体"/>
                <w:sz w:val="21"/>
                <w:lang w:val="en-US" w:eastAsia="zh-CN"/>
              </w:rPr>
            </w:pPr>
            <w:r>
              <w:rPr>
                <w:rFonts w:hint="eastAsia"/>
                <w:sz w:val="21"/>
              </w:rPr>
              <w:t>1栋，建筑面积87.5m</w:t>
            </w:r>
            <w:r>
              <w:rPr>
                <w:rFonts w:hint="eastAsia"/>
                <w:sz w:val="21"/>
                <w:vertAlign w:val="superscript"/>
              </w:rPr>
              <w:t>2</w:t>
            </w:r>
            <w:r>
              <w:rPr>
                <w:rFonts w:hint="eastAsia"/>
                <w:sz w:val="21"/>
                <w:lang w:eastAsia="zh-CN"/>
              </w:rPr>
              <w:t>，</w:t>
            </w:r>
            <w:r>
              <w:rPr>
                <w:rFonts w:hint="eastAsia"/>
                <w:sz w:val="21"/>
                <w:lang w:val="en-US" w:eastAsia="zh-CN"/>
              </w:rPr>
              <w:t>砖混结构。</w:t>
            </w:r>
          </w:p>
        </w:tc>
        <w:tc>
          <w:tcPr>
            <w:tcW w:w="1238" w:type="dxa"/>
            <w:noWrap w:val="0"/>
            <w:vAlign w:val="center"/>
          </w:tcPr>
          <w:p w14:paraId="57509B30">
            <w:pPr>
              <w:spacing w:line="276" w:lineRule="auto"/>
              <w:ind w:firstLine="0"/>
              <w:jc w:val="center"/>
              <w:rPr>
                <w:rFonts w:eastAsia="宋体"/>
                <w:sz w:val="21"/>
                <w:szCs w:val="21"/>
                <w:lang w:val="en-US" w:eastAsia="zh-CN"/>
              </w:rPr>
            </w:pPr>
            <w:r>
              <w:rPr>
                <w:rFonts w:hint="eastAsia"/>
                <w:sz w:val="21"/>
                <w:szCs w:val="21"/>
                <w:lang w:val="en-US" w:eastAsia="zh-CN"/>
              </w:rPr>
              <w:t>依托原有</w:t>
            </w:r>
          </w:p>
        </w:tc>
      </w:tr>
      <w:tr w14:paraId="75C02F7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01F3D70C">
            <w:pPr>
              <w:spacing w:line="276" w:lineRule="auto"/>
              <w:ind w:firstLine="0"/>
              <w:jc w:val="center"/>
              <w:rPr>
                <w:rFonts w:hint="eastAsia"/>
                <w:color w:val="0000FF"/>
                <w:sz w:val="21"/>
                <w:szCs w:val="21"/>
              </w:rPr>
            </w:pPr>
          </w:p>
        </w:tc>
        <w:tc>
          <w:tcPr>
            <w:tcW w:w="1809" w:type="dxa"/>
            <w:noWrap w:val="0"/>
            <w:vAlign w:val="center"/>
          </w:tcPr>
          <w:p w14:paraId="437A4A19">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空压机房</w:t>
            </w:r>
          </w:p>
        </w:tc>
        <w:tc>
          <w:tcPr>
            <w:tcW w:w="4869" w:type="dxa"/>
            <w:noWrap w:val="0"/>
            <w:vAlign w:val="center"/>
          </w:tcPr>
          <w:p w14:paraId="112CDB64">
            <w:pPr>
              <w:ind w:firstLine="0"/>
              <w:rPr>
                <w:rFonts w:eastAsia="宋体"/>
                <w:color w:val="000000"/>
                <w:sz w:val="21"/>
                <w:szCs w:val="21"/>
                <w:lang w:val="en-US" w:eastAsia="zh-CN"/>
              </w:rPr>
            </w:pPr>
            <w:r>
              <w:rPr>
                <w:rFonts w:hint="eastAsia"/>
                <w:color w:val="000000"/>
                <w:sz w:val="21"/>
                <w:szCs w:val="21"/>
                <w:lang w:val="en-US" w:eastAsia="zh-CN"/>
              </w:rPr>
              <w:t>1栋，建筑面积30m</w:t>
            </w:r>
            <w:r>
              <w:rPr>
                <w:rFonts w:hint="eastAsia"/>
                <w:color w:val="000000"/>
                <w:sz w:val="21"/>
                <w:szCs w:val="21"/>
                <w:vertAlign w:val="superscript"/>
                <w:lang w:val="en-US" w:eastAsia="zh-CN"/>
              </w:rPr>
              <w:t>2</w:t>
            </w:r>
            <w:r>
              <w:rPr>
                <w:rFonts w:hint="eastAsia"/>
                <w:color w:val="000000"/>
                <w:sz w:val="21"/>
                <w:szCs w:val="21"/>
                <w:vertAlign w:val="baseline"/>
                <w:lang w:val="en-US" w:eastAsia="zh-CN"/>
              </w:rPr>
              <w:t>，钢架结构。</w:t>
            </w:r>
          </w:p>
        </w:tc>
        <w:tc>
          <w:tcPr>
            <w:tcW w:w="1238" w:type="dxa"/>
            <w:noWrap w:val="0"/>
            <w:vAlign w:val="center"/>
          </w:tcPr>
          <w:p w14:paraId="1E40022D">
            <w:pPr>
              <w:spacing w:line="276" w:lineRule="auto"/>
              <w:ind w:firstLine="0"/>
              <w:jc w:val="center"/>
              <w:rPr>
                <w:color w:val="000000"/>
                <w:sz w:val="21"/>
                <w:szCs w:val="21"/>
                <w:lang w:val="en-US" w:eastAsia="zh-CN"/>
              </w:rPr>
            </w:pPr>
            <w:r>
              <w:rPr>
                <w:rFonts w:hint="eastAsia"/>
                <w:color w:val="000000"/>
                <w:sz w:val="21"/>
                <w:szCs w:val="21"/>
                <w:lang w:val="en-US" w:eastAsia="zh-CN"/>
              </w:rPr>
              <w:t>依托原有</w:t>
            </w:r>
          </w:p>
        </w:tc>
      </w:tr>
      <w:tr w14:paraId="50892FC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40FA9DBE">
            <w:pPr>
              <w:spacing w:line="276" w:lineRule="auto"/>
              <w:ind w:firstLine="0"/>
              <w:jc w:val="center"/>
              <w:rPr>
                <w:rFonts w:hint="eastAsia"/>
                <w:color w:val="0000FF"/>
                <w:sz w:val="21"/>
                <w:szCs w:val="21"/>
              </w:rPr>
            </w:pPr>
          </w:p>
        </w:tc>
        <w:tc>
          <w:tcPr>
            <w:tcW w:w="1809" w:type="dxa"/>
            <w:noWrap w:val="0"/>
            <w:vAlign w:val="top"/>
          </w:tcPr>
          <w:p w14:paraId="68C7460C">
            <w:pPr>
              <w:pStyle w:val="421"/>
              <w:spacing w:before="156"/>
              <w:ind w:right="123" w:firstLine="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锅炉房1#</w:t>
            </w:r>
          </w:p>
        </w:tc>
        <w:tc>
          <w:tcPr>
            <w:tcW w:w="4869" w:type="dxa"/>
            <w:noWrap w:val="0"/>
            <w:vAlign w:val="top"/>
          </w:tcPr>
          <w:p w14:paraId="7452C607">
            <w:pPr>
              <w:pStyle w:val="421"/>
              <w:spacing w:line="379" w:lineRule="exact"/>
              <w:ind w:firstLine="0"/>
              <w:jc w:val="left"/>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1栋，1 层砖混，建筑面积242m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，安装1台6t/h的蒸汽锅炉</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改扩建完成后作为备用锅炉，为板材加工后序的贴面热压提供蒸汽热源。</w:t>
            </w:r>
          </w:p>
        </w:tc>
        <w:tc>
          <w:tcPr>
            <w:tcW w:w="1238" w:type="dxa"/>
            <w:noWrap w:val="0"/>
            <w:vAlign w:val="center"/>
          </w:tcPr>
          <w:p w14:paraId="5A27D81F">
            <w:pPr>
              <w:spacing w:line="276" w:lineRule="auto"/>
              <w:ind w:firstLine="0"/>
              <w:jc w:val="center"/>
              <w:rPr>
                <w:color w:val="000000"/>
                <w:sz w:val="21"/>
                <w:szCs w:val="21"/>
              </w:rPr>
            </w:pPr>
            <w:r>
              <w:rPr>
                <w:rFonts w:hint="eastAsia"/>
                <w:color w:val="000000"/>
                <w:sz w:val="21"/>
                <w:szCs w:val="21"/>
              </w:rPr>
              <w:t>依托原有</w:t>
            </w:r>
          </w:p>
        </w:tc>
      </w:tr>
      <w:tr w14:paraId="39B8C0D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3EFE9E7A">
            <w:pPr>
              <w:spacing w:line="276" w:lineRule="auto"/>
              <w:ind w:firstLine="0"/>
              <w:jc w:val="center"/>
              <w:rPr>
                <w:rFonts w:hint="eastAsia"/>
                <w:color w:val="0000FF"/>
                <w:sz w:val="21"/>
                <w:szCs w:val="21"/>
              </w:rPr>
            </w:pPr>
          </w:p>
        </w:tc>
        <w:tc>
          <w:tcPr>
            <w:tcW w:w="1809" w:type="dxa"/>
            <w:noWrap w:val="0"/>
            <w:vAlign w:val="top"/>
          </w:tcPr>
          <w:p w14:paraId="15553B2F">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锅炉燃料棚</w:t>
            </w:r>
          </w:p>
        </w:tc>
        <w:tc>
          <w:tcPr>
            <w:tcW w:w="4869" w:type="dxa"/>
            <w:noWrap w:val="0"/>
            <w:vAlign w:val="top"/>
          </w:tcPr>
          <w:p w14:paraId="3FEA46CA">
            <w:pPr>
              <w:pStyle w:val="421"/>
              <w:spacing w:line="379" w:lineRule="exact"/>
              <w:ind w:firstLine="0"/>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1栋，建筑面积400m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w:t>
            </w:r>
          </w:p>
        </w:tc>
        <w:tc>
          <w:tcPr>
            <w:tcW w:w="1238" w:type="dxa"/>
            <w:noWrap w:val="0"/>
            <w:vAlign w:val="center"/>
          </w:tcPr>
          <w:p w14:paraId="0C6A4EFF">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20FD2370">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712CA1B7">
            <w:pPr>
              <w:spacing w:line="276" w:lineRule="auto"/>
              <w:ind w:firstLine="0"/>
              <w:jc w:val="center"/>
              <w:rPr>
                <w:rFonts w:hint="eastAsia"/>
                <w:color w:val="0000FF"/>
                <w:sz w:val="21"/>
                <w:szCs w:val="21"/>
              </w:rPr>
            </w:pPr>
          </w:p>
        </w:tc>
        <w:tc>
          <w:tcPr>
            <w:tcW w:w="1809" w:type="dxa"/>
            <w:noWrap w:val="0"/>
            <w:vAlign w:val="top"/>
          </w:tcPr>
          <w:p w14:paraId="783B6338">
            <w:pPr>
              <w:pStyle w:val="421"/>
              <w:spacing w:before="156"/>
              <w:ind w:right="123" w:firstLine="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锅炉操作室</w:t>
            </w:r>
          </w:p>
        </w:tc>
        <w:tc>
          <w:tcPr>
            <w:tcW w:w="4869" w:type="dxa"/>
            <w:noWrap w:val="0"/>
            <w:vAlign w:val="top"/>
          </w:tcPr>
          <w:p w14:paraId="2CD6AFEA">
            <w:pPr>
              <w:pStyle w:val="421"/>
              <w:spacing w:line="379" w:lineRule="exact"/>
              <w:ind w:firstLine="0"/>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1间，建筑面积24m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w:t>
            </w:r>
          </w:p>
        </w:tc>
        <w:tc>
          <w:tcPr>
            <w:tcW w:w="1238" w:type="dxa"/>
            <w:noWrap w:val="0"/>
            <w:vAlign w:val="center"/>
          </w:tcPr>
          <w:p w14:paraId="6A592EAF">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31B362B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7CEFBF9D">
            <w:pPr>
              <w:spacing w:line="276" w:lineRule="auto"/>
              <w:ind w:firstLine="0"/>
              <w:jc w:val="center"/>
              <w:rPr>
                <w:rFonts w:hint="eastAsia"/>
                <w:color w:val="0000FF"/>
                <w:sz w:val="21"/>
                <w:szCs w:val="21"/>
              </w:rPr>
            </w:pPr>
          </w:p>
        </w:tc>
        <w:tc>
          <w:tcPr>
            <w:tcW w:w="1809" w:type="dxa"/>
            <w:noWrap w:val="0"/>
            <w:vAlign w:val="center"/>
          </w:tcPr>
          <w:p w14:paraId="70C0585F">
            <w:pPr>
              <w:pStyle w:val="421"/>
              <w:spacing w:before="156"/>
              <w:ind w:right="123"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能源工厂</w:t>
            </w:r>
          </w:p>
        </w:tc>
        <w:tc>
          <w:tcPr>
            <w:tcW w:w="4869" w:type="dxa"/>
            <w:noWrap w:val="0"/>
            <w:vAlign w:val="center"/>
          </w:tcPr>
          <w:p w14:paraId="1FF4AC57">
            <w:pPr>
              <w:pStyle w:val="421"/>
              <w:spacing w:line="379" w:lineRule="exact"/>
              <w:ind w:firstLine="0"/>
              <w:jc w:val="left"/>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占地面积1500m</w:t>
            </w:r>
            <w:r>
              <w:rPr>
                <w:rFonts w:hint="eastAsia"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lang w:val="en-US" w:eastAsia="zh-CN"/>
              </w:rPr>
              <w:t>，设置1台型号为</w:t>
            </w:r>
            <w:r>
              <w:rPr>
                <w:rFonts w:hint="eastAsia" w:ascii="Times New Roman" w:hAnsi="Times New Roman" w:eastAsia="宋体" w:cs="Times New Roman"/>
                <w:sz w:val="21"/>
                <w:szCs w:val="22"/>
              </w:rPr>
              <w:t>YGL-12000</w:t>
            </w:r>
            <w:r>
              <w:rPr>
                <w:rFonts w:hint="eastAsia" w:ascii="Times New Roman" w:hAnsi="Times New Roman" w:eastAsia="宋体" w:cs="Times New Roman"/>
                <w:color w:val="000000"/>
                <w:sz w:val="21"/>
                <w:szCs w:val="21"/>
                <w:lang w:val="en-US" w:eastAsia="zh-CN"/>
              </w:rPr>
              <w:t>热载体炉，为制胶反应釜、板材干燥、热压及贴面热压提供热源</w:t>
            </w:r>
          </w:p>
        </w:tc>
        <w:tc>
          <w:tcPr>
            <w:tcW w:w="1238" w:type="dxa"/>
            <w:noWrap w:val="0"/>
            <w:vAlign w:val="center"/>
          </w:tcPr>
          <w:p w14:paraId="535EDE1F">
            <w:pPr>
              <w:spacing w:line="276" w:lineRule="auto"/>
              <w:ind w:firstLine="0"/>
              <w:jc w:val="center"/>
              <w:rPr>
                <w:color w:val="000000"/>
                <w:sz w:val="21"/>
                <w:szCs w:val="21"/>
                <w:lang w:val="en-US" w:eastAsia="zh-CN"/>
              </w:rPr>
            </w:pPr>
            <w:r>
              <w:rPr>
                <w:rFonts w:hint="eastAsia"/>
                <w:color w:val="000000"/>
                <w:sz w:val="21"/>
                <w:szCs w:val="21"/>
                <w:lang w:val="en-US" w:eastAsia="zh-CN"/>
              </w:rPr>
              <w:t>新建</w:t>
            </w:r>
          </w:p>
        </w:tc>
      </w:tr>
      <w:tr w14:paraId="63DF0E32">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7C17A3AE">
            <w:pPr>
              <w:spacing w:line="276" w:lineRule="auto"/>
              <w:ind w:firstLine="0"/>
              <w:jc w:val="center"/>
              <w:rPr>
                <w:rFonts w:hint="eastAsia"/>
                <w:color w:val="0000FF"/>
                <w:sz w:val="21"/>
                <w:szCs w:val="21"/>
              </w:rPr>
            </w:pPr>
          </w:p>
        </w:tc>
        <w:tc>
          <w:tcPr>
            <w:tcW w:w="1809" w:type="dxa"/>
            <w:noWrap w:val="0"/>
            <w:vAlign w:val="top"/>
          </w:tcPr>
          <w:p w14:paraId="4571E86E">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木工房</w:t>
            </w:r>
          </w:p>
        </w:tc>
        <w:tc>
          <w:tcPr>
            <w:tcW w:w="4869" w:type="dxa"/>
            <w:noWrap w:val="0"/>
            <w:vAlign w:val="top"/>
          </w:tcPr>
          <w:p w14:paraId="65834A93">
            <w:pPr>
              <w:pStyle w:val="421"/>
              <w:spacing w:line="379" w:lineRule="exact"/>
              <w:ind w:firstLine="0"/>
              <w:jc w:val="left"/>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1栋，建筑面积325m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主要功能为制作板材包装架使用。</w:t>
            </w:r>
          </w:p>
        </w:tc>
        <w:tc>
          <w:tcPr>
            <w:tcW w:w="1238" w:type="dxa"/>
            <w:noWrap w:val="0"/>
            <w:vAlign w:val="center"/>
          </w:tcPr>
          <w:p w14:paraId="1D8CAD33">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06485420">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45F87F7E">
            <w:pPr>
              <w:spacing w:line="276" w:lineRule="auto"/>
              <w:ind w:firstLine="0"/>
              <w:jc w:val="center"/>
              <w:rPr>
                <w:rFonts w:hint="eastAsia"/>
                <w:color w:val="0000FF"/>
                <w:sz w:val="21"/>
                <w:szCs w:val="21"/>
              </w:rPr>
            </w:pPr>
          </w:p>
        </w:tc>
        <w:tc>
          <w:tcPr>
            <w:tcW w:w="1809" w:type="dxa"/>
            <w:noWrap w:val="0"/>
            <w:vAlign w:val="top"/>
          </w:tcPr>
          <w:p w14:paraId="38964C45">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开水房及卫生间</w:t>
            </w:r>
          </w:p>
        </w:tc>
        <w:tc>
          <w:tcPr>
            <w:tcW w:w="4869" w:type="dxa"/>
            <w:noWrap w:val="0"/>
            <w:vAlign w:val="top"/>
          </w:tcPr>
          <w:p w14:paraId="5DA39859">
            <w:pPr>
              <w:pStyle w:val="421"/>
              <w:spacing w:line="379" w:lineRule="exact"/>
              <w:ind w:firstLine="0"/>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建筑面积151.2m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，位于生产车间的北侧，便于工作人员使用。</w:t>
            </w:r>
          </w:p>
        </w:tc>
        <w:tc>
          <w:tcPr>
            <w:tcW w:w="1238" w:type="dxa"/>
            <w:noWrap w:val="0"/>
            <w:vAlign w:val="center"/>
          </w:tcPr>
          <w:p w14:paraId="03A2BBEA">
            <w:pPr>
              <w:spacing w:line="276" w:lineRule="auto"/>
              <w:ind w:firstLine="0"/>
              <w:jc w:val="center"/>
              <w:rPr>
                <w:rFonts w:hint="eastAsia"/>
                <w:color w:val="000000"/>
                <w:sz w:val="21"/>
                <w:szCs w:val="21"/>
                <w:lang w:val="en-US" w:eastAsia="zh-CN"/>
              </w:rPr>
            </w:pPr>
            <w:r>
              <w:rPr>
                <w:rFonts w:hint="eastAsia"/>
                <w:color w:val="000000"/>
                <w:sz w:val="21"/>
                <w:szCs w:val="21"/>
                <w:lang w:val="en-US" w:eastAsia="zh-CN"/>
              </w:rPr>
              <w:t>依托原有</w:t>
            </w:r>
          </w:p>
        </w:tc>
      </w:tr>
      <w:tr w14:paraId="6ACACCF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224AFC95">
            <w:pPr>
              <w:spacing w:line="276" w:lineRule="auto"/>
              <w:ind w:firstLine="0"/>
              <w:jc w:val="center"/>
              <w:rPr>
                <w:rFonts w:hint="eastAsia"/>
                <w:color w:val="0000FF"/>
                <w:sz w:val="21"/>
                <w:szCs w:val="21"/>
              </w:rPr>
            </w:pPr>
          </w:p>
        </w:tc>
        <w:tc>
          <w:tcPr>
            <w:tcW w:w="1809" w:type="dxa"/>
            <w:noWrap w:val="0"/>
            <w:vAlign w:val="top"/>
          </w:tcPr>
          <w:p w14:paraId="56C2CBD6">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机加工车间</w:t>
            </w:r>
          </w:p>
        </w:tc>
        <w:tc>
          <w:tcPr>
            <w:tcW w:w="4869" w:type="dxa"/>
            <w:noWrap w:val="0"/>
            <w:vAlign w:val="top"/>
          </w:tcPr>
          <w:p w14:paraId="14F97CDF">
            <w:pPr>
              <w:pStyle w:val="421"/>
              <w:spacing w:line="379" w:lineRule="exact"/>
              <w:ind w:firstLine="0"/>
              <w:jc w:val="left"/>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1栋，建筑面积240m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建筑高度8m，主要用于机修使用。</w:t>
            </w:r>
          </w:p>
        </w:tc>
        <w:tc>
          <w:tcPr>
            <w:tcW w:w="1238" w:type="dxa"/>
            <w:noWrap w:val="0"/>
            <w:vAlign w:val="center"/>
          </w:tcPr>
          <w:p w14:paraId="754DB099">
            <w:pPr>
              <w:spacing w:line="276" w:lineRule="auto"/>
              <w:ind w:firstLine="0"/>
              <w:jc w:val="center"/>
              <w:rPr>
                <w:rFonts w:hint="eastAsia"/>
                <w:color w:val="000000"/>
                <w:sz w:val="21"/>
                <w:szCs w:val="21"/>
                <w:lang w:val="en-US" w:eastAsia="zh-CN"/>
              </w:rPr>
            </w:pPr>
            <w:r>
              <w:rPr>
                <w:rFonts w:hint="eastAsia"/>
                <w:color w:val="000000"/>
                <w:sz w:val="21"/>
                <w:szCs w:val="21"/>
                <w:lang w:val="en-US" w:eastAsia="zh-CN"/>
              </w:rPr>
              <w:t>依托原有</w:t>
            </w:r>
          </w:p>
        </w:tc>
      </w:tr>
      <w:tr w14:paraId="1BEA2D0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914" w:hRule="atLeast"/>
          <w:tblHeader/>
          <w:jc w:val="center"/>
        </w:trPr>
        <w:tc>
          <w:tcPr>
            <w:tcW w:w="783" w:type="dxa"/>
            <w:vMerge w:val="continue"/>
            <w:noWrap w:val="0"/>
            <w:vAlign w:val="center"/>
          </w:tcPr>
          <w:p w14:paraId="18346B26">
            <w:pPr>
              <w:spacing w:line="276" w:lineRule="auto"/>
              <w:ind w:firstLine="0"/>
              <w:jc w:val="center"/>
              <w:rPr>
                <w:rFonts w:hint="eastAsia"/>
                <w:color w:val="0000FF"/>
                <w:sz w:val="21"/>
                <w:szCs w:val="21"/>
              </w:rPr>
            </w:pPr>
          </w:p>
        </w:tc>
        <w:tc>
          <w:tcPr>
            <w:tcW w:w="1809" w:type="dxa"/>
            <w:noWrap w:val="0"/>
            <w:vAlign w:val="top"/>
          </w:tcPr>
          <w:p w14:paraId="5B13F450">
            <w:pPr>
              <w:pStyle w:val="421"/>
              <w:spacing w:before="157"/>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职工宿舍</w:t>
            </w:r>
          </w:p>
        </w:tc>
        <w:tc>
          <w:tcPr>
            <w:tcW w:w="4869" w:type="dxa"/>
            <w:noWrap w:val="0"/>
            <w:vAlign w:val="center"/>
          </w:tcPr>
          <w:p w14:paraId="10F3F79F">
            <w:pPr>
              <w:pStyle w:val="421"/>
              <w:spacing w:line="360" w:lineRule="exact"/>
              <w:ind w:right="142" w:firstLine="0"/>
              <w:jc w:val="lef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 层，框架结构</w:t>
            </w:r>
            <w:r>
              <w:rPr>
                <w:color w:val="000000"/>
                <w:sz w:val="21"/>
              </w:rPr>
              <w:t>（</w:t>
            </w:r>
            <w:r>
              <w:rPr>
                <w:rFonts w:ascii="Times New Roman" w:hAnsi="Times New Roman" w:eastAsia="宋体" w:cs="Times New Roman"/>
                <w:color w:val="000000"/>
                <w:spacing w:val="-2"/>
                <w:sz w:val="21"/>
              </w:rPr>
              <w:t>9</w:t>
            </w:r>
            <w:r>
              <w:rPr>
                <w:color w:val="000000"/>
                <w:spacing w:val="-2"/>
                <w:sz w:val="21"/>
              </w:rPr>
              <w:t>栋</w:t>
            </w:r>
            <w:r>
              <w:rPr>
                <w:color w:val="000000"/>
                <w:spacing w:val="-27"/>
                <w:sz w:val="21"/>
              </w:rPr>
              <w:t>）</w:t>
            </w:r>
            <w:r>
              <w:rPr>
                <w:rFonts w:hint="eastAsia" w:ascii="Times New Roman" w:hAnsi="Times New Roman" w:eastAsia="宋体" w:cs="Times New Roman"/>
                <w:color w:val="000000"/>
                <w:sz w:val="21"/>
                <w:szCs w:val="21"/>
              </w:rPr>
              <w:t>，总建筑面积 3168m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，建筑物高度3.5m。</w:t>
            </w:r>
          </w:p>
        </w:tc>
        <w:tc>
          <w:tcPr>
            <w:tcW w:w="1238" w:type="dxa"/>
            <w:noWrap w:val="0"/>
            <w:vAlign w:val="center"/>
          </w:tcPr>
          <w:p w14:paraId="12DF7FB9">
            <w:pPr>
              <w:spacing w:line="276" w:lineRule="auto"/>
              <w:ind w:firstLine="0"/>
              <w:jc w:val="center"/>
              <w:rPr>
                <w:rFonts w:hint="eastAsia"/>
                <w:color w:val="000000"/>
                <w:sz w:val="21"/>
                <w:szCs w:val="21"/>
              </w:rPr>
            </w:pPr>
            <w:r>
              <w:rPr>
                <w:rFonts w:hint="eastAsia"/>
                <w:color w:val="000000"/>
                <w:sz w:val="21"/>
                <w:szCs w:val="21"/>
              </w:rPr>
              <w:t>依托原有</w:t>
            </w:r>
          </w:p>
        </w:tc>
      </w:tr>
      <w:tr w14:paraId="6FA3A80C">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7AF9DB5D">
            <w:pPr>
              <w:spacing w:line="276" w:lineRule="auto"/>
              <w:ind w:firstLine="420"/>
              <w:jc w:val="center"/>
              <w:rPr>
                <w:rFonts w:hint="eastAsia"/>
                <w:color w:val="0000FF"/>
                <w:sz w:val="21"/>
                <w:szCs w:val="21"/>
              </w:rPr>
            </w:pPr>
          </w:p>
        </w:tc>
        <w:tc>
          <w:tcPr>
            <w:tcW w:w="1809" w:type="dxa"/>
            <w:noWrap w:val="0"/>
            <w:vAlign w:val="top"/>
          </w:tcPr>
          <w:p w14:paraId="6EE6481F">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卫生间及洗澡间</w:t>
            </w:r>
          </w:p>
        </w:tc>
        <w:tc>
          <w:tcPr>
            <w:tcW w:w="4869" w:type="dxa"/>
            <w:noWrap w:val="0"/>
            <w:vAlign w:val="center"/>
          </w:tcPr>
          <w:p w14:paraId="400304CB">
            <w:pPr>
              <w:pStyle w:val="421"/>
              <w:spacing w:line="379" w:lineRule="exact"/>
              <w:ind w:firstLine="0"/>
              <w:jc w:val="lef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 层砖混</w:t>
            </w:r>
            <w:r>
              <w:rPr>
                <w:rFonts w:hint="eastAsia" w:ascii="Times New Roman" w:hAnsi="Times New Roman" w:eastAsia="宋体" w:cs="Times New Roman"/>
                <w:color w:val="000000"/>
                <w:sz w:val="21"/>
                <w:szCs w:val="21"/>
                <w:lang w:val="en-US" w:eastAsia="zh-CN"/>
              </w:rPr>
              <w:t>结构</w:t>
            </w:r>
            <w:r>
              <w:rPr>
                <w:rFonts w:hint="eastAsia" w:ascii="Times New Roman" w:hAnsi="Times New Roman" w:eastAsia="宋体" w:cs="Times New Roman"/>
                <w:color w:val="000000"/>
                <w:sz w:val="21"/>
                <w:szCs w:val="21"/>
              </w:rPr>
              <w:t>，建筑面积320m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w:t>
            </w:r>
          </w:p>
        </w:tc>
        <w:tc>
          <w:tcPr>
            <w:tcW w:w="1238" w:type="dxa"/>
            <w:noWrap w:val="0"/>
            <w:vAlign w:val="center"/>
          </w:tcPr>
          <w:p w14:paraId="0B0C8435">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13C0568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1126A8AD">
            <w:pPr>
              <w:spacing w:line="276" w:lineRule="auto"/>
              <w:ind w:firstLine="420"/>
              <w:jc w:val="center"/>
              <w:rPr>
                <w:rFonts w:hint="eastAsia"/>
                <w:color w:val="0000FF"/>
                <w:sz w:val="21"/>
                <w:szCs w:val="21"/>
              </w:rPr>
            </w:pPr>
          </w:p>
        </w:tc>
        <w:tc>
          <w:tcPr>
            <w:tcW w:w="1809" w:type="dxa"/>
            <w:noWrap w:val="0"/>
            <w:vAlign w:val="top"/>
          </w:tcPr>
          <w:p w14:paraId="2958AFD3">
            <w:pPr>
              <w:pStyle w:val="421"/>
              <w:spacing w:before="156"/>
              <w:ind w:right="123" w:firstLine="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食堂</w:t>
            </w:r>
          </w:p>
        </w:tc>
        <w:tc>
          <w:tcPr>
            <w:tcW w:w="4869" w:type="dxa"/>
            <w:noWrap w:val="0"/>
            <w:vAlign w:val="center"/>
          </w:tcPr>
          <w:p w14:paraId="570AEB66">
            <w:pPr>
              <w:pStyle w:val="421"/>
              <w:spacing w:line="379" w:lineRule="exact"/>
              <w:ind w:firstLine="0"/>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1层砖混结构，建筑面积400m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w:t>
            </w:r>
          </w:p>
        </w:tc>
        <w:tc>
          <w:tcPr>
            <w:tcW w:w="1238" w:type="dxa"/>
            <w:noWrap w:val="0"/>
            <w:vAlign w:val="center"/>
          </w:tcPr>
          <w:p w14:paraId="14ABA9FF">
            <w:pPr>
              <w:spacing w:line="276" w:lineRule="auto"/>
              <w:ind w:firstLine="0"/>
              <w:jc w:val="center"/>
              <w:rPr>
                <w:rFonts w:hint="eastAsia"/>
                <w:color w:val="000000"/>
                <w:sz w:val="21"/>
                <w:szCs w:val="21"/>
              </w:rPr>
            </w:pPr>
            <w:r>
              <w:rPr>
                <w:rFonts w:hint="eastAsia"/>
                <w:color w:val="000000"/>
                <w:sz w:val="21"/>
                <w:szCs w:val="21"/>
              </w:rPr>
              <w:t>新建</w:t>
            </w:r>
          </w:p>
        </w:tc>
      </w:tr>
      <w:tr w14:paraId="1752A8CD">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2D0B89FA">
            <w:pPr>
              <w:spacing w:line="276" w:lineRule="auto"/>
              <w:ind w:firstLine="420"/>
              <w:jc w:val="center"/>
              <w:rPr>
                <w:rFonts w:hint="eastAsia"/>
                <w:color w:val="0000FF"/>
                <w:sz w:val="21"/>
                <w:szCs w:val="21"/>
              </w:rPr>
            </w:pPr>
          </w:p>
        </w:tc>
        <w:tc>
          <w:tcPr>
            <w:tcW w:w="1809" w:type="dxa"/>
            <w:noWrap w:val="0"/>
            <w:vAlign w:val="top"/>
          </w:tcPr>
          <w:p w14:paraId="02C85FE2">
            <w:pPr>
              <w:pStyle w:val="421"/>
              <w:spacing w:before="156"/>
              <w:ind w:right="123" w:firstLine="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厂棚</w:t>
            </w:r>
          </w:p>
        </w:tc>
        <w:tc>
          <w:tcPr>
            <w:tcW w:w="4869" w:type="dxa"/>
            <w:noWrap w:val="0"/>
            <w:vAlign w:val="center"/>
          </w:tcPr>
          <w:p w14:paraId="619BDE16">
            <w:pPr>
              <w:pStyle w:val="421"/>
              <w:spacing w:line="379" w:lineRule="exact"/>
              <w:ind w:firstLine="0"/>
              <w:jc w:val="left"/>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建筑面积726m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作为厂区废的设备暂存使用。</w:t>
            </w:r>
          </w:p>
        </w:tc>
        <w:tc>
          <w:tcPr>
            <w:tcW w:w="1238" w:type="dxa"/>
            <w:noWrap w:val="0"/>
            <w:vAlign w:val="center"/>
          </w:tcPr>
          <w:p w14:paraId="70F042AE">
            <w:pPr>
              <w:spacing w:line="276" w:lineRule="auto"/>
              <w:ind w:firstLine="0"/>
              <w:jc w:val="center"/>
              <w:rPr>
                <w:rFonts w:hint="eastAsia"/>
                <w:color w:val="000000"/>
                <w:sz w:val="21"/>
                <w:szCs w:val="21"/>
              </w:rPr>
            </w:pPr>
            <w:r>
              <w:rPr>
                <w:rFonts w:hint="eastAsia"/>
                <w:color w:val="000000"/>
                <w:sz w:val="21"/>
                <w:szCs w:val="21"/>
              </w:rPr>
              <w:t>新建</w:t>
            </w:r>
          </w:p>
        </w:tc>
      </w:tr>
      <w:tr w14:paraId="0DF12C2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51107976">
            <w:pPr>
              <w:spacing w:line="276" w:lineRule="auto"/>
              <w:ind w:firstLine="420"/>
              <w:jc w:val="center"/>
              <w:rPr>
                <w:rFonts w:hint="eastAsia"/>
                <w:color w:val="0000FF"/>
                <w:sz w:val="21"/>
                <w:szCs w:val="21"/>
              </w:rPr>
            </w:pPr>
          </w:p>
        </w:tc>
        <w:tc>
          <w:tcPr>
            <w:tcW w:w="1809" w:type="dxa"/>
            <w:noWrap w:val="0"/>
            <w:vAlign w:val="top"/>
          </w:tcPr>
          <w:p w14:paraId="18879A2F">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保卫室</w:t>
            </w:r>
          </w:p>
        </w:tc>
        <w:tc>
          <w:tcPr>
            <w:tcW w:w="4869" w:type="dxa"/>
            <w:noWrap w:val="0"/>
            <w:vAlign w:val="center"/>
          </w:tcPr>
          <w:p w14:paraId="2D2FEF6D">
            <w:pPr>
              <w:pStyle w:val="421"/>
              <w:spacing w:line="379" w:lineRule="exact"/>
              <w:ind w:firstLine="0"/>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1间，砖混结构，建筑面积56m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w:t>
            </w:r>
          </w:p>
        </w:tc>
        <w:tc>
          <w:tcPr>
            <w:tcW w:w="1238" w:type="dxa"/>
            <w:noWrap w:val="0"/>
            <w:vAlign w:val="center"/>
          </w:tcPr>
          <w:p w14:paraId="760D7017">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0F3966F7">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2A923503">
            <w:pPr>
              <w:pStyle w:val="2"/>
              <w:ind w:firstLine="420"/>
              <w:rPr>
                <w:rFonts w:hint="eastAsia"/>
                <w:color w:val="0000FF"/>
              </w:rPr>
            </w:pPr>
          </w:p>
        </w:tc>
        <w:tc>
          <w:tcPr>
            <w:tcW w:w="1809" w:type="dxa"/>
            <w:noWrap w:val="0"/>
            <w:vAlign w:val="top"/>
          </w:tcPr>
          <w:p w14:paraId="3CE2CB22">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管理人员</w:t>
            </w:r>
            <w:r>
              <w:rPr>
                <w:rFonts w:hint="eastAsia" w:ascii="Times New Roman" w:hAnsi="Times New Roman" w:eastAsia="宋体" w:cs="Times New Roman"/>
                <w:color w:val="000000"/>
                <w:sz w:val="21"/>
                <w:szCs w:val="21"/>
              </w:rPr>
              <w:t>宿舍楼</w:t>
            </w:r>
          </w:p>
        </w:tc>
        <w:tc>
          <w:tcPr>
            <w:tcW w:w="4869" w:type="dxa"/>
            <w:noWrap w:val="0"/>
            <w:vAlign w:val="center"/>
          </w:tcPr>
          <w:p w14:paraId="52E5681C">
            <w:pPr>
              <w:pStyle w:val="421"/>
              <w:spacing w:line="379" w:lineRule="exact"/>
              <w:ind w:firstLine="0"/>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2栋，2层砖混结构，建筑面积683m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，用于管理人员住宿。</w:t>
            </w:r>
          </w:p>
        </w:tc>
        <w:tc>
          <w:tcPr>
            <w:tcW w:w="1238" w:type="dxa"/>
            <w:noWrap w:val="0"/>
            <w:vAlign w:val="center"/>
          </w:tcPr>
          <w:p w14:paraId="2E288794">
            <w:pPr>
              <w:spacing w:line="276" w:lineRule="auto"/>
              <w:ind w:firstLine="0"/>
              <w:jc w:val="center"/>
              <w:rPr>
                <w:rFonts w:hint="eastAsia"/>
                <w:color w:val="000000"/>
                <w:sz w:val="21"/>
                <w:szCs w:val="21"/>
              </w:rPr>
            </w:pPr>
            <w:r>
              <w:rPr>
                <w:rFonts w:hint="eastAsia"/>
                <w:color w:val="000000"/>
                <w:sz w:val="21"/>
                <w:szCs w:val="21"/>
              </w:rPr>
              <w:t>新建</w:t>
            </w:r>
          </w:p>
        </w:tc>
      </w:tr>
      <w:tr w14:paraId="631A1B2E">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030E655B">
            <w:pPr>
              <w:spacing w:line="276" w:lineRule="auto"/>
              <w:ind w:firstLine="420"/>
              <w:jc w:val="center"/>
              <w:rPr>
                <w:rFonts w:hint="eastAsia"/>
                <w:color w:val="0000FF"/>
                <w:sz w:val="21"/>
                <w:szCs w:val="21"/>
              </w:rPr>
            </w:pPr>
          </w:p>
        </w:tc>
        <w:tc>
          <w:tcPr>
            <w:tcW w:w="1809" w:type="dxa"/>
            <w:noWrap w:val="0"/>
            <w:vAlign w:val="top"/>
          </w:tcPr>
          <w:p w14:paraId="32FA75E9">
            <w:pPr>
              <w:pStyle w:val="421"/>
              <w:spacing w:before="156"/>
              <w:ind w:right="123"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磅秤房</w:t>
            </w:r>
          </w:p>
        </w:tc>
        <w:tc>
          <w:tcPr>
            <w:tcW w:w="4869" w:type="dxa"/>
            <w:noWrap w:val="0"/>
            <w:vAlign w:val="center"/>
          </w:tcPr>
          <w:p w14:paraId="1E409F5B">
            <w:pPr>
              <w:pStyle w:val="421"/>
              <w:spacing w:line="379" w:lineRule="exact"/>
              <w:ind w:firstLine="0"/>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1栋，1层砖混结构，建筑面积162.32m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w:t>
            </w:r>
          </w:p>
        </w:tc>
        <w:tc>
          <w:tcPr>
            <w:tcW w:w="1238" w:type="dxa"/>
            <w:noWrap w:val="0"/>
            <w:vAlign w:val="center"/>
          </w:tcPr>
          <w:p w14:paraId="5481B321">
            <w:pPr>
              <w:spacing w:line="276" w:lineRule="auto"/>
              <w:ind w:firstLine="0"/>
              <w:jc w:val="center"/>
              <w:rPr>
                <w:rFonts w:hint="eastAsia"/>
                <w:color w:val="000000"/>
                <w:sz w:val="21"/>
                <w:szCs w:val="21"/>
              </w:rPr>
            </w:pPr>
            <w:r>
              <w:rPr>
                <w:rFonts w:hint="eastAsia"/>
                <w:color w:val="000000"/>
                <w:sz w:val="21"/>
                <w:szCs w:val="21"/>
              </w:rPr>
              <w:t>新建</w:t>
            </w:r>
          </w:p>
        </w:tc>
      </w:tr>
      <w:tr w14:paraId="41F222A6">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restart"/>
            <w:noWrap w:val="0"/>
            <w:vAlign w:val="center"/>
          </w:tcPr>
          <w:p w14:paraId="16DC6579">
            <w:pPr>
              <w:spacing w:line="276" w:lineRule="auto"/>
              <w:ind w:firstLine="0"/>
              <w:jc w:val="center"/>
              <w:rPr>
                <w:rFonts w:hint="eastAsia"/>
                <w:color w:val="0000FF"/>
                <w:sz w:val="21"/>
                <w:szCs w:val="21"/>
              </w:rPr>
            </w:pPr>
            <w:r>
              <w:rPr>
                <w:rFonts w:hint="eastAsia"/>
                <w:color w:val="000000"/>
                <w:sz w:val="21"/>
                <w:szCs w:val="21"/>
              </w:rPr>
              <w:t>公用工程</w:t>
            </w:r>
          </w:p>
        </w:tc>
        <w:tc>
          <w:tcPr>
            <w:tcW w:w="1809" w:type="dxa"/>
            <w:noWrap w:val="0"/>
            <w:vAlign w:val="center"/>
          </w:tcPr>
          <w:p w14:paraId="313F7B2D">
            <w:pPr>
              <w:ind w:firstLine="0"/>
              <w:contextualSpacing/>
              <w:jc w:val="center"/>
              <w:rPr>
                <w:rFonts w:hint="eastAsia"/>
                <w:color w:val="000000"/>
                <w:sz w:val="21"/>
                <w:szCs w:val="21"/>
              </w:rPr>
            </w:pPr>
            <w:r>
              <w:rPr>
                <w:rFonts w:hint="eastAsia"/>
                <w:color w:val="000000"/>
                <w:sz w:val="21"/>
                <w:szCs w:val="21"/>
              </w:rPr>
              <w:t>供水工程</w:t>
            </w:r>
          </w:p>
        </w:tc>
        <w:tc>
          <w:tcPr>
            <w:tcW w:w="4869" w:type="dxa"/>
            <w:noWrap w:val="0"/>
            <w:vAlign w:val="center"/>
          </w:tcPr>
          <w:p w14:paraId="425D46C5">
            <w:pPr>
              <w:ind w:firstLine="0"/>
              <w:contextualSpacing/>
              <w:rPr>
                <w:rFonts w:hint="eastAsia"/>
                <w:color w:val="000000"/>
                <w:sz w:val="21"/>
                <w:szCs w:val="21"/>
              </w:rPr>
            </w:pPr>
            <w:r>
              <w:rPr>
                <w:rFonts w:hint="eastAsia"/>
                <w:color w:val="000000"/>
                <w:sz w:val="21"/>
                <w:szCs w:val="21"/>
              </w:rPr>
              <w:t>项目用水采用自来水，目前</w:t>
            </w:r>
            <w:r>
              <w:rPr>
                <w:rFonts w:hint="eastAsia"/>
                <w:color w:val="000000"/>
                <w:sz w:val="21"/>
                <w:szCs w:val="21"/>
                <w:lang w:val="en-US" w:eastAsia="zh-CN"/>
              </w:rPr>
              <w:t>厂区用水由G320道路市政供水管网接入</w:t>
            </w:r>
            <w:r>
              <w:rPr>
                <w:rFonts w:hint="eastAsia"/>
                <w:color w:val="000000"/>
                <w:sz w:val="21"/>
                <w:szCs w:val="21"/>
              </w:rPr>
              <w:t>，现有的供水设施供给各个用水点，水质、水压均可满足项目生产、生活用水要求。</w:t>
            </w:r>
          </w:p>
        </w:tc>
        <w:tc>
          <w:tcPr>
            <w:tcW w:w="1238" w:type="dxa"/>
            <w:noWrap w:val="0"/>
            <w:vAlign w:val="center"/>
          </w:tcPr>
          <w:p w14:paraId="7B383A3B">
            <w:pPr>
              <w:spacing w:line="276" w:lineRule="auto"/>
              <w:ind w:firstLine="0"/>
              <w:jc w:val="center"/>
              <w:rPr>
                <w:rFonts w:hint="eastAsia"/>
                <w:color w:val="000000"/>
                <w:sz w:val="21"/>
                <w:szCs w:val="21"/>
              </w:rPr>
            </w:pPr>
            <w:r>
              <w:rPr>
                <w:rFonts w:hint="eastAsia"/>
                <w:color w:val="000000"/>
                <w:sz w:val="21"/>
                <w:szCs w:val="21"/>
              </w:rPr>
              <w:t>依托</w:t>
            </w:r>
            <w:r>
              <w:rPr>
                <w:rFonts w:hint="eastAsia"/>
                <w:color w:val="000000"/>
                <w:sz w:val="21"/>
                <w:szCs w:val="21"/>
                <w:lang w:val="en-US" w:eastAsia="zh-CN"/>
              </w:rPr>
              <w:t>原</w:t>
            </w:r>
            <w:r>
              <w:rPr>
                <w:rFonts w:hint="eastAsia"/>
                <w:color w:val="000000"/>
                <w:sz w:val="21"/>
                <w:szCs w:val="21"/>
              </w:rPr>
              <w:t>有</w:t>
            </w:r>
          </w:p>
        </w:tc>
      </w:tr>
      <w:tr w14:paraId="138EEDB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26CC4B08">
            <w:pPr>
              <w:spacing w:line="276" w:lineRule="auto"/>
              <w:ind w:firstLine="420"/>
              <w:jc w:val="center"/>
              <w:rPr>
                <w:rFonts w:hint="eastAsia"/>
                <w:color w:val="0000FF"/>
                <w:sz w:val="21"/>
                <w:szCs w:val="21"/>
              </w:rPr>
            </w:pPr>
          </w:p>
        </w:tc>
        <w:tc>
          <w:tcPr>
            <w:tcW w:w="1809" w:type="dxa"/>
            <w:noWrap w:val="0"/>
            <w:vAlign w:val="center"/>
          </w:tcPr>
          <w:p w14:paraId="0ED26EA4">
            <w:pPr>
              <w:ind w:firstLine="0"/>
              <w:contextualSpacing/>
              <w:jc w:val="center"/>
              <w:rPr>
                <w:rFonts w:hint="eastAsia"/>
                <w:color w:val="000000"/>
                <w:sz w:val="21"/>
                <w:szCs w:val="21"/>
              </w:rPr>
            </w:pPr>
            <w:r>
              <w:rPr>
                <w:rFonts w:hint="eastAsia"/>
                <w:color w:val="000000"/>
                <w:sz w:val="21"/>
                <w:szCs w:val="21"/>
              </w:rPr>
              <w:t>排水工程</w:t>
            </w:r>
          </w:p>
        </w:tc>
        <w:tc>
          <w:tcPr>
            <w:tcW w:w="4869" w:type="dxa"/>
            <w:noWrap w:val="0"/>
            <w:vAlign w:val="top"/>
          </w:tcPr>
          <w:p w14:paraId="2632C71E">
            <w:pPr>
              <w:ind w:firstLine="0"/>
              <w:contextualSpacing/>
              <w:rPr>
                <w:rFonts w:hint="eastAsia"/>
                <w:color w:val="000000"/>
                <w:sz w:val="21"/>
                <w:szCs w:val="21"/>
              </w:rPr>
            </w:pPr>
            <w:r>
              <w:rPr>
                <w:rFonts w:hint="eastAsia"/>
                <w:color w:val="000000"/>
                <w:sz w:val="21"/>
                <w:szCs w:val="21"/>
              </w:rPr>
              <w:t>实施雨污分流，</w:t>
            </w:r>
            <w:r>
              <w:rPr>
                <w:rFonts w:hint="eastAsia"/>
                <w:color w:val="000000"/>
                <w:sz w:val="21"/>
                <w:szCs w:val="21"/>
                <w:highlight w:val="none"/>
                <w:lang w:val="en-US" w:eastAsia="zh-CN"/>
              </w:rPr>
              <w:t>项目无生产废水产生，仅有少量的生活污水设置化粪池简单处理后排入项目区西侧的市政污水管网，最终排入芒市污水处理厂集中处理</w:t>
            </w:r>
            <w:r>
              <w:rPr>
                <w:rFonts w:hint="eastAsia"/>
                <w:color w:val="000000"/>
                <w:sz w:val="21"/>
                <w:szCs w:val="21"/>
                <w:lang w:val="en-US" w:eastAsia="zh-CN"/>
              </w:rPr>
              <w:t>。</w:t>
            </w:r>
          </w:p>
        </w:tc>
        <w:tc>
          <w:tcPr>
            <w:tcW w:w="1238" w:type="dxa"/>
            <w:noWrap w:val="0"/>
            <w:vAlign w:val="center"/>
          </w:tcPr>
          <w:p w14:paraId="2DD4A209">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3D1E1A6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3D87CE68">
            <w:pPr>
              <w:spacing w:line="276" w:lineRule="auto"/>
              <w:ind w:firstLine="420"/>
              <w:jc w:val="center"/>
              <w:rPr>
                <w:rFonts w:hint="eastAsia"/>
                <w:color w:val="0000FF"/>
                <w:sz w:val="21"/>
                <w:szCs w:val="21"/>
              </w:rPr>
            </w:pPr>
          </w:p>
        </w:tc>
        <w:tc>
          <w:tcPr>
            <w:tcW w:w="1809" w:type="dxa"/>
            <w:noWrap w:val="0"/>
            <w:vAlign w:val="center"/>
          </w:tcPr>
          <w:p w14:paraId="7F2E0AD2">
            <w:pPr>
              <w:ind w:firstLine="0"/>
              <w:jc w:val="center"/>
              <w:rPr>
                <w:rFonts w:hint="eastAsia"/>
                <w:color w:val="000000"/>
                <w:sz w:val="21"/>
                <w:szCs w:val="21"/>
              </w:rPr>
            </w:pPr>
            <w:r>
              <w:rPr>
                <w:color w:val="000000"/>
                <w:sz w:val="21"/>
                <w:szCs w:val="21"/>
              </w:rPr>
              <w:t>供电工程</w:t>
            </w:r>
          </w:p>
        </w:tc>
        <w:tc>
          <w:tcPr>
            <w:tcW w:w="4869" w:type="dxa"/>
            <w:noWrap w:val="0"/>
            <w:vAlign w:val="center"/>
          </w:tcPr>
          <w:p w14:paraId="15ADD99C">
            <w:pPr>
              <w:ind w:firstLine="0"/>
              <w:contextualSpacing/>
              <w:rPr>
                <w:rFonts w:hint="eastAsia"/>
                <w:color w:val="000000"/>
                <w:sz w:val="21"/>
                <w:szCs w:val="21"/>
              </w:rPr>
            </w:pPr>
            <w:r>
              <w:rPr>
                <w:rFonts w:hint="eastAsia"/>
                <w:color w:val="000000"/>
                <w:sz w:val="21"/>
                <w:szCs w:val="21"/>
              </w:rPr>
              <w:t>项目用电由从附近的</w:t>
            </w:r>
            <w:r>
              <w:rPr>
                <w:rFonts w:hint="eastAsia"/>
                <w:color w:val="000000"/>
                <w:sz w:val="21"/>
                <w:szCs w:val="21"/>
                <w:lang w:val="en-US" w:eastAsia="zh-CN"/>
              </w:rPr>
              <w:t>35KV</w:t>
            </w:r>
            <w:r>
              <w:rPr>
                <w:rFonts w:hint="eastAsia"/>
                <w:color w:val="000000"/>
                <w:sz w:val="21"/>
                <w:szCs w:val="21"/>
              </w:rPr>
              <w:t>供电电网接入，采用双回路供电，依托配置的4台2900KVA变压器，供项目用电。</w:t>
            </w:r>
            <w:r>
              <w:rPr>
                <w:rFonts w:hint="eastAsia"/>
                <w:color w:val="000000"/>
                <w:sz w:val="21"/>
                <w:szCs w:val="21"/>
                <w:lang w:val="en-US" w:eastAsia="zh-CN"/>
              </w:rPr>
              <w:t>设置1台备用柴油发电机作为应急电源。</w:t>
            </w:r>
          </w:p>
        </w:tc>
        <w:tc>
          <w:tcPr>
            <w:tcW w:w="1238" w:type="dxa"/>
            <w:noWrap w:val="0"/>
            <w:vAlign w:val="center"/>
          </w:tcPr>
          <w:p w14:paraId="7BDF3C3D">
            <w:pPr>
              <w:spacing w:line="276" w:lineRule="auto"/>
              <w:ind w:firstLine="0"/>
              <w:jc w:val="center"/>
              <w:rPr>
                <w:rFonts w:hint="eastAsia" w:eastAsia="宋体"/>
                <w:color w:val="000000"/>
                <w:sz w:val="21"/>
                <w:szCs w:val="21"/>
                <w:lang w:eastAsia="zh-CN"/>
              </w:rPr>
            </w:pPr>
            <w:r>
              <w:rPr>
                <w:rFonts w:hint="eastAsia"/>
                <w:color w:val="000000"/>
                <w:sz w:val="21"/>
                <w:szCs w:val="21"/>
              </w:rPr>
              <w:t>依托</w:t>
            </w:r>
            <w:r>
              <w:rPr>
                <w:rFonts w:hint="eastAsia"/>
                <w:color w:val="000000"/>
                <w:sz w:val="21"/>
                <w:szCs w:val="21"/>
                <w:lang w:val="en-US" w:eastAsia="zh-CN"/>
              </w:rPr>
              <w:t>原有</w:t>
            </w:r>
          </w:p>
        </w:tc>
      </w:tr>
      <w:tr w14:paraId="24A4FE5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3C3B4101">
            <w:pPr>
              <w:spacing w:line="276" w:lineRule="auto"/>
              <w:ind w:firstLine="420"/>
              <w:jc w:val="center"/>
              <w:rPr>
                <w:rFonts w:hint="eastAsia"/>
                <w:color w:val="0000FF"/>
                <w:sz w:val="21"/>
                <w:szCs w:val="21"/>
              </w:rPr>
            </w:pPr>
          </w:p>
        </w:tc>
        <w:tc>
          <w:tcPr>
            <w:tcW w:w="1809" w:type="dxa"/>
            <w:noWrap w:val="0"/>
            <w:vAlign w:val="center"/>
          </w:tcPr>
          <w:p w14:paraId="2956583B">
            <w:pPr>
              <w:ind w:firstLine="210"/>
              <w:jc w:val="center"/>
              <w:rPr>
                <w:rFonts w:hint="eastAsia"/>
                <w:color w:val="000000"/>
                <w:sz w:val="21"/>
                <w:szCs w:val="21"/>
              </w:rPr>
            </w:pPr>
            <w:r>
              <w:rPr>
                <w:rFonts w:hint="eastAsia"/>
                <w:color w:val="000000"/>
                <w:sz w:val="21"/>
                <w:szCs w:val="21"/>
              </w:rPr>
              <w:t>消防</w:t>
            </w:r>
            <w:r>
              <w:rPr>
                <w:color w:val="000000"/>
                <w:sz w:val="21"/>
                <w:szCs w:val="21"/>
              </w:rPr>
              <w:t>工程</w:t>
            </w:r>
          </w:p>
        </w:tc>
        <w:tc>
          <w:tcPr>
            <w:tcW w:w="4869" w:type="dxa"/>
            <w:noWrap w:val="0"/>
            <w:vAlign w:val="center"/>
          </w:tcPr>
          <w:p w14:paraId="46A46F7E">
            <w:pPr>
              <w:ind w:firstLine="0"/>
              <w:rPr>
                <w:rFonts w:hint="eastAsia"/>
                <w:color w:val="000000"/>
                <w:sz w:val="21"/>
                <w:szCs w:val="21"/>
              </w:rPr>
            </w:pPr>
            <w:r>
              <w:rPr>
                <w:rFonts w:hint="eastAsia"/>
                <w:color w:val="000000"/>
                <w:sz w:val="21"/>
                <w:szCs w:val="21"/>
              </w:rPr>
              <w:t>设置1座消防水池，容积6</w:t>
            </w:r>
            <w:r>
              <w:rPr>
                <w:color w:val="000000"/>
                <w:sz w:val="21"/>
                <w:szCs w:val="21"/>
              </w:rPr>
              <w:t>0</w:t>
            </w:r>
            <w:r>
              <w:rPr>
                <w:rFonts w:hint="eastAsia"/>
                <w:color w:val="000000"/>
                <w:sz w:val="21"/>
                <w:szCs w:val="21"/>
              </w:rPr>
              <w:t>0m</w:t>
            </w:r>
            <w:r>
              <w:rPr>
                <w:rFonts w:hint="eastAsia"/>
                <w:color w:val="000000"/>
                <w:sz w:val="21"/>
                <w:szCs w:val="21"/>
                <w:vertAlign w:val="superscript"/>
              </w:rPr>
              <w:t>3</w:t>
            </w:r>
            <w:r>
              <w:rPr>
                <w:rFonts w:hint="eastAsia"/>
                <w:color w:val="000000"/>
                <w:sz w:val="21"/>
                <w:szCs w:val="21"/>
              </w:rPr>
              <w:t>，并在各区域</w:t>
            </w:r>
            <w:r>
              <w:rPr>
                <w:color w:val="000000"/>
                <w:sz w:val="21"/>
                <w:szCs w:val="21"/>
              </w:rPr>
              <w:t>均配置</w:t>
            </w:r>
            <w:r>
              <w:rPr>
                <w:rFonts w:hint="eastAsia"/>
                <w:color w:val="000000"/>
                <w:sz w:val="21"/>
                <w:szCs w:val="21"/>
              </w:rPr>
              <w:t>手提式</w:t>
            </w:r>
            <w:r>
              <w:rPr>
                <w:color w:val="000000"/>
                <w:sz w:val="21"/>
                <w:szCs w:val="21"/>
              </w:rPr>
              <w:t>干粉灭火器，共设置</w:t>
            </w:r>
            <w:r>
              <w:rPr>
                <w:rFonts w:hint="eastAsia"/>
                <w:color w:val="000000"/>
                <w:sz w:val="21"/>
                <w:szCs w:val="21"/>
              </w:rPr>
              <w:t>250</w:t>
            </w:r>
            <w:r>
              <w:rPr>
                <w:color w:val="000000"/>
                <w:sz w:val="21"/>
                <w:szCs w:val="21"/>
              </w:rPr>
              <w:t>个</w:t>
            </w:r>
            <w:r>
              <w:rPr>
                <w:rFonts w:hint="eastAsia"/>
                <w:color w:val="000000"/>
                <w:sz w:val="21"/>
                <w:szCs w:val="21"/>
              </w:rPr>
              <w:t>，</w:t>
            </w:r>
            <w:r>
              <w:rPr>
                <w:color w:val="000000"/>
                <w:sz w:val="21"/>
                <w:szCs w:val="21"/>
              </w:rPr>
              <w:t>消防栓</w:t>
            </w:r>
            <w:r>
              <w:rPr>
                <w:rFonts w:hint="eastAsia"/>
                <w:color w:val="000000"/>
                <w:sz w:val="21"/>
                <w:szCs w:val="21"/>
              </w:rPr>
              <w:t>42个</w:t>
            </w:r>
            <w:r>
              <w:rPr>
                <w:color w:val="000000"/>
                <w:sz w:val="21"/>
                <w:szCs w:val="21"/>
              </w:rPr>
              <w:t>。</w:t>
            </w:r>
          </w:p>
        </w:tc>
        <w:tc>
          <w:tcPr>
            <w:tcW w:w="1238" w:type="dxa"/>
            <w:noWrap w:val="0"/>
            <w:vAlign w:val="center"/>
          </w:tcPr>
          <w:p w14:paraId="0BF3AC6E">
            <w:pPr>
              <w:spacing w:line="276" w:lineRule="auto"/>
              <w:ind w:firstLine="0"/>
              <w:jc w:val="center"/>
              <w:rPr>
                <w:rFonts w:hint="eastAsia"/>
                <w:color w:val="000000"/>
                <w:sz w:val="21"/>
                <w:szCs w:val="21"/>
              </w:rPr>
            </w:pPr>
            <w:r>
              <w:rPr>
                <w:rFonts w:hint="eastAsia"/>
                <w:color w:val="000000"/>
                <w:sz w:val="21"/>
                <w:szCs w:val="21"/>
              </w:rPr>
              <w:t>依托原有</w:t>
            </w:r>
          </w:p>
        </w:tc>
      </w:tr>
      <w:tr w14:paraId="229F543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restart"/>
            <w:noWrap w:val="0"/>
            <w:vAlign w:val="center"/>
          </w:tcPr>
          <w:p w14:paraId="765D9736">
            <w:pPr>
              <w:spacing w:line="276" w:lineRule="auto"/>
              <w:ind w:firstLine="0"/>
              <w:jc w:val="center"/>
              <w:rPr>
                <w:rFonts w:hint="eastAsia"/>
                <w:color w:val="0000FF"/>
                <w:sz w:val="21"/>
                <w:szCs w:val="21"/>
              </w:rPr>
            </w:pPr>
            <w:r>
              <w:rPr>
                <w:rFonts w:hint="eastAsia"/>
                <w:color w:val="000000"/>
                <w:sz w:val="21"/>
                <w:szCs w:val="21"/>
              </w:rPr>
              <w:t>环保工程</w:t>
            </w:r>
          </w:p>
        </w:tc>
        <w:tc>
          <w:tcPr>
            <w:tcW w:w="1809" w:type="dxa"/>
            <w:vMerge w:val="restart"/>
            <w:noWrap w:val="0"/>
            <w:vAlign w:val="center"/>
          </w:tcPr>
          <w:p w14:paraId="5FC58323">
            <w:pPr>
              <w:ind w:firstLine="0"/>
              <w:jc w:val="center"/>
              <w:rPr>
                <w:rFonts w:hint="eastAsia"/>
                <w:color w:val="000000"/>
                <w:sz w:val="21"/>
                <w:szCs w:val="21"/>
              </w:rPr>
            </w:pPr>
            <w:r>
              <w:rPr>
                <w:rFonts w:hint="eastAsia"/>
                <w:color w:val="000000"/>
                <w:sz w:val="21"/>
                <w:szCs w:val="21"/>
              </w:rPr>
              <w:t>废气防治措施</w:t>
            </w:r>
          </w:p>
        </w:tc>
        <w:tc>
          <w:tcPr>
            <w:tcW w:w="4869" w:type="dxa"/>
            <w:noWrap w:val="0"/>
            <w:vAlign w:val="center"/>
          </w:tcPr>
          <w:p w14:paraId="66C8EA7A">
            <w:pPr>
              <w:ind w:firstLine="0"/>
              <w:rPr>
                <w:rFonts w:hint="eastAsia"/>
                <w:color w:val="000000"/>
                <w:sz w:val="21"/>
                <w:szCs w:val="21"/>
              </w:rPr>
            </w:pPr>
            <w:r>
              <w:rPr>
                <w:rFonts w:hint="eastAsia"/>
                <w:color w:val="000000"/>
                <w:sz w:val="21"/>
                <w:szCs w:val="21"/>
              </w:rPr>
              <w:t>6t/h锅炉烟气采用1套水膜除尘装置+15m高排气筒。</w:t>
            </w:r>
          </w:p>
        </w:tc>
        <w:tc>
          <w:tcPr>
            <w:tcW w:w="1238" w:type="dxa"/>
            <w:noWrap w:val="0"/>
            <w:vAlign w:val="center"/>
          </w:tcPr>
          <w:p w14:paraId="34171C50">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7542B51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60413DD1">
            <w:pPr>
              <w:spacing w:line="276" w:lineRule="auto"/>
              <w:ind w:firstLine="420"/>
              <w:jc w:val="center"/>
              <w:rPr>
                <w:rFonts w:hint="eastAsia"/>
                <w:color w:val="0000FF"/>
                <w:sz w:val="21"/>
                <w:szCs w:val="21"/>
              </w:rPr>
            </w:pPr>
          </w:p>
        </w:tc>
        <w:tc>
          <w:tcPr>
            <w:tcW w:w="1809" w:type="dxa"/>
            <w:vMerge w:val="continue"/>
            <w:noWrap w:val="0"/>
            <w:vAlign w:val="center"/>
          </w:tcPr>
          <w:p w14:paraId="7F18DF03">
            <w:pPr>
              <w:ind w:firstLine="0"/>
              <w:rPr>
                <w:rFonts w:hint="eastAsia"/>
                <w:color w:val="000000"/>
                <w:sz w:val="21"/>
                <w:szCs w:val="21"/>
              </w:rPr>
            </w:pPr>
          </w:p>
        </w:tc>
        <w:tc>
          <w:tcPr>
            <w:tcW w:w="4869" w:type="dxa"/>
            <w:noWrap w:val="0"/>
            <w:vAlign w:val="center"/>
          </w:tcPr>
          <w:p w14:paraId="2E512465">
            <w:pPr>
              <w:ind w:firstLine="0"/>
              <w:rPr>
                <w:rFonts w:eastAsia="宋体"/>
                <w:color w:val="000000"/>
                <w:sz w:val="21"/>
                <w:szCs w:val="21"/>
                <w:lang w:val="en-US" w:eastAsia="zh-CN"/>
              </w:rPr>
            </w:pPr>
            <w:r>
              <w:rPr>
                <w:rFonts w:hint="eastAsia"/>
                <w:color w:val="000000"/>
                <w:sz w:val="21"/>
                <w:szCs w:val="21"/>
              </w:rPr>
              <w:t>热载体炉采用</w:t>
            </w:r>
            <w:r>
              <w:rPr>
                <w:rFonts w:hint="eastAsia"/>
                <w:color w:val="000000"/>
                <w:sz w:val="21"/>
                <w:szCs w:val="21"/>
                <w:lang w:val="en-US" w:eastAsia="zh-CN"/>
              </w:rPr>
              <w:t>1套</w:t>
            </w:r>
            <w:r>
              <w:rPr>
                <w:rFonts w:hint="eastAsia"/>
                <w:color w:val="000000"/>
                <w:sz w:val="21"/>
                <w:szCs w:val="21"/>
              </w:rPr>
              <w:t>水膜除尘器装置+25m</w:t>
            </w:r>
            <w:r>
              <w:rPr>
                <w:rFonts w:hint="eastAsia"/>
                <w:color w:val="000000"/>
                <w:sz w:val="21"/>
                <w:szCs w:val="21"/>
                <w:lang w:val="en-US" w:eastAsia="zh-CN"/>
              </w:rPr>
              <w:t>高排气筒。</w:t>
            </w:r>
          </w:p>
        </w:tc>
        <w:tc>
          <w:tcPr>
            <w:tcW w:w="1238" w:type="dxa"/>
            <w:noWrap w:val="0"/>
            <w:vAlign w:val="center"/>
          </w:tcPr>
          <w:p w14:paraId="020C8B65">
            <w:pPr>
              <w:spacing w:line="276" w:lineRule="auto"/>
              <w:ind w:firstLine="0"/>
              <w:jc w:val="center"/>
              <w:rPr>
                <w:rFonts w:hint="eastAsia"/>
                <w:color w:val="000000"/>
                <w:sz w:val="21"/>
                <w:szCs w:val="21"/>
              </w:rPr>
            </w:pPr>
            <w:r>
              <w:rPr>
                <w:rFonts w:hint="eastAsia"/>
                <w:color w:val="000000"/>
                <w:sz w:val="21"/>
                <w:szCs w:val="21"/>
              </w:rPr>
              <w:t>新建</w:t>
            </w:r>
          </w:p>
        </w:tc>
      </w:tr>
      <w:tr w14:paraId="52DA232A">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039C8394">
            <w:pPr>
              <w:spacing w:line="276" w:lineRule="auto"/>
              <w:ind w:firstLine="420"/>
              <w:jc w:val="center"/>
              <w:rPr>
                <w:rFonts w:hint="eastAsia"/>
                <w:color w:val="0000FF"/>
                <w:sz w:val="21"/>
                <w:szCs w:val="21"/>
              </w:rPr>
            </w:pPr>
          </w:p>
        </w:tc>
        <w:tc>
          <w:tcPr>
            <w:tcW w:w="1809" w:type="dxa"/>
            <w:vMerge w:val="continue"/>
            <w:noWrap w:val="0"/>
            <w:vAlign w:val="center"/>
          </w:tcPr>
          <w:p w14:paraId="490DFDDF">
            <w:pPr>
              <w:ind w:firstLine="0"/>
              <w:rPr>
                <w:rFonts w:hint="eastAsia"/>
                <w:color w:val="000000"/>
                <w:sz w:val="21"/>
                <w:szCs w:val="21"/>
              </w:rPr>
            </w:pPr>
          </w:p>
        </w:tc>
        <w:tc>
          <w:tcPr>
            <w:tcW w:w="4869" w:type="dxa"/>
            <w:noWrap w:val="0"/>
            <w:vAlign w:val="center"/>
          </w:tcPr>
          <w:p w14:paraId="6175F6B2">
            <w:pPr>
              <w:ind w:firstLine="0"/>
              <w:rPr>
                <w:rFonts w:hint="eastAsia" w:eastAsia="宋体"/>
                <w:color w:val="000000"/>
                <w:sz w:val="21"/>
                <w:szCs w:val="21"/>
                <w:lang w:eastAsia="zh-CN"/>
              </w:rPr>
            </w:pPr>
            <w:r>
              <w:rPr>
                <w:rFonts w:hint="eastAsia"/>
                <w:color w:val="000000"/>
                <w:sz w:val="21"/>
                <w:szCs w:val="21"/>
              </w:rPr>
              <w:t>砂光、据边、开槽</w:t>
            </w:r>
            <w:r>
              <w:rPr>
                <w:rFonts w:hint="eastAsia"/>
                <w:color w:val="000000"/>
                <w:sz w:val="21"/>
                <w:szCs w:val="21"/>
                <w:lang w:val="en-US" w:eastAsia="zh-CN"/>
              </w:rPr>
              <w:t>采用</w:t>
            </w:r>
            <w:r>
              <w:rPr>
                <w:rFonts w:hint="eastAsia"/>
                <w:color w:val="000000"/>
                <w:sz w:val="21"/>
                <w:szCs w:val="21"/>
              </w:rPr>
              <w:t>2套</w:t>
            </w:r>
            <w:r>
              <w:rPr>
                <w:rFonts w:hint="eastAsia"/>
                <w:color w:val="000000"/>
                <w:sz w:val="21"/>
                <w:szCs w:val="21"/>
                <w:lang w:val="en-US" w:eastAsia="zh-CN"/>
              </w:rPr>
              <w:t>正压</w:t>
            </w:r>
            <w:r>
              <w:rPr>
                <w:rFonts w:hint="eastAsia"/>
                <w:color w:val="000000"/>
                <w:sz w:val="21"/>
                <w:szCs w:val="21"/>
              </w:rPr>
              <w:t>布袋除尘器（1备1台），无排气筒</w:t>
            </w:r>
            <w:r>
              <w:rPr>
                <w:rFonts w:hint="eastAsia"/>
                <w:color w:val="000000"/>
                <w:sz w:val="21"/>
                <w:szCs w:val="21"/>
                <w:lang w:eastAsia="zh-CN"/>
              </w:rPr>
              <w:t>。</w:t>
            </w:r>
          </w:p>
        </w:tc>
        <w:tc>
          <w:tcPr>
            <w:tcW w:w="1238" w:type="dxa"/>
            <w:noWrap w:val="0"/>
            <w:vAlign w:val="center"/>
          </w:tcPr>
          <w:p w14:paraId="553B06D6">
            <w:pPr>
              <w:spacing w:line="276" w:lineRule="auto"/>
              <w:ind w:firstLine="0"/>
              <w:jc w:val="center"/>
              <w:rPr>
                <w:rFonts w:hint="eastAsia" w:eastAsia="宋体"/>
                <w:color w:val="000000"/>
                <w:sz w:val="21"/>
                <w:szCs w:val="21"/>
                <w:lang w:eastAsia="zh-CN"/>
              </w:rPr>
            </w:pPr>
            <w:r>
              <w:rPr>
                <w:rFonts w:hint="eastAsia"/>
                <w:color w:val="000000"/>
                <w:sz w:val="21"/>
                <w:szCs w:val="21"/>
                <w:lang w:val="en-US" w:eastAsia="zh-CN"/>
              </w:rPr>
              <w:t>新建</w:t>
            </w:r>
          </w:p>
        </w:tc>
      </w:tr>
      <w:tr w14:paraId="5B816721">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75729C38">
            <w:pPr>
              <w:spacing w:line="276" w:lineRule="auto"/>
              <w:ind w:firstLine="420"/>
              <w:jc w:val="center"/>
              <w:rPr>
                <w:rFonts w:hint="eastAsia"/>
                <w:color w:val="0000FF"/>
                <w:sz w:val="21"/>
                <w:szCs w:val="21"/>
              </w:rPr>
            </w:pPr>
          </w:p>
        </w:tc>
        <w:tc>
          <w:tcPr>
            <w:tcW w:w="1809" w:type="dxa"/>
            <w:vMerge w:val="continue"/>
            <w:noWrap w:val="0"/>
            <w:vAlign w:val="center"/>
          </w:tcPr>
          <w:p w14:paraId="720F79D5">
            <w:pPr>
              <w:ind w:firstLine="0"/>
              <w:rPr>
                <w:rFonts w:hint="eastAsia"/>
                <w:color w:val="000000"/>
                <w:sz w:val="21"/>
                <w:szCs w:val="21"/>
              </w:rPr>
            </w:pPr>
          </w:p>
        </w:tc>
        <w:tc>
          <w:tcPr>
            <w:tcW w:w="4869" w:type="dxa"/>
            <w:noWrap w:val="0"/>
            <w:vAlign w:val="center"/>
          </w:tcPr>
          <w:p w14:paraId="764172F2">
            <w:pPr>
              <w:ind w:firstLine="0"/>
              <w:rPr>
                <w:rFonts w:hint="eastAsia"/>
                <w:color w:val="000000"/>
                <w:sz w:val="21"/>
                <w:szCs w:val="21"/>
              </w:rPr>
            </w:pPr>
            <w:r>
              <w:rPr>
                <w:rFonts w:hint="eastAsia"/>
                <w:color w:val="000000"/>
                <w:sz w:val="21"/>
                <w:szCs w:val="21"/>
              </w:rPr>
              <w:t>干燥</w:t>
            </w:r>
            <w:r>
              <w:rPr>
                <w:rFonts w:hint="eastAsia"/>
                <w:color w:val="000000"/>
                <w:sz w:val="21"/>
                <w:szCs w:val="21"/>
                <w:lang w:val="en-US" w:eastAsia="zh-CN"/>
              </w:rPr>
              <w:t>粉尘采用3套</w:t>
            </w:r>
            <w:r>
              <w:rPr>
                <w:rFonts w:hint="eastAsia"/>
                <w:color w:val="000000"/>
                <w:sz w:val="21"/>
                <w:szCs w:val="21"/>
              </w:rPr>
              <w:t>旋风除尘器+</w:t>
            </w:r>
            <w:r>
              <w:rPr>
                <w:rFonts w:hint="eastAsia"/>
                <w:color w:val="000000"/>
                <w:sz w:val="21"/>
                <w:szCs w:val="21"/>
                <w:lang w:val="en-US" w:eastAsia="zh-CN"/>
              </w:rPr>
              <w:t>3根15m高排气筒排放。</w:t>
            </w:r>
          </w:p>
        </w:tc>
        <w:tc>
          <w:tcPr>
            <w:tcW w:w="1238" w:type="dxa"/>
            <w:noWrap w:val="0"/>
            <w:vAlign w:val="center"/>
          </w:tcPr>
          <w:p w14:paraId="00ED45FF">
            <w:pPr>
              <w:spacing w:line="276" w:lineRule="auto"/>
              <w:ind w:firstLine="0"/>
              <w:jc w:val="center"/>
              <w:rPr>
                <w:rFonts w:hint="eastAsia" w:eastAsia="宋体"/>
                <w:color w:val="000000"/>
                <w:sz w:val="21"/>
                <w:szCs w:val="21"/>
                <w:lang w:val="en-US" w:eastAsia="zh-CN"/>
              </w:rPr>
            </w:pPr>
            <w:r>
              <w:rPr>
                <w:rFonts w:hint="eastAsia"/>
                <w:color w:val="000000"/>
                <w:sz w:val="21"/>
                <w:szCs w:val="21"/>
                <w:lang w:val="en-US" w:eastAsia="zh-CN"/>
              </w:rPr>
              <w:t>新建</w:t>
            </w:r>
          </w:p>
        </w:tc>
      </w:tr>
      <w:tr w14:paraId="33315475">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2A490818">
            <w:pPr>
              <w:spacing w:line="276" w:lineRule="auto"/>
              <w:ind w:firstLine="420"/>
              <w:jc w:val="center"/>
              <w:rPr>
                <w:rFonts w:hint="eastAsia"/>
                <w:color w:val="0000FF"/>
                <w:sz w:val="21"/>
                <w:szCs w:val="21"/>
              </w:rPr>
            </w:pPr>
          </w:p>
        </w:tc>
        <w:tc>
          <w:tcPr>
            <w:tcW w:w="1809" w:type="dxa"/>
            <w:vMerge w:val="continue"/>
            <w:noWrap w:val="0"/>
            <w:vAlign w:val="center"/>
          </w:tcPr>
          <w:p w14:paraId="04B3A0C5">
            <w:pPr>
              <w:ind w:firstLine="0"/>
              <w:rPr>
                <w:rFonts w:hint="eastAsia"/>
                <w:color w:val="000000"/>
                <w:sz w:val="21"/>
                <w:szCs w:val="21"/>
              </w:rPr>
            </w:pPr>
          </w:p>
        </w:tc>
        <w:tc>
          <w:tcPr>
            <w:tcW w:w="4869" w:type="dxa"/>
            <w:noWrap w:val="0"/>
            <w:vAlign w:val="center"/>
          </w:tcPr>
          <w:p w14:paraId="08030FAC">
            <w:pPr>
              <w:ind w:firstLine="0"/>
              <w:rPr>
                <w:rFonts w:eastAsia="宋体"/>
                <w:color w:val="000000"/>
                <w:sz w:val="21"/>
                <w:szCs w:val="21"/>
                <w:lang w:val="en-US" w:eastAsia="zh-CN"/>
              </w:rPr>
            </w:pPr>
            <w:r>
              <w:rPr>
                <w:rFonts w:hint="eastAsia" w:ascii="Times New Roman" w:hAnsi="Times New Roman" w:eastAsia="宋体" w:cs="Times New Roman"/>
                <w:color w:val="000000"/>
                <w:sz w:val="21"/>
                <w:szCs w:val="21"/>
                <w:lang w:val="en-US" w:eastAsia="zh-CN" w:bidi="ar-SA"/>
              </w:rPr>
              <w:t>仅1台环刨机设置1套旋风除尘器+15m高排气筒排放，其余刨片机自带布袋除尘器。</w:t>
            </w:r>
          </w:p>
        </w:tc>
        <w:tc>
          <w:tcPr>
            <w:tcW w:w="1238" w:type="dxa"/>
            <w:noWrap w:val="0"/>
            <w:vAlign w:val="center"/>
          </w:tcPr>
          <w:p w14:paraId="43DE09BA">
            <w:pPr>
              <w:spacing w:line="276" w:lineRule="auto"/>
              <w:ind w:firstLine="0"/>
              <w:jc w:val="center"/>
              <w:rPr>
                <w:rFonts w:hint="eastAsia" w:eastAsia="宋体"/>
                <w:color w:val="000000"/>
                <w:sz w:val="21"/>
                <w:szCs w:val="21"/>
                <w:lang w:eastAsia="zh-CN"/>
              </w:rPr>
            </w:pPr>
            <w:r>
              <w:rPr>
                <w:rFonts w:hint="eastAsia"/>
                <w:color w:val="000000"/>
                <w:sz w:val="21"/>
                <w:szCs w:val="21"/>
                <w:lang w:val="en-US" w:eastAsia="zh-CN"/>
              </w:rPr>
              <w:t>新建</w:t>
            </w:r>
          </w:p>
        </w:tc>
      </w:tr>
      <w:tr w14:paraId="075FD2B3">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33FCE764">
            <w:pPr>
              <w:spacing w:line="276" w:lineRule="auto"/>
              <w:ind w:firstLine="420"/>
              <w:jc w:val="center"/>
              <w:rPr>
                <w:rFonts w:hint="eastAsia"/>
                <w:color w:val="0000FF"/>
                <w:sz w:val="21"/>
                <w:szCs w:val="21"/>
              </w:rPr>
            </w:pPr>
          </w:p>
        </w:tc>
        <w:tc>
          <w:tcPr>
            <w:tcW w:w="1809" w:type="dxa"/>
            <w:vMerge w:val="continue"/>
            <w:noWrap w:val="0"/>
            <w:vAlign w:val="center"/>
          </w:tcPr>
          <w:p w14:paraId="6C052311">
            <w:pPr>
              <w:ind w:firstLine="0"/>
              <w:rPr>
                <w:rFonts w:hint="eastAsia"/>
                <w:color w:val="000000"/>
                <w:sz w:val="21"/>
                <w:szCs w:val="21"/>
              </w:rPr>
            </w:pPr>
          </w:p>
        </w:tc>
        <w:tc>
          <w:tcPr>
            <w:tcW w:w="4869" w:type="dxa"/>
            <w:noWrap w:val="0"/>
            <w:vAlign w:val="center"/>
          </w:tcPr>
          <w:p w14:paraId="25EC7F09">
            <w:pPr>
              <w:ind w:firstLine="0"/>
              <w:rPr>
                <w:rFonts w:eastAsia="宋体"/>
                <w:color w:val="000000"/>
                <w:sz w:val="21"/>
                <w:szCs w:val="21"/>
                <w:lang w:val="en-US" w:eastAsia="zh-CN"/>
              </w:rPr>
            </w:pPr>
            <w:r>
              <w:rPr>
                <w:rFonts w:hint="eastAsia"/>
                <w:color w:val="000000"/>
                <w:sz w:val="21"/>
                <w:szCs w:val="21"/>
                <w:lang w:val="en-US" w:eastAsia="zh-CN"/>
              </w:rPr>
              <w:t>铺装工序粉尘采用1套旋风除尘+8m高排气筒排放。</w:t>
            </w:r>
          </w:p>
        </w:tc>
        <w:tc>
          <w:tcPr>
            <w:tcW w:w="1238" w:type="dxa"/>
            <w:noWrap w:val="0"/>
            <w:vAlign w:val="center"/>
          </w:tcPr>
          <w:p w14:paraId="676C6F84">
            <w:pPr>
              <w:spacing w:line="276" w:lineRule="auto"/>
              <w:ind w:firstLine="0"/>
              <w:jc w:val="center"/>
              <w:rPr>
                <w:color w:val="000000"/>
                <w:sz w:val="21"/>
                <w:szCs w:val="21"/>
                <w:lang w:val="en-US" w:eastAsia="zh-CN"/>
              </w:rPr>
            </w:pPr>
            <w:r>
              <w:rPr>
                <w:rFonts w:hint="eastAsia"/>
                <w:color w:val="000000"/>
                <w:sz w:val="21"/>
                <w:szCs w:val="21"/>
                <w:lang w:val="en-US" w:eastAsia="zh-CN"/>
              </w:rPr>
              <w:t>新建</w:t>
            </w:r>
          </w:p>
        </w:tc>
      </w:tr>
      <w:tr w14:paraId="18277880">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241" w:hRule="atLeast"/>
          <w:tblHeader/>
          <w:jc w:val="center"/>
        </w:trPr>
        <w:tc>
          <w:tcPr>
            <w:tcW w:w="783" w:type="dxa"/>
            <w:vMerge w:val="continue"/>
            <w:noWrap w:val="0"/>
            <w:vAlign w:val="center"/>
          </w:tcPr>
          <w:p w14:paraId="084B1F97">
            <w:pPr>
              <w:spacing w:line="276" w:lineRule="auto"/>
              <w:ind w:firstLine="0"/>
              <w:jc w:val="center"/>
              <w:rPr>
                <w:rFonts w:hint="eastAsia"/>
                <w:color w:val="0000FF"/>
                <w:sz w:val="21"/>
                <w:szCs w:val="21"/>
              </w:rPr>
            </w:pPr>
          </w:p>
        </w:tc>
        <w:tc>
          <w:tcPr>
            <w:tcW w:w="1809" w:type="dxa"/>
            <w:vMerge w:val="restart"/>
            <w:noWrap w:val="0"/>
            <w:vAlign w:val="center"/>
          </w:tcPr>
          <w:p w14:paraId="1942239E">
            <w:pPr>
              <w:ind w:firstLine="0"/>
              <w:jc w:val="center"/>
              <w:rPr>
                <w:rFonts w:hint="eastAsia"/>
                <w:color w:val="000000"/>
                <w:sz w:val="21"/>
                <w:szCs w:val="21"/>
              </w:rPr>
            </w:pPr>
            <w:r>
              <w:rPr>
                <w:rFonts w:hint="eastAsia"/>
                <w:color w:val="000000"/>
                <w:sz w:val="21"/>
                <w:szCs w:val="21"/>
              </w:rPr>
              <w:t>废水防治措施</w:t>
            </w:r>
          </w:p>
        </w:tc>
        <w:tc>
          <w:tcPr>
            <w:tcW w:w="4869" w:type="dxa"/>
            <w:noWrap w:val="0"/>
            <w:vAlign w:val="center"/>
          </w:tcPr>
          <w:p w14:paraId="7CA78E79">
            <w:pPr>
              <w:ind w:firstLine="0"/>
              <w:rPr>
                <w:rFonts w:eastAsia="宋体"/>
                <w:color w:val="000000"/>
                <w:sz w:val="21"/>
                <w:szCs w:val="21"/>
                <w:lang w:val="en-US" w:eastAsia="zh-CN"/>
              </w:rPr>
            </w:pPr>
            <w:r>
              <w:rPr>
                <w:rFonts w:hint="eastAsia"/>
                <w:color w:val="000000"/>
                <w:sz w:val="21"/>
                <w:szCs w:val="21"/>
                <w:lang w:val="en-US" w:eastAsia="zh-CN"/>
              </w:rPr>
              <w:t>厂区现有的6座化粪池（总容积80m</w:t>
            </w:r>
            <w:r>
              <w:rPr>
                <w:rFonts w:hint="eastAsia"/>
                <w:color w:val="000000"/>
                <w:sz w:val="21"/>
                <w:szCs w:val="21"/>
                <w:vertAlign w:val="superscript"/>
                <w:lang w:val="en-US" w:eastAsia="zh-CN"/>
              </w:rPr>
              <w:t>3</w:t>
            </w:r>
            <w:r>
              <w:rPr>
                <w:rFonts w:hint="eastAsia"/>
                <w:color w:val="000000"/>
                <w:sz w:val="21"/>
                <w:szCs w:val="21"/>
                <w:lang w:val="en-US" w:eastAsia="zh-CN"/>
              </w:rPr>
              <w:t>）。</w:t>
            </w:r>
          </w:p>
        </w:tc>
        <w:tc>
          <w:tcPr>
            <w:tcW w:w="1238" w:type="dxa"/>
            <w:noWrap w:val="0"/>
            <w:vAlign w:val="center"/>
          </w:tcPr>
          <w:p w14:paraId="7BB5548D">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4座依托原有，2座新建</w:t>
            </w:r>
          </w:p>
        </w:tc>
      </w:tr>
      <w:tr w14:paraId="3089CD1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6E5763A9">
            <w:pPr>
              <w:spacing w:line="276" w:lineRule="auto"/>
              <w:ind w:firstLine="0"/>
              <w:jc w:val="center"/>
              <w:rPr>
                <w:rFonts w:hint="eastAsia"/>
                <w:color w:val="0000FF"/>
                <w:sz w:val="21"/>
                <w:szCs w:val="21"/>
              </w:rPr>
            </w:pPr>
          </w:p>
        </w:tc>
        <w:tc>
          <w:tcPr>
            <w:tcW w:w="1809" w:type="dxa"/>
            <w:vMerge w:val="continue"/>
            <w:noWrap w:val="0"/>
            <w:vAlign w:val="center"/>
          </w:tcPr>
          <w:p w14:paraId="3CBE6630">
            <w:pPr>
              <w:ind w:firstLine="0"/>
              <w:jc w:val="center"/>
              <w:rPr>
                <w:rFonts w:hint="eastAsia"/>
                <w:color w:val="000000"/>
                <w:sz w:val="21"/>
                <w:szCs w:val="21"/>
              </w:rPr>
            </w:pPr>
          </w:p>
        </w:tc>
        <w:tc>
          <w:tcPr>
            <w:tcW w:w="4869" w:type="dxa"/>
            <w:noWrap w:val="0"/>
            <w:vAlign w:val="center"/>
          </w:tcPr>
          <w:p w14:paraId="0D99A87A">
            <w:pPr>
              <w:ind w:firstLine="0"/>
              <w:rPr>
                <w:color w:val="000000"/>
                <w:sz w:val="21"/>
                <w:szCs w:val="21"/>
                <w:lang w:val="en-US" w:eastAsia="zh-CN"/>
              </w:rPr>
            </w:pPr>
            <w:r>
              <w:rPr>
                <w:rFonts w:hint="eastAsia"/>
                <w:color w:val="000000"/>
                <w:sz w:val="21"/>
                <w:szCs w:val="21"/>
                <w:lang w:val="en-US" w:eastAsia="zh-CN"/>
              </w:rPr>
              <w:t>6t/h锅炉水膜除尘器循环水池（容积10m</w:t>
            </w:r>
            <w:r>
              <w:rPr>
                <w:rFonts w:hint="eastAsia"/>
                <w:color w:val="000000"/>
                <w:sz w:val="21"/>
                <w:szCs w:val="21"/>
                <w:vertAlign w:val="superscript"/>
                <w:lang w:val="en-US" w:eastAsia="zh-CN"/>
              </w:rPr>
              <w:t>3</w:t>
            </w:r>
            <w:r>
              <w:rPr>
                <w:rFonts w:hint="eastAsia"/>
                <w:color w:val="000000"/>
                <w:sz w:val="21"/>
                <w:szCs w:val="21"/>
                <w:lang w:val="en-US" w:eastAsia="zh-CN"/>
              </w:rPr>
              <w:t>）。</w:t>
            </w:r>
          </w:p>
        </w:tc>
        <w:tc>
          <w:tcPr>
            <w:tcW w:w="1238" w:type="dxa"/>
            <w:noWrap w:val="0"/>
            <w:vAlign w:val="center"/>
          </w:tcPr>
          <w:p w14:paraId="7CA1AD12">
            <w:pPr>
              <w:spacing w:line="276" w:lineRule="auto"/>
              <w:ind w:firstLine="0"/>
              <w:jc w:val="center"/>
              <w:rPr>
                <w:color w:val="000000"/>
                <w:sz w:val="21"/>
                <w:szCs w:val="21"/>
                <w:lang w:val="en-US" w:eastAsia="zh-CN"/>
              </w:rPr>
            </w:pPr>
            <w:r>
              <w:rPr>
                <w:rFonts w:hint="eastAsia"/>
                <w:color w:val="000000"/>
                <w:sz w:val="21"/>
                <w:szCs w:val="21"/>
                <w:lang w:val="en-US" w:eastAsia="zh-CN"/>
              </w:rPr>
              <w:t>依托原有</w:t>
            </w:r>
          </w:p>
        </w:tc>
      </w:tr>
      <w:tr w14:paraId="68D51B5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364FC6B8">
            <w:pPr>
              <w:spacing w:line="276" w:lineRule="auto"/>
              <w:ind w:firstLine="0"/>
              <w:jc w:val="center"/>
              <w:rPr>
                <w:rFonts w:hint="eastAsia"/>
                <w:color w:val="0000FF"/>
                <w:sz w:val="21"/>
                <w:szCs w:val="21"/>
              </w:rPr>
            </w:pPr>
          </w:p>
        </w:tc>
        <w:tc>
          <w:tcPr>
            <w:tcW w:w="1809" w:type="dxa"/>
            <w:vMerge w:val="continue"/>
            <w:noWrap w:val="0"/>
            <w:vAlign w:val="center"/>
          </w:tcPr>
          <w:p w14:paraId="6ACB98D9">
            <w:pPr>
              <w:ind w:firstLine="0"/>
              <w:jc w:val="center"/>
              <w:rPr>
                <w:rFonts w:hint="eastAsia"/>
                <w:color w:val="000000"/>
                <w:sz w:val="21"/>
                <w:szCs w:val="21"/>
              </w:rPr>
            </w:pPr>
          </w:p>
        </w:tc>
        <w:tc>
          <w:tcPr>
            <w:tcW w:w="4869" w:type="dxa"/>
            <w:noWrap w:val="0"/>
            <w:vAlign w:val="center"/>
          </w:tcPr>
          <w:p w14:paraId="5C5EA8D6">
            <w:pPr>
              <w:ind w:firstLine="0"/>
              <w:rPr>
                <w:color w:val="000000"/>
                <w:sz w:val="21"/>
                <w:szCs w:val="21"/>
                <w:lang w:val="en-US" w:eastAsia="zh-CN"/>
              </w:rPr>
            </w:pPr>
            <w:r>
              <w:rPr>
                <w:rFonts w:hint="eastAsia"/>
                <w:color w:val="000000"/>
                <w:sz w:val="21"/>
                <w:szCs w:val="21"/>
                <w:lang w:val="en-US" w:eastAsia="zh-CN"/>
              </w:rPr>
              <w:t>热载体炉水膜除尘器循环水池（容积43m</w:t>
            </w:r>
            <w:r>
              <w:rPr>
                <w:rFonts w:hint="eastAsia"/>
                <w:color w:val="000000"/>
                <w:sz w:val="21"/>
                <w:szCs w:val="21"/>
                <w:vertAlign w:val="superscript"/>
                <w:lang w:val="en-US" w:eastAsia="zh-CN"/>
              </w:rPr>
              <w:t>3</w:t>
            </w:r>
            <w:r>
              <w:rPr>
                <w:rFonts w:hint="eastAsia"/>
                <w:color w:val="000000"/>
                <w:sz w:val="21"/>
                <w:szCs w:val="21"/>
                <w:lang w:val="en-US" w:eastAsia="zh-CN"/>
              </w:rPr>
              <w:t>）。</w:t>
            </w:r>
          </w:p>
        </w:tc>
        <w:tc>
          <w:tcPr>
            <w:tcW w:w="1238" w:type="dxa"/>
            <w:noWrap w:val="0"/>
            <w:vAlign w:val="center"/>
          </w:tcPr>
          <w:p w14:paraId="36EC457A">
            <w:pPr>
              <w:spacing w:line="276" w:lineRule="auto"/>
              <w:ind w:firstLine="0"/>
              <w:jc w:val="center"/>
              <w:rPr>
                <w:color w:val="000000"/>
                <w:sz w:val="21"/>
                <w:szCs w:val="21"/>
                <w:lang w:val="en-US" w:eastAsia="zh-CN"/>
              </w:rPr>
            </w:pPr>
            <w:r>
              <w:rPr>
                <w:rFonts w:hint="eastAsia"/>
                <w:color w:val="000000"/>
                <w:sz w:val="21"/>
                <w:szCs w:val="21"/>
                <w:lang w:val="en-US" w:eastAsia="zh-CN"/>
              </w:rPr>
              <w:t>新建</w:t>
            </w:r>
          </w:p>
        </w:tc>
      </w:tr>
      <w:tr w14:paraId="6EFF7D1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3" w:type="dxa"/>
            <w:vMerge w:val="continue"/>
            <w:noWrap w:val="0"/>
            <w:vAlign w:val="center"/>
          </w:tcPr>
          <w:p w14:paraId="38430DA9">
            <w:pPr>
              <w:spacing w:line="276" w:lineRule="auto"/>
              <w:ind w:firstLine="0"/>
              <w:jc w:val="center"/>
              <w:rPr>
                <w:rFonts w:hint="eastAsia"/>
                <w:color w:val="0000FF"/>
                <w:sz w:val="21"/>
                <w:szCs w:val="21"/>
              </w:rPr>
            </w:pPr>
          </w:p>
        </w:tc>
        <w:tc>
          <w:tcPr>
            <w:tcW w:w="1809" w:type="dxa"/>
            <w:noWrap w:val="0"/>
            <w:vAlign w:val="center"/>
          </w:tcPr>
          <w:p w14:paraId="4DFE189C">
            <w:pPr>
              <w:spacing w:line="276" w:lineRule="auto"/>
              <w:ind w:right="-120" w:firstLine="0"/>
              <w:jc w:val="center"/>
              <w:rPr>
                <w:rFonts w:hint="eastAsia"/>
                <w:color w:val="000000"/>
                <w:sz w:val="21"/>
                <w:szCs w:val="21"/>
              </w:rPr>
            </w:pPr>
            <w:r>
              <w:rPr>
                <w:rFonts w:hint="eastAsia" w:cs="宋体"/>
                <w:color w:val="000000"/>
                <w:sz w:val="21"/>
                <w:szCs w:val="21"/>
                <w:lang w:bidi="ar"/>
              </w:rPr>
              <w:t>噪声治理措施</w:t>
            </w:r>
          </w:p>
        </w:tc>
        <w:tc>
          <w:tcPr>
            <w:tcW w:w="4869" w:type="dxa"/>
            <w:noWrap w:val="0"/>
            <w:vAlign w:val="center"/>
          </w:tcPr>
          <w:p w14:paraId="03AFE026">
            <w:pPr>
              <w:pStyle w:val="409"/>
              <w:rPr>
                <w:rFonts w:ascii="Times New Roman" w:hAnsi="Times New Roman" w:cs="Times New Roman"/>
                <w:color w:val="000000"/>
                <w:lang w:val="en-US"/>
              </w:rPr>
            </w:pPr>
            <w:r>
              <w:rPr>
                <w:rFonts w:hint="eastAsia" w:ascii="Times New Roman" w:hAnsi="Times New Roman" w:eastAsia="宋体" w:cs="Times New Roman"/>
                <w:color w:val="FF0000"/>
                <w:sz w:val="21"/>
                <w:szCs w:val="21"/>
                <w:lang w:val="en-US" w:eastAsia="zh-CN"/>
              </w:rPr>
              <w:t>选用低噪声设备，采用隔声、减震措施</w:t>
            </w:r>
          </w:p>
        </w:tc>
        <w:tc>
          <w:tcPr>
            <w:tcW w:w="1238" w:type="dxa"/>
            <w:noWrap w:val="0"/>
            <w:vAlign w:val="center"/>
          </w:tcPr>
          <w:p w14:paraId="1B8638D5">
            <w:pPr>
              <w:spacing w:line="276" w:lineRule="auto"/>
              <w:ind w:firstLine="0"/>
              <w:jc w:val="center"/>
              <w:rPr>
                <w:rFonts w:hint="eastAsia"/>
                <w:color w:val="000000"/>
                <w:sz w:val="21"/>
                <w:szCs w:val="21"/>
              </w:rPr>
            </w:pPr>
            <w:r>
              <w:rPr>
                <w:rFonts w:hint="eastAsia"/>
                <w:color w:val="000000"/>
                <w:sz w:val="21"/>
                <w:szCs w:val="21"/>
              </w:rPr>
              <w:t>新建</w:t>
            </w:r>
          </w:p>
        </w:tc>
      </w:tr>
      <w:tr w14:paraId="69C8C1AB">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56" w:hRule="atLeast"/>
          <w:tblHeader/>
          <w:jc w:val="center"/>
        </w:trPr>
        <w:tc>
          <w:tcPr>
            <w:tcW w:w="783" w:type="dxa"/>
            <w:vMerge w:val="continue"/>
            <w:noWrap w:val="0"/>
            <w:vAlign w:val="center"/>
          </w:tcPr>
          <w:p w14:paraId="08B52813">
            <w:pPr>
              <w:spacing w:line="276" w:lineRule="auto"/>
              <w:ind w:firstLine="420"/>
              <w:jc w:val="center"/>
              <w:rPr>
                <w:rFonts w:hint="eastAsia"/>
                <w:color w:val="0000FF"/>
                <w:sz w:val="21"/>
                <w:szCs w:val="21"/>
              </w:rPr>
            </w:pPr>
          </w:p>
        </w:tc>
        <w:tc>
          <w:tcPr>
            <w:tcW w:w="1809" w:type="dxa"/>
            <w:vMerge w:val="restart"/>
            <w:noWrap w:val="0"/>
            <w:vAlign w:val="center"/>
          </w:tcPr>
          <w:p w14:paraId="529EE59A">
            <w:pPr>
              <w:widowControl w:val="0"/>
              <w:tabs>
                <w:tab w:val="left" w:pos="4035"/>
              </w:tabs>
              <w:spacing w:line="320" w:lineRule="exact"/>
              <w:ind w:firstLine="0"/>
              <w:jc w:val="center"/>
              <w:rPr>
                <w:rFonts w:hint="eastAsia"/>
                <w:color w:val="000000"/>
                <w:sz w:val="21"/>
                <w:szCs w:val="21"/>
              </w:rPr>
            </w:pPr>
            <w:r>
              <w:rPr>
                <w:rFonts w:hint="eastAsia" w:cs="宋体"/>
                <w:color w:val="000000"/>
                <w:sz w:val="21"/>
                <w:szCs w:val="21"/>
                <w:lang w:bidi="ar"/>
              </w:rPr>
              <w:t>固废治理措施</w:t>
            </w:r>
          </w:p>
        </w:tc>
        <w:tc>
          <w:tcPr>
            <w:tcW w:w="4869" w:type="dxa"/>
            <w:noWrap w:val="0"/>
            <w:vAlign w:val="center"/>
          </w:tcPr>
          <w:p w14:paraId="5788A598">
            <w:pPr>
              <w:widowControl w:val="0"/>
              <w:tabs>
                <w:tab w:val="left" w:pos="4035"/>
              </w:tabs>
              <w:spacing w:line="320" w:lineRule="exact"/>
              <w:ind w:firstLine="0"/>
              <w:rPr>
                <w:rFonts w:hint="eastAsia"/>
                <w:color w:val="000000"/>
                <w:sz w:val="21"/>
                <w:szCs w:val="21"/>
              </w:rPr>
            </w:pPr>
            <w:r>
              <w:rPr>
                <w:rFonts w:hint="eastAsia"/>
                <w:color w:val="FF0000"/>
                <w:sz w:val="21"/>
                <w:szCs w:val="21"/>
              </w:rPr>
              <w:t>设置</w:t>
            </w:r>
            <w:r>
              <w:rPr>
                <w:rFonts w:hint="eastAsia"/>
                <w:color w:val="FF0000"/>
                <w:sz w:val="21"/>
                <w:szCs w:val="21"/>
                <w:lang w:val="en-US" w:eastAsia="zh-CN"/>
              </w:rPr>
              <w:t>环保垃圾收集桶5</w:t>
            </w:r>
            <w:r>
              <w:rPr>
                <w:rFonts w:hint="eastAsia"/>
                <w:color w:val="FF0000"/>
                <w:sz w:val="21"/>
                <w:szCs w:val="21"/>
              </w:rPr>
              <w:t>个。</w:t>
            </w:r>
          </w:p>
        </w:tc>
        <w:tc>
          <w:tcPr>
            <w:tcW w:w="1238" w:type="dxa"/>
            <w:noWrap w:val="0"/>
            <w:vAlign w:val="center"/>
          </w:tcPr>
          <w:p w14:paraId="6C37124C">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tr w14:paraId="709DF34F">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94" w:hRule="atLeast"/>
          <w:tblHeader/>
          <w:jc w:val="center"/>
        </w:trPr>
        <w:tc>
          <w:tcPr>
            <w:tcW w:w="783" w:type="dxa"/>
            <w:vMerge w:val="continue"/>
            <w:noWrap w:val="0"/>
            <w:vAlign w:val="center"/>
          </w:tcPr>
          <w:p w14:paraId="56619CED">
            <w:pPr>
              <w:spacing w:line="276" w:lineRule="auto"/>
              <w:ind w:firstLine="420"/>
              <w:jc w:val="center"/>
              <w:rPr>
                <w:rFonts w:hint="eastAsia"/>
                <w:color w:val="0000FF"/>
                <w:sz w:val="21"/>
                <w:szCs w:val="21"/>
              </w:rPr>
            </w:pPr>
          </w:p>
        </w:tc>
        <w:tc>
          <w:tcPr>
            <w:tcW w:w="1809" w:type="dxa"/>
            <w:vMerge w:val="continue"/>
            <w:noWrap w:val="0"/>
            <w:vAlign w:val="center"/>
          </w:tcPr>
          <w:p w14:paraId="2A0F75B5">
            <w:pPr>
              <w:widowControl w:val="0"/>
              <w:tabs>
                <w:tab w:val="left" w:pos="4035"/>
              </w:tabs>
              <w:spacing w:line="320" w:lineRule="exact"/>
              <w:ind w:firstLine="0"/>
              <w:jc w:val="center"/>
              <w:rPr>
                <w:rFonts w:hint="eastAsia" w:cs="宋体"/>
                <w:color w:val="000000"/>
                <w:sz w:val="21"/>
                <w:szCs w:val="21"/>
                <w:lang w:bidi="ar"/>
              </w:rPr>
            </w:pPr>
          </w:p>
        </w:tc>
        <w:tc>
          <w:tcPr>
            <w:tcW w:w="4869" w:type="dxa"/>
            <w:noWrap w:val="0"/>
            <w:vAlign w:val="center"/>
          </w:tcPr>
          <w:p w14:paraId="0FE2C1BF">
            <w:pPr>
              <w:widowControl w:val="0"/>
              <w:tabs>
                <w:tab w:val="left" w:pos="4035"/>
              </w:tabs>
              <w:spacing w:line="320" w:lineRule="exact"/>
              <w:ind w:firstLine="0"/>
              <w:rPr>
                <w:rFonts w:hint="eastAsia"/>
                <w:color w:val="000000"/>
                <w:sz w:val="21"/>
                <w:szCs w:val="21"/>
              </w:rPr>
            </w:pPr>
            <w:r>
              <w:rPr>
                <w:rFonts w:hint="eastAsia"/>
                <w:color w:val="000000"/>
                <w:sz w:val="21"/>
                <w:szCs w:val="21"/>
              </w:rPr>
              <w:t>设置危险废物暂存间57m</w:t>
            </w:r>
            <w:r>
              <w:rPr>
                <w:rFonts w:hint="eastAsia"/>
                <w:color w:val="000000"/>
                <w:sz w:val="21"/>
                <w:szCs w:val="21"/>
                <w:vertAlign w:val="superscript"/>
              </w:rPr>
              <w:t>2</w:t>
            </w:r>
            <w:r>
              <w:rPr>
                <w:rFonts w:hint="eastAsia"/>
                <w:color w:val="000000"/>
                <w:sz w:val="21"/>
                <w:szCs w:val="21"/>
              </w:rPr>
              <w:t>。</w:t>
            </w:r>
          </w:p>
        </w:tc>
        <w:tc>
          <w:tcPr>
            <w:tcW w:w="1238" w:type="dxa"/>
            <w:noWrap w:val="0"/>
            <w:vAlign w:val="center"/>
          </w:tcPr>
          <w:p w14:paraId="6690B3F2">
            <w:pPr>
              <w:spacing w:line="276" w:lineRule="auto"/>
              <w:ind w:firstLine="0"/>
              <w:jc w:val="center"/>
              <w:rPr>
                <w:rFonts w:hint="eastAsia"/>
                <w:color w:val="000000"/>
                <w:sz w:val="21"/>
                <w:szCs w:val="21"/>
              </w:rPr>
            </w:pPr>
            <w:r>
              <w:rPr>
                <w:rFonts w:hint="eastAsia"/>
                <w:color w:val="000000"/>
                <w:sz w:val="21"/>
                <w:szCs w:val="21"/>
              </w:rPr>
              <w:t>新建</w:t>
            </w:r>
          </w:p>
        </w:tc>
      </w:tr>
      <w:tr w14:paraId="0B617CE4">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rHeight w:val="494" w:hRule="atLeast"/>
          <w:tblHeader/>
          <w:jc w:val="center"/>
        </w:trPr>
        <w:tc>
          <w:tcPr>
            <w:tcW w:w="783" w:type="dxa"/>
            <w:vMerge w:val="continue"/>
            <w:noWrap w:val="0"/>
            <w:vAlign w:val="center"/>
          </w:tcPr>
          <w:p w14:paraId="4DE0F041">
            <w:pPr>
              <w:spacing w:line="276" w:lineRule="auto"/>
              <w:ind w:firstLine="420"/>
              <w:jc w:val="center"/>
              <w:rPr>
                <w:rFonts w:hint="eastAsia"/>
                <w:color w:val="0000FF"/>
                <w:sz w:val="21"/>
                <w:szCs w:val="21"/>
              </w:rPr>
            </w:pPr>
          </w:p>
        </w:tc>
        <w:tc>
          <w:tcPr>
            <w:tcW w:w="1809" w:type="dxa"/>
            <w:vMerge w:val="continue"/>
            <w:noWrap w:val="0"/>
            <w:vAlign w:val="center"/>
          </w:tcPr>
          <w:p w14:paraId="19279006">
            <w:pPr>
              <w:widowControl w:val="0"/>
              <w:tabs>
                <w:tab w:val="left" w:pos="4035"/>
              </w:tabs>
              <w:spacing w:line="320" w:lineRule="exact"/>
              <w:ind w:firstLine="0"/>
              <w:jc w:val="center"/>
              <w:rPr>
                <w:rFonts w:hint="eastAsia" w:cs="宋体"/>
                <w:color w:val="000000"/>
                <w:sz w:val="21"/>
                <w:szCs w:val="21"/>
                <w:lang w:bidi="ar"/>
              </w:rPr>
            </w:pPr>
          </w:p>
        </w:tc>
        <w:tc>
          <w:tcPr>
            <w:tcW w:w="4869" w:type="dxa"/>
            <w:noWrap w:val="0"/>
            <w:vAlign w:val="center"/>
          </w:tcPr>
          <w:p w14:paraId="1010CF1C">
            <w:pPr>
              <w:widowControl w:val="0"/>
              <w:tabs>
                <w:tab w:val="left" w:pos="4035"/>
              </w:tabs>
              <w:spacing w:line="320" w:lineRule="exact"/>
              <w:ind w:firstLine="0"/>
              <w:rPr>
                <w:rFonts w:eastAsia="宋体"/>
                <w:color w:val="000000"/>
                <w:sz w:val="21"/>
                <w:szCs w:val="21"/>
                <w:lang w:val="en-US" w:eastAsia="zh-CN"/>
              </w:rPr>
            </w:pPr>
            <w:r>
              <w:rPr>
                <w:rFonts w:hint="eastAsia"/>
                <w:color w:val="000000"/>
                <w:sz w:val="21"/>
                <w:szCs w:val="21"/>
                <w:lang w:val="en-US" w:eastAsia="zh-CN"/>
              </w:rPr>
              <w:t>一般固废暂存间1间，建筑面积100m</w:t>
            </w:r>
            <w:r>
              <w:rPr>
                <w:rFonts w:hint="eastAsia"/>
                <w:color w:val="000000"/>
                <w:sz w:val="21"/>
                <w:szCs w:val="21"/>
                <w:vertAlign w:val="superscript"/>
                <w:lang w:val="en-US" w:eastAsia="zh-CN"/>
              </w:rPr>
              <w:t>2</w:t>
            </w:r>
          </w:p>
        </w:tc>
        <w:tc>
          <w:tcPr>
            <w:tcW w:w="1238" w:type="dxa"/>
            <w:noWrap w:val="0"/>
            <w:vAlign w:val="center"/>
          </w:tcPr>
          <w:p w14:paraId="66DB9DEF">
            <w:pPr>
              <w:spacing w:line="276" w:lineRule="auto"/>
              <w:ind w:firstLine="0"/>
              <w:jc w:val="center"/>
              <w:rPr>
                <w:rFonts w:hint="eastAsia" w:eastAsia="宋体"/>
                <w:color w:val="000000"/>
                <w:sz w:val="21"/>
                <w:szCs w:val="21"/>
                <w:lang w:val="en-US" w:eastAsia="zh-CN"/>
              </w:rPr>
            </w:pPr>
            <w:r>
              <w:rPr>
                <w:rFonts w:hint="eastAsia"/>
                <w:color w:val="000000"/>
                <w:sz w:val="21"/>
                <w:szCs w:val="21"/>
                <w:lang w:val="en-US" w:eastAsia="zh-CN"/>
              </w:rPr>
              <w:t>新建</w:t>
            </w:r>
          </w:p>
        </w:tc>
      </w:tr>
      <w:tr w14:paraId="5CAD681C">
        <w:tblPrEx>
          <w:tblBorders>
            <w:top w:val="single" w:color="000000" w:sz="12" w:space="0"/>
            <w:left w:val="none" w:color="000000" w:sz="0" w:space="0"/>
            <w:bottom w:val="single" w:color="000000" w:sz="12" w:space="0"/>
            <w:right w:val="none" w:color="000000"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83" w:type="dxa"/>
            <w:vMerge w:val="continue"/>
            <w:noWrap w:val="0"/>
            <w:vAlign w:val="center"/>
          </w:tcPr>
          <w:p w14:paraId="40DA8C59">
            <w:pPr>
              <w:spacing w:line="276" w:lineRule="auto"/>
              <w:ind w:firstLine="420"/>
              <w:jc w:val="center"/>
              <w:rPr>
                <w:rFonts w:hint="eastAsia"/>
                <w:color w:val="0000FF"/>
                <w:sz w:val="21"/>
                <w:szCs w:val="21"/>
              </w:rPr>
            </w:pPr>
          </w:p>
        </w:tc>
        <w:tc>
          <w:tcPr>
            <w:tcW w:w="1809" w:type="dxa"/>
            <w:noWrap w:val="0"/>
            <w:vAlign w:val="center"/>
          </w:tcPr>
          <w:p w14:paraId="31AE36DB">
            <w:pPr>
              <w:widowControl w:val="0"/>
              <w:tabs>
                <w:tab w:val="left" w:pos="4035"/>
              </w:tabs>
              <w:spacing w:line="320" w:lineRule="exact"/>
              <w:ind w:firstLine="0"/>
              <w:jc w:val="center"/>
              <w:rPr>
                <w:rFonts w:hint="eastAsia" w:cs="宋体"/>
                <w:color w:val="000000"/>
                <w:sz w:val="21"/>
                <w:szCs w:val="21"/>
                <w:lang w:bidi="ar"/>
              </w:rPr>
            </w:pPr>
            <w:r>
              <w:rPr>
                <w:rFonts w:hint="eastAsia" w:cs="宋体"/>
                <w:color w:val="000000"/>
                <w:sz w:val="21"/>
                <w:szCs w:val="21"/>
                <w:lang w:bidi="ar"/>
              </w:rPr>
              <w:t>生态环境</w:t>
            </w:r>
          </w:p>
        </w:tc>
        <w:tc>
          <w:tcPr>
            <w:tcW w:w="4869" w:type="dxa"/>
            <w:noWrap w:val="0"/>
            <w:vAlign w:val="center"/>
          </w:tcPr>
          <w:p w14:paraId="09B1A0B8">
            <w:pPr>
              <w:widowControl w:val="0"/>
              <w:tabs>
                <w:tab w:val="left" w:pos="4035"/>
              </w:tabs>
              <w:spacing w:line="320" w:lineRule="exact"/>
              <w:ind w:firstLine="0"/>
              <w:rPr>
                <w:rFonts w:hint="eastAsia"/>
                <w:color w:val="000000"/>
                <w:sz w:val="21"/>
                <w:szCs w:val="21"/>
              </w:rPr>
            </w:pPr>
            <w:r>
              <w:rPr>
                <w:rFonts w:hint="eastAsia" w:cs="宋体"/>
                <w:color w:val="000000"/>
                <w:sz w:val="21"/>
                <w:szCs w:val="21"/>
                <w:lang w:bidi="ar"/>
              </w:rPr>
              <w:t>绿化面积1000m</w:t>
            </w:r>
            <w:r>
              <w:rPr>
                <w:rFonts w:hint="eastAsia" w:cs="宋体"/>
                <w:color w:val="000000"/>
                <w:sz w:val="21"/>
                <w:szCs w:val="21"/>
                <w:vertAlign w:val="superscript"/>
                <w:lang w:bidi="ar"/>
              </w:rPr>
              <w:t>2</w:t>
            </w:r>
            <w:r>
              <w:rPr>
                <w:rFonts w:hint="eastAsia" w:cs="宋体"/>
                <w:color w:val="000000"/>
                <w:sz w:val="21"/>
                <w:szCs w:val="21"/>
                <w:lang w:bidi="ar"/>
              </w:rPr>
              <w:t>。</w:t>
            </w:r>
          </w:p>
        </w:tc>
        <w:tc>
          <w:tcPr>
            <w:tcW w:w="1238" w:type="dxa"/>
            <w:noWrap w:val="0"/>
            <w:vAlign w:val="center"/>
          </w:tcPr>
          <w:p w14:paraId="69C80A4E">
            <w:pPr>
              <w:spacing w:line="276" w:lineRule="auto"/>
              <w:ind w:firstLine="0"/>
              <w:jc w:val="center"/>
              <w:rPr>
                <w:rFonts w:eastAsia="宋体"/>
                <w:color w:val="000000"/>
                <w:sz w:val="21"/>
                <w:szCs w:val="21"/>
                <w:lang w:val="en-US" w:eastAsia="zh-CN"/>
              </w:rPr>
            </w:pPr>
            <w:r>
              <w:rPr>
                <w:rFonts w:hint="eastAsia"/>
                <w:color w:val="000000"/>
                <w:sz w:val="21"/>
                <w:szCs w:val="21"/>
                <w:lang w:val="en-US" w:eastAsia="zh-CN"/>
              </w:rPr>
              <w:t>依托原有</w:t>
            </w:r>
          </w:p>
        </w:tc>
      </w:tr>
      <w:bookmarkEnd w:id="99"/>
    </w:tbl>
    <w:p w14:paraId="6421C734">
      <w:pPr>
        <w:spacing w:line="276" w:lineRule="auto"/>
        <w:ind w:firstLine="0"/>
        <w:jc w:val="center"/>
        <w:rPr>
          <w:b/>
        </w:rPr>
      </w:pPr>
      <w:bookmarkStart w:id="100" w:name="_Toc335320852"/>
      <w:bookmarkStart w:id="101" w:name="_Toc418954603"/>
    </w:p>
    <w:p w14:paraId="4E1306B8">
      <w:pPr>
        <w:pStyle w:val="210"/>
        <w:rPr>
          <w:rFonts w:eastAsia="宋体"/>
          <w:b w:val="0"/>
          <w:bCs/>
          <w:color w:val="000000"/>
          <w:sz w:val="24"/>
          <w:szCs w:val="24"/>
          <w:lang w:val="en-US" w:eastAsia="zh-CN"/>
        </w:rPr>
      </w:pPr>
      <w:r>
        <w:rPr>
          <w:rFonts w:hint="eastAsia"/>
          <w:b w:val="0"/>
          <w:bCs/>
          <w:color w:val="000000"/>
          <w:sz w:val="24"/>
          <w:szCs w:val="24"/>
          <w:lang w:val="en-US" w:eastAsia="zh-CN"/>
        </w:rPr>
        <w:t>结合改扩建后厂区现状，针对目前项目存在的环境污染问题，计划新增的环保工程内容如下表。</w:t>
      </w:r>
    </w:p>
    <w:p w14:paraId="4AD78FD9">
      <w:pPr>
        <w:spacing w:line="276" w:lineRule="auto"/>
        <w:ind w:firstLine="0"/>
        <w:jc w:val="center"/>
        <w:rPr>
          <w:rFonts w:hint="eastAsia"/>
          <w:b/>
          <w:vertAlign w:val="baseline"/>
        </w:rPr>
      </w:pPr>
      <w:r>
        <w:rPr>
          <w:b/>
        </w:rPr>
        <w:t>表</w:t>
      </w:r>
      <w:r>
        <w:rPr>
          <w:rFonts w:hint="eastAsia"/>
          <w:b/>
          <w:lang w:val="en-US" w:eastAsia="zh-CN"/>
        </w:rPr>
        <w:t>4.1</w:t>
      </w:r>
      <w:r>
        <w:rPr>
          <w:rFonts w:hint="eastAsia"/>
          <w:b/>
        </w:rPr>
        <w:t>-</w:t>
      </w:r>
      <w:r>
        <w:rPr>
          <w:rFonts w:hint="eastAsia"/>
          <w:b/>
          <w:lang w:val="en-US" w:eastAsia="zh-CN"/>
        </w:rPr>
        <w:t>3</w:t>
      </w:r>
      <w:r>
        <w:rPr>
          <w:rFonts w:hint="eastAsia"/>
          <w:b/>
        </w:rPr>
        <w:t xml:space="preserve"> </w:t>
      </w:r>
      <w:r>
        <w:rPr>
          <w:rFonts w:hint="eastAsia"/>
          <w:b/>
          <w:lang w:val="en-US" w:eastAsia="zh-CN"/>
        </w:rPr>
        <w:t>计划新增环保工程</w:t>
      </w:r>
      <w:r>
        <w:rPr>
          <w:rFonts w:hint="eastAsia"/>
          <w:b/>
        </w:rPr>
        <w:t>组成表</w:t>
      </w:r>
    </w:p>
    <w:tbl>
      <w:tblPr>
        <w:tblStyle w:val="258"/>
        <w:tblW w:w="8838"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1974"/>
        <w:gridCol w:w="6201"/>
        <w:gridCol w:w="663"/>
      </w:tblGrid>
      <w:tr w14:paraId="6404CAA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1974" w:type="dxa"/>
            <w:noWrap w:val="0"/>
            <w:vAlign w:val="center"/>
          </w:tcPr>
          <w:p w14:paraId="27A78690">
            <w:pPr>
              <w:widowControl w:val="0"/>
              <w:spacing w:line="276" w:lineRule="auto"/>
              <w:ind w:left="0" w:firstLine="0"/>
              <w:jc w:val="center"/>
              <w:rPr>
                <w:rFonts w:hint="eastAsia"/>
                <w:b/>
                <w:color w:val="000000"/>
                <w:sz w:val="21"/>
                <w:szCs w:val="21"/>
                <w:vertAlign w:val="baseline"/>
                <w:lang w:val="en-US" w:eastAsia="zh-CN"/>
              </w:rPr>
            </w:pPr>
            <w:r>
              <w:rPr>
                <w:rFonts w:hint="eastAsia"/>
                <w:b/>
                <w:color w:val="000000"/>
                <w:sz w:val="21"/>
                <w:szCs w:val="21"/>
                <w:vertAlign w:val="baseline"/>
                <w:lang w:val="en-US" w:eastAsia="zh-CN"/>
              </w:rPr>
              <w:t>计划新增环保工程</w:t>
            </w:r>
          </w:p>
        </w:tc>
        <w:tc>
          <w:tcPr>
            <w:tcW w:w="6201" w:type="dxa"/>
            <w:noWrap w:val="0"/>
            <w:vAlign w:val="center"/>
          </w:tcPr>
          <w:p w14:paraId="317F2A94">
            <w:pPr>
              <w:widowControl w:val="0"/>
              <w:spacing w:line="276" w:lineRule="auto"/>
              <w:jc w:val="center"/>
              <w:rPr>
                <w:rFonts w:eastAsia="宋体"/>
                <w:b/>
                <w:color w:val="000000"/>
                <w:sz w:val="21"/>
                <w:szCs w:val="21"/>
                <w:vertAlign w:val="baseline"/>
                <w:lang w:val="en-US" w:eastAsia="zh-CN"/>
              </w:rPr>
            </w:pPr>
            <w:r>
              <w:rPr>
                <w:rFonts w:hint="eastAsia"/>
                <w:b/>
                <w:color w:val="000000"/>
                <w:sz w:val="21"/>
                <w:szCs w:val="21"/>
                <w:vertAlign w:val="baseline"/>
                <w:lang w:val="en-US" w:eastAsia="zh-CN"/>
              </w:rPr>
              <w:t>建设内容</w:t>
            </w:r>
          </w:p>
        </w:tc>
        <w:tc>
          <w:tcPr>
            <w:tcW w:w="663" w:type="dxa"/>
            <w:noWrap w:val="0"/>
            <w:vAlign w:val="center"/>
          </w:tcPr>
          <w:p w14:paraId="2F6EE2A3">
            <w:pPr>
              <w:widowControl w:val="0"/>
              <w:spacing w:line="276" w:lineRule="auto"/>
              <w:ind w:left="0" w:firstLine="0"/>
              <w:jc w:val="center"/>
              <w:rPr>
                <w:rFonts w:hint="eastAsia" w:eastAsia="宋体"/>
                <w:b/>
                <w:color w:val="000000"/>
                <w:sz w:val="21"/>
                <w:szCs w:val="21"/>
                <w:vertAlign w:val="baseline"/>
                <w:lang w:val="en-US" w:eastAsia="zh-CN"/>
              </w:rPr>
            </w:pPr>
            <w:r>
              <w:rPr>
                <w:rFonts w:hint="eastAsia"/>
                <w:b/>
                <w:color w:val="000000"/>
                <w:sz w:val="21"/>
                <w:szCs w:val="21"/>
                <w:vertAlign w:val="baseline"/>
                <w:lang w:val="en-US" w:eastAsia="zh-CN"/>
              </w:rPr>
              <w:t>备注</w:t>
            </w:r>
          </w:p>
        </w:tc>
      </w:tr>
      <w:tr w14:paraId="547529E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74" w:type="dxa"/>
            <w:vMerge w:val="restart"/>
            <w:noWrap w:val="0"/>
            <w:vAlign w:val="center"/>
          </w:tcPr>
          <w:p w14:paraId="18F30A56">
            <w:pPr>
              <w:widowControl w:val="0"/>
              <w:spacing w:line="276" w:lineRule="auto"/>
              <w:ind w:left="0" w:firstLine="0"/>
              <w:jc w:val="center"/>
              <w:rPr>
                <w:rFonts w:hint="eastAsia"/>
                <w:b/>
                <w:color w:val="000000"/>
                <w:sz w:val="21"/>
                <w:szCs w:val="21"/>
                <w:vertAlign w:val="baseline"/>
                <w:lang w:val="en-US" w:eastAsia="zh-CN"/>
              </w:rPr>
            </w:pPr>
            <w:r>
              <w:rPr>
                <w:rFonts w:hint="eastAsia"/>
                <w:b w:val="0"/>
                <w:bCs/>
                <w:color w:val="000000"/>
                <w:sz w:val="21"/>
                <w:szCs w:val="21"/>
                <w:vertAlign w:val="baseline"/>
                <w:lang w:val="en-US" w:eastAsia="zh-CN"/>
              </w:rPr>
              <w:t>废气治理工程</w:t>
            </w:r>
          </w:p>
        </w:tc>
        <w:tc>
          <w:tcPr>
            <w:tcW w:w="6201" w:type="dxa"/>
            <w:noWrap w:val="0"/>
            <w:vAlign w:val="center"/>
          </w:tcPr>
          <w:p w14:paraId="0DF332C4">
            <w:pPr>
              <w:widowControl w:val="0"/>
              <w:spacing w:line="276" w:lineRule="auto"/>
              <w:ind w:left="0" w:firstLine="0"/>
              <w:jc w:val="center"/>
              <w:rPr>
                <w:rFonts w:hint="eastAsia"/>
                <w:b/>
                <w:color w:val="000000"/>
                <w:sz w:val="21"/>
                <w:szCs w:val="21"/>
                <w:vertAlign w:val="baseline"/>
              </w:rPr>
            </w:pPr>
            <w:r>
              <w:rPr>
                <w:rFonts w:hint="eastAsia"/>
                <w:color w:val="FF0000"/>
                <w:sz w:val="21"/>
                <w:szCs w:val="21"/>
                <w:lang w:val="en-US" w:eastAsia="zh-CN"/>
              </w:rPr>
              <w:t>增设1套电离捕捉器；后期将6t/h锅炉、热载体炉水膜除尘器处理后的烟气引入增设的1套电离捕捉器进行集中处理，通过25m排气筒集中排放。</w:t>
            </w:r>
          </w:p>
        </w:tc>
        <w:tc>
          <w:tcPr>
            <w:tcW w:w="663" w:type="dxa"/>
            <w:noWrap w:val="0"/>
            <w:vAlign w:val="center"/>
          </w:tcPr>
          <w:p w14:paraId="6178D764">
            <w:pPr>
              <w:widowControl w:val="0"/>
              <w:spacing w:line="276" w:lineRule="auto"/>
              <w:ind w:left="0" w:firstLine="0"/>
              <w:jc w:val="both"/>
              <w:rPr>
                <w:rFonts w:eastAsia="宋体"/>
                <w:b/>
                <w:color w:val="000000"/>
                <w:sz w:val="21"/>
                <w:szCs w:val="21"/>
                <w:vertAlign w:val="baseline"/>
                <w:lang w:val="en-US" w:eastAsia="zh-CN"/>
              </w:rPr>
            </w:pPr>
            <w:r>
              <w:rPr>
                <w:rFonts w:hint="eastAsia" w:eastAsia="宋体"/>
                <w:b w:val="0"/>
                <w:bCs/>
                <w:color w:val="000000"/>
                <w:sz w:val="21"/>
                <w:szCs w:val="21"/>
                <w:vertAlign w:val="baseline"/>
                <w:lang w:val="en-US" w:eastAsia="zh-CN"/>
              </w:rPr>
              <w:t>在建</w:t>
            </w:r>
          </w:p>
        </w:tc>
      </w:tr>
      <w:tr w14:paraId="7D6ECCD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1974" w:type="dxa"/>
            <w:vMerge w:val="continue"/>
            <w:noWrap w:val="0"/>
            <w:vAlign w:val="center"/>
          </w:tcPr>
          <w:p w14:paraId="3E4B32C9">
            <w:pPr>
              <w:widowControl w:val="0"/>
              <w:spacing w:line="276" w:lineRule="auto"/>
              <w:ind w:left="0" w:firstLine="0"/>
              <w:jc w:val="center"/>
              <w:rPr>
                <w:rFonts w:hint="eastAsia"/>
                <w:b/>
                <w:color w:val="000000"/>
                <w:sz w:val="21"/>
                <w:szCs w:val="21"/>
                <w:vertAlign w:val="baseline"/>
                <w:lang w:val="en-US" w:eastAsia="zh-CN"/>
              </w:rPr>
            </w:pPr>
          </w:p>
        </w:tc>
        <w:tc>
          <w:tcPr>
            <w:tcW w:w="6201" w:type="dxa"/>
            <w:noWrap w:val="0"/>
            <w:vAlign w:val="center"/>
          </w:tcPr>
          <w:p w14:paraId="7F30BCC5">
            <w:pPr>
              <w:widowControl w:val="0"/>
              <w:spacing w:line="276" w:lineRule="auto"/>
              <w:ind w:left="0" w:firstLine="0"/>
              <w:jc w:val="center"/>
              <w:rPr>
                <w:rFonts w:hint="eastAsia"/>
                <w:b/>
                <w:color w:val="000000"/>
                <w:sz w:val="21"/>
                <w:szCs w:val="21"/>
                <w:vertAlign w:val="baseline"/>
              </w:rPr>
            </w:pPr>
            <w:r>
              <w:rPr>
                <w:rFonts w:hint="eastAsia"/>
                <w:color w:val="000000"/>
                <w:sz w:val="21"/>
                <w:szCs w:val="21"/>
              </w:rPr>
              <w:t>油烟净化装置1套，净化效率不低于60%。</w:t>
            </w:r>
          </w:p>
        </w:tc>
        <w:tc>
          <w:tcPr>
            <w:tcW w:w="663" w:type="dxa"/>
            <w:noWrap w:val="0"/>
            <w:vAlign w:val="center"/>
          </w:tcPr>
          <w:p w14:paraId="68522293">
            <w:pPr>
              <w:widowControl w:val="0"/>
              <w:spacing w:line="276" w:lineRule="auto"/>
              <w:ind w:left="0" w:firstLine="0"/>
              <w:jc w:val="both"/>
              <w:rPr>
                <w:rFonts w:hint="eastAsia" w:eastAsia="宋体"/>
                <w:b/>
                <w:color w:val="000000"/>
                <w:sz w:val="21"/>
                <w:szCs w:val="21"/>
                <w:vertAlign w:val="baseline"/>
                <w:lang w:val="en-US" w:eastAsia="zh-CN"/>
              </w:rPr>
            </w:pPr>
            <w:r>
              <w:rPr>
                <w:rFonts w:hint="eastAsia"/>
                <w:b/>
                <w:color w:val="000000"/>
                <w:sz w:val="21"/>
                <w:szCs w:val="21"/>
                <w:vertAlign w:val="baseline"/>
                <w:lang w:val="en-US" w:eastAsia="zh-CN"/>
              </w:rPr>
              <w:t xml:space="preserve"> </w:t>
            </w:r>
          </w:p>
        </w:tc>
      </w:tr>
      <w:tr w14:paraId="58A11BD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1974" w:type="dxa"/>
            <w:vMerge w:val="continue"/>
            <w:noWrap w:val="0"/>
            <w:vAlign w:val="center"/>
          </w:tcPr>
          <w:p w14:paraId="68692CBB">
            <w:pPr>
              <w:widowControl w:val="0"/>
              <w:spacing w:line="276" w:lineRule="auto"/>
              <w:ind w:left="0" w:firstLine="0"/>
              <w:jc w:val="center"/>
              <w:rPr>
                <w:rFonts w:hint="eastAsia"/>
                <w:b/>
                <w:color w:val="000000"/>
                <w:sz w:val="21"/>
                <w:szCs w:val="21"/>
                <w:vertAlign w:val="baseline"/>
                <w:lang w:val="en-US" w:eastAsia="zh-CN"/>
              </w:rPr>
            </w:pPr>
          </w:p>
        </w:tc>
        <w:tc>
          <w:tcPr>
            <w:tcW w:w="6201" w:type="dxa"/>
            <w:noWrap w:val="0"/>
            <w:vAlign w:val="center"/>
          </w:tcPr>
          <w:p w14:paraId="7F8859DB">
            <w:pPr>
              <w:widowControl w:val="0"/>
              <w:spacing w:line="276" w:lineRule="auto"/>
              <w:ind w:left="0" w:firstLine="0"/>
              <w:jc w:val="center"/>
              <w:rPr>
                <w:rFonts w:hint="eastAsia"/>
                <w:color w:val="000000"/>
                <w:sz w:val="21"/>
                <w:szCs w:val="21"/>
              </w:rPr>
            </w:pPr>
            <w:r>
              <w:rPr>
                <w:rFonts w:hint="eastAsia" w:ascii="Times New Roman" w:hAnsi="Times New Roman" w:eastAsia="宋体" w:cs="Times New Roman"/>
                <w:color w:val="000000"/>
                <w:sz w:val="21"/>
                <w:szCs w:val="21"/>
                <w:lang w:val="en-US" w:eastAsia="zh-CN" w:bidi="ar-SA"/>
              </w:rPr>
              <w:t>环刨机增设1套布袋收尘装置，无组织排放；其余刨片机在出料口增设自制的小型布袋除尘器。</w:t>
            </w:r>
          </w:p>
        </w:tc>
        <w:tc>
          <w:tcPr>
            <w:tcW w:w="663" w:type="dxa"/>
            <w:noWrap w:val="0"/>
            <w:vAlign w:val="center"/>
          </w:tcPr>
          <w:p w14:paraId="49534BAC">
            <w:pPr>
              <w:widowControl w:val="0"/>
              <w:spacing w:line="276" w:lineRule="auto"/>
              <w:jc w:val="center"/>
              <w:rPr>
                <w:rFonts w:hint="eastAsia"/>
                <w:b/>
                <w:color w:val="000000"/>
                <w:sz w:val="21"/>
                <w:szCs w:val="21"/>
                <w:vertAlign w:val="baseline"/>
              </w:rPr>
            </w:pPr>
          </w:p>
        </w:tc>
      </w:tr>
      <w:tr w14:paraId="048AA0D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1974" w:type="dxa"/>
            <w:vMerge w:val="continue"/>
            <w:noWrap w:val="0"/>
            <w:vAlign w:val="center"/>
          </w:tcPr>
          <w:p w14:paraId="7950E924">
            <w:pPr>
              <w:widowControl w:val="0"/>
              <w:spacing w:line="276" w:lineRule="auto"/>
              <w:ind w:left="0" w:firstLine="0"/>
              <w:jc w:val="center"/>
              <w:rPr>
                <w:rFonts w:hint="eastAsia"/>
                <w:b/>
                <w:color w:val="000000"/>
                <w:sz w:val="21"/>
                <w:szCs w:val="21"/>
                <w:vertAlign w:val="baseline"/>
                <w:lang w:val="en-US" w:eastAsia="zh-CN"/>
              </w:rPr>
            </w:pPr>
          </w:p>
        </w:tc>
        <w:tc>
          <w:tcPr>
            <w:tcW w:w="6201" w:type="dxa"/>
            <w:noWrap w:val="0"/>
            <w:vAlign w:val="center"/>
          </w:tcPr>
          <w:p w14:paraId="51CD6FC3">
            <w:pPr>
              <w:widowControl w:val="0"/>
              <w:spacing w:line="276" w:lineRule="auto"/>
              <w:ind w:left="0" w:firstLine="0"/>
              <w:jc w:val="center"/>
              <w:rPr>
                <w:rFonts w:hint="eastAsia"/>
                <w:b/>
                <w:color w:val="000000"/>
                <w:sz w:val="21"/>
                <w:szCs w:val="21"/>
                <w:vertAlign w:val="baseline"/>
              </w:rPr>
            </w:pPr>
            <w:r>
              <w:rPr>
                <w:rFonts w:hint="eastAsia" w:ascii="Times New Roman" w:hAnsi="Times New Roman" w:eastAsia="宋体" w:cs="Times New Roman"/>
                <w:color w:val="000000"/>
                <w:sz w:val="21"/>
                <w:szCs w:val="21"/>
                <w:lang w:val="en-US" w:eastAsia="zh-CN" w:bidi="ar-SA"/>
              </w:rPr>
              <w:t>将干燥、筛选、铺装工序粉尘合并处理，在现有的旋风除尘器后端增设1套布袋除尘器，净化处理后通过1根15m高排气筒排放</w:t>
            </w:r>
          </w:p>
        </w:tc>
        <w:tc>
          <w:tcPr>
            <w:tcW w:w="663" w:type="dxa"/>
            <w:noWrap w:val="0"/>
            <w:vAlign w:val="center"/>
          </w:tcPr>
          <w:p w14:paraId="599D02EE">
            <w:pPr>
              <w:widowControl w:val="0"/>
              <w:spacing w:line="276" w:lineRule="auto"/>
              <w:jc w:val="center"/>
              <w:rPr>
                <w:rFonts w:hint="eastAsia"/>
                <w:b/>
                <w:color w:val="000000"/>
                <w:sz w:val="21"/>
                <w:szCs w:val="21"/>
                <w:vertAlign w:val="baseline"/>
              </w:rPr>
            </w:pPr>
          </w:p>
        </w:tc>
      </w:tr>
      <w:tr w14:paraId="6AAD9EF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1974" w:type="dxa"/>
            <w:vMerge w:val="continue"/>
            <w:noWrap w:val="0"/>
            <w:vAlign w:val="center"/>
          </w:tcPr>
          <w:p w14:paraId="76024AFD">
            <w:pPr>
              <w:widowControl w:val="0"/>
              <w:spacing w:line="276" w:lineRule="auto"/>
              <w:ind w:left="0" w:firstLine="0"/>
              <w:jc w:val="center"/>
              <w:rPr>
                <w:rFonts w:hint="eastAsia"/>
                <w:b/>
                <w:color w:val="000000"/>
                <w:sz w:val="21"/>
                <w:szCs w:val="21"/>
                <w:vertAlign w:val="baseline"/>
                <w:lang w:val="en-US" w:eastAsia="zh-CN"/>
              </w:rPr>
            </w:pPr>
          </w:p>
        </w:tc>
        <w:tc>
          <w:tcPr>
            <w:tcW w:w="6201" w:type="dxa"/>
            <w:noWrap w:val="0"/>
            <w:vAlign w:val="center"/>
          </w:tcPr>
          <w:p w14:paraId="6547C0F0">
            <w:pPr>
              <w:widowControl w:val="0"/>
              <w:spacing w:line="276"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Cs w:val="0"/>
                <w:color w:val="FF0000"/>
                <w:sz w:val="21"/>
                <w:szCs w:val="21"/>
                <w:lang w:val="en-US" w:eastAsia="zh-CN" w:bidi="ar-SA"/>
              </w:rPr>
              <w:t>板材加工热压、贴面工序及</w:t>
            </w:r>
            <w:r>
              <w:rPr>
                <w:rFonts w:hint="eastAsia"/>
                <w:color w:val="FF0000"/>
                <w:sz w:val="21"/>
                <w:szCs w:val="21"/>
              </w:rPr>
              <w:t>制胶车间</w:t>
            </w:r>
            <w:r>
              <w:rPr>
                <w:rFonts w:hint="eastAsia"/>
                <w:color w:val="FF0000"/>
                <w:sz w:val="21"/>
                <w:szCs w:val="21"/>
                <w:lang w:val="en-US" w:eastAsia="zh-CN"/>
              </w:rPr>
              <w:t>废气</w:t>
            </w:r>
            <w:r>
              <w:rPr>
                <w:rFonts w:hint="eastAsia" w:ascii="Times New Roman" w:hAnsi="Times New Roman" w:eastAsia="宋体" w:cs="Times New Roman"/>
                <w:bCs w:val="0"/>
                <w:color w:val="FF0000"/>
                <w:sz w:val="21"/>
                <w:szCs w:val="21"/>
                <w:lang w:val="en-US" w:eastAsia="zh-CN" w:bidi="ar-SA"/>
              </w:rPr>
              <w:t>共用1套UV光催化活性炭吸附一体设备</w:t>
            </w:r>
            <w:r>
              <w:rPr>
                <w:rFonts w:hint="eastAsia" w:ascii="Times New Roman" w:hAnsi="Times New Roman" w:eastAsia="宋体" w:cs="Times New Roman"/>
                <w:color w:val="FF0000"/>
                <w:sz w:val="21"/>
                <w:szCs w:val="21"/>
                <w:lang w:val="en-US" w:eastAsia="zh-CN" w:bidi="ar-SA"/>
              </w:rPr>
              <w:t>+15m高排气筒。</w:t>
            </w:r>
          </w:p>
        </w:tc>
        <w:tc>
          <w:tcPr>
            <w:tcW w:w="663" w:type="dxa"/>
            <w:noWrap w:val="0"/>
            <w:vAlign w:val="center"/>
          </w:tcPr>
          <w:p w14:paraId="663B1037">
            <w:pPr>
              <w:widowControl w:val="0"/>
              <w:spacing w:line="276" w:lineRule="auto"/>
              <w:jc w:val="center"/>
              <w:rPr>
                <w:rFonts w:hint="eastAsia"/>
                <w:b/>
                <w:color w:val="000000"/>
                <w:sz w:val="21"/>
                <w:szCs w:val="21"/>
                <w:vertAlign w:val="baseline"/>
              </w:rPr>
            </w:pPr>
          </w:p>
        </w:tc>
      </w:tr>
      <w:tr w14:paraId="382B44F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1974" w:type="dxa"/>
            <w:vMerge w:val="restart"/>
            <w:noWrap w:val="0"/>
            <w:vAlign w:val="center"/>
          </w:tcPr>
          <w:p w14:paraId="59762E6B">
            <w:pPr>
              <w:widowControl w:val="0"/>
              <w:spacing w:line="276" w:lineRule="auto"/>
              <w:ind w:left="0" w:firstLine="0"/>
              <w:jc w:val="center"/>
              <w:rPr>
                <w:b w:val="0"/>
                <w:bCs/>
                <w:color w:val="000000"/>
                <w:sz w:val="21"/>
                <w:szCs w:val="21"/>
                <w:vertAlign w:val="baseline"/>
                <w:lang w:val="en-US" w:eastAsia="zh-CN"/>
              </w:rPr>
            </w:pPr>
            <w:r>
              <w:rPr>
                <w:rFonts w:hint="eastAsia"/>
                <w:b w:val="0"/>
                <w:bCs/>
                <w:color w:val="000000"/>
                <w:sz w:val="21"/>
                <w:szCs w:val="21"/>
                <w:vertAlign w:val="baseline"/>
                <w:lang w:val="en-US" w:eastAsia="zh-CN"/>
              </w:rPr>
              <w:t>废水治理工程</w:t>
            </w:r>
          </w:p>
        </w:tc>
        <w:tc>
          <w:tcPr>
            <w:tcW w:w="6201" w:type="dxa"/>
            <w:noWrap w:val="0"/>
            <w:vAlign w:val="center"/>
          </w:tcPr>
          <w:p w14:paraId="577514F4">
            <w:pPr>
              <w:widowControl w:val="0"/>
              <w:ind w:firstLine="0"/>
              <w:jc w:val="center"/>
              <w:rPr>
                <w:color w:val="000000"/>
                <w:sz w:val="21"/>
                <w:szCs w:val="21"/>
                <w:lang w:val="en-US" w:eastAsia="zh-CN"/>
              </w:rPr>
            </w:pPr>
            <w:r>
              <w:rPr>
                <w:rFonts w:hint="eastAsia"/>
                <w:color w:val="000000"/>
                <w:sz w:val="21"/>
                <w:szCs w:val="21"/>
                <w:lang w:val="en-US" w:eastAsia="zh-CN"/>
              </w:rPr>
              <w:t>食堂出水口加装隔油池进行预处理。</w:t>
            </w:r>
          </w:p>
        </w:tc>
        <w:tc>
          <w:tcPr>
            <w:tcW w:w="663" w:type="dxa"/>
            <w:noWrap w:val="0"/>
            <w:vAlign w:val="center"/>
          </w:tcPr>
          <w:p w14:paraId="2DECEBA0">
            <w:pPr>
              <w:widowControl w:val="0"/>
              <w:spacing w:line="276" w:lineRule="auto"/>
              <w:jc w:val="center"/>
              <w:rPr>
                <w:rFonts w:hint="eastAsia"/>
                <w:b/>
                <w:color w:val="000000"/>
                <w:sz w:val="21"/>
                <w:szCs w:val="21"/>
                <w:vertAlign w:val="baseline"/>
              </w:rPr>
            </w:pPr>
          </w:p>
        </w:tc>
      </w:tr>
      <w:tr w14:paraId="384CB77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1974" w:type="dxa"/>
            <w:vMerge w:val="continue"/>
            <w:noWrap w:val="0"/>
            <w:vAlign w:val="center"/>
          </w:tcPr>
          <w:p w14:paraId="7FED41D9">
            <w:pPr>
              <w:widowControl w:val="0"/>
              <w:spacing w:line="276" w:lineRule="auto"/>
              <w:ind w:left="0" w:firstLine="0"/>
              <w:jc w:val="center"/>
              <w:rPr>
                <w:rFonts w:hint="eastAsia"/>
                <w:b w:val="0"/>
                <w:bCs/>
                <w:color w:val="000000"/>
                <w:sz w:val="21"/>
                <w:szCs w:val="21"/>
                <w:vertAlign w:val="baseline"/>
                <w:lang w:val="en-US" w:eastAsia="zh-CN"/>
              </w:rPr>
            </w:pPr>
          </w:p>
        </w:tc>
        <w:tc>
          <w:tcPr>
            <w:tcW w:w="6201" w:type="dxa"/>
            <w:noWrap w:val="0"/>
            <w:vAlign w:val="center"/>
          </w:tcPr>
          <w:p w14:paraId="51F6418A">
            <w:pPr>
              <w:widowControl w:val="0"/>
              <w:ind w:firstLine="0"/>
              <w:jc w:val="center"/>
              <w:rPr>
                <w:color w:val="000000"/>
                <w:sz w:val="21"/>
                <w:szCs w:val="21"/>
                <w:lang w:val="en-US" w:eastAsia="zh-CN"/>
              </w:rPr>
            </w:pPr>
            <w:r>
              <w:rPr>
                <w:rFonts w:hint="eastAsia"/>
                <w:color w:val="000000"/>
                <w:sz w:val="21"/>
                <w:szCs w:val="21"/>
                <w:lang w:val="en-US" w:eastAsia="zh-CN"/>
              </w:rPr>
              <w:t>完善雨水收集系统，增设1座150m</w:t>
            </w:r>
            <w:r>
              <w:rPr>
                <w:rFonts w:hint="eastAsia"/>
                <w:color w:val="000000"/>
                <w:sz w:val="21"/>
                <w:szCs w:val="21"/>
                <w:vertAlign w:val="superscript"/>
                <w:lang w:val="en-US" w:eastAsia="zh-CN"/>
              </w:rPr>
              <w:t>3</w:t>
            </w:r>
            <w:r>
              <w:rPr>
                <w:rFonts w:hint="eastAsia"/>
                <w:color w:val="000000"/>
                <w:sz w:val="21"/>
                <w:szCs w:val="21"/>
                <w:lang w:val="en-US" w:eastAsia="zh-CN"/>
              </w:rPr>
              <w:t>的初期雨水收集池兼顾事故应急池。</w:t>
            </w:r>
          </w:p>
        </w:tc>
        <w:tc>
          <w:tcPr>
            <w:tcW w:w="663" w:type="dxa"/>
            <w:noWrap w:val="0"/>
            <w:vAlign w:val="center"/>
          </w:tcPr>
          <w:p w14:paraId="4686FC48">
            <w:pPr>
              <w:widowControl w:val="0"/>
              <w:spacing w:line="276" w:lineRule="auto"/>
              <w:jc w:val="center"/>
              <w:rPr>
                <w:rFonts w:hint="eastAsia"/>
                <w:b/>
                <w:color w:val="000000"/>
                <w:sz w:val="21"/>
                <w:szCs w:val="21"/>
                <w:vertAlign w:val="baseline"/>
              </w:rPr>
            </w:pPr>
          </w:p>
        </w:tc>
      </w:tr>
      <w:tr w14:paraId="3D623BB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1974" w:type="dxa"/>
            <w:noWrap w:val="0"/>
            <w:vAlign w:val="center"/>
          </w:tcPr>
          <w:p w14:paraId="2008850D">
            <w:pPr>
              <w:widowControl w:val="0"/>
              <w:spacing w:line="276" w:lineRule="auto"/>
              <w:ind w:left="0" w:firstLine="0"/>
              <w:jc w:val="center"/>
              <w:rPr>
                <w:b w:val="0"/>
                <w:bCs/>
                <w:color w:val="000000"/>
                <w:sz w:val="21"/>
                <w:szCs w:val="21"/>
                <w:vertAlign w:val="baseline"/>
                <w:lang w:val="en-US" w:eastAsia="zh-CN"/>
              </w:rPr>
            </w:pPr>
            <w:r>
              <w:rPr>
                <w:rFonts w:hint="eastAsia"/>
                <w:b w:val="0"/>
                <w:bCs/>
                <w:color w:val="000000"/>
                <w:sz w:val="21"/>
                <w:szCs w:val="21"/>
                <w:vertAlign w:val="baseline"/>
                <w:lang w:val="en-US" w:eastAsia="zh-CN"/>
              </w:rPr>
              <w:t>噪声治理工程</w:t>
            </w:r>
          </w:p>
        </w:tc>
        <w:tc>
          <w:tcPr>
            <w:tcW w:w="6201" w:type="dxa"/>
            <w:noWrap w:val="0"/>
            <w:vAlign w:val="center"/>
          </w:tcPr>
          <w:p w14:paraId="5AEB1882">
            <w:pPr>
              <w:widowControl w:val="0"/>
              <w:ind w:firstLine="0"/>
              <w:jc w:val="center"/>
              <w:rPr>
                <w:rFonts w:hint="eastAsia"/>
                <w:color w:val="000000"/>
                <w:sz w:val="21"/>
                <w:szCs w:val="21"/>
                <w:lang w:val="en-US" w:eastAsia="zh-CN"/>
              </w:rPr>
            </w:pPr>
            <w:r>
              <w:rPr>
                <w:rFonts w:hint="eastAsia" w:ascii="Times New Roman" w:hAnsi="Times New Roman" w:eastAsia="宋体" w:cs="Times New Roman"/>
                <w:color w:val="FF0000"/>
                <w:sz w:val="21"/>
                <w:szCs w:val="21"/>
                <w:lang w:val="en-US" w:eastAsia="zh-CN"/>
              </w:rPr>
              <w:t>进一步加强基础减震、防振措施，隔声措施等，同时合理控制高噪声运行时间</w:t>
            </w:r>
          </w:p>
        </w:tc>
        <w:tc>
          <w:tcPr>
            <w:tcW w:w="663" w:type="dxa"/>
            <w:noWrap w:val="0"/>
            <w:vAlign w:val="center"/>
          </w:tcPr>
          <w:p w14:paraId="17824FF1">
            <w:pPr>
              <w:widowControl w:val="0"/>
              <w:spacing w:line="276" w:lineRule="auto"/>
              <w:jc w:val="center"/>
              <w:rPr>
                <w:rFonts w:hint="eastAsia"/>
                <w:b/>
                <w:color w:val="000000"/>
                <w:sz w:val="21"/>
                <w:szCs w:val="21"/>
                <w:vertAlign w:val="baseline"/>
              </w:rPr>
            </w:pPr>
          </w:p>
        </w:tc>
      </w:tr>
      <w:tr w14:paraId="63E5F09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974" w:type="dxa"/>
            <w:noWrap w:val="0"/>
            <w:vAlign w:val="center"/>
          </w:tcPr>
          <w:p w14:paraId="652A6E80">
            <w:pPr>
              <w:widowControl w:val="0"/>
              <w:spacing w:line="276" w:lineRule="auto"/>
              <w:ind w:left="0" w:firstLine="0"/>
              <w:jc w:val="center"/>
              <w:rPr>
                <w:b w:val="0"/>
                <w:bCs/>
                <w:color w:val="000000"/>
                <w:sz w:val="21"/>
                <w:szCs w:val="21"/>
                <w:vertAlign w:val="baseline"/>
                <w:lang w:val="en-US" w:eastAsia="zh-CN"/>
              </w:rPr>
            </w:pPr>
            <w:r>
              <w:rPr>
                <w:rFonts w:hint="eastAsia"/>
                <w:b w:val="0"/>
                <w:bCs/>
                <w:color w:val="000000"/>
                <w:sz w:val="21"/>
                <w:szCs w:val="21"/>
                <w:vertAlign w:val="baseline"/>
                <w:lang w:val="en-US" w:eastAsia="zh-CN"/>
              </w:rPr>
              <w:t>地下水防治措施</w:t>
            </w:r>
          </w:p>
        </w:tc>
        <w:tc>
          <w:tcPr>
            <w:tcW w:w="6201" w:type="dxa"/>
            <w:noWrap w:val="0"/>
            <w:vAlign w:val="center"/>
          </w:tcPr>
          <w:p w14:paraId="2AD9AA48">
            <w:pPr>
              <w:widowControl w:val="0"/>
              <w:spacing w:line="276" w:lineRule="auto"/>
              <w:ind w:left="0" w:firstLine="0"/>
              <w:jc w:val="center"/>
              <w:rPr>
                <w:rFonts w:hint="eastAsia"/>
                <w:b/>
                <w:color w:val="000000"/>
                <w:sz w:val="21"/>
                <w:szCs w:val="21"/>
                <w:vertAlign w:val="baseline"/>
                <w:lang w:val="en-US" w:eastAsia="zh-CN"/>
              </w:rPr>
            </w:pPr>
            <w:r>
              <w:rPr>
                <w:rFonts w:ascii="Times New Roman" w:hAnsi="Times New Roman" w:cs="Times New Roman"/>
                <w:color w:val="000000"/>
                <w:sz w:val="21"/>
                <w:szCs w:val="21"/>
              </w:rPr>
              <w:t>对</w:t>
            </w:r>
            <w:r>
              <w:rPr>
                <w:rFonts w:hint="eastAsia" w:ascii="Times New Roman" w:hAnsi="Times New Roman" w:cs="Times New Roman"/>
                <w:color w:val="000000"/>
                <w:sz w:val="21"/>
                <w:szCs w:val="21"/>
                <w:lang w:val="en-US" w:eastAsia="zh-CN"/>
              </w:rPr>
              <w:t>制胶</w:t>
            </w:r>
            <w:r>
              <w:rPr>
                <w:rFonts w:hint="eastAsia" w:ascii="Times New Roman" w:hAnsi="Times New Roman" w:cs="Times New Roman"/>
                <w:color w:val="000000"/>
                <w:sz w:val="21"/>
                <w:szCs w:val="21"/>
              </w:rPr>
              <w:t>车间</w:t>
            </w:r>
            <w:r>
              <w:rPr>
                <w:rFonts w:ascii="Times New Roman" w:hAnsi="Times New Roman" w:cs="Times New Roman"/>
                <w:color w:val="000000"/>
                <w:sz w:val="21"/>
                <w:szCs w:val="21"/>
              </w:rPr>
              <w:t>、危废暂存间等位置进行重点防渗，防渗能力达到至少等效 6m 厚粘土层（渗透系数≤10</w:t>
            </w:r>
            <w:r>
              <w:rPr>
                <w:rFonts w:ascii="Times New Roman" w:hAnsi="Times New Roman" w:cs="Times New Roman"/>
                <w:color w:val="000000"/>
                <w:sz w:val="21"/>
                <w:szCs w:val="21"/>
                <w:vertAlign w:val="superscript"/>
              </w:rPr>
              <w:t>-7</w:t>
            </w:r>
            <w:r>
              <w:rPr>
                <w:rFonts w:ascii="Times New Roman" w:hAnsi="Times New Roman" w:cs="Times New Roman"/>
                <w:color w:val="000000"/>
                <w:sz w:val="21"/>
                <w:szCs w:val="21"/>
              </w:rPr>
              <w:t>cm/s），或 2mm 厚高密度聚乙烯，或至少 2mm 厚的其它人工材料，渗透系数≤ 10</w:t>
            </w:r>
            <w:r>
              <w:rPr>
                <w:rFonts w:ascii="Times New Roman" w:hAnsi="Times New Roman" w:cs="Times New Roman"/>
                <w:color w:val="000000"/>
                <w:sz w:val="21"/>
                <w:szCs w:val="21"/>
                <w:vertAlign w:val="superscript"/>
              </w:rPr>
              <w:t>-10</w:t>
            </w:r>
            <w:r>
              <w:rPr>
                <w:rFonts w:ascii="Times New Roman" w:hAnsi="Times New Roman" w:cs="Times New Roman"/>
                <w:color w:val="000000"/>
                <w:sz w:val="21"/>
                <w:szCs w:val="21"/>
              </w:rPr>
              <w:t>cm/s</w:t>
            </w:r>
            <w:r>
              <w:rPr>
                <w:rFonts w:hint="eastAsia" w:ascii="Times New Roman" w:hAnsi="Times New Roman" w:cs="Times New Roman"/>
                <w:color w:val="000000"/>
                <w:sz w:val="21"/>
                <w:szCs w:val="21"/>
              </w:rPr>
              <w:t>。</w:t>
            </w:r>
          </w:p>
        </w:tc>
        <w:tc>
          <w:tcPr>
            <w:tcW w:w="663" w:type="dxa"/>
            <w:noWrap w:val="0"/>
            <w:vAlign w:val="center"/>
          </w:tcPr>
          <w:p w14:paraId="115FB76E">
            <w:pPr>
              <w:widowControl w:val="0"/>
              <w:spacing w:line="276" w:lineRule="auto"/>
              <w:jc w:val="center"/>
              <w:rPr>
                <w:rFonts w:hint="eastAsia"/>
                <w:b/>
                <w:color w:val="000000"/>
                <w:sz w:val="21"/>
                <w:szCs w:val="21"/>
                <w:vertAlign w:val="baseline"/>
              </w:rPr>
            </w:pPr>
          </w:p>
        </w:tc>
      </w:tr>
      <w:tr w14:paraId="1B77942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974" w:type="dxa"/>
            <w:noWrap w:val="0"/>
            <w:vAlign w:val="center"/>
          </w:tcPr>
          <w:p w14:paraId="217DECD1">
            <w:pPr>
              <w:widowControl w:val="0"/>
              <w:spacing w:line="276" w:lineRule="auto"/>
              <w:ind w:left="0" w:firstLine="0"/>
              <w:jc w:val="center"/>
              <w:rPr>
                <w:b w:val="0"/>
                <w:bCs/>
                <w:color w:val="000000"/>
                <w:sz w:val="21"/>
                <w:szCs w:val="21"/>
                <w:vertAlign w:val="baseline"/>
                <w:lang w:val="en-US" w:eastAsia="zh-CN"/>
              </w:rPr>
            </w:pPr>
            <w:r>
              <w:rPr>
                <w:rFonts w:hint="eastAsia"/>
                <w:b w:val="0"/>
                <w:bCs/>
                <w:color w:val="000000"/>
                <w:sz w:val="21"/>
                <w:szCs w:val="21"/>
                <w:vertAlign w:val="baseline"/>
                <w:lang w:val="en-US" w:eastAsia="zh-CN"/>
              </w:rPr>
              <w:t>固废治理措施</w:t>
            </w:r>
          </w:p>
        </w:tc>
        <w:tc>
          <w:tcPr>
            <w:tcW w:w="6201" w:type="dxa"/>
            <w:noWrap w:val="0"/>
            <w:vAlign w:val="center"/>
          </w:tcPr>
          <w:p w14:paraId="42E0C327">
            <w:pPr>
              <w:widowControl w:val="0"/>
              <w:spacing w:line="276" w:lineRule="auto"/>
              <w:ind w:left="0" w:firstLine="0"/>
              <w:jc w:val="center"/>
              <w:rPr>
                <w:rFonts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进一步规范设置危险废物暂存间，并尽快与有资质单位签订危险废物处置协议；同时进一步对厂区内废边角料及回收的粉尘进行合理的储存堆放。</w:t>
            </w:r>
          </w:p>
        </w:tc>
        <w:tc>
          <w:tcPr>
            <w:tcW w:w="663" w:type="dxa"/>
            <w:noWrap w:val="0"/>
            <w:vAlign w:val="center"/>
          </w:tcPr>
          <w:p w14:paraId="47F015CD">
            <w:pPr>
              <w:widowControl w:val="0"/>
              <w:spacing w:line="276" w:lineRule="auto"/>
              <w:jc w:val="center"/>
              <w:rPr>
                <w:rFonts w:hint="eastAsia"/>
                <w:b/>
                <w:color w:val="000000"/>
                <w:sz w:val="21"/>
                <w:szCs w:val="21"/>
                <w:vertAlign w:val="baseline"/>
              </w:rPr>
            </w:pPr>
          </w:p>
        </w:tc>
      </w:tr>
      <w:tr w14:paraId="6D586D9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974" w:type="dxa"/>
            <w:noWrap w:val="0"/>
            <w:vAlign w:val="center"/>
          </w:tcPr>
          <w:p w14:paraId="21F99EA8">
            <w:pPr>
              <w:widowControl w:val="0"/>
              <w:tabs>
                <w:tab w:val="left" w:pos="4035"/>
              </w:tabs>
              <w:spacing w:line="320" w:lineRule="exact"/>
              <w:ind w:firstLine="0"/>
              <w:jc w:val="center"/>
              <w:rPr>
                <w:rFonts w:hint="eastAsia" w:cs="宋体"/>
                <w:color w:val="000000"/>
                <w:sz w:val="21"/>
                <w:szCs w:val="21"/>
                <w:lang w:val="en-US" w:eastAsia="zh-CN" w:bidi="ar"/>
              </w:rPr>
            </w:pPr>
            <w:r>
              <w:rPr>
                <w:rFonts w:hint="eastAsia" w:cs="宋体"/>
                <w:color w:val="000000"/>
                <w:sz w:val="21"/>
                <w:szCs w:val="21"/>
                <w:lang w:bidi="ar"/>
              </w:rPr>
              <w:t>风险防范措施</w:t>
            </w:r>
          </w:p>
        </w:tc>
        <w:tc>
          <w:tcPr>
            <w:tcW w:w="6201" w:type="dxa"/>
            <w:noWrap w:val="0"/>
            <w:vAlign w:val="center"/>
          </w:tcPr>
          <w:p w14:paraId="4923D99E">
            <w:pPr>
              <w:widowControl w:val="0"/>
              <w:tabs>
                <w:tab w:val="left" w:pos="4035"/>
              </w:tabs>
              <w:spacing w:line="320" w:lineRule="exact"/>
              <w:ind w:firstLine="0"/>
              <w:jc w:val="center"/>
              <w:rPr>
                <w:rFonts w:hint="eastAsia"/>
                <w:color w:val="000000"/>
                <w:sz w:val="21"/>
                <w:szCs w:val="21"/>
                <w:lang w:val="en-US" w:eastAsia="zh-CN" w:bidi="ar-SA"/>
              </w:rPr>
            </w:pPr>
            <w:r>
              <w:rPr>
                <w:rFonts w:hint="eastAsia" w:cs="宋体"/>
                <w:color w:val="000000"/>
                <w:sz w:val="21"/>
                <w:szCs w:val="21"/>
                <w:lang w:bidi="ar"/>
              </w:rPr>
              <w:t>完善的风险应急措施，配备必要的应急设备。</w:t>
            </w:r>
          </w:p>
        </w:tc>
        <w:tc>
          <w:tcPr>
            <w:tcW w:w="663" w:type="dxa"/>
            <w:noWrap w:val="0"/>
            <w:vAlign w:val="center"/>
          </w:tcPr>
          <w:p w14:paraId="2200CDDD">
            <w:pPr>
              <w:widowControl w:val="0"/>
              <w:spacing w:line="276" w:lineRule="auto"/>
              <w:ind w:firstLine="0"/>
              <w:jc w:val="center"/>
              <w:rPr>
                <w:rFonts w:hint="eastAsia"/>
                <w:color w:val="000000"/>
                <w:sz w:val="21"/>
                <w:szCs w:val="21"/>
                <w:lang w:val="en-US" w:eastAsia="zh-CN" w:bidi="ar-SA"/>
              </w:rPr>
            </w:pPr>
          </w:p>
        </w:tc>
      </w:tr>
    </w:tbl>
    <w:p w14:paraId="575A8C0B">
      <w:pPr>
        <w:pStyle w:val="188"/>
        <w:rPr>
          <w:rFonts w:hint="eastAsia"/>
          <w:lang w:val="en-US" w:eastAsia="zh-CN"/>
        </w:rPr>
      </w:pPr>
      <w:r>
        <w:rPr>
          <w:rFonts w:hint="eastAsia"/>
          <w:lang w:val="en-US" w:eastAsia="zh-CN"/>
        </w:rPr>
        <w:t>4.1.4改扩建后厂区平面布置</w:t>
      </w:r>
    </w:p>
    <w:p w14:paraId="686997A1">
      <w:pPr>
        <w:pStyle w:val="445"/>
        <w:rPr>
          <w:rFonts w:ascii="Times New Roman" w:hAnsi="Times New Roman" w:cs="Times New Roman"/>
          <w:bCs/>
          <w:color w:val="000000"/>
          <w:spacing w:val="4"/>
          <w:sz w:val="24"/>
          <w:szCs w:val="24"/>
          <w:lang w:val="en-US" w:eastAsia="zh-CN"/>
        </w:rPr>
      </w:pPr>
      <w:r>
        <w:rPr>
          <w:rFonts w:hint="eastAsia"/>
          <w:color w:val="000000"/>
          <w:lang w:val="en-US" w:eastAsia="zh-CN"/>
        </w:rPr>
        <w:t>改扩建完成，整个厂区由2个地块组成，地块一位于整个厂区的北侧，属于原有项目的用地范围，主要</w:t>
      </w:r>
      <w:r>
        <w:rPr>
          <w:rFonts w:hint="eastAsia" w:ascii="Times New Roman" w:hAnsi="Times New Roman" w:cs="Times New Roman"/>
          <w:bCs/>
          <w:color w:val="000000"/>
          <w:spacing w:val="4"/>
          <w:sz w:val="24"/>
          <w:szCs w:val="24"/>
        </w:rPr>
        <w:t>由生产区、办公区、生活区等组成</w:t>
      </w:r>
      <w:r>
        <w:rPr>
          <w:rFonts w:hint="eastAsia" w:ascii="Times New Roman" w:hAnsi="Times New Roman" w:cs="Times New Roman"/>
          <w:bCs/>
          <w:color w:val="000000"/>
          <w:spacing w:val="4"/>
          <w:sz w:val="24"/>
          <w:szCs w:val="24"/>
          <w:lang w:eastAsia="zh-CN"/>
        </w:rPr>
        <w:t>。</w:t>
      </w:r>
      <w:r>
        <w:rPr>
          <w:rFonts w:hint="eastAsia" w:ascii="Times New Roman" w:hAnsi="Times New Roman" w:cs="Times New Roman"/>
          <w:bCs/>
          <w:color w:val="000000"/>
          <w:spacing w:val="4"/>
          <w:sz w:val="24"/>
          <w:szCs w:val="24"/>
          <w:lang w:val="en-US" w:eastAsia="zh-CN"/>
        </w:rPr>
        <w:t>其中办公区位于地块一的东侧；中部属于生产区，生产区由生产车间、锅炉房、制胶车间、能源工厂等设施组成，</w:t>
      </w:r>
      <w:r>
        <w:rPr>
          <w:color w:val="000000"/>
        </w:rPr>
        <w:t>其中</w:t>
      </w:r>
      <w:r>
        <w:rPr>
          <w:rFonts w:hint="eastAsia"/>
          <w:color w:val="000000"/>
        </w:rPr>
        <w:t>生产车间由</w:t>
      </w:r>
      <w:r>
        <w:rPr>
          <w:rFonts w:hint="eastAsia"/>
          <w:color w:val="000000"/>
          <w:lang w:val="en-US" w:eastAsia="zh-CN"/>
        </w:rPr>
        <w:t>西</w:t>
      </w:r>
      <w:r>
        <w:rPr>
          <w:rFonts w:hint="eastAsia"/>
          <w:color w:val="000000"/>
        </w:rPr>
        <w:t>向</w:t>
      </w:r>
      <w:r>
        <w:rPr>
          <w:rFonts w:hint="eastAsia"/>
          <w:color w:val="000000"/>
          <w:lang w:val="en-US" w:eastAsia="zh-CN"/>
        </w:rPr>
        <w:t>东</w:t>
      </w:r>
      <w:r>
        <w:rPr>
          <w:rFonts w:hint="eastAsia"/>
          <w:color w:val="000000"/>
        </w:rPr>
        <w:t>按照生产工艺顺序依次布置生产设备，在生产车间</w:t>
      </w:r>
      <w:r>
        <w:rPr>
          <w:rFonts w:hint="eastAsia"/>
          <w:color w:val="000000"/>
          <w:lang w:val="en-US" w:eastAsia="zh-CN"/>
        </w:rPr>
        <w:t>东侧</w:t>
      </w:r>
      <w:r>
        <w:rPr>
          <w:rFonts w:hint="eastAsia"/>
          <w:color w:val="000000"/>
        </w:rPr>
        <w:t>设置为成品</w:t>
      </w:r>
      <w:r>
        <w:rPr>
          <w:rFonts w:hint="eastAsia"/>
          <w:color w:val="000000"/>
          <w:lang w:val="en-US" w:eastAsia="zh-CN"/>
        </w:rPr>
        <w:t>仓库</w:t>
      </w:r>
      <w:r>
        <w:rPr>
          <w:rFonts w:hint="eastAsia"/>
          <w:color w:val="000000"/>
          <w:lang w:eastAsia="zh-CN"/>
        </w:rPr>
        <w:t>，</w:t>
      </w:r>
      <w:r>
        <w:rPr>
          <w:rFonts w:hint="eastAsia"/>
          <w:color w:val="000000"/>
          <w:lang w:val="en-US" w:eastAsia="zh-CN"/>
        </w:rPr>
        <w:t>有装卸棚连接；</w:t>
      </w:r>
      <w:r>
        <w:rPr>
          <w:rFonts w:hint="eastAsia"/>
          <w:color w:val="000000"/>
        </w:rPr>
        <w:t>生产车间的北侧</w:t>
      </w:r>
      <w:r>
        <w:rPr>
          <w:rFonts w:hint="eastAsia"/>
          <w:color w:val="000000"/>
          <w:lang w:val="en-US" w:eastAsia="zh-CN"/>
        </w:rPr>
        <w:t>依次布置</w:t>
      </w:r>
      <w:r>
        <w:rPr>
          <w:rFonts w:hint="eastAsia"/>
          <w:color w:val="000000"/>
        </w:rPr>
        <w:t>锅炉</w:t>
      </w:r>
      <w:r>
        <w:rPr>
          <w:rFonts w:hint="eastAsia"/>
          <w:color w:val="000000"/>
          <w:lang w:val="en-US" w:eastAsia="zh-CN"/>
        </w:rPr>
        <w:t>房、制胶车间、锅炉燃料棚、能源工厂等辅助设施；</w:t>
      </w:r>
      <w:r>
        <w:rPr>
          <w:rFonts w:hint="eastAsia"/>
          <w:color w:val="000000"/>
        </w:rPr>
        <w:t>各建筑设施</w:t>
      </w:r>
      <w:r>
        <w:rPr>
          <w:color w:val="000000"/>
        </w:rPr>
        <w:t>地面进行硬化处理。 生活区位于</w:t>
      </w:r>
      <w:r>
        <w:rPr>
          <w:rFonts w:hint="eastAsia"/>
          <w:color w:val="000000"/>
          <w:lang w:val="en-US" w:eastAsia="zh-CN"/>
        </w:rPr>
        <w:t>地块一的</w:t>
      </w:r>
      <w:r>
        <w:rPr>
          <w:rFonts w:hint="eastAsia"/>
          <w:color w:val="000000"/>
        </w:rPr>
        <w:t>西</w:t>
      </w:r>
      <w:r>
        <w:rPr>
          <w:rFonts w:hint="eastAsia"/>
          <w:color w:val="000000"/>
          <w:lang w:val="en-US" w:eastAsia="zh-CN"/>
        </w:rPr>
        <w:t>北</w:t>
      </w:r>
      <w:r>
        <w:rPr>
          <w:color w:val="000000"/>
        </w:rPr>
        <w:t>部，</w:t>
      </w:r>
      <w:r>
        <w:rPr>
          <w:rFonts w:hint="eastAsia"/>
          <w:color w:val="000000"/>
          <w:lang w:val="en-US" w:eastAsia="zh-CN"/>
        </w:rPr>
        <w:t>西侧</w:t>
      </w:r>
      <w:r>
        <w:rPr>
          <w:color w:val="000000"/>
        </w:rPr>
        <w:t>空地</w:t>
      </w:r>
      <w:r>
        <w:rPr>
          <w:rFonts w:hint="eastAsia"/>
          <w:color w:val="000000"/>
        </w:rPr>
        <w:t>为回车场地</w:t>
      </w:r>
      <w:r>
        <w:rPr>
          <w:rFonts w:hint="eastAsia"/>
          <w:color w:val="000000"/>
          <w:lang w:val="en-US" w:eastAsia="zh-CN"/>
        </w:rPr>
        <w:t>及堆场</w:t>
      </w:r>
      <w:r>
        <w:rPr>
          <w:rFonts w:hint="eastAsia"/>
          <w:color w:val="000000"/>
        </w:rPr>
        <w:t>，并对建筑物周围及空地进行</w:t>
      </w:r>
      <w:r>
        <w:rPr>
          <w:color w:val="000000"/>
        </w:rPr>
        <w:t xml:space="preserve">绿化。 </w:t>
      </w:r>
      <w:r>
        <w:rPr>
          <w:rFonts w:hint="eastAsia" w:ascii="Times New Roman" w:hAnsi="Times New Roman" w:cs="Times New Roman"/>
          <w:bCs/>
          <w:color w:val="000000"/>
          <w:spacing w:val="4"/>
          <w:sz w:val="24"/>
          <w:szCs w:val="24"/>
          <w:lang w:val="en-US" w:eastAsia="zh-CN"/>
        </w:rPr>
        <w:t>各个区域之间有一定的间距，可避免相互干扰，又有厂区道路相互连接。地块二是新增用地，位于地块一的东南侧，与地块一之间由厂外道路相隔，地块二主要设置有管理人员宿舍及磅秤房。</w:t>
      </w:r>
    </w:p>
    <w:p w14:paraId="5891588C">
      <w:pPr>
        <w:pStyle w:val="445"/>
        <w:rPr>
          <w:color w:val="000000"/>
        </w:rPr>
      </w:pPr>
      <w:r>
        <w:rPr>
          <w:color w:val="000000"/>
        </w:rPr>
        <w:t>项目总平面布置图见附图</w:t>
      </w:r>
      <w:r>
        <w:rPr>
          <w:rFonts w:hint="eastAsia"/>
          <w:color w:val="000000"/>
          <w:lang w:val="en-US" w:eastAsia="zh-CN"/>
        </w:rPr>
        <w:t>2</w:t>
      </w:r>
      <w:r>
        <w:rPr>
          <w:color w:val="000000"/>
        </w:rPr>
        <w:t>。</w:t>
      </w:r>
    </w:p>
    <w:p w14:paraId="0B1E3F0E">
      <w:pPr>
        <w:pStyle w:val="188"/>
        <w:rPr>
          <w:rFonts w:hint="eastAsia"/>
          <w:lang w:val="en-US" w:eastAsia="zh-CN"/>
        </w:rPr>
      </w:pPr>
      <w:r>
        <w:rPr>
          <w:rFonts w:hint="eastAsia"/>
          <w:lang w:val="en-US" w:eastAsia="zh-CN"/>
        </w:rPr>
        <w:t>4.1.5改扩建后产品方案</w:t>
      </w:r>
    </w:p>
    <w:p w14:paraId="3E1667C7">
      <w:pPr>
        <w:pStyle w:val="219"/>
        <w:ind w:firstLine="496"/>
        <w:rPr>
          <w:rFonts w:hint="eastAsia"/>
          <w:bCs/>
          <w:color w:val="000000"/>
          <w:spacing w:val="4"/>
          <w:sz w:val="24"/>
        </w:rPr>
      </w:pPr>
      <w:r>
        <w:rPr>
          <w:rFonts w:hint="eastAsia"/>
          <w:bCs/>
          <w:color w:val="000000"/>
          <w:spacing w:val="4"/>
          <w:sz w:val="24"/>
        </w:rPr>
        <w:t>本项目</w:t>
      </w:r>
      <w:r>
        <w:rPr>
          <w:rFonts w:hint="eastAsia"/>
          <w:bCs/>
          <w:color w:val="000000"/>
          <w:spacing w:val="4"/>
          <w:sz w:val="24"/>
          <w:lang w:val="en-US" w:eastAsia="zh-CN"/>
        </w:rPr>
        <w:t>改</w:t>
      </w:r>
      <w:r>
        <w:rPr>
          <w:rFonts w:hint="eastAsia"/>
          <w:bCs/>
          <w:color w:val="000000"/>
          <w:spacing w:val="4"/>
          <w:sz w:val="24"/>
        </w:rPr>
        <w:t>扩建完成后，年产10万立方米全竹、竹木复合地板，年产5000吨胶水。具体方案及规模见表</w:t>
      </w:r>
      <w:r>
        <w:rPr>
          <w:rFonts w:hint="eastAsia"/>
          <w:bCs/>
          <w:color w:val="000000"/>
          <w:spacing w:val="4"/>
          <w:sz w:val="24"/>
          <w:lang w:val="en-US" w:eastAsia="zh-CN"/>
        </w:rPr>
        <w:t>4.1</w:t>
      </w:r>
      <w:r>
        <w:rPr>
          <w:rFonts w:hint="eastAsia"/>
          <w:bCs/>
          <w:color w:val="000000"/>
          <w:spacing w:val="4"/>
          <w:sz w:val="24"/>
        </w:rPr>
        <w:t>-</w:t>
      </w:r>
      <w:r>
        <w:rPr>
          <w:rFonts w:hint="eastAsia"/>
          <w:bCs/>
          <w:color w:val="000000"/>
          <w:spacing w:val="4"/>
          <w:sz w:val="24"/>
          <w:lang w:val="en-US" w:eastAsia="zh-CN"/>
        </w:rPr>
        <w:t>4</w:t>
      </w:r>
      <w:r>
        <w:rPr>
          <w:rFonts w:hint="eastAsia"/>
          <w:bCs/>
          <w:color w:val="000000"/>
          <w:spacing w:val="4"/>
          <w:sz w:val="24"/>
        </w:rPr>
        <w:t>。</w:t>
      </w:r>
    </w:p>
    <w:p w14:paraId="49AC91EF">
      <w:pPr>
        <w:pStyle w:val="219"/>
        <w:ind w:firstLine="498"/>
        <w:jc w:val="center"/>
        <w:rPr>
          <w:rFonts w:hint="eastAsia"/>
          <w:b/>
          <w:color w:val="000000"/>
          <w:spacing w:val="4"/>
          <w:sz w:val="24"/>
        </w:rPr>
      </w:pPr>
      <w:r>
        <w:rPr>
          <w:rFonts w:hint="eastAsia"/>
          <w:b/>
          <w:color w:val="000000"/>
          <w:spacing w:val="4"/>
          <w:sz w:val="24"/>
        </w:rPr>
        <w:t>表</w:t>
      </w:r>
      <w:r>
        <w:rPr>
          <w:rFonts w:hint="eastAsia"/>
          <w:b/>
          <w:color w:val="000000"/>
          <w:spacing w:val="4"/>
          <w:sz w:val="24"/>
          <w:lang w:val="en-US" w:eastAsia="zh-CN"/>
        </w:rPr>
        <w:t>4.1</w:t>
      </w:r>
      <w:r>
        <w:rPr>
          <w:rFonts w:hint="eastAsia"/>
          <w:b/>
          <w:color w:val="000000"/>
          <w:spacing w:val="4"/>
          <w:sz w:val="24"/>
        </w:rPr>
        <w:t>-</w:t>
      </w:r>
      <w:r>
        <w:rPr>
          <w:rFonts w:hint="eastAsia"/>
          <w:b/>
          <w:color w:val="000000"/>
          <w:spacing w:val="4"/>
          <w:sz w:val="24"/>
          <w:lang w:val="en-US" w:eastAsia="zh-CN"/>
        </w:rPr>
        <w:t>4改扩建完成后</w:t>
      </w:r>
      <w:r>
        <w:rPr>
          <w:rFonts w:hint="eastAsia"/>
          <w:b/>
          <w:color w:val="000000"/>
          <w:spacing w:val="4"/>
          <w:sz w:val="24"/>
        </w:rPr>
        <w:t>产品方案</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autofit"/>
        <w:tblCellMar>
          <w:top w:w="0" w:type="dxa"/>
          <w:left w:w="108" w:type="dxa"/>
          <w:bottom w:w="0" w:type="dxa"/>
          <w:right w:w="108" w:type="dxa"/>
        </w:tblCellMar>
      </w:tblPr>
      <w:tblGrid>
        <w:gridCol w:w="1031"/>
        <w:gridCol w:w="2034"/>
        <w:gridCol w:w="1566"/>
        <w:gridCol w:w="1050"/>
        <w:gridCol w:w="2845"/>
      </w:tblGrid>
      <w:tr w14:paraId="34E05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108" w:type="dxa"/>
            <w:bottom w:w="0" w:type="dxa"/>
            <w:right w:w="108" w:type="dxa"/>
          </w:tblCellMar>
        </w:tblPrEx>
        <w:trPr>
          <w:jc w:val="center"/>
        </w:trPr>
        <w:tc>
          <w:tcPr>
            <w:tcW w:w="1031" w:type="dxa"/>
            <w:noWrap w:val="0"/>
            <w:vAlign w:val="center"/>
          </w:tcPr>
          <w:p w14:paraId="361726D7">
            <w:pPr>
              <w:pStyle w:val="219"/>
              <w:widowControl w:val="0"/>
              <w:ind w:firstLine="0"/>
              <w:jc w:val="center"/>
              <w:rPr>
                <w:b/>
                <w:color w:val="000000"/>
                <w:spacing w:val="4"/>
                <w:szCs w:val="21"/>
              </w:rPr>
            </w:pPr>
            <w:r>
              <w:rPr>
                <w:rFonts w:hint="eastAsia"/>
                <w:b/>
                <w:color w:val="000000"/>
                <w:spacing w:val="4"/>
                <w:szCs w:val="21"/>
              </w:rPr>
              <w:t>序号</w:t>
            </w:r>
          </w:p>
        </w:tc>
        <w:tc>
          <w:tcPr>
            <w:tcW w:w="2034" w:type="dxa"/>
            <w:noWrap w:val="0"/>
            <w:vAlign w:val="center"/>
          </w:tcPr>
          <w:p w14:paraId="5D344D66">
            <w:pPr>
              <w:pStyle w:val="219"/>
              <w:widowControl w:val="0"/>
              <w:ind w:firstLine="438"/>
              <w:jc w:val="center"/>
              <w:rPr>
                <w:b/>
                <w:color w:val="000000"/>
                <w:spacing w:val="4"/>
                <w:szCs w:val="21"/>
              </w:rPr>
            </w:pPr>
            <w:r>
              <w:rPr>
                <w:rFonts w:hint="eastAsia"/>
                <w:b/>
                <w:color w:val="000000"/>
                <w:spacing w:val="4"/>
                <w:szCs w:val="21"/>
              </w:rPr>
              <w:t>产品名称</w:t>
            </w:r>
          </w:p>
        </w:tc>
        <w:tc>
          <w:tcPr>
            <w:tcW w:w="1566" w:type="dxa"/>
            <w:noWrap w:val="0"/>
            <w:vAlign w:val="center"/>
          </w:tcPr>
          <w:p w14:paraId="04642A02">
            <w:pPr>
              <w:pStyle w:val="219"/>
              <w:widowControl w:val="0"/>
              <w:ind w:firstLine="0"/>
              <w:jc w:val="center"/>
              <w:rPr>
                <w:b/>
                <w:color w:val="000000"/>
                <w:spacing w:val="4"/>
                <w:szCs w:val="21"/>
              </w:rPr>
            </w:pPr>
            <w:r>
              <w:rPr>
                <w:rFonts w:hint="eastAsia"/>
                <w:b/>
                <w:color w:val="000000"/>
                <w:spacing w:val="4"/>
                <w:szCs w:val="21"/>
              </w:rPr>
              <w:t>单位</w:t>
            </w:r>
          </w:p>
        </w:tc>
        <w:tc>
          <w:tcPr>
            <w:tcW w:w="1050" w:type="dxa"/>
            <w:noWrap w:val="0"/>
            <w:vAlign w:val="center"/>
          </w:tcPr>
          <w:p w14:paraId="144DA978">
            <w:pPr>
              <w:pStyle w:val="219"/>
              <w:widowControl w:val="0"/>
              <w:ind w:firstLine="0"/>
              <w:jc w:val="center"/>
              <w:rPr>
                <w:b/>
                <w:color w:val="000000"/>
                <w:spacing w:val="4"/>
                <w:szCs w:val="21"/>
              </w:rPr>
            </w:pPr>
            <w:r>
              <w:rPr>
                <w:rFonts w:hint="eastAsia"/>
                <w:b/>
                <w:color w:val="000000"/>
                <w:spacing w:val="4"/>
                <w:szCs w:val="21"/>
              </w:rPr>
              <w:t>数量</w:t>
            </w:r>
          </w:p>
        </w:tc>
        <w:tc>
          <w:tcPr>
            <w:tcW w:w="2845" w:type="dxa"/>
            <w:noWrap w:val="0"/>
            <w:vAlign w:val="center"/>
          </w:tcPr>
          <w:p w14:paraId="178394E6">
            <w:pPr>
              <w:pStyle w:val="219"/>
              <w:widowControl w:val="0"/>
              <w:ind w:firstLine="0"/>
              <w:jc w:val="center"/>
              <w:rPr>
                <w:b/>
                <w:color w:val="000000"/>
                <w:spacing w:val="4"/>
                <w:szCs w:val="21"/>
              </w:rPr>
            </w:pPr>
            <w:r>
              <w:rPr>
                <w:rFonts w:hint="eastAsia"/>
                <w:b/>
                <w:color w:val="000000"/>
                <w:spacing w:val="4"/>
                <w:szCs w:val="21"/>
              </w:rPr>
              <w:t>备注</w:t>
            </w:r>
          </w:p>
        </w:tc>
      </w:tr>
      <w:tr w14:paraId="0B4B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108" w:type="dxa"/>
            <w:bottom w:w="0" w:type="dxa"/>
            <w:right w:w="108" w:type="dxa"/>
          </w:tblCellMar>
        </w:tblPrEx>
        <w:trPr>
          <w:jc w:val="center"/>
        </w:trPr>
        <w:tc>
          <w:tcPr>
            <w:tcW w:w="1031" w:type="dxa"/>
            <w:noWrap w:val="0"/>
            <w:vAlign w:val="center"/>
          </w:tcPr>
          <w:p w14:paraId="6FD48654">
            <w:pPr>
              <w:pStyle w:val="219"/>
              <w:widowControl w:val="0"/>
              <w:ind w:firstLine="0"/>
              <w:jc w:val="center"/>
              <w:rPr>
                <w:bCs/>
                <w:color w:val="000000"/>
                <w:spacing w:val="4"/>
                <w:szCs w:val="21"/>
              </w:rPr>
            </w:pPr>
            <w:r>
              <w:rPr>
                <w:rFonts w:hint="eastAsia"/>
                <w:bCs/>
                <w:color w:val="000000"/>
                <w:spacing w:val="4"/>
                <w:szCs w:val="21"/>
              </w:rPr>
              <w:t>1</w:t>
            </w:r>
          </w:p>
        </w:tc>
        <w:tc>
          <w:tcPr>
            <w:tcW w:w="2034" w:type="dxa"/>
            <w:noWrap w:val="0"/>
            <w:vAlign w:val="center"/>
          </w:tcPr>
          <w:p w14:paraId="1BFCEF48">
            <w:pPr>
              <w:pStyle w:val="219"/>
              <w:widowControl w:val="0"/>
              <w:ind w:firstLine="0"/>
              <w:jc w:val="center"/>
              <w:rPr>
                <w:bCs/>
                <w:color w:val="000000"/>
                <w:spacing w:val="4"/>
                <w:szCs w:val="21"/>
              </w:rPr>
            </w:pPr>
            <w:r>
              <w:rPr>
                <w:rFonts w:hint="eastAsia"/>
                <w:bCs/>
                <w:color w:val="000000"/>
                <w:spacing w:val="4"/>
                <w:szCs w:val="21"/>
              </w:rPr>
              <w:t>竹木复合地板</w:t>
            </w:r>
          </w:p>
        </w:tc>
        <w:tc>
          <w:tcPr>
            <w:tcW w:w="1566" w:type="dxa"/>
            <w:noWrap w:val="0"/>
            <w:vAlign w:val="center"/>
          </w:tcPr>
          <w:p w14:paraId="2F1BCA6D">
            <w:pPr>
              <w:pStyle w:val="219"/>
              <w:widowControl w:val="0"/>
              <w:ind w:firstLine="0"/>
              <w:jc w:val="center"/>
              <w:rPr>
                <w:bCs/>
                <w:color w:val="000000"/>
                <w:spacing w:val="4"/>
                <w:szCs w:val="21"/>
              </w:rPr>
            </w:pPr>
            <w:r>
              <w:rPr>
                <w:rFonts w:hint="eastAsia"/>
                <w:bCs/>
                <w:color w:val="000000"/>
                <w:spacing w:val="4"/>
                <w:szCs w:val="21"/>
              </w:rPr>
              <w:t>万立方米/a</w:t>
            </w:r>
          </w:p>
        </w:tc>
        <w:tc>
          <w:tcPr>
            <w:tcW w:w="1050" w:type="dxa"/>
            <w:noWrap w:val="0"/>
            <w:vAlign w:val="center"/>
          </w:tcPr>
          <w:p w14:paraId="1BD033B0">
            <w:pPr>
              <w:pStyle w:val="219"/>
              <w:widowControl w:val="0"/>
              <w:ind w:firstLine="0"/>
              <w:jc w:val="center"/>
              <w:rPr>
                <w:bCs/>
                <w:color w:val="000000"/>
                <w:spacing w:val="4"/>
                <w:szCs w:val="21"/>
              </w:rPr>
            </w:pPr>
            <w:r>
              <w:rPr>
                <w:rFonts w:hint="eastAsia"/>
                <w:bCs/>
                <w:color w:val="000000"/>
                <w:spacing w:val="4"/>
                <w:szCs w:val="21"/>
              </w:rPr>
              <w:t>3</w:t>
            </w:r>
          </w:p>
        </w:tc>
        <w:tc>
          <w:tcPr>
            <w:tcW w:w="2845" w:type="dxa"/>
            <w:vMerge w:val="restart"/>
            <w:noWrap w:val="0"/>
            <w:vAlign w:val="center"/>
          </w:tcPr>
          <w:p w14:paraId="54EE79C2">
            <w:pPr>
              <w:pStyle w:val="219"/>
              <w:widowControl w:val="0"/>
              <w:ind w:firstLine="0"/>
              <w:jc w:val="center"/>
              <w:rPr>
                <w:bCs/>
                <w:color w:val="000000"/>
                <w:spacing w:val="4"/>
                <w:szCs w:val="21"/>
              </w:rPr>
            </w:pPr>
            <w:r>
              <w:rPr>
                <w:rFonts w:hint="eastAsia"/>
                <w:bCs/>
                <w:color w:val="000000"/>
                <w:spacing w:val="4"/>
                <w:szCs w:val="21"/>
              </w:rPr>
              <w:t>产品规格尺寸：2400</w:t>
            </w:r>
            <w:r>
              <w:rPr>
                <w:bCs/>
                <w:color w:val="000000"/>
                <w:spacing w:val="4"/>
                <w:szCs w:val="21"/>
              </w:rPr>
              <w:t>×</w:t>
            </w:r>
            <w:r>
              <w:rPr>
                <w:rFonts w:hint="eastAsia"/>
                <w:bCs/>
                <w:color w:val="000000"/>
                <w:spacing w:val="4"/>
                <w:szCs w:val="21"/>
              </w:rPr>
              <w:t>1160</w:t>
            </w:r>
            <w:r>
              <w:rPr>
                <w:bCs/>
                <w:color w:val="000000"/>
                <w:spacing w:val="4"/>
                <w:szCs w:val="21"/>
              </w:rPr>
              <w:t>×</w:t>
            </w:r>
            <w:r>
              <w:rPr>
                <w:rFonts w:hint="eastAsia"/>
                <w:bCs/>
                <w:color w:val="000000"/>
                <w:spacing w:val="4"/>
                <w:szCs w:val="21"/>
              </w:rPr>
              <w:t>X28mm、2440</w:t>
            </w:r>
            <w:r>
              <w:rPr>
                <w:bCs/>
                <w:color w:val="000000"/>
                <w:spacing w:val="4"/>
                <w:szCs w:val="21"/>
              </w:rPr>
              <w:t>×</w:t>
            </w:r>
            <w:r>
              <w:rPr>
                <w:rFonts w:hint="eastAsia"/>
                <w:bCs/>
                <w:color w:val="000000"/>
                <w:spacing w:val="4"/>
                <w:szCs w:val="21"/>
              </w:rPr>
              <w:t>X1220</w:t>
            </w:r>
            <w:r>
              <w:rPr>
                <w:bCs/>
                <w:color w:val="000000"/>
                <w:spacing w:val="4"/>
                <w:szCs w:val="21"/>
              </w:rPr>
              <w:t>×</w:t>
            </w:r>
            <w:r>
              <w:rPr>
                <w:rFonts w:hint="eastAsia"/>
                <w:bCs/>
                <w:color w:val="000000"/>
                <w:spacing w:val="4"/>
                <w:szCs w:val="21"/>
              </w:rPr>
              <w:t>28mm、1388</w:t>
            </w:r>
            <w:r>
              <w:rPr>
                <w:bCs/>
                <w:color w:val="000000"/>
                <w:spacing w:val="4"/>
                <w:szCs w:val="21"/>
              </w:rPr>
              <w:t>×</w:t>
            </w:r>
            <w:r>
              <w:rPr>
                <w:rFonts w:hint="eastAsia"/>
                <w:bCs/>
                <w:color w:val="000000"/>
                <w:spacing w:val="4"/>
                <w:szCs w:val="21"/>
              </w:rPr>
              <w:t>1160</w:t>
            </w:r>
            <w:r>
              <w:rPr>
                <w:bCs/>
                <w:color w:val="000000"/>
                <w:spacing w:val="4"/>
                <w:szCs w:val="21"/>
              </w:rPr>
              <w:t>×</w:t>
            </w:r>
            <w:r>
              <w:rPr>
                <w:rFonts w:hint="eastAsia"/>
                <w:bCs/>
                <w:color w:val="000000"/>
                <w:spacing w:val="4"/>
                <w:szCs w:val="21"/>
              </w:rPr>
              <w:t>28mm、1010</w:t>
            </w:r>
            <w:r>
              <w:rPr>
                <w:bCs/>
                <w:color w:val="000000"/>
                <w:spacing w:val="4"/>
                <w:szCs w:val="21"/>
              </w:rPr>
              <w:t>×</w:t>
            </w:r>
            <w:r>
              <w:rPr>
                <w:rFonts w:hint="eastAsia"/>
                <w:bCs/>
                <w:color w:val="000000"/>
                <w:spacing w:val="4"/>
                <w:szCs w:val="21"/>
              </w:rPr>
              <w:t>1160</w:t>
            </w:r>
            <w:r>
              <w:rPr>
                <w:bCs/>
                <w:color w:val="000000"/>
                <w:spacing w:val="4"/>
                <w:szCs w:val="21"/>
              </w:rPr>
              <w:t>×</w:t>
            </w:r>
            <w:r>
              <w:rPr>
                <w:rFonts w:hint="eastAsia"/>
                <w:bCs/>
                <w:color w:val="000000"/>
                <w:spacing w:val="4"/>
                <w:szCs w:val="21"/>
              </w:rPr>
              <w:t>28mm、1626</w:t>
            </w:r>
            <w:r>
              <w:rPr>
                <w:bCs/>
                <w:color w:val="000000"/>
                <w:spacing w:val="4"/>
                <w:szCs w:val="21"/>
              </w:rPr>
              <w:t>×</w:t>
            </w:r>
            <w:r>
              <w:rPr>
                <w:rFonts w:hint="eastAsia"/>
                <w:bCs/>
                <w:color w:val="000000"/>
                <w:spacing w:val="4"/>
                <w:szCs w:val="21"/>
              </w:rPr>
              <w:t>636</w:t>
            </w:r>
            <w:r>
              <w:rPr>
                <w:bCs/>
                <w:color w:val="000000"/>
                <w:spacing w:val="4"/>
                <w:szCs w:val="21"/>
              </w:rPr>
              <w:t>×</w:t>
            </w:r>
            <w:r>
              <w:rPr>
                <w:rFonts w:hint="eastAsia"/>
                <w:bCs/>
                <w:color w:val="000000"/>
                <w:spacing w:val="4"/>
                <w:szCs w:val="21"/>
              </w:rPr>
              <w:t>28mm、2600</w:t>
            </w:r>
            <w:r>
              <w:rPr>
                <w:bCs/>
                <w:color w:val="000000"/>
                <w:spacing w:val="4"/>
                <w:szCs w:val="21"/>
              </w:rPr>
              <w:t>×</w:t>
            </w:r>
            <w:r>
              <w:rPr>
                <w:rFonts w:hint="eastAsia"/>
                <w:bCs/>
                <w:color w:val="000000"/>
                <w:spacing w:val="4"/>
                <w:szCs w:val="21"/>
              </w:rPr>
              <w:t>1220</w:t>
            </w:r>
            <w:r>
              <w:rPr>
                <w:bCs/>
                <w:color w:val="000000"/>
                <w:spacing w:val="4"/>
                <w:szCs w:val="21"/>
              </w:rPr>
              <w:t>×</w:t>
            </w:r>
            <w:r>
              <w:rPr>
                <w:rFonts w:hint="eastAsia"/>
                <w:bCs/>
                <w:color w:val="000000"/>
                <w:spacing w:val="4"/>
                <w:szCs w:val="21"/>
              </w:rPr>
              <w:t>21mm</w:t>
            </w:r>
          </w:p>
        </w:tc>
      </w:tr>
      <w:tr w14:paraId="54F4D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108" w:type="dxa"/>
            <w:bottom w:w="0" w:type="dxa"/>
            <w:right w:w="108" w:type="dxa"/>
          </w:tblCellMar>
        </w:tblPrEx>
        <w:trPr>
          <w:jc w:val="center"/>
        </w:trPr>
        <w:tc>
          <w:tcPr>
            <w:tcW w:w="1031" w:type="dxa"/>
            <w:noWrap w:val="0"/>
            <w:vAlign w:val="center"/>
          </w:tcPr>
          <w:p w14:paraId="632E2C68">
            <w:pPr>
              <w:pStyle w:val="219"/>
              <w:widowControl w:val="0"/>
              <w:ind w:firstLine="0"/>
              <w:jc w:val="center"/>
              <w:rPr>
                <w:bCs/>
                <w:color w:val="000000"/>
                <w:spacing w:val="4"/>
                <w:szCs w:val="21"/>
              </w:rPr>
            </w:pPr>
            <w:r>
              <w:rPr>
                <w:rFonts w:hint="eastAsia"/>
                <w:bCs/>
                <w:color w:val="000000"/>
                <w:spacing w:val="4"/>
                <w:szCs w:val="21"/>
              </w:rPr>
              <w:t>2</w:t>
            </w:r>
          </w:p>
        </w:tc>
        <w:tc>
          <w:tcPr>
            <w:tcW w:w="2034" w:type="dxa"/>
            <w:noWrap w:val="0"/>
            <w:vAlign w:val="center"/>
          </w:tcPr>
          <w:p w14:paraId="1E071A1A">
            <w:pPr>
              <w:pStyle w:val="219"/>
              <w:widowControl w:val="0"/>
              <w:ind w:firstLine="0"/>
              <w:jc w:val="center"/>
              <w:rPr>
                <w:bCs/>
                <w:color w:val="000000"/>
                <w:spacing w:val="4"/>
                <w:szCs w:val="21"/>
              </w:rPr>
            </w:pPr>
            <w:r>
              <w:rPr>
                <w:rFonts w:hint="eastAsia"/>
                <w:bCs/>
                <w:color w:val="000000"/>
                <w:spacing w:val="4"/>
                <w:szCs w:val="21"/>
              </w:rPr>
              <w:t>全竹地板</w:t>
            </w:r>
          </w:p>
        </w:tc>
        <w:tc>
          <w:tcPr>
            <w:tcW w:w="1566" w:type="dxa"/>
            <w:noWrap w:val="0"/>
            <w:vAlign w:val="center"/>
          </w:tcPr>
          <w:p w14:paraId="6E70D22C">
            <w:pPr>
              <w:pStyle w:val="219"/>
              <w:widowControl w:val="0"/>
              <w:ind w:firstLine="0"/>
              <w:jc w:val="center"/>
              <w:rPr>
                <w:bCs/>
                <w:color w:val="000000"/>
                <w:spacing w:val="4"/>
                <w:szCs w:val="21"/>
              </w:rPr>
            </w:pPr>
            <w:r>
              <w:rPr>
                <w:rFonts w:hint="eastAsia"/>
                <w:bCs/>
                <w:color w:val="000000"/>
                <w:spacing w:val="4"/>
                <w:szCs w:val="21"/>
              </w:rPr>
              <w:t>万立方米/a</w:t>
            </w:r>
          </w:p>
        </w:tc>
        <w:tc>
          <w:tcPr>
            <w:tcW w:w="1050" w:type="dxa"/>
            <w:noWrap w:val="0"/>
            <w:vAlign w:val="center"/>
          </w:tcPr>
          <w:p w14:paraId="04E9F85C">
            <w:pPr>
              <w:pStyle w:val="219"/>
              <w:widowControl w:val="0"/>
              <w:ind w:firstLine="0"/>
              <w:jc w:val="center"/>
              <w:rPr>
                <w:bCs/>
                <w:color w:val="000000"/>
                <w:spacing w:val="4"/>
                <w:szCs w:val="21"/>
              </w:rPr>
            </w:pPr>
            <w:r>
              <w:rPr>
                <w:rFonts w:hint="eastAsia"/>
                <w:bCs/>
                <w:color w:val="000000"/>
                <w:spacing w:val="4"/>
                <w:szCs w:val="21"/>
              </w:rPr>
              <w:t>7</w:t>
            </w:r>
          </w:p>
        </w:tc>
        <w:tc>
          <w:tcPr>
            <w:tcW w:w="2845" w:type="dxa"/>
            <w:vMerge w:val="continue"/>
            <w:noWrap w:val="0"/>
            <w:vAlign w:val="center"/>
          </w:tcPr>
          <w:p w14:paraId="30039E78">
            <w:pPr>
              <w:pStyle w:val="219"/>
              <w:widowControl w:val="0"/>
              <w:ind w:firstLine="0"/>
              <w:jc w:val="center"/>
              <w:rPr>
                <w:bCs/>
                <w:color w:val="000000"/>
                <w:spacing w:val="4"/>
                <w:szCs w:val="21"/>
              </w:rPr>
            </w:pPr>
          </w:p>
        </w:tc>
      </w:tr>
      <w:tr w14:paraId="1AB5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108" w:type="dxa"/>
            <w:bottom w:w="0" w:type="dxa"/>
            <w:right w:w="108" w:type="dxa"/>
          </w:tblCellMar>
        </w:tblPrEx>
        <w:trPr>
          <w:jc w:val="center"/>
        </w:trPr>
        <w:tc>
          <w:tcPr>
            <w:tcW w:w="1031" w:type="dxa"/>
            <w:noWrap w:val="0"/>
            <w:vAlign w:val="center"/>
          </w:tcPr>
          <w:p w14:paraId="2CBAC70A">
            <w:pPr>
              <w:pStyle w:val="219"/>
              <w:widowControl w:val="0"/>
              <w:ind w:firstLine="0"/>
              <w:jc w:val="center"/>
              <w:rPr>
                <w:bCs/>
                <w:color w:val="000000"/>
                <w:spacing w:val="4"/>
                <w:szCs w:val="21"/>
              </w:rPr>
            </w:pPr>
            <w:r>
              <w:rPr>
                <w:rFonts w:hint="eastAsia"/>
                <w:bCs/>
                <w:color w:val="000000"/>
                <w:spacing w:val="4"/>
                <w:szCs w:val="21"/>
              </w:rPr>
              <w:t>3</w:t>
            </w:r>
          </w:p>
        </w:tc>
        <w:tc>
          <w:tcPr>
            <w:tcW w:w="2034" w:type="dxa"/>
            <w:noWrap w:val="0"/>
            <w:vAlign w:val="center"/>
          </w:tcPr>
          <w:p w14:paraId="11E4E8D5">
            <w:pPr>
              <w:pStyle w:val="219"/>
              <w:widowControl w:val="0"/>
              <w:ind w:firstLine="0"/>
              <w:jc w:val="center"/>
              <w:rPr>
                <w:bCs/>
                <w:color w:val="000000"/>
                <w:spacing w:val="4"/>
                <w:szCs w:val="21"/>
              </w:rPr>
            </w:pPr>
            <w:r>
              <w:rPr>
                <w:rFonts w:hint="eastAsia"/>
                <w:bCs/>
                <w:color w:val="000000"/>
                <w:spacing w:val="4"/>
                <w:szCs w:val="21"/>
              </w:rPr>
              <w:t>脲醛树脂胶</w:t>
            </w:r>
          </w:p>
        </w:tc>
        <w:tc>
          <w:tcPr>
            <w:tcW w:w="1566" w:type="dxa"/>
            <w:noWrap w:val="0"/>
            <w:vAlign w:val="center"/>
          </w:tcPr>
          <w:p w14:paraId="2996C1D6">
            <w:pPr>
              <w:pStyle w:val="219"/>
              <w:widowControl w:val="0"/>
              <w:ind w:firstLine="0"/>
              <w:jc w:val="center"/>
              <w:rPr>
                <w:bCs/>
                <w:color w:val="000000"/>
                <w:spacing w:val="4"/>
                <w:szCs w:val="21"/>
              </w:rPr>
            </w:pPr>
            <w:r>
              <w:rPr>
                <w:rFonts w:hint="eastAsia"/>
                <w:bCs/>
                <w:color w:val="000000"/>
                <w:spacing w:val="4"/>
                <w:szCs w:val="21"/>
              </w:rPr>
              <w:t>t/a</w:t>
            </w:r>
          </w:p>
        </w:tc>
        <w:tc>
          <w:tcPr>
            <w:tcW w:w="1050" w:type="dxa"/>
            <w:noWrap w:val="0"/>
            <w:vAlign w:val="center"/>
          </w:tcPr>
          <w:p w14:paraId="08A4E8F8">
            <w:pPr>
              <w:pStyle w:val="219"/>
              <w:widowControl w:val="0"/>
              <w:ind w:firstLine="0"/>
              <w:jc w:val="center"/>
              <w:rPr>
                <w:bCs/>
                <w:color w:val="000000"/>
                <w:spacing w:val="4"/>
                <w:szCs w:val="21"/>
              </w:rPr>
            </w:pPr>
            <w:r>
              <w:rPr>
                <w:rFonts w:hint="eastAsia"/>
                <w:bCs/>
                <w:color w:val="000000"/>
                <w:spacing w:val="4"/>
                <w:szCs w:val="21"/>
              </w:rPr>
              <w:t>2500</w:t>
            </w:r>
          </w:p>
        </w:tc>
        <w:tc>
          <w:tcPr>
            <w:tcW w:w="2845" w:type="dxa"/>
            <w:noWrap w:val="0"/>
            <w:vAlign w:val="center"/>
          </w:tcPr>
          <w:p w14:paraId="1C1A67C6">
            <w:pPr>
              <w:pStyle w:val="219"/>
              <w:widowControl w:val="0"/>
              <w:ind w:firstLine="0"/>
              <w:jc w:val="center"/>
              <w:rPr>
                <w:bCs/>
                <w:color w:val="000000"/>
                <w:spacing w:val="4"/>
                <w:szCs w:val="21"/>
              </w:rPr>
            </w:pPr>
            <w:r>
              <w:rPr>
                <w:rFonts w:hint="eastAsia"/>
                <w:bCs/>
                <w:color w:val="000000"/>
                <w:spacing w:val="4"/>
                <w:szCs w:val="21"/>
              </w:rPr>
              <w:t>最大储存量10t</w:t>
            </w:r>
          </w:p>
        </w:tc>
      </w:tr>
      <w:tr w14:paraId="0E1E1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108" w:type="dxa"/>
            <w:bottom w:w="0" w:type="dxa"/>
            <w:right w:w="108" w:type="dxa"/>
          </w:tblCellMar>
        </w:tblPrEx>
        <w:trPr>
          <w:jc w:val="center"/>
        </w:trPr>
        <w:tc>
          <w:tcPr>
            <w:tcW w:w="1031" w:type="dxa"/>
            <w:noWrap w:val="0"/>
            <w:vAlign w:val="center"/>
          </w:tcPr>
          <w:p w14:paraId="65D50CF7">
            <w:pPr>
              <w:pStyle w:val="219"/>
              <w:widowControl w:val="0"/>
              <w:ind w:firstLine="0"/>
              <w:jc w:val="center"/>
              <w:rPr>
                <w:bCs/>
                <w:color w:val="000000"/>
                <w:spacing w:val="4"/>
                <w:szCs w:val="21"/>
              </w:rPr>
            </w:pPr>
            <w:r>
              <w:rPr>
                <w:rFonts w:hint="eastAsia"/>
                <w:bCs/>
                <w:color w:val="000000"/>
                <w:spacing w:val="4"/>
                <w:szCs w:val="21"/>
              </w:rPr>
              <w:t>4</w:t>
            </w:r>
          </w:p>
        </w:tc>
        <w:tc>
          <w:tcPr>
            <w:tcW w:w="2034" w:type="dxa"/>
            <w:noWrap w:val="0"/>
            <w:vAlign w:val="center"/>
          </w:tcPr>
          <w:p w14:paraId="71DCDCC3">
            <w:pPr>
              <w:pStyle w:val="219"/>
              <w:widowControl w:val="0"/>
              <w:ind w:firstLine="0"/>
              <w:jc w:val="center"/>
              <w:rPr>
                <w:bCs/>
                <w:color w:val="000000"/>
                <w:spacing w:val="4"/>
                <w:szCs w:val="21"/>
              </w:rPr>
            </w:pPr>
            <w:r>
              <w:rPr>
                <w:rFonts w:hint="eastAsia"/>
                <w:bCs/>
                <w:color w:val="000000"/>
                <w:spacing w:val="4"/>
                <w:szCs w:val="21"/>
              </w:rPr>
              <w:t>酚醛树脂胶</w:t>
            </w:r>
          </w:p>
        </w:tc>
        <w:tc>
          <w:tcPr>
            <w:tcW w:w="1566" w:type="dxa"/>
            <w:noWrap w:val="0"/>
            <w:vAlign w:val="center"/>
          </w:tcPr>
          <w:p w14:paraId="691FFB18">
            <w:pPr>
              <w:pStyle w:val="219"/>
              <w:widowControl w:val="0"/>
              <w:ind w:firstLine="0"/>
              <w:jc w:val="center"/>
              <w:rPr>
                <w:bCs/>
                <w:color w:val="000000"/>
                <w:spacing w:val="4"/>
                <w:szCs w:val="21"/>
              </w:rPr>
            </w:pPr>
            <w:r>
              <w:rPr>
                <w:rFonts w:hint="eastAsia"/>
                <w:bCs/>
                <w:color w:val="000000"/>
                <w:spacing w:val="4"/>
                <w:szCs w:val="21"/>
              </w:rPr>
              <w:t>t/a</w:t>
            </w:r>
          </w:p>
        </w:tc>
        <w:tc>
          <w:tcPr>
            <w:tcW w:w="1050" w:type="dxa"/>
            <w:noWrap w:val="0"/>
            <w:vAlign w:val="center"/>
          </w:tcPr>
          <w:p w14:paraId="7781B863">
            <w:pPr>
              <w:pStyle w:val="219"/>
              <w:widowControl w:val="0"/>
              <w:ind w:firstLine="0"/>
              <w:jc w:val="center"/>
              <w:rPr>
                <w:bCs/>
                <w:color w:val="000000"/>
                <w:spacing w:val="4"/>
                <w:szCs w:val="21"/>
              </w:rPr>
            </w:pPr>
            <w:r>
              <w:rPr>
                <w:rFonts w:hint="eastAsia"/>
                <w:bCs/>
                <w:color w:val="000000"/>
                <w:spacing w:val="4"/>
                <w:szCs w:val="21"/>
              </w:rPr>
              <w:t>2500</w:t>
            </w:r>
          </w:p>
        </w:tc>
        <w:tc>
          <w:tcPr>
            <w:tcW w:w="2845" w:type="dxa"/>
            <w:noWrap w:val="0"/>
            <w:vAlign w:val="center"/>
          </w:tcPr>
          <w:p w14:paraId="774E9090">
            <w:pPr>
              <w:pStyle w:val="219"/>
              <w:widowControl w:val="0"/>
              <w:ind w:firstLine="0"/>
              <w:jc w:val="center"/>
              <w:rPr>
                <w:bCs/>
                <w:color w:val="000000"/>
                <w:spacing w:val="4"/>
                <w:szCs w:val="21"/>
              </w:rPr>
            </w:pPr>
            <w:r>
              <w:rPr>
                <w:rFonts w:hint="eastAsia"/>
                <w:bCs/>
                <w:color w:val="000000"/>
                <w:spacing w:val="4"/>
                <w:szCs w:val="21"/>
              </w:rPr>
              <w:t>最大储存量10t</w:t>
            </w:r>
          </w:p>
        </w:tc>
      </w:tr>
      <w:tr w14:paraId="51617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108" w:type="dxa"/>
            <w:bottom w:w="0" w:type="dxa"/>
            <w:right w:w="108" w:type="dxa"/>
          </w:tblCellMar>
        </w:tblPrEx>
        <w:trPr>
          <w:jc w:val="center"/>
        </w:trPr>
        <w:tc>
          <w:tcPr>
            <w:tcW w:w="8526" w:type="dxa"/>
            <w:gridSpan w:val="5"/>
            <w:noWrap w:val="0"/>
            <w:vAlign w:val="top"/>
          </w:tcPr>
          <w:p w14:paraId="544825FB">
            <w:pPr>
              <w:pStyle w:val="219"/>
              <w:keepNext w:val="0"/>
              <w:keepLines w:val="0"/>
              <w:pageBreakBefore w:val="0"/>
              <w:widowControl w:val="0"/>
              <w:spacing w:after="0"/>
              <w:ind w:firstLine="0"/>
              <w:rPr>
                <w:bCs/>
                <w:color w:val="FF0000"/>
                <w:spacing w:val="4"/>
                <w:szCs w:val="21"/>
              </w:rPr>
            </w:pPr>
            <w:r>
              <w:rPr>
                <w:rFonts w:ascii="Times New Roman" w:hAnsi="Times New Roman" w:eastAsia="宋体" w:cs="Times New Roman"/>
                <w:bCs/>
                <w:color w:val="000000"/>
                <w:spacing w:val="4"/>
                <w:szCs w:val="21"/>
              </w:rPr>
              <w:t>备注：竹木复合地板</w:t>
            </w:r>
            <w:r>
              <w:rPr>
                <w:rFonts w:ascii="Times New Roman" w:hAnsi="Times New Roman" w:eastAsia="宋体" w:cs="Times New Roman"/>
                <w:bCs/>
                <w:color w:val="000000"/>
                <w:spacing w:val="4"/>
                <w:szCs w:val="21"/>
                <w:lang w:eastAsia="zh-CN"/>
              </w:rPr>
              <w:t>、</w:t>
            </w:r>
            <w:r>
              <w:rPr>
                <w:rFonts w:ascii="Times New Roman" w:hAnsi="Times New Roman" w:eastAsia="宋体" w:cs="Times New Roman"/>
                <w:bCs/>
                <w:color w:val="000000"/>
                <w:spacing w:val="4"/>
                <w:szCs w:val="21"/>
                <w:lang w:val="en-US" w:eastAsia="zh-CN"/>
              </w:rPr>
              <w:t>全竹地板</w:t>
            </w:r>
            <w:r>
              <w:rPr>
                <w:rFonts w:hint="eastAsia" w:ascii="Times New Roman" w:hAnsi="Times New Roman" w:eastAsia="宋体" w:cs="Times New Roman"/>
                <w:bCs/>
                <w:color w:val="000000"/>
                <w:spacing w:val="4"/>
                <w:szCs w:val="21"/>
                <w:lang w:val="en-US" w:eastAsia="zh-CN"/>
              </w:rPr>
              <w:t>在生产过程总</w:t>
            </w:r>
            <w:r>
              <w:rPr>
                <w:rFonts w:ascii="Times New Roman" w:hAnsi="Times New Roman" w:eastAsia="宋体" w:cs="Times New Roman"/>
                <w:bCs/>
                <w:color w:val="000000"/>
                <w:spacing w:val="4"/>
                <w:szCs w:val="21"/>
              </w:rPr>
              <w:t>涂胶量</w:t>
            </w:r>
            <w:r>
              <w:rPr>
                <w:rFonts w:ascii="Times New Roman" w:hAnsi="Times New Roman" w:eastAsia="宋体" w:cs="Times New Roman"/>
                <w:bCs/>
                <w:color w:val="000000"/>
                <w:spacing w:val="4"/>
                <w:szCs w:val="21"/>
                <w:lang w:val="en-US" w:eastAsia="zh-CN"/>
              </w:rPr>
              <w:t>约</w:t>
            </w:r>
            <w:r>
              <w:rPr>
                <w:rFonts w:ascii="Times New Roman" w:hAnsi="Times New Roman" w:eastAsia="宋体" w:cs="Times New Roman"/>
                <w:bCs/>
                <w:color w:val="000000"/>
                <w:spacing w:val="4"/>
                <w:szCs w:val="21"/>
              </w:rPr>
              <w:t>为90kg</w:t>
            </w:r>
            <w:r>
              <w:rPr>
                <w:rFonts w:ascii="Times New Roman" w:hAnsi="Times New Roman" w:eastAsia="宋体" w:cs="Times New Roman"/>
                <w:bCs/>
                <w:color w:val="000000"/>
                <w:spacing w:val="4"/>
                <w:szCs w:val="21"/>
                <w:lang w:val="en-US" w:eastAsia="zh-CN"/>
              </w:rPr>
              <w:t>/m</w:t>
            </w:r>
            <w:r>
              <w:rPr>
                <w:rFonts w:ascii="Times New Roman" w:hAnsi="Times New Roman" w:eastAsia="宋体" w:cs="Times New Roman"/>
                <w:bCs/>
                <w:color w:val="000000"/>
                <w:spacing w:val="4"/>
                <w:szCs w:val="21"/>
                <w:vertAlign w:val="superscript"/>
                <w:lang w:val="en-US" w:eastAsia="zh-CN"/>
              </w:rPr>
              <w:t>3</w:t>
            </w:r>
            <w:r>
              <w:rPr>
                <w:rFonts w:ascii="Times New Roman" w:hAnsi="Times New Roman" w:eastAsia="宋体" w:cs="Times New Roman"/>
                <w:bCs/>
                <w:color w:val="000000"/>
                <w:spacing w:val="4"/>
                <w:szCs w:val="21"/>
                <w:lang w:val="en-US" w:eastAsia="zh-CN"/>
              </w:rPr>
              <w:t>，则用胶量总量为9000t。根据建设方提供数据，</w:t>
            </w:r>
            <w:r>
              <w:rPr>
                <w:rFonts w:ascii="Times New Roman" w:hAnsi="Times New Roman" w:eastAsia="宋体" w:cs="Times New Roman"/>
                <w:bCs/>
                <w:color w:val="000000"/>
                <w:spacing w:val="4"/>
                <w:szCs w:val="21"/>
              </w:rPr>
              <w:t>脲醛树脂胶与酚醛树脂胶用量比为2:1</w:t>
            </w:r>
            <w:r>
              <w:rPr>
                <w:rFonts w:hint="eastAsia" w:ascii="Times New Roman" w:hAnsi="Times New Roman" w:eastAsia="宋体" w:cs="Times New Roman"/>
                <w:bCs/>
                <w:color w:val="000000"/>
                <w:spacing w:val="4"/>
                <w:szCs w:val="21"/>
                <w:lang w:eastAsia="zh-CN"/>
              </w:rPr>
              <w:t>，</w:t>
            </w:r>
            <w:r>
              <w:rPr>
                <w:rFonts w:ascii="Times New Roman" w:hAnsi="Times New Roman" w:eastAsia="宋体" w:cs="Times New Roman"/>
                <w:bCs/>
                <w:color w:val="000000"/>
                <w:spacing w:val="4"/>
                <w:szCs w:val="21"/>
              </w:rPr>
              <w:t>年消耗脲醛树脂胶</w:t>
            </w:r>
            <w:r>
              <w:rPr>
                <w:rFonts w:hint="eastAsia" w:ascii="Times New Roman" w:hAnsi="Times New Roman" w:eastAsia="宋体" w:cs="Times New Roman"/>
                <w:bCs/>
                <w:color w:val="000000"/>
                <w:spacing w:val="4"/>
                <w:szCs w:val="21"/>
                <w:lang w:val="en-US" w:eastAsia="zh-CN"/>
              </w:rPr>
              <w:t>6000</w:t>
            </w:r>
            <w:r>
              <w:rPr>
                <w:rFonts w:ascii="Times New Roman" w:hAnsi="Times New Roman" w:eastAsia="宋体" w:cs="Times New Roman"/>
                <w:bCs/>
                <w:color w:val="000000"/>
                <w:spacing w:val="4"/>
                <w:szCs w:val="21"/>
              </w:rPr>
              <w:t>t/a，酚醛树脂胶</w:t>
            </w:r>
            <w:r>
              <w:rPr>
                <w:rFonts w:hint="eastAsia" w:ascii="Times New Roman" w:hAnsi="Times New Roman" w:eastAsia="宋体" w:cs="Times New Roman"/>
                <w:bCs/>
                <w:color w:val="000000"/>
                <w:spacing w:val="4"/>
                <w:szCs w:val="21"/>
                <w:lang w:val="en-US" w:eastAsia="zh-CN"/>
              </w:rPr>
              <w:t>300</w:t>
            </w:r>
            <w:r>
              <w:rPr>
                <w:rFonts w:ascii="Times New Roman" w:hAnsi="Times New Roman" w:eastAsia="宋体" w:cs="Times New Roman"/>
                <w:bCs/>
                <w:color w:val="000000"/>
                <w:spacing w:val="4"/>
                <w:szCs w:val="21"/>
                <w:lang w:val="en-US" w:eastAsia="zh-CN"/>
              </w:rPr>
              <w:t>0</w:t>
            </w:r>
            <w:r>
              <w:rPr>
                <w:rFonts w:ascii="Times New Roman" w:hAnsi="Times New Roman" w:eastAsia="宋体" w:cs="Times New Roman"/>
                <w:bCs/>
                <w:color w:val="000000"/>
                <w:spacing w:val="4"/>
                <w:szCs w:val="21"/>
              </w:rPr>
              <w:t>t/a。</w:t>
            </w:r>
          </w:p>
        </w:tc>
      </w:tr>
    </w:tbl>
    <w:p w14:paraId="3FC58A13">
      <w:pPr>
        <w:pStyle w:val="219"/>
        <w:spacing w:before="74" w:line="374" w:lineRule="auto"/>
        <w:ind w:left="0" w:right="425" w:firstLine="480"/>
        <w:rPr>
          <w:rFonts w:hint="eastAsia"/>
          <w:sz w:val="24"/>
          <w:szCs w:val="21"/>
          <w:lang w:val="en-US" w:eastAsia="zh-CN" w:bidi="ar-SA"/>
        </w:rPr>
      </w:pPr>
      <w:r>
        <w:rPr>
          <w:rFonts w:hint="eastAsia"/>
          <w:sz w:val="24"/>
          <w:szCs w:val="21"/>
          <w:lang w:val="en-US" w:eastAsia="zh-CN" w:bidi="ar-SA"/>
        </w:rPr>
        <w:t>根据</w:t>
      </w:r>
      <w:r>
        <w:rPr>
          <w:rFonts w:hint="eastAsia" w:hAnsi="宋体"/>
          <w:color w:val="000000"/>
          <w:sz w:val="24"/>
          <w:szCs w:val="24"/>
        </w:rPr>
        <w:t>《木材工业胶粘剂用脲醛、酚醛</w:t>
      </w:r>
      <w:r>
        <w:rPr>
          <w:rFonts w:hint="eastAsia" w:hAnsi="宋体"/>
          <w:color w:val="000000"/>
          <w:sz w:val="24"/>
          <w:szCs w:val="24"/>
          <w:lang w:val="en-US" w:eastAsia="zh-CN"/>
        </w:rPr>
        <w:t>、</w:t>
      </w:r>
      <w:r>
        <w:rPr>
          <w:rFonts w:hint="eastAsia" w:hAnsi="宋体"/>
          <w:color w:val="000000"/>
          <w:sz w:val="24"/>
          <w:szCs w:val="24"/>
        </w:rPr>
        <w:t>三聚氰胺甲醛树脂》（GB/T14732-20</w:t>
      </w:r>
      <w:r>
        <w:rPr>
          <w:rFonts w:hint="eastAsia" w:hAnsi="宋体"/>
          <w:color w:val="000000"/>
          <w:sz w:val="24"/>
          <w:szCs w:val="24"/>
          <w:lang w:val="en-US" w:eastAsia="zh-CN"/>
        </w:rPr>
        <w:t>17</w:t>
      </w:r>
      <w:r>
        <w:rPr>
          <w:rFonts w:hint="eastAsia" w:hAnsi="宋体"/>
          <w:color w:val="000000"/>
          <w:sz w:val="24"/>
          <w:szCs w:val="24"/>
        </w:rPr>
        <w:t>）</w:t>
      </w:r>
      <w:r>
        <w:rPr>
          <w:rFonts w:hint="eastAsia"/>
          <w:sz w:val="24"/>
          <w:szCs w:val="21"/>
          <w:lang w:val="en-US" w:eastAsia="zh-CN" w:bidi="ar-SA"/>
        </w:rPr>
        <w:t xml:space="preserve"> 的要求，胶粘剂主要产品标准如下：</w:t>
      </w:r>
    </w:p>
    <w:p w14:paraId="68638438">
      <w:pPr>
        <w:pStyle w:val="219"/>
        <w:ind w:firstLine="498"/>
        <w:jc w:val="center"/>
        <w:rPr>
          <w:rFonts w:hint="eastAsia"/>
          <w:b/>
          <w:spacing w:val="4"/>
          <w:sz w:val="24"/>
        </w:rPr>
      </w:pPr>
      <w:r>
        <w:rPr>
          <w:rFonts w:hint="eastAsia"/>
          <w:b/>
          <w:spacing w:val="4"/>
          <w:sz w:val="24"/>
        </w:rPr>
        <w:t>表</w:t>
      </w:r>
      <w:r>
        <w:rPr>
          <w:rFonts w:hint="eastAsia"/>
          <w:b/>
          <w:spacing w:val="4"/>
          <w:sz w:val="24"/>
          <w:lang w:val="en-US" w:eastAsia="zh-CN"/>
        </w:rPr>
        <w:t>4.1</w:t>
      </w:r>
      <w:r>
        <w:rPr>
          <w:rFonts w:hint="eastAsia"/>
          <w:b/>
          <w:spacing w:val="4"/>
          <w:sz w:val="24"/>
        </w:rPr>
        <w:t>-5树脂</w:t>
      </w:r>
      <w:r>
        <w:rPr>
          <w:rFonts w:hint="eastAsia" w:eastAsia="宋体"/>
          <w:b/>
          <w:spacing w:val="4"/>
          <w:sz w:val="24"/>
          <w:lang w:val="en-US" w:eastAsia="zh-CN"/>
        </w:rPr>
        <w:t>胶</w:t>
      </w:r>
      <w:r>
        <w:rPr>
          <w:rFonts w:hint="eastAsia"/>
          <w:b/>
          <w:spacing w:val="4"/>
          <w:sz w:val="24"/>
        </w:rPr>
        <w:t>的技术指标</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866"/>
        <w:gridCol w:w="2460"/>
        <w:gridCol w:w="3068"/>
        <w:gridCol w:w="2132"/>
      </w:tblGrid>
      <w:tr w14:paraId="14EC9AD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866" w:type="dxa"/>
            <w:noWrap w:val="0"/>
            <w:vAlign w:val="center"/>
          </w:tcPr>
          <w:p w14:paraId="4CD98A09">
            <w:pPr>
              <w:pStyle w:val="219"/>
              <w:widowControl w:val="0"/>
              <w:ind w:firstLine="0"/>
              <w:jc w:val="center"/>
              <w:rPr>
                <w:b/>
                <w:spacing w:val="4"/>
                <w:szCs w:val="21"/>
              </w:rPr>
            </w:pPr>
            <w:r>
              <w:rPr>
                <w:rFonts w:hint="eastAsia"/>
                <w:b/>
                <w:spacing w:val="4"/>
                <w:szCs w:val="21"/>
              </w:rPr>
              <w:t>序号</w:t>
            </w:r>
          </w:p>
        </w:tc>
        <w:tc>
          <w:tcPr>
            <w:tcW w:w="2460" w:type="dxa"/>
            <w:noWrap w:val="0"/>
            <w:vAlign w:val="center"/>
          </w:tcPr>
          <w:p w14:paraId="1D0323EF">
            <w:pPr>
              <w:pStyle w:val="219"/>
              <w:widowControl w:val="0"/>
              <w:ind w:firstLine="0"/>
              <w:jc w:val="center"/>
              <w:rPr>
                <w:b/>
                <w:spacing w:val="4"/>
                <w:szCs w:val="21"/>
              </w:rPr>
            </w:pPr>
            <w:r>
              <w:rPr>
                <w:rFonts w:hint="eastAsia"/>
                <w:b/>
                <w:spacing w:val="4"/>
                <w:szCs w:val="21"/>
              </w:rPr>
              <w:t>指标名称</w:t>
            </w:r>
          </w:p>
        </w:tc>
        <w:tc>
          <w:tcPr>
            <w:tcW w:w="3068" w:type="dxa"/>
            <w:noWrap w:val="0"/>
            <w:vAlign w:val="center"/>
          </w:tcPr>
          <w:p w14:paraId="220731CC">
            <w:pPr>
              <w:pStyle w:val="219"/>
              <w:widowControl w:val="0"/>
              <w:ind w:firstLine="0"/>
              <w:jc w:val="center"/>
              <w:rPr>
                <w:b/>
                <w:spacing w:val="4"/>
                <w:szCs w:val="21"/>
              </w:rPr>
            </w:pPr>
            <w:r>
              <w:rPr>
                <w:rFonts w:hint="eastAsia"/>
                <w:b/>
                <w:spacing w:val="4"/>
                <w:szCs w:val="21"/>
              </w:rPr>
              <w:t>脲醛树脂胶</w:t>
            </w:r>
          </w:p>
        </w:tc>
        <w:tc>
          <w:tcPr>
            <w:tcW w:w="2132" w:type="dxa"/>
            <w:noWrap w:val="0"/>
            <w:vAlign w:val="center"/>
          </w:tcPr>
          <w:p w14:paraId="26D4C078">
            <w:pPr>
              <w:pStyle w:val="219"/>
              <w:widowControl w:val="0"/>
              <w:ind w:firstLine="0"/>
              <w:jc w:val="center"/>
              <w:rPr>
                <w:b/>
                <w:spacing w:val="4"/>
                <w:szCs w:val="21"/>
              </w:rPr>
            </w:pPr>
            <w:r>
              <w:rPr>
                <w:rFonts w:hint="eastAsia"/>
                <w:b/>
                <w:spacing w:val="4"/>
                <w:szCs w:val="21"/>
              </w:rPr>
              <w:t>酚醛树脂胶</w:t>
            </w:r>
          </w:p>
        </w:tc>
      </w:tr>
      <w:tr w14:paraId="33253D0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866" w:type="dxa"/>
            <w:noWrap w:val="0"/>
            <w:vAlign w:val="center"/>
          </w:tcPr>
          <w:p w14:paraId="757F2E4C">
            <w:pPr>
              <w:pStyle w:val="219"/>
              <w:widowControl w:val="0"/>
              <w:ind w:firstLine="0"/>
              <w:jc w:val="center"/>
              <w:rPr>
                <w:bCs/>
                <w:spacing w:val="4"/>
                <w:szCs w:val="21"/>
              </w:rPr>
            </w:pPr>
            <w:r>
              <w:rPr>
                <w:rFonts w:hint="eastAsia"/>
                <w:bCs/>
                <w:spacing w:val="4"/>
                <w:szCs w:val="21"/>
              </w:rPr>
              <w:t>1</w:t>
            </w:r>
          </w:p>
        </w:tc>
        <w:tc>
          <w:tcPr>
            <w:tcW w:w="2460" w:type="dxa"/>
            <w:noWrap w:val="0"/>
            <w:vAlign w:val="center"/>
          </w:tcPr>
          <w:p w14:paraId="24833412">
            <w:pPr>
              <w:pStyle w:val="219"/>
              <w:widowControl w:val="0"/>
              <w:ind w:firstLine="0"/>
              <w:jc w:val="center"/>
              <w:rPr>
                <w:bCs/>
                <w:spacing w:val="4"/>
                <w:szCs w:val="21"/>
              </w:rPr>
            </w:pPr>
            <w:r>
              <w:rPr>
                <w:rFonts w:hint="eastAsia"/>
                <w:bCs/>
                <w:spacing w:val="4"/>
                <w:szCs w:val="21"/>
              </w:rPr>
              <w:t>外观</w:t>
            </w:r>
          </w:p>
        </w:tc>
        <w:tc>
          <w:tcPr>
            <w:tcW w:w="3068" w:type="dxa"/>
            <w:noWrap w:val="0"/>
            <w:vAlign w:val="center"/>
          </w:tcPr>
          <w:p w14:paraId="56F64DD8">
            <w:pPr>
              <w:pStyle w:val="219"/>
              <w:widowControl w:val="0"/>
              <w:ind w:firstLine="0"/>
              <w:jc w:val="center"/>
              <w:rPr>
                <w:bCs/>
                <w:spacing w:val="4"/>
                <w:szCs w:val="21"/>
              </w:rPr>
            </w:pPr>
            <w:r>
              <w:rPr>
                <w:rFonts w:hint="eastAsia"/>
                <w:bCs/>
                <w:spacing w:val="4"/>
                <w:szCs w:val="21"/>
              </w:rPr>
              <w:t>无杂质透明液体</w:t>
            </w:r>
          </w:p>
        </w:tc>
        <w:tc>
          <w:tcPr>
            <w:tcW w:w="2132" w:type="dxa"/>
            <w:noWrap w:val="0"/>
            <w:vAlign w:val="center"/>
          </w:tcPr>
          <w:p w14:paraId="323E3280">
            <w:pPr>
              <w:pStyle w:val="219"/>
              <w:widowControl w:val="0"/>
              <w:ind w:firstLine="0"/>
              <w:jc w:val="center"/>
              <w:rPr>
                <w:bCs/>
                <w:spacing w:val="4"/>
                <w:szCs w:val="21"/>
              </w:rPr>
            </w:pPr>
            <w:r>
              <w:rPr>
                <w:rFonts w:hint="eastAsia"/>
                <w:bCs/>
                <w:spacing w:val="4"/>
                <w:szCs w:val="21"/>
              </w:rPr>
              <w:t>无机械杂质，金黄或浅红透明液体</w:t>
            </w:r>
          </w:p>
        </w:tc>
      </w:tr>
      <w:tr w14:paraId="64268F8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866" w:type="dxa"/>
            <w:noWrap w:val="0"/>
            <w:vAlign w:val="center"/>
          </w:tcPr>
          <w:p w14:paraId="32FD95A6">
            <w:pPr>
              <w:pStyle w:val="219"/>
              <w:widowControl w:val="0"/>
              <w:ind w:firstLine="0"/>
              <w:jc w:val="center"/>
              <w:rPr>
                <w:bCs/>
                <w:spacing w:val="4"/>
                <w:szCs w:val="21"/>
              </w:rPr>
            </w:pPr>
            <w:r>
              <w:rPr>
                <w:rFonts w:hint="eastAsia"/>
                <w:bCs/>
                <w:spacing w:val="4"/>
                <w:szCs w:val="21"/>
              </w:rPr>
              <w:t>2</w:t>
            </w:r>
          </w:p>
        </w:tc>
        <w:tc>
          <w:tcPr>
            <w:tcW w:w="2460" w:type="dxa"/>
            <w:noWrap w:val="0"/>
            <w:vAlign w:val="center"/>
          </w:tcPr>
          <w:p w14:paraId="25142604">
            <w:pPr>
              <w:pStyle w:val="219"/>
              <w:widowControl w:val="0"/>
              <w:ind w:firstLine="0"/>
              <w:jc w:val="center"/>
              <w:rPr>
                <w:bCs/>
                <w:spacing w:val="4"/>
                <w:szCs w:val="21"/>
              </w:rPr>
            </w:pPr>
            <w:r>
              <w:rPr>
                <w:rFonts w:hint="eastAsia"/>
                <w:bCs/>
                <w:spacing w:val="4"/>
                <w:szCs w:val="21"/>
              </w:rPr>
              <w:t>pH值</w:t>
            </w:r>
          </w:p>
        </w:tc>
        <w:tc>
          <w:tcPr>
            <w:tcW w:w="3068" w:type="dxa"/>
            <w:noWrap w:val="0"/>
            <w:vAlign w:val="center"/>
          </w:tcPr>
          <w:p w14:paraId="75BF2961">
            <w:pPr>
              <w:pStyle w:val="219"/>
              <w:widowControl w:val="0"/>
              <w:ind w:firstLine="0"/>
              <w:jc w:val="center"/>
              <w:rPr>
                <w:bCs/>
                <w:spacing w:val="4"/>
                <w:szCs w:val="21"/>
              </w:rPr>
            </w:pPr>
            <w:r>
              <w:rPr>
                <w:rFonts w:hint="eastAsia"/>
                <w:bCs/>
                <w:spacing w:val="4"/>
                <w:szCs w:val="21"/>
              </w:rPr>
              <w:t>7.0-9.5</w:t>
            </w:r>
          </w:p>
        </w:tc>
        <w:tc>
          <w:tcPr>
            <w:tcW w:w="2132" w:type="dxa"/>
            <w:noWrap w:val="0"/>
            <w:vAlign w:val="center"/>
          </w:tcPr>
          <w:p w14:paraId="72F97A16">
            <w:pPr>
              <w:pStyle w:val="219"/>
              <w:widowControl w:val="0"/>
              <w:ind w:firstLine="0"/>
              <w:jc w:val="center"/>
              <w:rPr>
                <w:bCs/>
                <w:spacing w:val="4"/>
                <w:szCs w:val="21"/>
              </w:rPr>
            </w:pPr>
            <w:r>
              <w:rPr>
                <w:bCs/>
                <w:spacing w:val="4"/>
                <w:szCs w:val="21"/>
              </w:rPr>
              <w:t>≥</w:t>
            </w:r>
            <w:r>
              <w:rPr>
                <w:rFonts w:hint="eastAsia"/>
                <w:bCs/>
                <w:spacing w:val="4"/>
                <w:szCs w:val="21"/>
              </w:rPr>
              <w:t>7.0</w:t>
            </w:r>
          </w:p>
        </w:tc>
      </w:tr>
      <w:tr w14:paraId="1E9BFFC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866" w:type="dxa"/>
            <w:noWrap w:val="0"/>
            <w:vAlign w:val="center"/>
          </w:tcPr>
          <w:p w14:paraId="6AE157B1">
            <w:pPr>
              <w:pStyle w:val="219"/>
              <w:widowControl w:val="0"/>
              <w:ind w:firstLine="0"/>
              <w:jc w:val="center"/>
              <w:rPr>
                <w:bCs/>
                <w:spacing w:val="4"/>
                <w:szCs w:val="21"/>
              </w:rPr>
            </w:pPr>
            <w:r>
              <w:rPr>
                <w:rFonts w:hint="eastAsia"/>
                <w:bCs/>
                <w:spacing w:val="4"/>
                <w:szCs w:val="21"/>
              </w:rPr>
              <w:t>3</w:t>
            </w:r>
          </w:p>
        </w:tc>
        <w:tc>
          <w:tcPr>
            <w:tcW w:w="2460" w:type="dxa"/>
            <w:noWrap w:val="0"/>
            <w:vAlign w:val="center"/>
          </w:tcPr>
          <w:p w14:paraId="19DCF734">
            <w:pPr>
              <w:pStyle w:val="219"/>
              <w:widowControl w:val="0"/>
              <w:ind w:firstLine="0"/>
              <w:jc w:val="center"/>
              <w:rPr>
                <w:bCs/>
                <w:spacing w:val="4"/>
                <w:szCs w:val="21"/>
              </w:rPr>
            </w:pPr>
            <w:r>
              <w:rPr>
                <w:rFonts w:hint="eastAsia"/>
                <w:bCs/>
                <w:spacing w:val="4"/>
                <w:szCs w:val="21"/>
              </w:rPr>
              <w:t>固体含量，%</w:t>
            </w:r>
            <w:r>
              <w:rPr>
                <w:bCs/>
                <w:spacing w:val="4"/>
                <w:szCs w:val="21"/>
              </w:rPr>
              <w:t>≥</w:t>
            </w:r>
          </w:p>
        </w:tc>
        <w:tc>
          <w:tcPr>
            <w:tcW w:w="3068" w:type="dxa"/>
            <w:noWrap w:val="0"/>
            <w:vAlign w:val="center"/>
          </w:tcPr>
          <w:p w14:paraId="2325EC2D">
            <w:pPr>
              <w:pStyle w:val="219"/>
              <w:widowControl w:val="0"/>
              <w:ind w:firstLine="0"/>
              <w:jc w:val="center"/>
              <w:rPr>
                <w:bCs/>
                <w:spacing w:val="4"/>
                <w:szCs w:val="21"/>
              </w:rPr>
            </w:pPr>
            <w:r>
              <w:rPr>
                <w:rFonts w:hint="eastAsia"/>
                <w:bCs/>
                <w:spacing w:val="4"/>
                <w:szCs w:val="21"/>
              </w:rPr>
              <w:t>46</w:t>
            </w:r>
          </w:p>
        </w:tc>
        <w:tc>
          <w:tcPr>
            <w:tcW w:w="2132" w:type="dxa"/>
            <w:noWrap w:val="0"/>
            <w:vAlign w:val="center"/>
          </w:tcPr>
          <w:p w14:paraId="1F574A43">
            <w:pPr>
              <w:pStyle w:val="219"/>
              <w:widowControl w:val="0"/>
              <w:ind w:firstLine="0"/>
              <w:jc w:val="center"/>
              <w:rPr>
                <w:bCs/>
                <w:spacing w:val="4"/>
                <w:szCs w:val="21"/>
              </w:rPr>
            </w:pPr>
            <w:r>
              <w:rPr>
                <w:rFonts w:hint="eastAsia"/>
                <w:bCs/>
                <w:spacing w:val="4"/>
                <w:szCs w:val="21"/>
              </w:rPr>
              <w:t>35.0</w:t>
            </w:r>
          </w:p>
        </w:tc>
      </w:tr>
      <w:tr w14:paraId="30F1655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866" w:type="dxa"/>
            <w:noWrap w:val="0"/>
            <w:vAlign w:val="center"/>
          </w:tcPr>
          <w:p w14:paraId="2CECAFDB">
            <w:pPr>
              <w:pStyle w:val="219"/>
              <w:widowControl w:val="0"/>
              <w:ind w:firstLine="0"/>
              <w:jc w:val="center"/>
              <w:rPr>
                <w:bCs/>
                <w:spacing w:val="4"/>
                <w:szCs w:val="21"/>
              </w:rPr>
            </w:pPr>
            <w:r>
              <w:rPr>
                <w:rFonts w:hint="eastAsia"/>
                <w:bCs/>
                <w:spacing w:val="4"/>
                <w:szCs w:val="21"/>
              </w:rPr>
              <w:t>4</w:t>
            </w:r>
          </w:p>
        </w:tc>
        <w:tc>
          <w:tcPr>
            <w:tcW w:w="2460" w:type="dxa"/>
            <w:noWrap w:val="0"/>
            <w:vAlign w:val="center"/>
          </w:tcPr>
          <w:p w14:paraId="3A6BD30D">
            <w:pPr>
              <w:pStyle w:val="219"/>
              <w:widowControl w:val="0"/>
              <w:ind w:firstLine="0"/>
              <w:jc w:val="center"/>
              <w:rPr>
                <w:bCs/>
                <w:spacing w:val="4"/>
                <w:szCs w:val="21"/>
              </w:rPr>
            </w:pPr>
            <w:r>
              <w:rPr>
                <w:rFonts w:hint="eastAsia"/>
                <w:bCs/>
                <w:spacing w:val="4"/>
                <w:szCs w:val="21"/>
              </w:rPr>
              <w:t>粘度，Mpa.s</w:t>
            </w:r>
            <w:r>
              <w:rPr>
                <w:bCs/>
                <w:spacing w:val="4"/>
                <w:szCs w:val="21"/>
              </w:rPr>
              <w:t>≥</w:t>
            </w:r>
          </w:p>
        </w:tc>
        <w:tc>
          <w:tcPr>
            <w:tcW w:w="3068" w:type="dxa"/>
            <w:noWrap w:val="0"/>
            <w:vAlign w:val="center"/>
          </w:tcPr>
          <w:p w14:paraId="528A9F4F">
            <w:pPr>
              <w:pStyle w:val="219"/>
              <w:widowControl w:val="0"/>
              <w:ind w:firstLine="0"/>
              <w:jc w:val="center"/>
              <w:rPr>
                <w:bCs/>
                <w:spacing w:val="4"/>
                <w:szCs w:val="21"/>
              </w:rPr>
            </w:pPr>
            <w:r>
              <w:rPr>
                <w:rFonts w:hint="eastAsia"/>
                <w:bCs/>
                <w:spacing w:val="4"/>
                <w:szCs w:val="21"/>
              </w:rPr>
              <w:t>60</w:t>
            </w:r>
          </w:p>
        </w:tc>
        <w:tc>
          <w:tcPr>
            <w:tcW w:w="2132" w:type="dxa"/>
            <w:noWrap w:val="0"/>
            <w:vAlign w:val="center"/>
          </w:tcPr>
          <w:p w14:paraId="257BB98B">
            <w:pPr>
              <w:pStyle w:val="219"/>
              <w:widowControl w:val="0"/>
              <w:ind w:firstLine="0"/>
              <w:jc w:val="center"/>
              <w:rPr>
                <w:rFonts w:eastAsia="宋体"/>
                <w:bCs/>
                <w:spacing w:val="4"/>
                <w:szCs w:val="21"/>
                <w:lang w:val="en-US" w:eastAsia="zh-CN"/>
              </w:rPr>
            </w:pPr>
            <w:r>
              <w:rPr>
                <w:rFonts w:hint="eastAsia" w:eastAsia="宋体"/>
                <w:bCs/>
                <w:spacing w:val="4"/>
                <w:szCs w:val="21"/>
                <w:lang w:val="en-US" w:eastAsia="zh-CN"/>
              </w:rPr>
              <w:t>60</w:t>
            </w:r>
          </w:p>
        </w:tc>
      </w:tr>
      <w:tr w14:paraId="0E18D88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866" w:type="dxa"/>
            <w:noWrap w:val="0"/>
            <w:vAlign w:val="center"/>
          </w:tcPr>
          <w:p w14:paraId="585DA8E3">
            <w:pPr>
              <w:pStyle w:val="219"/>
              <w:widowControl w:val="0"/>
              <w:ind w:firstLine="0"/>
              <w:jc w:val="center"/>
              <w:rPr>
                <w:bCs/>
                <w:spacing w:val="4"/>
                <w:szCs w:val="21"/>
              </w:rPr>
            </w:pPr>
            <w:r>
              <w:rPr>
                <w:rFonts w:hint="eastAsia"/>
                <w:bCs/>
                <w:spacing w:val="4"/>
                <w:szCs w:val="21"/>
              </w:rPr>
              <w:t>5</w:t>
            </w:r>
          </w:p>
        </w:tc>
        <w:tc>
          <w:tcPr>
            <w:tcW w:w="2460" w:type="dxa"/>
            <w:noWrap w:val="0"/>
            <w:vAlign w:val="center"/>
          </w:tcPr>
          <w:p w14:paraId="7CFF483A">
            <w:pPr>
              <w:pStyle w:val="219"/>
              <w:widowControl w:val="0"/>
              <w:ind w:firstLine="0"/>
              <w:jc w:val="center"/>
              <w:rPr>
                <w:bCs/>
                <w:spacing w:val="4"/>
                <w:szCs w:val="21"/>
              </w:rPr>
            </w:pPr>
            <w:r>
              <w:rPr>
                <w:rFonts w:hint="eastAsia"/>
                <w:bCs/>
                <w:spacing w:val="4"/>
                <w:szCs w:val="21"/>
              </w:rPr>
              <w:t>游离甲醛含量，%</w:t>
            </w:r>
            <w:r>
              <w:rPr>
                <w:bCs/>
                <w:spacing w:val="4"/>
                <w:szCs w:val="21"/>
              </w:rPr>
              <w:t>≤</w:t>
            </w:r>
          </w:p>
        </w:tc>
        <w:tc>
          <w:tcPr>
            <w:tcW w:w="3068" w:type="dxa"/>
            <w:noWrap w:val="0"/>
            <w:vAlign w:val="center"/>
          </w:tcPr>
          <w:p w14:paraId="37BAE7FA">
            <w:pPr>
              <w:pStyle w:val="219"/>
              <w:widowControl w:val="0"/>
              <w:ind w:firstLine="0"/>
              <w:jc w:val="center"/>
              <w:rPr>
                <w:bCs/>
                <w:spacing w:val="4"/>
                <w:szCs w:val="21"/>
              </w:rPr>
            </w:pPr>
            <w:r>
              <w:rPr>
                <w:rFonts w:hint="eastAsia"/>
                <w:bCs/>
                <w:spacing w:val="4"/>
                <w:szCs w:val="21"/>
              </w:rPr>
              <w:t>0.3</w:t>
            </w:r>
          </w:p>
        </w:tc>
        <w:tc>
          <w:tcPr>
            <w:tcW w:w="2132" w:type="dxa"/>
            <w:noWrap w:val="0"/>
            <w:vAlign w:val="center"/>
          </w:tcPr>
          <w:p w14:paraId="749E111F">
            <w:pPr>
              <w:pStyle w:val="219"/>
              <w:widowControl w:val="0"/>
              <w:ind w:firstLine="0"/>
              <w:jc w:val="center"/>
              <w:rPr>
                <w:bCs/>
                <w:spacing w:val="4"/>
                <w:szCs w:val="21"/>
              </w:rPr>
            </w:pPr>
            <w:r>
              <w:rPr>
                <w:rFonts w:hint="eastAsia"/>
                <w:bCs/>
                <w:spacing w:val="4"/>
                <w:szCs w:val="21"/>
              </w:rPr>
              <w:t>0.3</w:t>
            </w:r>
          </w:p>
        </w:tc>
      </w:tr>
      <w:tr w14:paraId="6CEBE7F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866" w:type="dxa"/>
            <w:noWrap w:val="0"/>
            <w:vAlign w:val="center"/>
          </w:tcPr>
          <w:p w14:paraId="30316ED6">
            <w:pPr>
              <w:pStyle w:val="219"/>
              <w:widowControl w:val="0"/>
              <w:ind w:firstLine="0"/>
              <w:jc w:val="center"/>
              <w:rPr>
                <w:bCs/>
                <w:spacing w:val="4"/>
                <w:szCs w:val="21"/>
              </w:rPr>
            </w:pPr>
            <w:r>
              <w:rPr>
                <w:rFonts w:hint="eastAsia"/>
                <w:bCs/>
                <w:spacing w:val="4"/>
                <w:szCs w:val="21"/>
              </w:rPr>
              <w:t>6</w:t>
            </w:r>
          </w:p>
        </w:tc>
        <w:tc>
          <w:tcPr>
            <w:tcW w:w="2460" w:type="dxa"/>
            <w:noWrap w:val="0"/>
            <w:vAlign w:val="center"/>
          </w:tcPr>
          <w:p w14:paraId="1988050A">
            <w:pPr>
              <w:pStyle w:val="219"/>
              <w:widowControl w:val="0"/>
              <w:ind w:firstLine="0"/>
              <w:jc w:val="center"/>
              <w:rPr>
                <w:bCs/>
                <w:spacing w:val="4"/>
                <w:szCs w:val="21"/>
              </w:rPr>
            </w:pPr>
            <w:r>
              <w:rPr>
                <w:rFonts w:hint="eastAsia"/>
                <w:bCs/>
                <w:spacing w:val="4"/>
                <w:szCs w:val="21"/>
              </w:rPr>
              <w:t>游离苯酚含量，%</w:t>
            </w:r>
            <w:r>
              <w:rPr>
                <w:bCs/>
                <w:spacing w:val="4"/>
                <w:szCs w:val="21"/>
              </w:rPr>
              <w:t>≤</w:t>
            </w:r>
          </w:p>
        </w:tc>
        <w:tc>
          <w:tcPr>
            <w:tcW w:w="3068" w:type="dxa"/>
            <w:noWrap w:val="0"/>
            <w:vAlign w:val="center"/>
          </w:tcPr>
          <w:p w14:paraId="36970242">
            <w:pPr>
              <w:pStyle w:val="219"/>
              <w:widowControl w:val="0"/>
              <w:ind w:firstLine="0"/>
              <w:jc w:val="center"/>
              <w:rPr>
                <w:bCs/>
                <w:spacing w:val="4"/>
                <w:szCs w:val="21"/>
              </w:rPr>
            </w:pPr>
            <w:r>
              <w:rPr>
                <w:rFonts w:hint="eastAsia"/>
                <w:bCs/>
                <w:spacing w:val="4"/>
                <w:szCs w:val="21"/>
              </w:rPr>
              <w:t>——</w:t>
            </w:r>
          </w:p>
        </w:tc>
        <w:tc>
          <w:tcPr>
            <w:tcW w:w="2132" w:type="dxa"/>
            <w:noWrap w:val="0"/>
            <w:vAlign w:val="center"/>
          </w:tcPr>
          <w:p w14:paraId="2A01FB95">
            <w:pPr>
              <w:pStyle w:val="219"/>
              <w:widowControl w:val="0"/>
              <w:ind w:firstLine="0"/>
              <w:jc w:val="center"/>
              <w:rPr>
                <w:rFonts w:eastAsia="宋体"/>
                <w:bCs/>
                <w:spacing w:val="4"/>
                <w:szCs w:val="21"/>
                <w:lang w:val="en-US" w:eastAsia="zh-CN"/>
              </w:rPr>
            </w:pPr>
            <w:r>
              <w:rPr>
                <w:rFonts w:hint="eastAsia"/>
                <w:bCs/>
                <w:spacing w:val="4"/>
                <w:szCs w:val="21"/>
                <w:lang w:val="en-US" w:eastAsia="zh-CN"/>
              </w:rPr>
              <w:t>1.0</w:t>
            </w:r>
          </w:p>
        </w:tc>
      </w:tr>
    </w:tbl>
    <w:p w14:paraId="4E72C6CB">
      <w:pPr>
        <w:pStyle w:val="188"/>
        <w:rPr>
          <w:rFonts w:hint="eastAsia"/>
          <w:lang w:val="en-US" w:eastAsia="zh-CN"/>
        </w:rPr>
      </w:pPr>
      <w:r>
        <w:rPr>
          <w:rFonts w:hint="eastAsia"/>
          <w:lang w:val="en-US" w:eastAsia="zh-CN"/>
        </w:rPr>
        <w:t>4.1.6改扩建后主要设备</w:t>
      </w:r>
    </w:p>
    <w:p w14:paraId="75350D94">
      <w:pPr>
        <w:ind w:firstLine="480"/>
        <w:rPr>
          <w:szCs w:val="21"/>
        </w:rPr>
      </w:pPr>
      <w:r>
        <w:rPr>
          <w:rFonts w:hint="eastAsia"/>
          <w:szCs w:val="21"/>
        </w:rPr>
        <w:t>根据建设方提供的资料，由于竹木加工生产工艺的改变及增设了制胶生产线，因此项目竹木加工所需要的设备部分依托原有设备，其余设备均为新购，根据现场勘查，新购设备大部分已经安装完毕，仅少量需要后期加购安装，改扩建完成后整个项目所需要的生产</w:t>
      </w:r>
      <w:r>
        <w:rPr>
          <w:szCs w:val="21"/>
        </w:rPr>
        <w:t>设备</w:t>
      </w:r>
      <w:r>
        <w:rPr>
          <w:rFonts w:hint="eastAsia"/>
          <w:szCs w:val="21"/>
        </w:rPr>
        <w:t>情况具体</w:t>
      </w:r>
      <w:r>
        <w:rPr>
          <w:szCs w:val="21"/>
        </w:rPr>
        <w:t xml:space="preserve">见表 </w:t>
      </w:r>
      <w:r>
        <w:rPr>
          <w:rFonts w:hint="eastAsia"/>
          <w:szCs w:val="21"/>
          <w:lang w:val="en-US" w:eastAsia="zh-CN"/>
        </w:rPr>
        <w:t>4.1</w:t>
      </w:r>
      <w:r>
        <w:rPr>
          <w:szCs w:val="21"/>
        </w:rPr>
        <w:t>-</w:t>
      </w:r>
      <w:r>
        <w:rPr>
          <w:rFonts w:hint="eastAsia"/>
          <w:szCs w:val="21"/>
          <w:lang w:val="en-US" w:eastAsia="zh-CN"/>
        </w:rPr>
        <w:t>6</w:t>
      </w:r>
      <w:r>
        <w:rPr>
          <w:szCs w:val="21"/>
        </w:rPr>
        <w:t>。</w:t>
      </w:r>
    </w:p>
    <w:p w14:paraId="386A9CD7">
      <w:pPr>
        <w:pStyle w:val="219"/>
        <w:spacing w:after="0"/>
        <w:ind w:firstLine="482"/>
        <w:jc w:val="center"/>
        <w:rPr>
          <w:b/>
          <w:bCs/>
          <w:sz w:val="24"/>
        </w:rPr>
      </w:pPr>
      <w:r>
        <w:rPr>
          <w:b/>
          <w:bCs/>
          <w:sz w:val="24"/>
        </w:rPr>
        <w:t xml:space="preserve">表 </w:t>
      </w:r>
      <w:r>
        <w:rPr>
          <w:rFonts w:hint="eastAsia" w:eastAsia="宋体"/>
          <w:b/>
          <w:bCs/>
          <w:sz w:val="24"/>
          <w:lang w:val="en-US" w:eastAsia="zh-CN"/>
        </w:rPr>
        <w:t>4.1</w:t>
      </w:r>
      <w:r>
        <w:rPr>
          <w:rFonts w:eastAsia="Times New Roman"/>
          <w:b/>
          <w:bCs/>
          <w:sz w:val="24"/>
        </w:rPr>
        <w:t>-</w:t>
      </w:r>
      <w:r>
        <w:rPr>
          <w:rFonts w:hint="eastAsia" w:eastAsia="宋体"/>
          <w:b/>
          <w:bCs/>
          <w:sz w:val="24"/>
          <w:lang w:val="en-US" w:eastAsia="zh-CN"/>
        </w:rPr>
        <w:t>6</w:t>
      </w:r>
      <w:r>
        <w:rPr>
          <w:rFonts w:eastAsia="Times New Roman"/>
          <w:b/>
          <w:bCs/>
          <w:sz w:val="24"/>
        </w:rPr>
        <w:t xml:space="preserve">  </w:t>
      </w:r>
      <w:r>
        <w:rPr>
          <w:rFonts w:hint="eastAsia" w:eastAsia="宋体"/>
          <w:b/>
          <w:bCs/>
          <w:sz w:val="24"/>
          <w:lang w:val="en-US" w:eastAsia="zh-CN"/>
        </w:rPr>
        <w:t>改扩建完成后</w:t>
      </w:r>
      <w:r>
        <w:rPr>
          <w:b/>
          <w:bCs/>
          <w:sz w:val="24"/>
        </w:rPr>
        <w:t>主要设备一览表</w:t>
      </w:r>
    </w:p>
    <w:tbl>
      <w:tblPr>
        <w:tblStyle w:val="32"/>
        <w:tblW w:w="871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198"/>
        <w:gridCol w:w="1729"/>
        <w:gridCol w:w="2121"/>
        <w:gridCol w:w="839"/>
        <w:gridCol w:w="886"/>
        <w:gridCol w:w="1944"/>
      </w:tblGrid>
      <w:tr w14:paraId="42356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PrEx>
        <w:trPr>
          <w:trHeight w:val="351" w:hRule="atLeast"/>
          <w:jc w:val="center"/>
        </w:trPr>
        <w:tc>
          <w:tcPr>
            <w:tcW w:w="1198" w:type="dxa"/>
            <w:noWrap w:val="0"/>
            <w:vAlign w:val="center"/>
          </w:tcPr>
          <w:p w14:paraId="60C2A1DD">
            <w:pPr>
              <w:pStyle w:val="421"/>
              <w:spacing w:line="321" w:lineRule="exact"/>
              <w:ind w:right="115" w:firstLine="0"/>
              <w:rPr>
                <w:rFonts w:ascii="Times New Roman" w:hAnsi="Times New Roman" w:eastAsia="宋体" w:cs="Times New Roman"/>
                <w:b/>
                <w:bCs/>
                <w:sz w:val="21"/>
                <w:szCs w:val="22"/>
              </w:rPr>
            </w:pPr>
            <w:r>
              <w:rPr>
                <w:rFonts w:ascii="Times New Roman" w:hAnsi="Times New Roman" w:eastAsia="宋体" w:cs="Times New Roman"/>
                <w:b/>
                <w:bCs/>
                <w:sz w:val="21"/>
                <w:szCs w:val="22"/>
              </w:rPr>
              <w:t>序号</w:t>
            </w:r>
          </w:p>
        </w:tc>
        <w:tc>
          <w:tcPr>
            <w:tcW w:w="1729" w:type="dxa"/>
            <w:noWrap w:val="0"/>
            <w:vAlign w:val="center"/>
          </w:tcPr>
          <w:p w14:paraId="230E5F69">
            <w:pPr>
              <w:pStyle w:val="421"/>
              <w:spacing w:line="321" w:lineRule="exact"/>
              <w:ind w:right="115" w:firstLine="0"/>
              <w:rPr>
                <w:rFonts w:ascii="Times New Roman" w:hAnsi="Times New Roman" w:eastAsia="宋体" w:cs="Times New Roman"/>
                <w:b/>
                <w:bCs/>
                <w:sz w:val="21"/>
                <w:szCs w:val="22"/>
              </w:rPr>
            </w:pPr>
            <w:r>
              <w:rPr>
                <w:rFonts w:ascii="Times New Roman" w:hAnsi="Times New Roman" w:eastAsia="宋体" w:cs="Times New Roman"/>
                <w:b/>
                <w:bCs/>
                <w:sz w:val="21"/>
                <w:szCs w:val="22"/>
              </w:rPr>
              <w:t>名称</w:t>
            </w:r>
          </w:p>
        </w:tc>
        <w:tc>
          <w:tcPr>
            <w:tcW w:w="2121" w:type="dxa"/>
            <w:noWrap w:val="0"/>
            <w:vAlign w:val="center"/>
          </w:tcPr>
          <w:p w14:paraId="2AB73FF7">
            <w:pPr>
              <w:pStyle w:val="421"/>
              <w:spacing w:line="321" w:lineRule="exact"/>
              <w:ind w:right="115" w:firstLine="0"/>
              <w:rPr>
                <w:rFonts w:ascii="Times New Roman" w:hAnsi="Times New Roman" w:eastAsia="宋体" w:cs="Times New Roman"/>
                <w:b/>
                <w:bCs/>
                <w:sz w:val="21"/>
                <w:szCs w:val="22"/>
              </w:rPr>
            </w:pPr>
            <w:r>
              <w:rPr>
                <w:rFonts w:ascii="Times New Roman" w:hAnsi="Times New Roman" w:eastAsia="宋体" w:cs="Times New Roman"/>
                <w:b/>
                <w:bCs/>
                <w:sz w:val="21"/>
                <w:szCs w:val="22"/>
              </w:rPr>
              <w:t>规格（型号）</w:t>
            </w:r>
          </w:p>
        </w:tc>
        <w:tc>
          <w:tcPr>
            <w:tcW w:w="839" w:type="dxa"/>
            <w:noWrap w:val="0"/>
            <w:vAlign w:val="center"/>
          </w:tcPr>
          <w:p w14:paraId="18A4801D">
            <w:pPr>
              <w:pStyle w:val="421"/>
              <w:spacing w:line="321" w:lineRule="exact"/>
              <w:ind w:right="115" w:firstLine="0"/>
              <w:rPr>
                <w:rFonts w:ascii="Times New Roman" w:hAnsi="Times New Roman" w:eastAsia="宋体" w:cs="Times New Roman"/>
                <w:b/>
                <w:bCs/>
                <w:sz w:val="21"/>
                <w:szCs w:val="22"/>
              </w:rPr>
            </w:pPr>
            <w:r>
              <w:rPr>
                <w:rFonts w:ascii="Times New Roman" w:hAnsi="Times New Roman" w:eastAsia="宋体" w:cs="Times New Roman"/>
                <w:b/>
                <w:bCs/>
                <w:sz w:val="21"/>
                <w:szCs w:val="22"/>
              </w:rPr>
              <w:t>单位</w:t>
            </w:r>
          </w:p>
        </w:tc>
        <w:tc>
          <w:tcPr>
            <w:tcW w:w="886" w:type="dxa"/>
            <w:noWrap w:val="0"/>
            <w:vAlign w:val="center"/>
          </w:tcPr>
          <w:p w14:paraId="33DE13B1">
            <w:pPr>
              <w:pStyle w:val="421"/>
              <w:spacing w:line="321" w:lineRule="exact"/>
              <w:ind w:right="115" w:firstLine="0"/>
              <w:rPr>
                <w:rFonts w:ascii="Times New Roman" w:hAnsi="Times New Roman" w:eastAsia="宋体" w:cs="Times New Roman"/>
                <w:b/>
                <w:bCs/>
                <w:sz w:val="21"/>
                <w:szCs w:val="22"/>
              </w:rPr>
            </w:pPr>
            <w:r>
              <w:rPr>
                <w:rFonts w:ascii="Times New Roman" w:hAnsi="Times New Roman" w:eastAsia="宋体" w:cs="Times New Roman"/>
                <w:b/>
                <w:bCs/>
                <w:sz w:val="21"/>
                <w:szCs w:val="22"/>
              </w:rPr>
              <w:t>数量</w:t>
            </w:r>
          </w:p>
        </w:tc>
        <w:tc>
          <w:tcPr>
            <w:tcW w:w="1944" w:type="dxa"/>
            <w:noWrap w:val="0"/>
            <w:vAlign w:val="center"/>
          </w:tcPr>
          <w:p w14:paraId="1C22D956">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备注</w:t>
            </w:r>
          </w:p>
        </w:tc>
      </w:tr>
      <w:tr w14:paraId="6C6E9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5F16C8FE">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一</w:t>
            </w:r>
          </w:p>
        </w:tc>
        <w:tc>
          <w:tcPr>
            <w:tcW w:w="7519" w:type="dxa"/>
            <w:gridSpan w:val="5"/>
            <w:noWrap w:val="0"/>
            <w:vAlign w:val="center"/>
          </w:tcPr>
          <w:p w14:paraId="7B30A685">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板材生产线</w:t>
            </w:r>
          </w:p>
        </w:tc>
      </w:tr>
      <w:tr w14:paraId="57A9B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1AD60D8B">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（一）</w:t>
            </w:r>
          </w:p>
        </w:tc>
        <w:tc>
          <w:tcPr>
            <w:tcW w:w="1729" w:type="dxa"/>
            <w:noWrap w:val="0"/>
            <w:vAlign w:val="center"/>
          </w:tcPr>
          <w:p w14:paraId="7EB46BAD">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刨片工段</w:t>
            </w:r>
          </w:p>
        </w:tc>
        <w:tc>
          <w:tcPr>
            <w:tcW w:w="2121" w:type="dxa"/>
            <w:noWrap w:val="0"/>
            <w:vAlign w:val="center"/>
          </w:tcPr>
          <w:p w14:paraId="78B82089">
            <w:pPr>
              <w:pStyle w:val="421"/>
              <w:spacing w:line="321" w:lineRule="exact"/>
              <w:ind w:right="115" w:firstLine="0"/>
              <w:rPr>
                <w:rFonts w:ascii="Times New Roman" w:hAnsi="Times New Roman" w:eastAsia="宋体" w:cs="Times New Roman"/>
                <w:b/>
                <w:bCs/>
                <w:sz w:val="21"/>
                <w:szCs w:val="22"/>
              </w:rPr>
            </w:pPr>
          </w:p>
        </w:tc>
        <w:tc>
          <w:tcPr>
            <w:tcW w:w="839" w:type="dxa"/>
            <w:noWrap w:val="0"/>
            <w:vAlign w:val="center"/>
          </w:tcPr>
          <w:p w14:paraId="164361D0">
            <w:pPr>
              <w:pStyle w:val="421"/>
              <w:spacing w:line="321" w:lineRule="exact"/>
              <w:ind w:right="115" w:firstLine="0"/>
              <w:rPr>
                <w:rFonts w:ascii="Times New Roman" w:hAnsi="Times New Roman" w:eastAsia="宋体" w:cs="Times New Roman"/>
                <w:b/>
                <w:bCs/>
                <w:sz w:val="21"/>
                <w:szCs w:val="22"/>
              </w:rPr>
            </w:pPr>
          </w:p>
        </w:tc>
        <w:tc>
          <w:tcPr>
            <w:tcW w:w="886" w:type="dxa"/>
            <w:noWrap w:val="0"/>
            <w:vAlign w:val="center"/>
          </w:tcPr>
          <w:p w14:paraId="253A2EBD">
            <w:pPr>
              <w:pStyle w:val="421"/>
              <w:spacing w:line="321" w:lineRule="exact"/>
              <w:ind w:right="115" w:firstLine="0"/>
              <w:rPr>
                <w:rFonts w:ascii="Times New Roman" w:hAnsi="Times New Roman" w:eastAsia="宋体" w:cs="Times New Roman"/>
                <w:b/>
                <w:bCs/>
                <w:sz w:val="21"/>
                <w:szCs w:val="22"/>
              </w:rPr>
            </w:pPr>
          </w:p>
        </w:tc>
        <w:tc>
          <w:tcPr>
            <w:tcW w:w="1944" w:type="dxa"/>
            <w:noWrap w:val="0"/>
            <w:vAlign w:val="center"/>
          </w:tcPr>
          <w:p w14:paraId="1163E6EA">
            <w:pPr>
              <w:pStyle w:val="421"/>
              <w:spacing w:line="321" w:lineRule="exact"/>
              <w:ind w:right="115" w:firstLine="0"/>
              <w:rPr>
                <w:rFonts w:ascii="Times New Roman" w:hAnsi="Times New Roman" w:eastAsia="宋体" w:cs="Times New Roman"/>
                <w:b/>
                <w:bCs/>
                <w:sz w:val="21"/>
                <w:szCs w:val="22"/>
              </w:rPr>
            </w:pPr>
          </w:p>
        </w:tc>
      </w:tr>
      <w:tr w14:paraId="06078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780BBC5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5DF08A34">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断竹机</w:t>
            </w:r>
          </w:p>
        </w:tc>
        <w:tc>
          <w:tcPr>
            <w:tcW w:w="2121" w:type="dxa"/>
            <w:noWrap w:val="0"/>
            <w:vAlign w:val="center"/>
          </w:tcPr>
          <w:p w14:paraId="390F592D">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自制</w:t>
            </w:r>
          </w:p>
        </w:tc>
        <w:tc>
          <w:tcPr>
            <w:tcW w:w="839" w:type="dxa"/>
            <w:noWrap w:val="0"/>
            <w:vAlign w:val="center"/>
          </w:tcPr>
          <w:p w14:paraId="356CD68B">
            <w:pPr>
              <w:pStyle w:val="421"/>
              <w:spacing w:line="321" w:lineRule="exact"/>
              <w:ind w:right="115" w:firstLine="0"/>
              <w:rPr>
                <w:rFonts w:ascii="Times New Roman" w:hAnsi="Times New Roman" w:eastAsia="宋体" w:cs="Times New Roman"/>
                <w:sz w:val="21"/>
                <w:szCs w:val="22"/>
              </w:rPr>
            </w:pPr>
            <w:r>
              <w:rPr>
                <w:rFonts w:ascii="Times New Roman" w:hAnsi="Times New Roman" w:eastAsia="宋体" w:cs="Times New Roman"/>
                <w:sz w:val="21"/>
                <w:szCs w:val="22"/>
              </w:rPr>
              <w:t>台</w:t>
            </w:r>
          </w:p>
        </w:tc>
        <w:tc>
          <w:tcPr>
            <w:tcW w:w="886" w:type="dxa"/>
            <w:noWrap w:val="0"/>
            <w:vAlign w:val="center"/>
          </w:tcPr>
          <w:p w14:paraId="52E202A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9</w:t>
            </w:r>
          </w:p>
        </w:tc>
        <w:tc>
          <w:tcPr>
            <w:tcW w:w="1944" w:type="dxa"/>
            <w:noWrap w:val="0"/>
            <w:vAlign w:val="center"/>
          </w:tcPr>
          <w:p w14:paraId="4FEABD5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083CA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20441BC2">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12E2280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刨片机</w:t>
            </w:r>
          </w:p>
        </w:tc>
        <w:tc>
          <w:tcPr>
            <w:tcW w:w="2121" w:type="dxa"/>
            <w:noWrap w:val="0"/>
            <w:vAlign w:val="center"/>
          </w:tcPr>
          <w:p w14:paraId="4495055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自制</w:t>
            </w:r>
          </w:p>
        </w:tc>
        <w:tc>
          <w:tcPr>
            <w:tcW w:w="839" w:type="dxa"/>
            <w:noWrap w:val="0"/>
            <w:vAlign w:val="center"/>
          </w:tcPr>
          <w:p w14:paraId="2F145B4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2B573BB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38</w:t>
            </w:r>
          </w:p>
        </w:tc>
        <w:tc>
          <w:tcPr>
            <w:tcW w:w="1944" w:type="dxa"/>
            <w:noWrap w:val="0"/>
            <w:vAlign w:val="center"/>
          </w:tcPr>
          <w:p w14:paraId="0FCCC37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依托原有项目1台；新增37台，已安装</w:t>
            </w:r>
          </w:p>
        </w:tc>
      </w:tr>
      <w:tr w14:paraId="708E5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04E5090F">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6AF37B0A">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磨刀机</w:t>
            </w:r>
          </w:p>
        </w:tc>
        <w:tc>
          <w:tcPr>
            <w:tcW w:w="2121" w:type="dxa"/>
            <w:noWrap w:val="0"/>
            <w:vAlign w:val="center"/>
          </w:tcPr>
          <w:p w14:paraId="0B81719F">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30D6EFA3">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1E91065A">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5AF5A6F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3A31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57B9F879">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（二）</w:t>
            </w:r>
          </w:p>
        </w:tc>
        <w:tc>
          <w:tcPr>
            <w:tcW w:w="1729" w:type="dxa"/>
            <w:noWrap w:val="0"/>
            <w:vAlign w:val="center"/>
          </w:tcPr>
          <w:p w14:paraId="44317AFA">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干燥段</w:t>
            </w:r>
          </w:p>
        </w:tc>
        <w:tc>
          <w:tcPr>
            <w:tcW w:w="2121" w:type="dxa"/>
            <w:noWrap w:val="0"/>
            <w:vAlign w:val="center"/>
          </w:tcPr>
          <w:p w14:paraId="425975EF">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31A682A9">
            <w:pPr>
              <w:pStyle w:val="421"/>
              <w:spacing w:line="321" w:lineRule="exact"/>
              <w:ind w:right="115" w:firstLine="0"/>
              <w:rPr>
                <w:rFonts w:hint="eastAsia" w:ascii="Times New Roman" w:hAnsi="Times New Roman" w:eastAsia="宋体" w:cs="Times New Roman"/>
                <w:sz w:val="21"/>
                <w:szCs w:val="22"/>
              </w:rPr>
            </w:pPr>
          </w:p>
        </w:tc>
        <w:tc>
          <w:tcPr>
            <w:tcW w:w="886" w:type="dxa"/>
            <w:noWrap w:val="0"/>
            <w:vAlign w:val="center"/>
          </w:tcPr>
          <w:p w14:paraId="42D6CD90">
            <w:pPr>
              <w:pStyle w:val="421"/>
              <w:spacing w:line="321" w:lineRule="exact"/>
              <w:ind w:right="115" w:firstLine="0"/>
              <w:rPr>
                <w:rFonts w:hint="eastAsia" w:ascii="Times New Roman" w:hAnsi="Times New Roman" w:eastAsia="宋体" w:cs="Times New Roman"/>
                <w:sz w:val="21"/>
                <w:szCs w:val="22"/>
              </w:rPr>
            </w:pPr>
          </w:p>
        </w:tc>
        <w:tc>
          <w:tcPr>
            <w:tcW w:w="1944" w:type="dxa"/>
            <w:noWrap w:val="0"/>
            <w:vAlign w:val="center"/>
          </w:tcPr>
          <w:p w14:paraId="7008296C">
            <w:pPr>
              <w:pStyle w:val="421"/>
              <w:spacing w:line="321" w:lineRule="exact"/>
              <w:ind w:right="115" w:firstLine="0"/>
              <w:rPr>
                <w:rFonts w:hint="eastAsia" w:ascii="Times New Roman" w:hAnsi="Times New Roman" w:eastAsia="宋体" w:cs="Times New Roman"/>
                <w:sz w:val="21"/>
                <w:szCs w:val="22"/>
              </w:rPr>
            </w:pPr>
          </w:p>
        </w:tc>
      </w:tr>
      <w:tr w14:paraId="25C9E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61" w:hRule="atLeast"/>
          <w:jc w:val="center"/>
        </w:trPr>
        <w:tc>
          <w:tcPr>
            <w:tcW w:w="1198" w:type="dxa"/>
            <w:noWrap w:val="0"/>
            <w:vAlign w:val="center"/>
          </w:tcPr>
          <w:p w14:paraId="424BABB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24FDEAA7">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有机热载体炉</w:t>
            </w:r>
          </w:p>
        </w:tc>
        <w:tc>
          <w:tcPr>
            <w:tcW w:w="2121" w:type="dxa"/>
            <w:noWrap w:val="0"/>
            <w:vAlign w:val="center"/>
          </w:tcPr>
          <w:p w14:paraId="168D24E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YGL-12000</w:t>
            </w:r>
          </w:p>
        </w:tc>
        <w:tc>
          <w:tcPr>
            <w:tcW w:w="839" w:type="dxa"/>
            <w:noWrap w:val="0"/>
            <w:vAlign w:val="center"/>
          </w:tcPr>
          <w:p w14:paraId="24E673F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7AED86B9">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118BF05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进料系统1套，蒸汽发生器1套，水处理1套，热油泵3台，应急降温1套，引风机1台，鼓风机1台，二次燃烧风机1台。</w:t>
            </w:r>
          </w:p>
          <w:p w14:paraId="6AB0C39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146D5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77B974DA">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5A83AF42">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湿料仓</w:t>
            </w:r>
          </w:p>
        </w:tc>
        <w:tc>
          <w:tcPr>
            <w:tcW w:w="2121" w:type="dxa"/>
            <w:noWrap w:val="0"/>
            <w:vAlign w:val="center"/>
          </w:tcPr>
          <w:p w14:paraId="777745F0">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2FB2001E">
            <w:pPr>
              <w:pStyle w:val="421"/>
              <w:spacing w:line="321" w:lineRule="exact"/>
              <w:ind w:right="115" w:firstLine="0"/>
              <w:rPr>
                <w:rFonts w:ascii="Times New Roman" w:hAnsi="Times New Roman" w:eastAsia="宋体" w:cs="Times New Roman"/>
                <w:sz w:val="21"/>
                <w:szCs w:val="22"/>
              </w:rPr>
            </w:pPr>
            <w:r>
              <w:rPr>
                <w:rFonts w:ascii="Times New Roman" w:hAnsi="Times New Roman" w:eastAsia="宋体" w:cs="Times New Roman"/>
                <w:sz w:val="21"/>
                <w:szCs w:val="22"/>
              </w:rPr>
              <w:t>台</w:t>
            </w:r>
          </w:p>
        </w:tc>
        <w:tc>
          <w:tcPr>
            <w:tcW w:w="886" w:type="dxa"/>
            <w:noWrap w:val="0"/>
            <w:vAlign w:val="center"/>
          </w:tcPr>
          <w:p w14:paraId="410873B3">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291809B2">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5775C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07DB6142">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69C34B64">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干燥机</w:t>
            </w:r>
          </w:p>
        </w:tc>
        <w:tc>
          <w:tcPr>
            <w:tcW w:w="2121" w:type="dxa"/>
            <w:noWrap w:val="0"/>
            <w:vAlign w:val="center"/>
          </w:tcPr>
          <w:p w14:paraId="66C38C35">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01CE25D1">
            <w:pPr>
              <w:pStyle w:val="421"/>
              <w:spacing w:line="321" w:lineRule="exact"/>
              <w:ind w:right="115" w:firstLine="0"/>
              <w:rPr>
                <w:rFonts w:ascii="Times New Roman" w:hAnsi="Times New Roman" w:eastAsia="宋体" w:cs="Times New Roman"/>
                <w:sz w:val="21"/>
                <w:szCs w:val="22"/>
              </w:rPr>
            </w:pPr>
            <w:r>
              <w:rPr>
                <w:rFonts w:ascii="Times New Roman" w:hAnsi="Times New Roman" w:eastAsia="宋体" w:cs="Times New Roman"/>
                <w:sz w:val="21"/>
                <w:szCs w:val="22"/>
              </w:rPr>
              <w:t>套</w:t>
            </w:r>
          </w:p>
        </w:tc>
        <w:tc>
          <w:tcPr>
            <w:tcW w:w="886" w:type="dxa"/>
            <w:noWrap w:val="0"/>
            <w:vAlign w:val="center"/>
          </w:tcPr>
          <w:p w14:paraId="3AC1158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944" w:type="dxa"/>
            <w:noWrap w:val="0"/>
            <w:vAlign w:val="center"/>
          </w:tcPr>
          <w:p w14:paraId="3388556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依托原有项目2台；新增1台，已安装</w:t>
            </w:r>
          </w:p>
        </w:tc>
      </w:tr>
      <w:tr w14:paraId="5B7B8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90" w:hRule="atLeast"/>
          <w:jc w:val="center"/>
        </w:trPr>
        <w:tc>
          <w:tcPr>
            <w:tcW w:w="1198" w:type="dxa"/>
            <w:noWrap w:val="0"/>
            <w:vAlign w:val="center"/>
          </w:tcPr>
          <w:p w14:paraId="1D865692">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729" w:type="dxa"/>
            <w:noWrap w:val="0"/>
            <w:vAlign w:val="center"/>
          </w:tcPr>
          <w:p w14:paraId="750FD4B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排湿风机</w:t>
            </w:r>
          </w:p>
        </w:tc>
        <w:tc>
          <w:tcPr>
            <w:tcW w:w="2121" w:type="dxa"/>
            <w:noWrap w:val="0"/>
            <w:vAlign w:val="center"/>
          </w:tcPr>
          <w:p w14:paraId="2DEE0D2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6-48</w:t>
            </w:r>
          </w:p>
        </w:tc>
        <w:tc>
          <w:tcPr>
            <w:tcW w:w="839" w:type="dxa"/>
            <w:noWrap w:val="0"/>
            <w:vAlign w:val="center"/>
          </w:tcPr>
          <w:p w14:paraId="4323FFCD">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23F1478F">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944" w:type="dxa"/>
            <w:noWrap w:val="0"/>
            <w:vAlign w:val="center"/>
          </w:tcPr>
          <w:p w14:paraId="0BE52071">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12510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2E58220F">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5</w:t>
            </w:r>
          </w:p>
        </w:tc>
        <w:tc>
          <w:tcPr>
            <w:tcW w:w="1729" w:type="dxa"/>
            <w:noWrap w:val="0"/>
            <w:vAlign w:val="center"/>
          </w:tcPr>
          <w:p w14:paraId="5D01923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排湿旋风</w:t>
            </w:r>
          </w:p>
        </w:tc>
        <w:tc>
          <w:tcPr>
            <w:tcW w:w="2121" w:type="dxa"/>
            <w:noWrap w:val="0"/>
            <w:vAlign w:val="center"/>
          </w:tcPr>
          <w:p w14:paraId="345B9328">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5D8069B1">
            <w:pPr>
              <w:pStyle w:val="421"/>
              <w:spacing w:line="321" w:lineRule="exact"/>
              <w:ind w:right="115" w:firstLine="0"/>
              <w:rPr>
                <w:rFonts w:ascii="Times New Roman" w:hAnsi="Times New Roman" w:eastAsia="宋体" w:cs="Times New Roman"/>
                <w:sz w:val="21"/>
                <w:szCs w:val="22"/>
              </w:rPr>
            </w:pPr>
            <w:r>
              <w:rPr>
                <w:rFonts w:ascii="Times New Roman" w:hAnsi="Times New Roman" w:eastAsia="宋体" w:cs="Times New Roman"/>
                <w:sz w:val="21"/>
                <w:szCs w:val="22"/>
              </w:rPr>
              <w:t>台</w:t>
            </w:r>
          </w:p>
        </w:tc>
        <w:tc>
          <w:tcPr>
            <w:tcW w:w="886" w:type="dxa"/>
            <w:noWrap w:val="0"/>
            <w:vAlign w:val="center"/>
          </w:tcPr>
          <w:p w14:paraId="0F27AAA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944" w:type="dxa"/>
            <w:noWrap w:val="0"/>
            <w:vAlign w:val="center"/>
          </w:tcPr>
          <w:p w14:paraId="420257A2">
            <w:pPr>
              <w:tabs>
                <w:tab w:val="left" w:pos="385"/>
              </w:tabs>
              <w:spacing w:line="321" w:lineRule="exact"/>
              <w:ind w:right="115" w:firstLine="0"/>
              <w:jc w:val="center"/>
              <w:rPr>
                <w:rFonts w:hint="eastAsia"/>
                <w:sz w:val="21"/>
                <w:szCs w:val="22"/>
              </w:rPr>
            </w:pPr>
            <w:r>
              <w:rPr>
                <w:rFonts w:hint="eastAsia"/>
                <w:sz w:val="21"/>
                <w:szCs w:val="22"/>
              </w:rPr>
              <w:t>新增，已安装</w:t>
            </w:r>
          </w:p>
        </w:tc>
      </w:tr>
      <w:tr w14:paraId="4D36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3060996A">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6</w:t>
            </w:r>
          </w:p>
        </w:tc>
        <w:tc>
          <w:tcPr>
            <w:tcW w:w="1729" w:type="dxa"/>
            <w:noWrap w:val="0"/>
            <w:vAlign w:val="center"/>
          </w:tcPr>
          <w:p w14:paraId="3BD5537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筛选机</w:t>
            </w:r>
          </w:p>
        </w:tc>
        <w:tc>
          <w:tcPr>
            <w:tcW w:w="2121" w:type="dxa"/>
            <w:noWrap w:val="0"/>
            <w:vAlign w:val="center"/>
          </w:tcPr>
          <w:p w14:paraId="5540675D">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1F86786E">
            <w:pPr>
              <w:pStyle w:val="421"/>
              <w:spacing w:line="321" w:lineRule="exact"/>
              <w:ind w:right="115" w:firstLine="0"/>
              <w:rPr>
                <w:rFonts w:ascii="Times New Roman" w:hAnsi="Times New Roman" w:eastAsia="宋体" w:cs="Times New Roman"/>
                <w:sz w:val="21"/>
                <w:szCs w:val="22"/>
              </w:rPr>
            </w:pPr>
            <w:r>
              <w:rPr>
                <w:rFonts w:ascii="Times New Roman" w:hAnsi="Times New Roman" w:eastAsia="宋体" w:cs="Times New Roman"/>
                <w:sz w:val="21"/>
                <w:szCs w:val="22"/>
              </w:rPr>
              <w:t>台</w:t>
            </w:r>
          </w:p>
        </w:tc>
        <w:tc>
          <w:tcPr>
            <w:tcW w:w="886" w:type="dxa"/>
            <w:noWrap w:val="0"/>
            <w:vAlign w:val="center"/>
          </w:tcPr>
          <w:p w14:paraId="3FD41FA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73DD6EB4">
            <w:pPr>
              <w:spacing w:line="321" w:lineRule="exact"/>
              <w:ind w:right="115" w:firstLine="0"/>
              <w:jc w:val="center"/>
              <w:rPr>
                <w:rFonts w:hint="eastAsia"/>
                <w:sz w:val="21"/>
                <w:szCs w:val="22"/>
              </w:rPr>
            </w:pPr>
            <w:r>
              <w:rPr>
                <w:rFonts w:hint="eastAsia"/>
                <w:sz w:val="21"/>
                <w:szCs w:val="22"/>
              </w:rPr>
              <w:t>新增，已安装</w:t>
            </w:r>
          </w:p>
        </w:tc>
      </w:tr>
      <w:tr w14:paraId="51DE0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5AD4AAB4">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7</w:t>
            </w:r>
          </w:p>
        </w:tc>
        <w:tc>
          <w:tcPr>
            <w:tcW w:w="1729" w:type="dxa"/>
            <w:noWrap w:val="0"/>
            <w:vAlign w:val="center"/>
          </w:tcPr>
          <w:p w14:paraId="54A9AB3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除尘旋风布袋</w:t>
            </w:r>
          </w:p>
        </w:tc>
        <w:tc>
          <w:tcPr>
            <w:tcW w:w="2121" w:type="dxa"/>
            <w:noWrap w:val="0"/>
            <w:vAlign w:val="center"/>
          </w:tcPr>
          <w:p w14:paraId="4454405D">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49A8A870">
            <w:pPr>
              <w:pStyle w:val="421"/>
              <w:spacing w:line="321" w:lineRule="exact"/>
              <w:ind w:right="115" w:firstLine="0"/>
              <w:rPr>
                <w:rFonts w:ascii="Times New Roman" w:hAnsi="Times New Roman" w:eastAsia="宋体" w:cs="Times New Roman"/>
                <w:sz w:val="21"/>
                <w:szCs w:val="22"/>
              </w:rPr>
            </w:pPr>
            <w:r>
              <w:rPr>
                <w:rFonts w:ascii="Times New Roman" w:hAnsi="Times New Roman" w:eastAsia="宋体" w:cs="Times New Roman"/>
                <w:sz w:val="21"/>
                <w:szCs w:val="22"/>
              </w:rPr>
              <w:t>台</w:t>
            </w:r>
          </w:p>
        </w:tc>
        <w:tc>
          <w:tcPr>
            <w:tcW w:w="886" w:type="dxa"/>
            <w:noWrap w:val="0"/>
            <w:vAlign w:val="center"/>
          </w:tcPr>
          <w:p w14:paraId="7BE1C212">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4D99A9CB">
            <w:pPr>
              <w:spacing w:line="321" w:lineRule="exact"/>
              <w:ind w:right="115" w:firstLine="0"/>
              <w:jc w:val="center"/>
              <w:rPr>
                <w:rFonts w:hint="eastAsia"/>
                <w:sz w:val="21"/>
                <w:szCs w:val="22"/>
              </w:rPr>
            </w:pPr>
            <w:r>
              <w:rPr>
                <w:rFonts w:hint="eastAsia"/>
                <w:sz w:val="21"/>
                <w:szCs w:val="22"/>
              </w:rPr>
              <w:t>新增，已安装</w:t>
            </w:r>
          </w:p>
        </w:tc>
      </w:tr>
      <w:tr w14:paraId="1649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1" w:hRule="atLeast"/>
          <w:jc w:val="center"/>
        </w:trPr>
        <w:tc>
          <w:tcPr>
            <w:tcW w:w="1198" w:type="dxa"/>
            <w:noWrap w:val="0"/>
            <w:vAlign w:val="center"/>
          </w:tcPr>
          <w:p w14:paraId="1EF0704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8</w:t>
            </w:r>
          </w:p>
        </w:tc>
        <w:tc>
          <w:tcPr>
            <w:tcW w:w="1729" w:type="dxa"/>
            <w:noWrap w:val="0"/>
            <w:vAlign w:val="center"/>
          </w:tcPr>
          <w:p w14:paraId="2FA67D6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皮带输送机</w:t>
            </w:r>
          </w:p>
        </w:tc>
        <w:tc>
          <w:tcPr>
            <w:tcW w:w="2121" w:type="dxa"/>
            <w:noWrap w:val="0"/>
            <w:vAlign w:val="center"/>
          </w:tcPr>
          <w:p w14:paraId="3D5849B1">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065A758E">
            <w:pPr>
              <w:pStyle w:val="421"/>
              <w:spacing w:line="321" w:lineRule="exact"/>
              <w:ind w:right="115" w:firstLine="0"/>
              <w:rPr>
                <w:rFonts w:ascii="Times New Roman" w:hAnsi="Times New Roman" w:eastAsia="宋体" w:cs="Times New Roman"/>
                <w:sz w:val="21"/>
                <w:szCs w:val="22"/>
              </w:rPr>
            </w:pPr>
            <w:r>
              <w:rPr>
                <w:rFonts w:ascii="Times New Roman" w:hAnsi="Times New Roman" w:eastAsia="宋体" w:cs="Times New Roman"/>
                <w:sz w:val="21"/>
                <w:szCs w:val="22"/>
              </w:rPr>
              <w:t>台</w:t>
            </w:r>
          </w:p>
        </w:tc>
        <w:tc>
          <w:tcPr>
            <w:tcW w:w="886" w:type="dxa"/>
            <w:noWrap w:val="0"/>
            <w:vAlign w:val="center"/>
          </w:tcPr>
          <w:p w14:paraId="79EB663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21</w:t>
            </w:r>
          </w:p>
        </w:tc>
        <w:tc>
          <w:tcPr>
            <w:tcW w:w="1944" w:type="dxa"/>
            <w:noWrap w:val="0"/>
            <w:vAlign w:val="center"/>
          </w:tcPr>
          <w:p w14:paraId="6D3E028D">
            <w:pPr>
              <w:spacing w:line="321" w:lineRule="exact"/>
              <w:ind w:right="115" w:firstLine="0"/>
              <w:jc w:val="center"/>
              <w:rPr>
                <w:rFonts w:hint="eastAsia"/>
                <w:sz w:val="21"/>
                <w:szCs w:val="22"/>
              </w:rPr>
            </w:pPr>
            <w:r>
              <w:rPr>
                <w:rFonts w:hint="eastAsia"/>
                <w:sz w:val="21"/>
                <w:szCs w:val="22"/>
              </w:rPr>
              <w:t>新增，已安装</w:t>
            </w:r>
          </w:p>
        </w:tc>
      </w:tr>
      <w:tr w14:paraId="1AE70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79" w:hRule="atLeast"/>
          <w:jc w:val="center"/>
        </w:trPr>
        <w:tc>
          <w:tcPr>
            <w:tcW w:w="1198" w:type="dxa"/>
            <w:noWrap w:val="0"/>
            <w:vAlign w:val="center"/>
          </w:tcPr>
          <w:p w14:paraId="59DC0C95">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（三）</w:t>
            </w:r>
          </w:p>
        </w:tc>
        <w:tc>
          <w:tcPr>
            <w:tcW w:w="1729" w:type="dxa"/>
            <w:noWrap w:val="0"/>
            <w:vAlign w:val="center"/>
          </w:tcPr>
          <w:p w14:paraId="43534B2A">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施胶段</w:t>
            </w:r>
          </w:p>
        </w:tc>
        <w:tc>
          <w:tcPr>
            <w:tcW w:w="2121" w:type="dxa"/>
            <w:noWrap w:val="0"/>
            <w:vAlign w:val="center"/>
          </w:tcPr>
          <w:p w14:paraId="7026F740">
            <w:pPr>
              <w:pStyle w:val="421"/>
              <w:spacing w:line="321" w:lineRule="exact"/>
              <w:ind w:right="115" w:firstLine="0"/>
              <w:rPr>
                <w:rFonts w:ascii="Times New Roman" w:hAnsi="Times New Roman" w:eastAsia="宋体" w:cs="Times New Roman"/>
                <w:sz w:val="21"/>
                <w:szCs w:val="22"/>
              </w:rPr>
            </w:pPr>
          </w:p>
        </w:tc>
        <w:tc>
          <w:tcPr>
            <w:tcW w:w="839" w:type="dxa"/>
            <w:noWrap w:val="0"/>
            <w:vAlign w:val="center"/>
          </w:tcPr>
          <w:p w14:paraId="519D5A62">
            <w:pPr>
              <w:pStyle w:val="421"/>
              <w:spacing w:line="321" w:lineRule="exact"/>
              <w:ind w:right="115" w:firstLine="0"/>
              <w:rPr>
                <w:rFonts w:ascii="Times New Roman" w:hAnsi="Times New Roman" w:eastAsia="宋体" w:cs="Times New Roman"/>
                <w:sz w:val="21"/>
                <w:szCs w:val="22"/>
              </w:rPr>
            </w:pPr>
          </w:p>
        </w:tc>
        <w:tc>
          <w:tcPr>
            <w:tcW w:w="886" w:type="dxa"/>
            <w:noWrap w:val="0"/>
            <w:vAlign w:val="center"/>
          </w:tcPr>
          <w:p w14:paraId="75E4DD12">
            <w:pPr>
              <w:pStyle w:val="421"/>
              <w:spacing w:line="321" w:lineRule="exact"/>
              <w:ind w:right="115" w:firstLine="0"/>
              <w:rPr>
                <w:rFonts w:ascii="Times New Roman" w:hAnsi="Times New Roman" w:eastAsia="宋体" w:cs="Times New Roman"/>
                <w:sz w:val="21"/>
                <w:szCs w:val="22"/>
              </w:rPr>
            </w:pPr>
          </w:p>
        </w:tc>
        <w:tc>
          <w:tcPr>
            <w:tcW w:w="1944" w:type="dxa"/>
            <w:noWrap w:val="0"/>
            <w:vAlign w:val="center"/>
          </w:tcPr>
          <w:p w14:paraId="1EDFC2B7">
            <w:pPr>
              <w:pStyle w:val="421"/>
              <w:spacing w:line="321" w:lineRule="exact"/>
              <w:ind w:right="115" w:firstLine="0"/>
              <w:rPr>
                <w:rFonts w:hint="eastAsia" w:ascii="Times New Roman" w:hAnsi="Times New Roman" w:eastAsia="宋体" w:cs="Times New Roman"/>
                <w:sz w:val="21"/>
                <w:szCs w:val="22"/>
              </w:rPr>
            </w:pPr>
          </w:p>
        </w:tc>
      </w:tr>
      <w:tr w14:paraId="1CEC8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9" w:hRule="atLeast"/>
          <w:jc w:val="center"/>
        </w:trPr>
        <w:tc>
          <w:tcPr>
            <w:tcW w:w="1198" w:type="dxa"/>
            <w:noWrap w:val="0"/>
            <w:vAlign w:val="center"/>
          </w:tcPr>
          <w:p w14:paraId="19DB2A70">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2A2C22BD">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干料仓</w:t>
            </w:r>
          </w:p>
        </w:tc>
        <w:tc>
          <w:tcPr>
            <w:tcW w:w="2121" w:type="dxa"/>
            <w:noWrap w:val="0"/>
            <w:vAlign w:val="center"/>
          </w:tcPr>
          <w:p w14:paraId="389F3791">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3A55C0D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58001E7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022C604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7A7B7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6D542275">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3F19138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拌胶机</w:t>
            </w:r>
          </w:p>
        </w:tc>
        <w:tc>
          <w:tcPr>
            <w:tcW w:w="2121" w:type="dxa"/>
            <w:noWrap w:val="0"/>
            <w:vAlign w:val="center"/>
          </w:tcPr>
          <w:p w14:paraId="07AE89CA">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32F167B9">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6429835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944" w:type="dxa"/>
            <w:noWrap w:val="0"/>
            <w:vAlign w:val="center"/>
          </w:tcPr>
          <w:p w14:paraId="5AA2A67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依托原有项目1台；新增3台，已安装</w:t>
            </w:r>
          </w:p>
        </w:tc>
      </w:tr>
      <w:tr w14:paraId="60098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7D3514E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48FC60A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皮带输送机</w:t>
            </w:r>
          </w:p>
        </w:tc>
        <w:tc>
          <w:tcPr>
            <w:tcW w:w="2121" w:type="dxa"/>
            <w:noWrap w:val="0"/>
            <w:vAlign w:val="center"/>
          </w:tcPr>
          <w:p w14:paraId="2632CB85">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26C38D5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0B9B3219">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15</w:t>
            </w:r>
          </w:p>
        </w:tc>
        <w:tc>
          <w:tcPr>
            <w:tcW w:w="1944" w:type="dxa"/>
            <w:noWrap w:val="0"/>
            <w:vAlign w:val="center"/>
          </w:tcPr>
          <w:p w14:paraId="133A0D92">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01353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76B23E65">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729" w:type="dxa"/>
            <w:noWrap w:val="0"/>
            <w:vAlign w:val="center"/>
          </w:tcPr>
          <w:p w14:paraId="538400C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施胶系统</w:t>
            </w:r>
          </w:p>
        </w:tc>
        <w:tc>
          <w:tcPr>
            <w:tcW w:w="2121" w:type="dxa"/>
            <w:noWrap w:val="0"/>
            <w:vAlign w:val="center"/>
          </w:tcPr>
          <w:p w14:paraId="61678AE3">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7384326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3CABA7C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944" w:type="dxa"/>
            <w:noWrap w:val="0"/>
            <w:vAlign w:val="center"/>
          </w:tcPr>
          <w:p w14:paraId="457CB142">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5F2D4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37E8DEF6">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（四）</w:t>
            </w:r>
          </w:p>
        </w:tc>
        <w:tc>
          <w:tcPr>
            <w:tcW w:w="1729" w:type="dxa"/>
            <w:noWrap w:val="0"/>
            <w:vAlign w:val="center"/>
          </w:tcPr>
          <w:p w14:paraId="187E7641">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铺装段</w:t>
            </w:r>
          </w:p>
        </w:tc>
        <w:tc>
          <w:tcPr>
            <w:tcW w:w="2121" w:type="dxa"/>
            <w:noWrap w:val="0"/>
            <w:vAlign w:val="center"/>
          </w:tcPr>
          <w:p w14:paraId="7090D9C5">
            <w:pPr>
              <w:pStyle w:val="421"/>
              <w:spacing w:line="321" w:lineRule="exact"/>
              <w:ind w:right="115" w:firstLine="0"/>
              <w:rPr>
                <w:rFonts w:ascii="Times New Roman" w:hAnsi="Times New Roman" w:eastAsia="宋体" w:cs="Times New Roman"/>
                <w:sz w:val="21"/>
                <w:szCs w:val="22"/>
              </w:rPr>
            </w:pPr>
          </w:p>
        </w:tc>
        <w:tc>
          <w:tcPr>
            <w:tcW w:w="839" w:type="dxa"/>
            <w:noWrap w:val="0"/>
            <w:vAlign w:val="center"/>
          </w:tcPr>
          <w:p w14:paraId="72A95461">
            <w:pPr>
              <w:pStyle w:val="421"/>
              <w:spacing w:line="321" w:lineRule="exact"/>
              <w:ind w:right="115" w:firstLine="0"/>
              <w:rPr>
                <w:rFonts w:hint="eastAsia" w:ascii="Times New Roman" w:hAnsi="Times New Roman" w:eastAsia="宋体" w:cs="Times New Roman"/>
                <w:sz w:val="21"/>
                <w:szCs w:val="22"/>
              </w:rPr>
            </w:pPr>
          </w:p>
        </w:tc>
        <w:tc>
          <w:tcPr>
            <w:tcW w:w="886" w:type="dxa"/>
            <w:noWrap w:val="0"/>
            <w:vAlign w:val="center"/>
          </w:tcPr>
          <w:p w14:paraId="460F2AEE">
            <w:pPr>
              <w:pStyle w:val="421"/>
              <w:spacing w:line="321" w:lineRule="exact"/>
              <w:ind w:right="115" w:firstLine="0"/>
              <w:rPr>
                <w:rFonts w:hint="eastAsia" w:ascii="Times New Roman" w:hAnsi="Times New Roman" w:eastAsia="宋体" w:cs="Times New Roman"/>
                <w:sz w:val="21"/>
                <w:szCs w:val="22"/>
              </w:rPr>
            </w:pPr>
          </w:p>
        </w:tc>
        <w:tc>
          <w:tcPr>
            <w:tcW w:w="1944" w:type="dxa"/>
            <w:noWrap w:val="0"/>
            <w:vAlign w:val="center"/>
          </w:tcPr>
          <w:p w14:paraId="2F03FC9B">
            <w:pPr>
              <w:pStyle w:val="421"/>
              <w:spacing w:line="321" w:lineRule="exact"/>
              <w:ind w:right="115" w:firstLine="0"/>
              <w:rPr>
                <w:rFonts w:hint="eastAsia" w:ascii="Times New Roman" w:hAnsi="Times New Roman" w:eastAsia="宋体" w:cs="Times New Roman"/>
                <w:sz w:val="21"/>
                <w:szCs w:val="22"/>
              </w:rPr>
            </w:pPr>
          </w:p>
        </w:tc>
      </w:tr>
      <w:tr w14:paraId="08337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7DF2705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42E7A018">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铺装仓</w:t>
            </w:r>
          </w:p>
        </w:tc>
        <w:tc>
          <w:tcPr>
            <w:tcW w:w="2121" w:type="dxa"/>
            <w:noWrap w:val="0"/>
            <w:vAlign w:val="center"/>
          </w:tcPr>
          <w:p w14:paraId="5BB8CF55">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5C689ED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396B9E32">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7</w:t>
            </w:r>
          </w:p>
        </w:tc>
        <w:tc>
          <w:tcPr>
            <w:tcW w:w="1944" w:type="dxa"/>
            <w:noWrap w:val="0"/>
            <w:vAlign w:val="center"/>
          </w:tcPr>
          <w:p w14:paraId="56BCB0D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0C36E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057822B3">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61FC87B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铺装皮带</w:t>
            </w:r>
          </w:p>
        </w:tc>
        <w:tc>
          <w:tcPr>
            <w:tcW w:w="2121" w:type="dxa"/>
            <w:noWrap w:val="0"/>
            <w:vAlign w:val="center"/>
          </w:tcPr>
          <w:p w14:paraId="7696EA83">
            <w:pPr>
              <w:spacing w:line="321" w:lineRule="exact"/>
              <w:ind w:right="115" w:firstLine="0"/>
              <w:jc w:val="center"/>
              <w:rPr>
                <w:sz w:val="21"/>
                <w:szCs w:val="22"/>
              </w:rPr>
            </w:pPr>
            <w:r>
              <w:rPr>
                <w:rFonts w:hint="eastAsia"/>
                <w:sz w:val="21"/>
                <w:szCs w:val="22"/>
              </w:rPr>
              <w:t>定制</w:t>
            </w:r>
          </w:p>
        </w:tc>
        <w:tc>
          <w:tcPr>
            <w:tcW w:w="839" w:type="dxa"/>
            <w:noWrap w:val="0"/>
            <w:vAlign w:val="center"/>
          </w:tcPr>
          <w:p w14:paraId="5A1EB8F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5CD326C4">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65900F9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3CBA8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21" w:hRule="atLeast"/>
          <w:jc w:val="center"/>
        </w:trPr>
        <w:tc>
          <w:tcPr>
            <w:tcW w:w="1198" w:type="dxa"/>
            <w:noWrap w:val="0"/>
            <w:vAlign w:val="center"/>
          </w:tcPr>
          <w:p w14:paraId="0C7438A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5BE6EE82">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齐边锯</w:t>
            </w:r>
          </w:p>
        </w:tc>
        <w:tc>
          <w:tcPr>
            <w:tcW w:w="2121" w:type="dxa"/>
            <w:noWrap w:val="0"/>
            <w:vAlign w:val="center"/>
          </w:tcPr>
          <w:p w14:paraId="2D73CD8E">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5A634474">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172CA4F5">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0CCE806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28262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215A894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729" w:type="dxa"/>
            <w:noWrap w:val="0"/>
            <w:vAlign w:val="center"/>
          </w:tcPr>
          <w:p w14:paraId="11E3F7F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预压机</w:t>
            </w:r>
          </w:p>
        </w:tc>
        <w:tc>
          <w:tcPr>
            <w:tcW w:w="2121" w:type="dxa"/>
            <w:noWrap w:val="0"/>
            <w:vAlign w:val="center"/>
          </w:tcPr>
          <w:p w14:paraId="6161BB11">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7E706DF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11648BC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05E2265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16933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2BB2A1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5</w:t>
            </w:r>
          </w:p>
        </w:tc>
        <w:tc>
          <w:tcPr>
            <w:tcW w:w="1729" w:type="dxa"/>
            <w:noWrap w:val="0"/>
            <w:vAlign w:val="center"/>
          </w:tcPr>
          <w:p w14:paraId="5EA835B3">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除尘器</w:t>
            </w:r>
          </w:p>
        </w:tc>
        <w:tc>
          <w:tcPr>
            <w:tcW w:w="2121" w:type="dxa"/>
            <w:noWrap w:val="0"/>
            <w:vAlign w:val="center"/>
          </w:tcPr>
          <w:p w14:paraId="78D568CC">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7D66F8A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4D404C2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24BA499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2EEBE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137748E5">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6</w:t>
            </w:r>
          </w:p>
        </w:tc>
        <w:tc>
          <w:tcPr>
            <w:tcW w:w="1729" w:type="dxa"/>
            <w:noWrap w:val="0"/>
            <w:vAlign w:val="center"/>
          </w:tcPr>
          <w:p w14:paraId="240CB7E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皮带输送机</w:t>
            </w:r>
          </w:p>
        </w:tc>
        <w:tc>
          <w:tcPr>
            <w:tcW w:w="2121" w:type="dxa"/>
            <w:noWrap w:val="0"/>
            <w:vAlign w:val="center"/>
          </w:tcPr>
          <w:p w14:paraId="2AEF7EF9">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2FCC49B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7C2AF30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16</w:t>
            </w:r>
          </w:p>
        </w:tc>
        <w:tc>
          <w:tcPr>
            <w:tcW w:w="1944" w:type="dxa"/>
            <w:noWrap w:val="0"/>
            <w:vAlign w:val="center"/>
          </w:tcPr>
          <w:p w14:paraId="79E15B7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新增，已安装</w:t>
            </w:r>
          </w:p>
        </w:tc>
      </w:tr>
      <w:tr w14:paraId="3D5F4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01BEF4FB">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（五）</w:t>
            </w:r>
          </w:p>
        </w:tc>
        <w:tc>
          <w:tcPr>
            <w:tcW w:w="1729" w:type="dxa"/>
            <w:noWrap w:val="0"/>
            <w:vAlign w:val="center"/>
          </w:tcPr>
          <w:p w14:paraId="6DBE81CF">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热压段</w:t>
            </w:r>
          </w:p>
        </w:tc>
        <w:tc>
          <w:tcPr>
            <w:tcW w:w="2121" w:type="dxa"/>
            <w:noWrap w:val="0"/>
            <w:vAlign w:val="center"/>
          </w:tcPr>
          <w:p w14:paraId="420F21E8">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550BD00F">
            <w:pPr>
              <w:pStyle w:val="421"/>
              <w:spacing w:line="321" w:lineRule="exact"/>
              <w:ind w:right="115" w:firstLine="0"/>
              <w:rPr>
                <w:rFonts w:hint="eastAsia" w:ascii="Times New Roman" w:hAnsi="Times New Roman" w:eastAsia="宋体" w:cs="Times New Roman"/>
                <w:sz w:val="21"/>
                <w:szCs w:val="22"/>
              </w:rPr>
            </w:pPr>
          </w:p>
        </w:tc>
        <w:tc>
          <w:tcPr>
            <w:tcW w:w="886" w:type="dxa"/>
            <w:noWrap w:val="0"/>
            <w:vAlign w:val="center"/>
          </w:tcPr>
          <w:p w14:paraId="4901EAD7">
            <w:pPr>
              <w:pStyle w:val="421"/>
              <w:spacing w:line="321" w:lineRule="exact"/>
              <w:ind w:right="115" w:firstLine="0"/>
              <w:rPr>
                <w:rFonts w:hint="eastAsia" w:ascii="Times New Roman" w:hAnsi="Times New Roman" w:eastAsia="宋体" w:cs="Times New Roman"/>
                <w:sz w:val="21"/>
                <w:szCs w:val="22"/>
              </w:rPr>
            </w:pPr>
          </w:p>
        </w:tc>
        <w:tc>
          <w:tcPr>
            <w:tcW w:w="1944" w:type="dxa"/>
            <w:noWrap w:val="0"/>
            <w:vAlign w:val="center"/>
          </w:tcPr>
          <w:p w14:paraId="43D0FB01">
            <w:pPr>
              <w:pStyle w:val="421"/>
              <w:spacing w:line="321" w:lineRule="exact"/>
              <w:ind w:right="115" w:firstLine="0"/>
              <w:rPr>
                <w:rFonts w:hint="eastAsia" w:ascii="Times New Roman" w:hAnsi="Times New Roman" w:eastAsia="宋体" w:cs="Times New Roman"/>
                <w:sz w:val="21"/>
                <w:szCs w:val="22"/>
              </w:rPr>
            </w:pPr>
          </w:p>
        </w:tc>
      </w:tr>
      <w:tr w14:paraId="2653B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16342DE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755621D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柴油发电机</w:t>
            </w:r>
          </w:p>
        </w:tc>
        <w:tc>
          <w:tcPr>
            <w:tcW w:w="2121" w:type="dxa"/>
            <w:noWrap w:val="0"/>
            <w:vAlign w:val="center"/>
          </w:tcPr>
          <w:p w14:paraId="067EA4C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YC6A230L-D20</w:t>
            </w:r>
          </w:p>
        </w:tc>
        <w:tc>
          <w:tcPr>
            <w:tcW w:w="839" w:type="dxa"/>
            <w:noWrap w:val="0"/>
            <w:vAlign w:val="center"/>
          </w:tcPr>
          <w:p w14:paraId="30A6D6C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1675652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77B89489">
            <w:pPr>
              <w:spacing w:line="321" w:lineRule="exact"/>
              <w:ind w:left="0" w:right="115" w:firstLine="0"/>
              <w:jc w:val="center"/>
              <w:rPr>
                <w:rFonts w:hint="eastAsia"/>
                <w:sz w:val="21"/>
                <w:szCs w:val="22"/>
              </w:rPr>
            </w:pPr>
            <w:r>
              <w:rPr>
                <w:rFonts w:hint="eastAsia"/>
                <w:sz w:val="21"/>
                <w:szCs w:val="22"/>
              </w:rPr>
              <w:t>新增，已安装</w:t>
            </w:r>
          </w:p>
        </w:tc>
      </w:tr>
      <w:tr w14:paraId="04195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22A455CA">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3D0A9AF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运输小车</w:t>
            </w:r>
          </w:p>
        </w:tc>
        <w:tc>
          <w:tcPr>
            <w:tcW w:w="2121" w:type="dxa"/>
            <w:noWrap w:val="0"/>
            <w:vAlign w:val="center"/>
          </w:tcPr>
          <w:p w14:paraId="08D2BA5C">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1EB6FFD3">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677580E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5E8C6DAC">
            <w:pPr>
              <w:spacing w:line="321" w:lineRule="exact"/>
              <w:ind w:left="0" w:right="115" w:firstLine="0"/>
              <w:jc w:val="center"/>
              <w:rPr>
                <w:rFonts w:hint="eastAsia"/>
                <w:sz w:val="21"/>
                <w:szCs w:val="22"/>
              </w:rPr>
            </w:pPr>
            <w:r>
              <w:rPr>
                <w:rFonts w:hint="eastAsia"/>
                <w:sz w:val="21"/>
                <w:szCs w:val="22"/>
              </w:rPr>
              <w:t>新增，已安装</w:t>
            </w:r>
          </w:p>
        </w:tc>
      </w:tr>
      <w:tr w14:paraId="1E23B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5F906FE5">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3D926230">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热压机</w:t>
            </w:r>
          </w:p>
        </w:tc>
        <w:tc>
          <w:tcPr>
            <w:tcW w:w="2121" w:type="dxa"/>
            <w:noWrap w:val="0"/>
            <w:vAlign w:val="center"/>
          </w:tcPr>
          <w:p w14:paraId="7EB90BEA">
            <w:pPr>
              <w:spacing w:line="321" w:lineRule="exact"/>
              <w:ind w:right="115" w:firstLine="0"/>
              <w:jc w:val="center"/>
              <w:rPr>
                <w:rFonts w:hint="eastAsia"/>
                <w:sz w:val="21"/>
                <w:szCs w:val="22"/>
              </w:rPr>
            </w:pPr>
            <w:r>
              <w:rPr>
                <w:rFonts w:hint="eastAsia"/>
                <w:sz w:val="21"/>
                <w:szCs w:val="22"/>
              </w:rPr>
              <w:t>定制</w:t>
            </w:r>
          </w:p>
        </w:tc>
        <w:tc>
          <w:tcPr>
            <w:tcW w:w="839" w:type="dxa"/>
            <w:noWrap w:val="0"/>
            <w:vAlign w:val="center"/>
          </w:tcPr>
          <w:p w14:paraId="30978D7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0B89F28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944" w:type="dxa"/>
            <w:noWrap w:val="0"/>
            <w:vAlign w:val="center"/>
          </w:tcPr>
          <w:p w14:paraId="420C544C">
            <w:pPr>
              <w:spacing w:line="321" w:lineRule="exact"/>
              <w:ind w:left="0" w:right="115" w:firstLine="0"/>
              <w:jc w:val="center"/>
              <w:rPr>
                <w:rFonts w:hint="eastAsia"/>
                <w:sz w:val="21"/>
                <w:szCs w:val="22"/>
              </w:rPr>
            </w:pPr>
            <w:r>
              <w:rPr>
                <w:rFonts w:hint="eastAsia"/>
                <w:sz w:val="21"/>
                <w:szCs w:val="22"/>
              </w:rPr>
              <w:t>依托原有项目2台；新增2台，已安装</w:t>
            </w:r>
          </w:p>
        </w:tc>
      </w:tr>
      <w:tr w14:paraId="7B562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0759F126">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（六）</w:t>
            </w:r>
          </w:p>
        </w:tc>
        <w:tc>
          <w:tcPr>
            <w:tcW w:w="1729" w:type="dxa"/>
            <w:noWrap w:val="0"/>
            <w:vAlign w:val="center"/>
          </w:tcPr>
          <w:p w14:paraId="44519D29">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素板线</w:t>
            </w:r>
          </w:p>
        </w:tc>
        <w:tc>
          <w:tcPr>
            <w:tcW w:w="2121" w:type="dxa"/>
            <w:noWrap w:val="0"/>
            <w:vAlign w:val="center"/>
          </w:tcPr>
          <w:p w14:paraId="4FA8FAFF">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13FF5BCF">
            <w:pPr>
              <w:pStyle w:val="421"/>
              <w:spacing w:line="321" w:lineRule="exact"/>
              <w:ind w:right="115" w:firstLine="0"/>
              <w:rPr>
                <w:rFonts w:hint="eastAsia" w:ascii="Times New Roman" w:hAnsi="Times New Roman" w:eastAsia="宋体" w:cs="Times New Roman"/>
                <w:sz w:val="21"/>
                <w:szCs w:val="22"/>
              </w:rPr>
            </w:pPr>
          </w:p>
        </w:tc>
        <w:tc>
          <w:tcPr>
            <w:tcW w:w="886" w:type="dxa"/>
            <w:noWrap w:val="0"/>
            <w:vAlign w:val="center"/>
          </w:tcPr>
          <w:p w14:paraId="6254B356">
            <w:pPr>
              <w:pStyle w:val="421"/>
              <w:spacing w:line="321" w:lineRule="exact"/>
              <w:ind w:right="115" w:firstLine="0"/>
              <w:rPr>
                <w:rFonts w:hint="eastAsia" w:ascii="Times New Roman" w:hAnsi="Times New Roman" w:eastAsia="宋体" w:cs="Times New Roman"/>
                <w:sz w:val="21"/>
                <w:szCs w:val="22"/>
              </w:rPr>
            </w:pPr>
          </w:p>
        </w:tc>
        <w:tc>
          <w:tcPr>
            <w:tcW w:w="1944" w:type="dxa"/>
            <w:noWrap w:val="0"/>
            <w:vAlign w:val="center"/>
          </w:tcPr>
          <w:p w14:paraId="56EE03A8">
            <w:pPr>
              <w:spacing w:line="321" w:lineRule="exact"/>
              <w:ind w:left="0" w:right="115" w:firstLine="0"/>
              <w:jc w:val="center"/>
              <w:rPr>
                <w:rFonts w:hint="eastAsia"/>
                <w:sz w:val="21"/>
                <w:szCs w:val="22"/>
              </w:rPr>
            </w:pPr>
          </w:p>
        </w:tc>
      </w:tr>
      <w:tr w14:paraId="23477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8640FE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2853CABA">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运输滚台</w:t>
            </w:r>
          </w:p>
        </w:tc>
        <w:tc>
          <w:tcPr>
            <w:tcW w:w="2121" w:type="dxa"/>
            <w:noWrap w:val="0"/>
            <w:vAlign w:val="center"/>
          </w:tcPr>
          <w:p w14:paraId="00B1024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668D402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0C3EC29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570DA111">
            <w:pPr>
              <w:spacing w:line="321" w:lineRule="exact"/>
              <w:ind w:left="0" w:right="115" w:firstLine="0"/>
              <w:jc w:val="center"/>
              <w:rPr>
                <w:rFonts w:hint="eastAsia"/>
                <w:sz w:val="21"/>
                <w:szCs w:val="22"/>
              </w:rPr>
            </w:pPr>
            <w:r>
              <w:rPr>
                <w:rFonts w:hint="eastAsia"/>
                <w:sz w:val="21"/>
                <w:szCs w:val="22"/>
              </w:rPr>
              <w:t>新增，已安装</w:t>
            </w:r>
          </w:p>
        </w:tc>
      </w:tr>
      <w:tr w14:paraId="217D6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6AA27C90">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5BCC5CB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测厚仪</w:t>
            </w:r>
          </w:p>
        </w:tc>
        <w:tc>
          <w:tcPr>
            <w:tcW w:w="2121" w:type="dxa"/>
            <w:noWrap w:val="0"/>
            <w:vAlign w:val="center"/>
          </w:tcPr>
          <w:p w14:paraId="124E086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6E49DA4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4B91A82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2588A21F">
            <w:pPr>
              <w:spacing w:line="321" w:lineRule="exact"/>
              <w:ind w:left="0" w:right="115" w:firstLine="0"/>
              <w:jc w:val="center"/>
              <w:rPr>
                <w:rFonts w:hint="eastAsia"/>
                <w:sz w:val="21"/>
                <w:szCs w:val="22"/>
              </w:rPr>
            </w:pPr>
            <w:r>
              <w:rPr>
                <w:rFonts w:hint="eastAsia"/>
                <w:sz w:val="21"/>
                <w:szCs w:val="22"/>
              </w:rPr>
              <w:t>新增，已安装</w:t>
            </w:r>
          </w:p>
        </w:tc>
      </w:tr>
      <w:tr w14:paraId="0CF50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55D2154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51581591">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板胚称</w:t>
            </w:r>
          </w:p>
        </w:tc>
        <w:tc>
          <w:tcPr>
            <w:tcW w:w="2121" w:type="dxa"/>
            <w:noWrap w:val="0"/>
            <w:vAlign w:val="center"/>
          </w:tcPr>
          <w:p w14:paraId="4F4DAFE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14178D4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37D8756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0C5D397D">
            <w:pPr>
              <w:spacing w:line="321" w:lineRule="exact"/>
              <w:ind w:left="0" w:right="115" w:firstLine="0"/>
              <w:jc w:val="center"/>
              <w:rPr>
                <w:rFonts w:hint="eastAsia"/>
                <w:sz w:val="21"/>
                <w:szCs w:val="22"/>
              </w:rPr>
            </w:pPr>
            <w:r>
              <w:rPr>
                <w:rFonts w:hint="eastAsia"/>
                <w:sz w:val="21"/>
                <w:szCs w:val="22"/>
              </w:rPr>
              <w:t>新增，已安装</w:t>
            </w:r>
          </w:p>
        </w:tc>
      </w:tr>
      <w:tr w14:paraId="1BB05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04B0CFB3">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729" w:type="dxa"/>
            <w:noWrap w:val="0"/>
            <w:vAlign w:val="center"/>
          </w:tcPr>
          <w:p w14:paraId="4261627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堆垛台升降台</w:t>
            </w:r>
          </w:p>
        </w:tc>
        <w:tc>
          <w:tcPr>
            <w:tcW w:w="2121" w:type="dxa"/>
            <w:noWrap w:val="0"/>
            <w:vAlign w:val="center"/>
          </w:tcPr>
          <w:p w14:paraId="2B4074F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6FDC37CA">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2937D51D">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5DDA6D24">
            <w:pPr>
              <w:spacing w:line="321" w:lineRule="exact"/>
              <w:ind w:left="0" w:right="115" w:firstLine="0"/>
              <w:jc w:val="center"/>
              <w:rPr>
                <w:rFonts w:hint="eastAsia"/>
                <w:sz w:val="21"/>
                <w:szCs w:val="22"/>
              </w:rPr>
            </w:pPr>
            <w:r>
              <w:rPr>
                <w:rFonts w:hint="eastAsia"/>
                <w:sz w:val="21"/>
                <w:szCs w:val="22"/>
              </w:rPr>
              <w:t>新增，已安装</w:t>
            </w:r>
          </w:p>
        </w:tc>
      </w:tr>
      <w:tr w14:paraId="5FA5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25F5DBBB">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（七）</w:t>
            </w:r>
          </w:p>
        </w:tc>
        <w:tc>
          <w:tcPr>
            <w:tcW w:w="1729" w:type="dxa"/>
            <w:noWrap w:val="0"/>
            <w:vAlign w:val="center"/>
          </w:tcPr>
          <w:p w14:paraId="18FC2DDF">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后处理</w:t>
            </w:r>
          </w:p>
        </w:tc>
        <w:tc>
          <w:tcPr>
            <w:tcW w:w="2121" w:type="dxa"/>
            <w:noWrap w:val="0"/>
            <w:vAlign w:val="center"/>
          </w:tcPr>
          <w:p w14:paraId="165DED89">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4B460BEB">
            <w:pPr>
              <w:pStyle w:val="421"/>
              <w:spacing w:line="321" w:lineRule="exact"/>
              <w:ind w:right="115" w:firstLine="0"/>
              <w:rPr>
                <w:rFonts w:hint="eastAsia" w:ascii="Times New Roman" w:hAnsi="Times New Roman" w:eastAsia="宋体" w:cs="Times New Roman"/>
                <w:sz w:val="21"/>
                <w:szCs w:val="22"/>
              </w:rPr>
            </w:pPr>
          </w:p>
        </w:tc>
        <w:tc>
          <w:tcPr>
            <w:tcW w:w="886" w:type="dxa"/>
            <w:noWrap w:val="0"/>
            <w:vAlign w:val="center"/>
          </w:tcPr>
          <w:p w14:paraId="19987F18">
            <w:pPr>
              <w:pStyle w:val="421"/>
              <w:spacing w:line="321" w:lineRule="exact"/>
              <w:ind w:right="115" w:firstLine="0"/>
              <w:rPr>
                <w:rFonts w:hint="eastAsia" w:ascii="Times New Roman" w:hAnsi="Times New Roman" w:eastAsia="宋体" w:cs="Times New Roman"/>
                <w:sz w:val="21"/>
                <w:szCs w:val="22"/>
              </w:rPr>
            </w:pPr>
          </w:p>
        </w:tc>
        <w:tc>
          <w:tcPr>
            <w:tcW w:w="1944" w:type="dxa"/>
            <w:noWrap w:val="0"/>
            <w:vAlign w:val="center"/>
          </w:tcPr>
          <w:p w14:paraId="18FA579A">
            <w:pPr>
              <w:spacing w:line="321" w:lineRule="exact"/>
              <w:ind w:left="0" w:right="115" w:firstLine="0"/>
              <w:jc w:val="center"/>
              <w:rPr>
                <w:rFonts w:hint="eastAsia"/>
                <w:sz w:val="21"/>
                <w:szCs w:val="22"/>
              </w:rPr>
            </w:pPr>
          </w:p>
        </w:tc>
      </w:tr>
      <w:tr w14:paraId="578F6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25F2ACEC">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64C1E3C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滚台升降台</w:t>
            </w:r>
          </w:p>
        </w:tc>
        <w:tc>
          <w:tcPr>
            <w:tcW w:w="2121" w:type="dxa"/>
            <w:noWrap w:val="0"/>
            <w:vAlign w:val="center"/>
          </w:tcPr>
          <w:p w14:paraId="412FADD0">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7E941A8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435137E8">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6</w:t>
            </w:r>
          </w:p>
        </w:tc>
        <w:tc>
          <w:tcPr>
            <w:tcW w:w="1944" w:type="dxa"/>
            <w:noWrap w:val="0"/>
            <w:vAlign w:val="center"/>
          </w:tcPr>
          <w:p w14:paraId="7E5FEEA4">
            <w:pPr>
              <w:spacing w:line="321" w:lineRule="exact"/>
              <w:ind w:left="0" w:right="115" w:firstLine="0"/>
              <w:jc w:val="center"/>
              <w:rPr>
                <w:rFonts w:hint="eastAsia"/>
                <w:sz w:val="21"/>
                <w:szCs w:val="22"/>
              </w:rPr>
            </w:pPr>
            <w:r>
              <w:rPr>
                <w:rFonts w:hint="eastAsia"/>
                <w:sz w:val="21"/>
                <w:szCs w:val="22"/>
              </w:rPr>
              <w:t>新增，已安装</w:t>
            </w:r>
          </w:p>
        </w:tc>
      </w:tr>
      <w:tr w14:paraId="7688F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52893EC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665CE6E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砂光机</w:t>
            </w:r>
          </w:p>
        </w:tc>
        <w:tc>
          <w:tcPr>
            <w:tcW w:w="2121" w:type="dxa"/>
            <w:noWrap w:val="0"/>
            <w:vAlign w:val="center"/>
          </w:tcPr>
          <w:p w14:paraId="734E2FD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7486689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7274477D">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944" w:type="dxa"/>
            <w:noWrap w:val="0"/>
            <w:vAlign w:val="center"/>
          </w:tcPr>
          <w:p w14:paraId="3401C1E6">
            <w:pPr>
              <w:spacing w:line="321" w:lineRule="exact"/>
              <w:ind w:left="0" w:right="115" w:firstLine="0"/>
              <w:jc w:val="center"/>
              <w:rPr>
                <w:rFonts w:hint="eastAsia"/>
                <w:sz w:val="21"/>
                <w:szCs w:val="22"/>
              </w:rPr>
            </w:pPr>
            <w:r>
              <w:rPr>
                <w:rFonts w:hint="eastAsia"/>
                <w:sz w:val="21"/>
                <w:szCs w:val="22"/>
              </w:rPr>
              <w:t>依托原有2台；新增1台，已安装</w:t>
            </w:r>
          </w:p>
        </w:tc>
      </w:tr>
      <w:tr w14:paraId="7DA4C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0E28DE8F">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773750A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涂胶机</w:t>
            </w:r>
          </w:p>
        </w:tc>
        <w:tc>
          <w:tcPr>
            <w:tcW w:w="2121" w:type="dxa"/>
            <w:noWrap w:val="0"/>
            <w:vAlign w:val="center"/>
          </w:tcPr>
          <w:p w14:paraId="4C53DFB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4呎</w:t>
            </w:r>
          </w:p>
        </w:tc>
        <w:tc>
          <w:tcPr>
            <w:tcW w:w="839" w:type="dxa"/>
            <w:noWrap w:val="0"/>
            <w:vAlign w:val="center"/>
          </w:tcPr>
          <w:p w14:paraId="3183E44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09E751E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4（2用2备）</w:t>
            </w:r>
          </w:p>
        </w:tc>
        <w:tc>
          <w:tcPr>
            <w:tcW w:w="1944" w:type="dxa"/>
            <w:noWrap w:val="0"/>
            <w:vAlign w:val="center"/>
          </w:tcPr>
          <w:p w14:paraId="24B83CBC">
            <w:pPr>
              <w:spacing w:line="321" w:lineRule="exact"/>
              <w:ind w:left="0" w:right="115" w:firstLine="0"/>
              <w:jc w:val="center"/>
              <w:rPr>
                <w:rFonts w:hint="eastAsia"/>
                <w:sz w:val="21"/>
                <w:szCs w:val="22"/>
              </w:rPr>
            </w:pPr>
            <w:r>
              <w:rPr>
                <w:rFonts w:hint="eastAsia"/>
                <w:sz w:val="21"/>
                <w:szCs w:val="22"/>
              </w:rPr>
              <w:t>依托原有1台；新增3台，已安装</w:t>
            </w:r>
          </w:p>
        </w:tc>
      </w:tr>
      <w:tr w14:paraId="247D8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BA9BD9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729" w:type="dxa"/>
            <w:noWrap w:val="0"/>
            <w:vAlign w:val="center"/>
          </w:tcPr>
          <w:p w14:paraId="0A6AB77A">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冷压机</w:t>
            </w:r>
          </w:p>
        </w:tc>
        <w:tc>
          <w:tcPr>
            <w:tcW w:w="2121" w:type="dxa"/>
            <w:noWrap w:val="0"/>
            <w:vAlign w:val="center"/>
          </w:tcPr>
          <w:p w14:paraId="75B9E8F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8呎</w:t>
            </w:r>
          </w:p>
        </w:tc>
        <w:tc>
          <w:tcPr>
            <w:tcW w:w="839" w:type="dxa"/>
            <w:noWrap w:val="0"/>
            <w:vAlign w:val="center"/>
          </w:tcPr>
          <w:p w14:paraId="00904C3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61F30764">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4（2用2备）</w:t>
            </w:r>
          </w:p>
        </w:tc>
        <w:tc>
          <w:tcPr>
            <w:tcW w:w="1944" w:type="dxa"/>
            <w:noWrap w:val="0"/>
            <w:vAlign w:val="center"/>
          </w:tcPr>
          <w:p w14:paraId="30EF453B">
            <w:pPr>
              <w:spacing w:line="321" w:lineRule="exact"/>
              <w:ind w:left="0" w:right="115" w:firstLine="0"/>
              <w:jc w:val="center"/>
              <w:rPr>
                <w:rFonts w:hint="eastAsia"/>
                <w:sz w:val="21"/>
                <w:szCs w:val="22"/>
              </w:rPr>
            </w:pPr>
            <w:r>
              <w:rPr>
                <w:rFonts w:hint="eastAsia"/>
                <w:sz w:val="21"/>
                <w:szCs w:val="22"/>
              </w:rPr>
              <w:t>新增，已安装</w:t>
            </w:r>
          </w:p>
        </w:tc>
      </w:tr>
      <w:tr w14:paraId="175A9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318B2EC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5</w:t>
            </w:r>
          </w:p>
        </w:tc>
        <w:tc>
          <w:tcPr>
            <w:tcW w:w="1729" w:type="dxa"/>
            <w:noWrap w:val="0"/>
            <w:vAlign w:val="center"/>
          </w:tcPr>
          <w:p w14:paraId="5E9001A9">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涂胶线</w:t>
            </w:r>
          </w:p>
        </w:tc>
        <w:tc>
          <w:tcPr>
            <w:tcW w:w="2121" w:type="dxa"/>
            <w:noWrap w:val="0"/>
            <w:vAlign w:val="center"/>
          </w:tcPr>
          <w:p w14:paraId="129BC569">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56C6C9D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1A06876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5D323939">
            <w:pPr>
              <w:spacing w:line="321" w:lineRule="exact"/>
              <w:ind w:left="0" w:right="115" w:firstLine="0"/>
              <w:jc w:val="center"/>
              <w:rPr>
                <w:rFonts w:hint="eastAsia"/>
                <w:sz w:val="21"/>
                <w:szCs w:val="22"/>
              </w:rPr>
            </w:pPr>
            <w:r>
              <w:rPr>
                <w:rFonts w:hint="eastAsia"/>
                <w:sz w:val="21"/>
                <w:szCs w:val="22"/>
              </w:rPr>
              <w:t>新增，已安装</w:t>
            </w:r>
          </w:p>
        </w:tc>
      </w:tr>
      <w:tr w14:paraId="55E9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12810D7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6</w:t>
            </w:r>
          </w:p>
        </w:tc>
        <w:tc>
          <w:tcPr>
            <w:tcW w:w="1729" w:type="dxa"/>
            <w:noWrap w:val="0"/>
            <w:vAlign w:val="center"/>
          </w:tcPr>
          <w:p w14:paraId="4F8D4374">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锯边机</w:t>
            </w:r>
          </w:p>
        </w:tc>
        <w:tc>
          <w:tcPr>
            <w:tcW w:w="2121" w:type="dxa"/>
            <w:noWrap w:val="0"/>
            <w:vAlign w:val="center"/>
          </w:tcPr>
          <w:p w14:paraId="05BDC6D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32E97D8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359DEDB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79E0E8F2">
            <w:pPr>
              <w:spacing w:line="321" w:lineRule="exact"/>
              <w:ind w:left="0" w:right="115" w:firstLine="0"/>
              <w:jc w:val="center"/>
              <w:rPr>
                <w:rFonts w:hint="eastAsia"/>
                <w:sz w:val="21"/>
                <w:szCs w:val="22"/>
              </w:rPr>
            </w:pPr>
            <w:r>
              <w:rPr>
                <w:rFonts w:hint="eastAsia"/>
                <w:sz w:val="21"/>
                <w:szCs w:val="22"/>
              </w:rPr>
              <w:t>新增，已安装1台，待建1台</w:t>
            </w:r>
          </w:p>
        </w:tc>
      </w:tr>
      <w:tr w14:paraId="35CCB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7793A112">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7</w:t>
            </w:r>
          </w:p>
        </w:tc>
        <w:tc>
          <w:tcPr>
            <w:tcW w:w="1729" w:type="dxa"/>
            <w:noWrap w:val="0"/>
            <w:vAlign w:val="center"/>
          </w:tcPr>
          <w:p w14:paraId="391B5CC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开槽机</w:t>
            </w:r>
          </w:p>
        </w:tc>
        <w:tc>
          <w:tcPr>
            <w:tcW w:w="2121" w:type="dxa"/>
            <w:noWrap w:val="0"/>
            <w:vAlign w:val="center"/>
          </w:tcPr>
          <w:p w14:paraId="3B3B6E4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157612E1">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41CAC3E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417B9A9D">
            <w:pPr>
              <w:spacing w:line="321" w:lineRule="exact"/>
              <w:ind w:left="0" w:right="115" w:firstLine="0"/>
              <w:jc w:val="center"/>
              <w:rPr>
                <w:rFonts w:hint="eastAsia"/>
                <w:sz w:val="21"/>
                <w:szCs w:val="22"/>
              </w:rPr>
            </w:pPr>
            <w:r>
              <w:rPr>
                <w:rFonts w:hint="eastAsia"/>
                <w:sz w:val="21"/>
                <w:szCs w:val="22"/>
              </w:rPr>
              <w:t>新增，已安装</w:t>
            </w:r>
          </w:p>
        </w:tc>
      </w:tr>
      <w:tr w14:paraId="10AAA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AB7A564">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8</w:t>
            </w:r>
          </w:p>
        </w:tc>
        <w:tc>
          <w:tcPr>
            <w:tcW w:w="1729" w:type="dxa"/>
            <w:noWrap w:val="0"/>
            <w:vAlign w:val="center"/>
          </w:tcPr>
          <w:p w14:paraId="5348B09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往复锯</w:t>
            </w:r>
          </w:p>
        </w:tc>
        <w:tc>
          <w:tcPr>
            <w:tcW w:w="2121" w:type="dxa"/>
            <w:noWrap w:val="0"/>
            <w:vAlign w:val="center"/>
          </w:tcPr>
          <w:p w14:paraId="316C67C5">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0E1986E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57306BC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71695795">
            <w:pPr>
              <w:spacing w:line="321" w:lineRule="exact"/>
              <w:ind w:left="0" w:right="115" w:firstLine="0"/>
              <w:jc w:val="center"/>
              <w:rPr>
                <w:rFonts w:hint="eastAsia"/>
                <w:sz w:val="21"/>
                <w:szCs w:val="22"/>
              </w:rPr>
            </w:pPr>
            <w:r>
              <w:rPr>
                <w:rFonts w:hint="eastAsia"/>
                <w:sz w:val="21"/>
                <w:szCs w:val="22"/>
              </w:rPr>
              <w:t>新增，已安装</w:t>
            </w:r>
          </w:p>
        </w:tc>
      </w:tr>
      <w:tr w14:paraId="2DDDA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73EAD31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9</w:t>
            </w:r>
          </w:p>
        </w:tc>
        <w:tc>
          <w:tcPr>
            <w:tcW w:w="1729" w:type="dxa"/>
            <w:noWrap w:val="0"/>
            <w:vAlign w:val="center"/>
          </w:tcPr>
          <w:p w14:paraId="68DA887A">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热压机</w:t>
            </w:r>
          </w:p>
        </w:tc>
        <w:tc>
          <w:tcPr>
            <w:tcW w:w="2121" w:type="dxa"/>
            <w:noWrap w:val="0"/>
            <w:vAlign w:val="center"/>
          </w:tcPr>
          <w:p w14:paraId="5012C1F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定制</w:t>
            </w:r>
          </w:p>
        </w:tc>
        <w:tc>
          <w:tcPr>
            <w:tcW w:w="839" w:type="dxa"/>
            <w:noWrap w:val="0"/>
            <w:vAlign w:val="center"/>
          </w:tcPr>
          <w:p w14:paraId="2D6E636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67FF8A57">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6（3用3备）</w:t>
            </w:r>
          </w:p>
        </w:tc>
        <w:tc>
          <w:tcPr>
            <w:tcW w:w="1944" w:type="dxa"/>
            <w:noWrap w:val="0"/>
            <w:vAlign w:val="center"/>
          </w:tcPr>
          <w:p w14:paraId="6CF2D6EE">
            <w:pPr>
              <w:spacing w:line="321" w:lineRule="exact"/>
              <w:ind w:left="0" w:right="115" w:firstLine="0"/>
              <w:jc w:val="center"/>
              <w:rPr>
                <w:rFonts w:hint="eastAsia"/>
                <w:sz w:val="21"/>
                <w:szCs w:val="22"/>
              </w:rPr>
            </w:pPr>
            <w:r>
              <w:rPr>
                <w:rFonts w:hint="eastAsia"/>
                <w:sz w:val="21"/>
                <w:szCs w:val="22"/>
              </w:rPr>
              <w:t>新增，已安装</w:t>
            </w:r>
          </w:p>
        </w:tc>
      </w:tr>
      <w:tr w14:paraId="729B8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1B18E8C5">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10</w:t>
            </w:r>
          </w:p>
        </w:tc>
        <w:tc>
          <w:tcPr>
            <w:tcW w:w="1729" w:type="dxa"/>
            <w:noWrap w:val="0"/>
            <w:vAlign w:val="center"/>
          </w:tcPr>
          <w:p w14:paraId="217F9F74">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蒸汽锅炉</w:t>
            </w:r>
          </w:p>
        </w:tc>
        <w:tc>
          <w:tcPr>
            <w:tcW w:w="2121" w:type="dxa"/>
            <w:noWrap w:val="0"/>
            <w:vAlign w:val="center"/>
          </w:tcPr>
          <w:p w14:paraId="1C645AC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DZG6-1.25-AII（M）</w:t>
            </w:r>
          </w:p>
        </w:tc>
        <w:tc>
          <w:tcPr>
            <w:tcW w:w="839" w:type="dxa"/>
            <w:noWrap w:val="0"/>
            <w:vAlign w:val="center"/>
          </w:tcPr>
          <w:p w14:paraId="09C6C01A">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16C6E46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54B3EF5D">
            <w:pPr>
              <w:spacing w:line="321" w:lineRule="exact"/>
              <w:ind w:left="0" w:right="115" w:firstLine="0"/>
              <w:jc w:val="center"/>
              <w:rPr>
                <w:rFonts w:hint="eastAsia"/>
                <w:sz w:val="21"/>
                <w:szCs w:val="22"/>
              </w:rPr>
            </w:pPr>
            <w:r>
              <w:rPr>
                <w:rFonts w:hint="eastAsia"/>
                <w:sz w:val="21"/>
                <w:szCs w:val="22"/>
              </w:rPr>
              <w:t>水处理1套，水膜除尘器1套，引风机1台，省煤器1套。依托原有项目</w:t>
            </w:r>
          </w:p>
        </w:tc>
      </w:tr>
      <w:tr w14:paraId="2B8B9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7DDAFE80">
            <w:pPr>
              <w:pStyle w:val="421"/>
              <w:spacing w:line="321" w:lineRule="exact"/>
              <w:ind w:right="115" w:firstLine="0"/>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二</w:t>
            </w:r>
          </w:p>
        </w:tc>
        <w:tc>
          <w:tcPr>
            <w:tcW w:w="7519" w:type="dxa"/>
            <w:gridSpan w:val="5"/>
            <w:noWrap w:val="0"/>
            <w:vAlign w:val="center"/>
          </w:tcPr>
          <w:p w14:paraId="300B0807">
            <w:pPr>
              <w:spacing w:line="321" w:lineRule="exact"/>
              <w:ind w:left="0" w:right="115" w:firstLine="0"/>
              <w:jc w:val="center"/>
              <w:rPr>
                <w:rFonts w:hint="eastAsia"/>
                <w:b/>
                <w:bCs/>
                <w:sz w:val="21"/>
                <w:szCs w:val="22"/>
              </w:rPr>
            </w:pPr>
            <w:r>
              <w:rPr>
                <w:rFonts w:hint="eastAsia"/>
                <w:b/>
                <w:bCs/>
                <w:sz w:val="21"/>
                <w:szCs w:val="22"/>
              </w:rPr>
              <w:t>制胶生产线</w:t>
            </w:r>
          </w:p>
        </w:tc>
      </w:tr>
      <w:tr w14:paraId="1DA51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31FD928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noWrap w:val="0"/>
            <w:vAlign w:val="center"/>
          </w:tcPr>
          <w:p w14:paraId="264FBE81">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制胶反应釜</w:t>
            </w:r>
          </w:p>
        </w:tc>
        <w:tc>
          <w:tcPr>
            <w:tcW w:w="2121" w:type="dxa"/>
            <w:noWrap w:val="0"/>
            <w:vAlign w:val="center"/>
          </w:tcPr>
          <w:p w14:paraId="44749FB3">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10T</w:t>
            </w:r>
          </w:p>
        </w:tc>
        <w:tc>
          <w:tcPr>
            <w:tcW w:w="839" w:type="dxa"/>
            <w:noWrap w:val="0"/>
            <w:vAlign w:val="center"/>
          </w:tcPr>
          <w:p w14:paraId="1BD525D4">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620A477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08D17C5B">
            <w:pPr>
              <w:spacing w:line="321" w:lineRule="exact"/>
              <w:ind w:left="0" w:right="115" w:firstLine="0"/>
              <w:jc w:val="center"/>
              <w:rPr>
                <w:rFonts w:hint="eastAsia"/>
                <w:sz w:val="21"/>
                <w:szCs w:val="22"/>
              </w:rPr>
            </w:pPr>
            <w:r>
              <w:rPr>
                <w:rFonts w:hint="eastAsia"/>
                <w:sz w:val="21"/>
                <w:szCs w:val="22"/>
              </w:rPr>
              <w:t>新增，已安装</w:t>
            </w:r>
          </w:p>
        </w:tc>
      </w:tr>
      <w:tr w14:paraId="4B962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3368CDD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noWrap w:val="0"/>
            <w:vAlign w:val="center"/>
          </w:tcPr>
          <w:p w14:paraId="6FF254AF">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制胶反应釜</w:t>
            </w:r>
          </w:p>
        </w:tc>
        <w:tc>
          <w:tcPr>
            <w:tcW w:w="2121" w:type="dxa"/>
            <w:noWrap w:val="0"/>
            <w:vAlign w:val="center"/>
          </w:tcPr>
          <w:p w14:paraId="6185D9DD">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5T</w:t>
            </w:r>
          </w:p>
        </w:tc>
        <w:tc>
          <w:tcPr>
            <w:tcW w:w="839" w:type="dxa"/>
            <w:noWrap w:val="0"/>
            <w:vAlign w:val="center"/>
          </w:tcPr>
          <w:p w14:paraId="6DE9F30E">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35B4DB29">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2（1用1备）</w:t>
            </w:r>
          </w:p>
        </w:tc>
        <w:tc>
          <w:tcPr>
            <w:tcW w:w="1944" w:type="dxa"/>
            <w:noWrap w:val="0"/>
            <w:vAlign w:val="center"/>
          </w:tcPr>
          <w:p w14:paraId="2D189231">
            <w:pPr>
              <w:spacing w:line="321" w:lineRule="exact"/>
              <w:ind w:left="0" w:right="115" w:firstLine="0"/>
              <w:jc w:val="center"/>
              <w:rPr>
                <w:rFonts w:hint="eastAsia"/>
                <w:sz w:val="21"/>
                <w:szCs w:val="22"/>
              </w:rPr>
            </w:pPr>
            <w:r>
              <w:rPr>
                <w:rFonts w:hint="eastAsia"/>
                <w:sz w:val="21"/>
                <w:szCs w:val="22"/>
              </w:rPr>
              <w:t>新增，已安装</w:t>
            </w:r>
          </w:p>
        </w:tc>
      </w:tr>
      <w:tr w14:paraId="7F662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2A2B431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4CD7A207">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反应釜</w:t>
            </w:r>
          </w:p>
        </w:tc>
        <w:tc>
          <w:tcPr>
            <w:tcW w:w="2121" w:type="dxa"/>
            <w:noWrap w:val="0"/>
            <w:vAlign w:val="center"/>
          </w:tcPr>
          <w:p w14:paraId="6E011A1B">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0.5T</w:t>
            </w:r>
          </w:p>
        </w:tc>
        <w:tc>
          <w:tcPr>
            <w:tcW w:w="839" w:type="dxa"/>
            <w:noWrap w:val="0"/>
            <w:vAlign w:val="center"/>
          </w:tcPr>
          <w:p w14:paraId="6AAFCCC8">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套</w:t>
            </w:r>
          </w:p>
        </w:tc>
        <w:tc>
          <w:tcPr>
            <w:tcW w:w="886" w:type="dxa"/>
            <w:noWrap w:val="0"/>
            <w:vAlign w:val="center"/>
          </w:tcPr>
          <w:p w14:paraId="3D034727">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4AA8097D">
            <w:pPr>
              <w:spacing w:line="321" w:lineRule="exact"/>
              <w:ind w:left="0" w:right="115" w:firstLine="0"/>
              <w:jc w:val="center"/>
              <w:rPr>
                <w:rFonts w:hint="eastAsia"/>
                <w:sz w:val="21"/>
                <w:szCs w:val="22"/>
              </w:rPr>
            </w:pPr>
            <w:r>
              <w:rPr>
                <w:rFonts w:hint="eastAsia"/>
                <w:sz w:val="21"/>
                <w:szCs w:val="22"/>
              </w:rPr>
              <w:t>新增，已安装</w:t>
            </w:r>
          </w:p>
        </w:tc>
      </w:tr>
      <w:tr w14:paraId="72AC1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65779EE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729" w:type="dxa"/>
            <w:noWrap w:val="0"/>
            <w:vAlign w:val="center"/>
          </w:tcPr>
          <w:p w14:paraId="3CFD699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甲醛罐</w:t>
            </w:r>
          </w:p>
        </w:tc>
        <w:tc>
          <w:tcPr>
            <w:tcW w:w="2121" w:type="dxa"/>
            <w:noWrap w:val="0"/>
            <w:vAlign w:val="center"/>
          </w:tcPr>
          <w:p w14:paraId="104C4BC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60T</w:t>
            </w:r>
          </w:p>
        </w:tc>
        <w:tc>
          <w:tcPr>
            <w:tcW w:w="839" w:type="dxa"/>
            <w:noWrap w:val="0"/>
            <w:vAlign w:val="center"/>
          </w:tcPr>
          <w:p w14:paraId="2AB7A23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个</w:t>
            </w:r>
          </w:p>
        </w:tc>
        <w:tc>
          <w:tcPr>
            <w:tcW w:w="886" w:type="dxa"/>
            <w:noWrap w:val="0"/>
            <w:vAlign w:val="center"/>
          </w:tcPr>
          <w:p w14:paraId="6214DC0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0E3965BF">
            <w:pPr>
              <w:spacing w:line="321" w:lineRule="exact"/>
              <w:ind w:left="0" w:right="115" w:firstLine="0"/>
              <w:jc w:val="center"/>
              <w:rPr>
                <w:rFonts w:hint="eastAsia"/>
                <w:sz w:val="21"/>
                <w:szCs w:val="22"/>
              </w:rPr>
            </w:pPr>
            <w:r>
              <w:rPr>
                <w:rFonts w:hint="eastAsia"/>
                <w:sz w:val="21"/>
                <w:szCs w:val="22"/>
              </w:rPr>
              <w:t>新增，已安装</w:t>
            </w:r>
          </w:p>
        </w:tc>
      </w:tr>
      <w:tr w14:paraId="72381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2EEE3FF">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5</w:t>
            </w:r>
          </w:p>
        </w:tc>
        <w:tc>
          <w:tcPr>
            <w:tcW w:w="1729" w:type="dxa"/>
            <w:noWrap w:val="0"/>
            <w:vAlign w:val="center"/>
          </w:tcPr>
          <w:p w14:paraId="4C8C196A">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应急储存罐</w:t>
            </w:r>
          </w:p>
        </w:tc>
        <w:tc>
          <w:tcPr>
            <w:tcW w:w="2121" w:type="dxa"/>
            <w:noWrap w:val="0"/>
            <w:vAlign w:val="center"/>
          </w:tcPr>
          <w:p w14:paraId="675EB6C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30T</w:t>
            </w:r>
          </w:p>
        </w:tc>
        <w:tc>
          <w:tcPr>
            <w:tcW w:w="839" w:type="dxa"/>
            <w:noWrap w:val="0"/>
            <w:vAlign w:val="center"/>
          </w:tcPr>
          <w:p w14:paraId="1C8DA71B">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个</w:t>
            </w:r>
          </w:p>
        </w:tc>
        <w:tc>
          <w:tcPr>
            <w:tcW w:w="886" w:type="dxa"/>
            <w:noWrap w:val="0"/>
            <w:vAlign w:val="center"/>
          </w:tcPr>
          <w:p w14:paraId="5C9DC8E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28C7D359">
            <w:pPr>
              <w:spacing w:line="321" w:lineRule="exact"/>
              <w:ind w:left="0" w:right="115" w:firstLine="0"/>
              <w:jc w:val="center"/>
              <w:rPr>
                <w:rFonts w:hint="eastAsia"/>
                <w:sz w:val="21"/>
                <w:szCs w:val="22"/>
              </w:rPr>
            </w:pPr>
            <w:r>
              <w:rPr>
                <w:rFonts w:hint="eastAsia"/>
                <w:sz w:val="21"/>
                <w:szCs w:val="22"/>
              </w:rPr>
              <w:t>新增，已安装</w:t>
            </w:r>
          </w:p>
        </w:tc>
      </w:tr>
      <w:tr w14:paraId="0F5B0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6D3B4AAB">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6</w:t>
            </w:r>
          </w:p>
        </w:tc>
        <w:tc>
          <w:tcPr>
            <w:tcW w:w="1729" w:type="dxa"/>
            <w:noWrap w:val="0"/>
            <w:vAlign w:val="center"/>
          </w:tcPr>
          <w:p w14:paraId="2867998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冷凝器</w:t>
            </w:r>
          </w:p>
        </w:tc>
        <w:tc>
          <w:tcPr>
            <w:tcW w:w="2121" w:type="dxa"/>
            <w:noWrap w:val="0"/>
            <w:vAlign w:val="center"/>
          </w:tcPr>
          <w:p w14:paraId="5EAF31CD">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6A2BE24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7C2E5F5C">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75E212DA">
            <w:pPr>
              <w:spacing w:line="321" w:lineRule="exact"/>
              <w:ind w:left="0" w:right="115" w:firstLine="0"/>
              <w:jc w:val="center"/>
              <w:rPr>
                <w:rFonts w:hint="eastAsia"/>
                <w:sz w:val="21"/>
                <w:szCs w:val="22"/>
              </w:rPr>
            </w:pPr>
            <w:r>
              <w:rPr>
                <w:rFonts w:hint="eastAsia"/>
                <w:sz w:val="21"/>
                <w:szCs w:val="22"/>
              </w:rPr>
              <w:t>新增，已安装</w:t>
            </w:r>
          </w:p>
        </w:tc>
      </w:tr>
      <w:tr w14:paraId="5CAF4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3E6468AF">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7</w:t>
            </w:r>
          </w:p>
        </w:tc>
        <w:tc>
          <w:tcPr>
            <w:tcW w:w="1729" w:type="dxa"/>
            <w:noWrap w:val="0"/>
            <w:vAlign w:val="center"/>
          </w:tcPr>
          <w:p w14:paraId="2F00F297">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真空罐</w:t>
            </w:r>
          </w:p>
        </w:tc>
        <w:tc>
          <w:tcPr>
            <w:tcW w:w="2121" w:type="dxa"/>
            <w:noWrap w:val="0"/>
            <w:vAlign w:val="center"/>
          </w:tcPr>
          <w:p w14:paraId="213A8462">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5A297EC9">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个</w:t>
            </w:r>
          </w:p>
        </w:tc>
        <w:tc>
          <w:tcPr>
            <w:tcW w:w="886" w:type="dxa"/>
            <w:noWrap w:val="0"/>
            <w:vAlign w:val="center"/>
          </w:tcPr>
          <w:p w14:paraId="6EB88B2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49EEDD14">
            <w:pPr>
              <w:spacing w:line="321" w:lineRule="exact"/>
              <w:ind w:left="0" w:right="115" w:firstLine="0"/>
              <w:jc w:val="center"/>
              <w:rPr>
                <w:rFonts w:hint="eastAsia"/>
                <w:sz w:val="21"/>
                <w:szCs w:val="22"/>
              </w:rPr>
            </w:pPr>
            <w:r>
              <w:rPr>
                <w:rFonts w:hint="eastAsia"/>
                <w:sz w:val="21"/>
                <w:szCs w:val="22"/>
              </w:rPr>
              <w:t>新增，已安装</w:t>
            </w:r>
          </w:p>
        </w:tc>
      </w:tr>
      <w:tr w14:paraId="7B7D7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A62F6BC">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8</w:t>
            </w:r>
          </w:p>
        </w:tc>
        <w:tc>
          <w:tcPr>
            <w:tcW w:w="1729" w:type="dxa"/>
            <w:noWrap w:val="0"/>
            <w:vAlign w:val="center"/>
          </w:tcPr>
          <w:p w14:paraId="5865DDF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脱水罐</w:t>
            </w:r>
          </w:p>
        </w:tc>
        <w:tc>
          <w:tcPr>
            <w:tcW w:w="2121" w:type="dxa"/>
            <w:noWrap w:val="0"/>
            <w:vAlign w:val="center"/>
          </w:tcPr>
          <w:p w14:paraId="4716C3CA">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5DA29437">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个</w:t>
            </w:r>
          </w:p>
        </w:tc>
        <w:tc>
          <w:tcPr>
            <w:tcW w:w="886" w:type="dxa"/>
            <w:noWrap w:val="0"/>
            <w:vAlign w:val="center"/>
          </w:tcPr>
          <w:p w14:paraId="7EBF08B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281FE6AE">
            <w:pPr>
              <w:spacing w:line="321" w:lineRule="exact"/>
              <w:ind w:left="0" w:right="115" w:firstLine="0"/>
              <w:jc w:val="center"/>
              <w:rPr>
                <w:rFonts w:hint="eastAsia"/>
                <w:sz w:val="21"/>
                <w:szCs w:val="22"/>
              </w:rPr>
            </w:pPr>
            <w:r>
              <w:rPr>
                <w:rFonts w:hint="eastAsia"/>
                <w:sz w:val="21"/>
                <w:szCs w:val="22"/>
              </w:rPr>
              <w:t>新增，已安装</w:t>
            </w:r>
          </w:p>
        </w:tc>
      </w:tr>
      <w:tr w14:paraId="4670E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20760FCC">
            <w:pPr>
              <w:pStyle w:val="421"/>
              <w:spacing w:line="321" w:lineRule="exact"/>
              <w:ind w:right="115" w:firstLine="0"/>
              <w:jc w:val="center"/>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三</w:t>
            </w:r>
          </w:p>
        </w:tc>
        <w:tc>
          <w:tcPr>
            <w:tcW w:w="7519" w:type="dxa"/>
            <w:gridSpan w:val="5"/>
            <w:noWrap w:val="0"/>
            <w:vAlign w:val="center"/>
          </w:tcPr>
          <w:p w14:paraId="735A4495">
            <w:pPr>
              <w:pStyle w:val="421"/>
              <w:spacing w:line="321" w:lineRule="exact"/>
              <w:ind w:right="115" w:firstLine="0"/>
              <w:jc w:val="center"/>
              <w:rPr>
                <w:rFonts w:hint="eastAsia" w:ascii="Times New Roman" w:hAnsi="Times New Roman" w:eastAsia="宋体" w:cs="Times New Roman"/>
                <w:sz w:val="21"/>
                <w:szCs w:val="22"/>
              </w:rPr>
            </w:pPr>
            <w:r>
              <w:rPr>
                <w:rFonts w:hint="eastAsia" w:ascii="Times New Roman" w:hAnsi="Times New Roman" w:eastAsia="宋体" w:cs="Times New Roman"/>
                <w:b/>
                <w:bCs/>
                <w:sz w:val="21"/>
                <w:szCs w:val="22"/>
              </w:rPr>
              <w:t>其他设备</w:t>
            </w:r>
          </w:p>
        </w:tc>
      </w:tr>
      <w:tr w14:paraId="2D019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vMerge w:val="restart"/>
            <w:noWrap w:val="0"/>
            <w:vAlign w:val="center"/>
          </w:tcPr>
          <w:p w14:paraId="55EB7C39">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729" w:type="dxa"/>
            <w:vMerge w:val="restart"/>
            <w:noWrap w:val="0"/>
            <w:vAlign w:val="center"/>
          </w:tcPr>
          <w:p w14:paraId="7F88A4A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变压器</w:t>
            </w:r>
          </w:p>
        </w:tc>
        <w:tc>
          <w:tcPr>
            <w:tcW w:w="2121" w:type="dxa"/>
            <w:noWrap w:val="0"/>
            <w:vAlign w:val="center"/>
          </w:tcPr>
          <w:p w14:paraId="7E7C4CD4">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S9-500/10</w:t>
            </w:r>
          </w:p>
        </w:tc>
        <w:tc>
          <w:tcPr>
            <w:tcW w:w="839" w:type="dxa"/>
            <w:noWrap w:val="0"/>
            <w:vAlign w:val="center"/>
          </w:tcPr>
          <w:p w14:paraId="53AB705E">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18538C68">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944" w:type="dxa"/>
            <w:noWrap w:val="0"/>
            <w:vAlign w:val="center"/>
          </w:tcPr>
          <w:p w14:paraId="26C523F7">
            <w:pPr>
              <w:spacing w:line="321" w:lineRule="exact"/>
              <w:ind w:left="0" w:right="115" w:firstLine="0"/>
              <w:jc w:val="center"/>
              <w:rPr>
                <w:rFonts w:hint="eastAsia"/>
                <w:sz w:val="21"/>
                <w:szCs w:val="22"/>
              </w:rPr>
            </w:pPr>
            <w:r>
              <w:rPr>
                <w:rFonts w:hint="eastAsia"/>
                <w:sz w:val="21"/>
                <w:szCs w:val="22"/>
              </w:rPr>
              <w:t>新增，已安装</w:t>
            </w:r>
          </w:p>
        </w:tc>
      </w:tr>
      <w:tr w14:paraId="7C9DE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vMerge w:val="continue"/>
            <w:noWrap w:val="0"/>
            <w:vAlign w:val="center"/>
          </w:tcPr>
          <w:p w14:paraId="1F159F81">
            <w:pPr>
              <w:pStyle w:val="421"/>
              <w:spacing w:line="321" w:lineRule="exact"/>
              <w:ind w:right="115" w:firstLine="0"/>
              <w:rPr>
                <w:rFonts w:hint="eastAsia" w:ascii="Times New Roman" w:hAnsi="Times New Roman" w:eastAsia="宋体" w:cs="Times New Roman"/>
                <w:sz w:val="21"/>
                <w:szCs w:val="22"/>
              </w:rPr>
            </w:pPr>
          </w:p>
        </w:tc>
        <w:tc>
          <w:tcPr>
            <w:tcW w:w="1729" w:type="dxa"/>
            <w:vMerge w:val="continue"/>
            <w:noWrap w:val="0"/>
            <w:vAlign w:val="center"/>
          </w:tcPr>
          <w:p w14:paraId="02DDCE3F">
            <w:pPr>
              <w:pStyle w:val="421"/>
              <w:spacing w:line="321" w:lineRule="exact"/>
              <w:ind w:right="115" w:firstLine="0"/>
              <w:rPr>
                <w:rFonts w:ascii="Times New Roman" w:hAnsi="Times New Roman" w:eastAsia="宋体" w:cs="Times New Roman"/>
                <w:sz w:val="21"/>
                <w:szCs w:val="22"/>
              </w:rPr>
            </w:pPr>
          </w:p>
        </w:tc>
        <w:tc>
          <w:tcPr>
            <w:tcW w:w="2121" w:type="dxa"/>
            <w:noWrap w:val="0"/>
            <w:vAlign w:val="center"/>
          </w:tcPr>
          <w:p w14:paraId="4A42AE82">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ZCS11-Z-1600/10</w:t>
            </w:r>
          </w:p>
        </w:tc>
        <w:tc>
          <w:tcPr>
            <w:tcW w:w="839" w:type="dxa"/>
            <w:noWrap w:val="0"/>
            <w:vAlign w:val="center"/>
          </w:tcPr>
          <w:p w14:paraId="6BEF4F2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1DF96C1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735FEEDA">
            <w:pPr>
              <w:spacing w:line="321" w:lineRule="exact"/>
              <w:ind w:left="0" w:right="115" w:firstLine="0"/>
              <w:jc w:val="center"/>
              <w:rPr>
                <w:rFonts w:hint="eastAsia"/>
                <w:sz w:val="21"/>
                <w:szCs w:val="22"/>
              </w:rPr>
            </w:pPr>
            <w:r>
              <w:rPr>
                <w:rFonts w:hint="eastAsia"/>
                <w:sz w:val="21"/>
                <w:szCs w:val="22"/>
              </w:rPr>
              <w:t>新增，已安装</w:t>
            </w:r>
          </w:p>
        </w:tc>
      </w:tr>
      <w:tr w14:paraId="6A847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vMerge w:val="restart"/>
            <w:noWrap w:val="0"/>
            <w:vAlign w:val="center"/>
          </w:tcPr>
          <w:p w14:paraId="66070F1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w:t>
            </w:r>
          </w:p>
        </w:tc>
        <w:tc>
          <w:tcPr>
            <w:tcW w:w="1729" w:type="dxa"/>
            <w:vMerge w:val="restart"/>
            <w:noWrap w:val="0"/>
            <w:vAlign w:val="center"/>
          </w:tcPr>
          <w:p w14:paraId="20B88885">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空压机</w:t>
            </w:r>
          </w:p>
        </w:tc>
        <w:tc>
          <w:tcPr>
            <w:tcW w:w="2121" w:type="dxa"/>
            <w:noWrap w:val="0"/>
            <w:vAlign w:val="center"/>
          </w:tcPr>
          <w:p w14:paraId="26927006">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AED55A</w:t>
            </w:r>
          </w:p>
        </w:tc>
        <w:tc>
          <w:tcPr>
            <w:tcW w:w="839" w:type="dxa"/>
            <w:noWrap w:val="0"/>
            <w:vAlign w:val="center"/>
          </w:tcPr>
          <w:p w14:paraId="2FFCBDA3">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03D51A71">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4306067F">
            <w:pPr>
              <w:spacing w:line="321" w:lineRule="exact"/>
              <w:ind w:left="0" w:right="115" w:firstLine="0"/>
              <w:jc w:val="center"/>
              <w:rPr>
                <w:rFonts w:hint="eastAsia"/>
                <w:sz w:val="21"/>
                <w:szCs w:val="22"/>
              </w:rPr>
            </w:pPr>
            <w:r>
              <w:rPr>
                <w:rFonts w:hint="eastAsia"/>
                <w:sz w:val="21"/>
                <w:szCs w:val="22"/>
              </w:rPr>
              <w:t>新增，已安装</w:t>
            </w:r>
          </w:p>
        </w:tc>
      </w:tr>
      <w:tr w14:paraId="57F07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vMerge w:val="continue"/>
            <w:noWrap w:val="0"/>
            <w:vAlign w:val="center"/>
          </w:tcPr>
          <w:p w14:paraId="2D96664C">
            <w:pPr>
              <w:pStyle w:val="421"/>
              <w:spacing w:line="321" w:lineRule="exact"/>
              <w:ind w:right="115" w:firstLine="0"/>
              <w:rPr>
                <w:rFonts w:hint="eastAsia" w:ascii="Times New Roman" w:hAnsi="Times New Roman" w:eastAsia="宋体" w:cs="Times New Roman"/>
                <w:sz w:val="21"/>
                <w:szCs w:val="22"/>
              </w:rPr>
            </w:pPr>
          </w:p>
        </w:tc>
        <w:tc>
          <w:tcPr>
            <w:tcW w:w="1729" w:type="dxa"/>
            <w:vMerge w:val="continue"/>
            <w:noWrap w:val="0"/>
            <w:vAlign w:val="center"/>
          </w:tcPr>
          <w:p w14:paraId="57DB8F4E">
            <w:pPr>
              <w:pStyle w:val="421"/>
              <w:spacing w:line="321" w:lineRule="exact"/>
              <w:ind w:right="115" w:firstLine="0"/>
              <w:rPr>
                <w:rFonts w:hint="eastAsia" w:ascii="Times New Roman" w:hAnsi="Times New Roman" w:eastAsia="宋体" w:cs="Times New Roman"/>
                <w:sz w:val="21"/>
                <w:szCs w:val="22"/>
              </w:rPr>
            </w:pPr>
          </w:p>
        </w:tc>
        <w:tc>
          <w:tcPr>
            <w:tcW w:w="2121" w:type="dxa"/>
            <w:noWrap w:val="0"/>
            <w:vAlign w:val="center"/>
          </w:tcPr>
          <w:p w14:paraId="5CA8DDEF">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AED75A</w:t>
            </w:r>
          </w:p>
        </w:tc>
        <w:tc>
          <w:tcPr>
            <w:tcW w:w="839" w:type="dxa"/>
            <w:noWrap w:val="0"/>
            <w:vAlign w:val="center"/>
          </w:tcPr>
          <w:p w14:paraId="4981391D">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台</w:t>
            </w:r>
          </w:p>
        </w:tc>
        <w:tc>
          <w:tcPr>
            <w:tcW w:w="886" w:type="dxa"/>
            <w:noWrap w:val="0"/>
            <w:vAlign w:val="center"/>
          </w:tcPr>
          <w:p w14:paraId="217E7EB0">
            <w:pPr>
              <w:pStyle w:val="421"/>
              <w:spacing w:line="321" w:lineRule="exact"/>
              <w:ind w:right="115" w:firstLine="0"/>
              <w:rPr>
                <w:rFonts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1AC585EF">
            <w:pPr>
              <w:spacing w:line="321" w:lineRule="exact"/>
              <w:ind w:left="0" w:right="115" w:firstLine="0"/>
              <w:jc w:val="center"/>
              <w:rPr>
                <w:rFonts w:hint="eastAsia"/>
                <w:sz w:val="21"/>
                <w:szCs w:val="22"/>
              </w:rPr>
            </w:pPr>
            <w:r>
              <w:rPr>
                <w:rFonts w:hint="eastAsia"/>
                <w:sz w:val="21"/>
                <w:szCs w:val="22"/>
              </w:rPr>
              <w:t>新增，已安装</w:t>
            </w:r>
          </w:p>
        </w:tc>
      </w:tr>
      <w:tr w14:paraId="22CF1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23CF4274">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w:t>
            </w:r>
          </w:p>
        </w:tc>
        <w:tc>
          <w:tcPr>
            <w:tcW w:w="1729" w:type="dxa"/>
            <w:noWrap w:val="0"/>
            <w:vAlign w:val="center"/>
          </w:tcPr>
          <w:p w14:paraId="348776F2">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车床</w:t>
            </w:r>
          </w:p>
        </w:tc>
        <w:tc>
          <w:tcPr>
            <w:tcW w:w="2121" w:type="dxa"/>
            <w:noWrap w:val="0"/>
            <w:vAlign w:val="center"/>
          </w:tcPr>
          <w:p w14:paraId="27B65634">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74DF7056">
            <w:pPr>
              <w:spacing w:line="321" w:lineRule="exact"/>
              <w:ind w:right="115" w:firstLine="0"/>
              <w:jc w:val="center"/>
              <w:rPr>
                <w:rFonts w:hint="eastAsia"/>
                <w:sz w:val="21"/>
                <w:szCs w:val="22"/>
              </w:rPr>
            </w:pPr>
            <w:r>
              <w:rPr>
                <w:rFonts w:hint="eastAsia"/>
                <w:sz w:val="21"/>
                <w:szCs w:val="22"/>
              </w:rPr>
              <w:t>台</w:t>
            </w:r>
          </w:p>
        </w:tc>
        <w:tc>
          <w:tcPr>
            <w:tcW w:w="886" w:type="dxa"/>
            <w:noWrap w:val="0"/>
            <w:vAlign w:val="center"/>
          </w:tcPr>
          <w:p w14:paraId="57691813">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165B4E01">
            <w:pPr>
              <w:spacing w:line="321" w:lineRule="exact"/>
              <w:ind w:left="0" w:right="115" w:firstLine="0"/>
              <w:jc w:val="center"/>
              <w:rPr>
                <w:rFonts w:hint="eastAsia"/>
                <w:sz w:val="21"/>
                <w:szCs w:val="22"/>
              </w:rPr>
            </w:pPr>
            <w:r>
              <w:rPr>
                <w:rFonts w:hint="eastAsia"/>
                <w:sz w:val="21"/>
                <w:szCs w:val="22"/>
              </w:rPr>
              <w:t>新增，已安装</w:t>
            </w:r>
          </w:p>
        </w:tc>
      </w:tr>
      <w:tr w14:paraId="694D0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668797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w:t>
            </w:r>
          </w:p>
        </w:tc>
        <w:tc>
          <w:tcPr>
            <w:tcW w:w="1729" w:type="dxa"/>
            <w:noWrap w:val="0"/>
            <w:vAlign w:val="center"/>
          </w:tcPr>
          <w:p w14:paraId="1D66991C">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铣床</w:t>
            </w:r>
          </w:p>
        </w:tc>
        <w:tc>
          <w:tcPr>
            <w:tcW w:w="2121" w:type="dxa"/>
            <w:noWrap w:val="0"/>
            <w:vAlign w:val="center"/>
          </w:tcPr>
          <w:p w14:paraId="0F4520EC">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5A5FFDFE">
            <w:pPr>
              <w:spacing w:line="321" w:lineRule="exact"/>
              <w:ind w:right="115" w:firstLine="0"/>
              <w:jc w:val="center"/>
              <w:rPr>
                <w:rFonts w:hint="eastAsia"/>
                <w:sz w:val="21"/>
                <w:szCs w:val="22"/>
              </w:rPr>
            </w:pPr>
            <w:r>
              <w:rPr>
                <w:rFonts w:hint="eastAsia"/>
                <w:sz w:val="21"/>
                <w:szCs w:val="22"/>
              </w:rPr>
              <w:t>台</w:t>
            </w:r>
          </w:p>
        </w:tc>
        <w:tc>
          <w:tcPr>
            <w:tcW w:w="886" w:type="dxa"/>
            <w:noWrap w:val="0"/>
            <w:vAlign w:val="center"/>
          </w:tcPr>
          <w:p w14:paraId="6A29CD3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59775237">
            <w:pPr>
              <w:spacing w:line="321" w:lineRule="exact"/>
              <w:ind w:left="0" w:right="115" w:firstLine="0"/>
              <w:jc w:val="center"/>
              <w:rPr>
                <w:rFonts w:hint="eastAsia"/>
                <w:sz w:val="21"/>
                <w:szCs w:val="22"/>
              </w:rPr>
            </w:pPr>
            <w:r>
              <w:rPr>
                <w:rFonts w:hint="eastAsia"/>
                <w:sz w:val="21"/>
                <w:szCs w:val="22"/>
              </w:rPr>
              <w:t>新增，已安装</w:t>
            </w:r>
          </w:p>
        </w:tc>
      </w:tr>
      <w:tr w14:paraId="2FEA2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4CFF0C0D">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5</w:t>
            </w:r>
          </w:p>
        </w:tc>
        <w:tc>
          <w:tcPr>
            <w:tcW w:w="1729" w:type="dxa"/>
            <w:noWrap w:val="0"/>
            <w:vAlign w:val="center"/>
          </w:tcPr>
          <w:p w14:paraId="011CE118">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刨床</w:t>
            </w:r>
          </w:p>
        </w:tc>
        <w:tc>
          <w:tcPr>
            <w:tcW w:w="2121" w:type="dxa"/>
            <w:noWrap w:val="0"/>
            <w:vAlign w:val="center"/>
          </w:tcPr>
          <w:p w14:paraId="545A33C9">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48AFBE01">
            <w:pPr>
              <w:spacing w:line="321" w:lineRule="exact"/>
              <w:ind w:right="115" w:firstLine="0"/>
              <w:jc w:val="center"/>
              <w:rPr>
                <w:rFonts w:hint="eastAsia"/>
                <w:sz w:val="21"/>
                <w:szCs w:val="22"/>
              </w:rPr>
            </w:pPr>
            <w:r>
              <w:rPr>
                <w:rFonts w:hint="eastAsia"/>
                <w:sz w:val="21"/>
                <w:szCs w:val="22"/>
              </w:rPr>
              <w:t>台</w:t>
            </w:r>
          </w:p>
        </w:tc>
        <w:tc>
          <w:tcPr>
            <w:tcW w:w="886" w:type="dxa"/>
            <w:noWrap w:val="0"/>
            <w:vAlign w:val="center"/>
          </w:tcPr>
          <w:p w14:paraId="68AE1F6C">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2C9B8BA9">
            <w:pPr>
              <w:spacing w:line="321" w:lineRule="exact"/>
              <w:ind w:left="0" w:right="115" w:firstLine="0"/>
              <w:jc w:val="center"/>
              <w:rPr>
                <w:rFonts w:hint="eastAsia"/>
                <w:sz w:val="21"/>
                <w:szCs w:val="22"/>
              </w:rPr>
            </w:pPr>
            <w:r>
              <w:rPr>
                <w:rFonts w:hint="eastAsia"/>
                <w:sz w:val="21"/>
                <w:szCs w:val="22"/>
              </w:rPr>
              <w:t>新增，已安装</w:t>
            </w:r>
          </w:p>
        </w:tc>
      </w:tr>
      <w:tr w14:paraId="1ACF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61" w:hRule="atLeast"/>
          <w:jc w:val="center"/>
        </w:trPr>
        <w:tc>
          <w:tcPr>
            <w:tcW w:w="1198" w:type="dxa"/>
            <w:noWrap w:val="0"/>
            <w:vAlign w:val="center"/>
          </w:tcPr>
          <w:p w14:paraId="00480951">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6</w:t>
            </w:r>
          </w:p>
        </w:tc>
        <w:tc>
          <w:tcPr>
            <w:tcW w:w="1729" w:type="dxa"/>
            <w:noWrap w:val="0"/>
            <w:vAlign w:val="center"/>
          </w:tcPr>
          <w:p w14:paraId="06640134">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钻床</w:t>
            </w:r>
          </w:p>
        </w:tc>
        <w:tc>
          <w:tcPr>
            <w:tcW w:w="2121" w:type="dxa"/>
            <w:noWrap w:val="0"/>
            <w:vAlign w:val="center"/>
          </w:tcPr>
          <w:p w14:paraId="5898849B">
            <w:pPr>
              <w:pStyle w:val="421"/>
              <w:spacing w:line="321" w:lineRule="exact"/>
              <w:ind w:right="115" w:firstLine="0"/>
              <w:rPr>
                <w:rFonts w:hint="eastAsia" w:ascii="Times New Roman" w:hAnsi="Times New Roman" w:eastAsia="宋体" w:cs="Times New Roman"/>
                <w:sz w:val="21"/>
                <w:szCs w:val="22"/>
              </w:rPr>
            </w:pPr>
          </w:p>
        </w:tc>
        <w:tc>
          <w:tcPr>
            <w:tcW w:w="839" w:type="dxa"/>
            <w:noWrap w:val="0"/>
            <w:vAlign w:val="center"/>
          </w:tcPr>
          <w:p w14:paraId="1B9AC519">
            <w:pPr>
              <w:spacing w:line="321" w:lineRule="exact"/>
              <w:ind w:right="115" w:firstLine="0"/>
              <w:jc w:val="center"/>
              <w:rPr>
                <w:rFonts w:hint="eastAsia"/>
                <w:sz w:val="21"/>
                <w:szCs w:val="22"/>
              </w:rPr>
            </w:pPr>
            <w:r>
              <w:rPr>
                <w:rFonts w:hint="eastAsia"/>
                <w:sz w:val="21"/>
                <w:szCs w:val="22"/>
              </w:rPr>
              <w:t>台</w:t>
            </w:r>
          </w:p>
        </w:tc>
        <w:tc>
          <w:tcPr>
            <w:tcW w:w="886" w:type="dxa"/>
            <w:noWrap w:val="0"/>
            <w:vAlign w:val="center"/>
          </w:tcPr>
          <w:p w14:paraId="3E1D5CA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w:t>
            </w:r>
          </w:p>
        </w:tc>
        <w:tc>
          <w:tcPr>
            <w:tcW w:w="1944" w:type="dxa"/>
            <w:noWrap w:val="0"/>
            <w:vAlign w:val="center"/>
          </w:tcPr>
          <w:p w14:paraId="637F3A06">
            <w:pPr>
              <w:spacing w:line="321" w:lineRule="exact"/>
              <w:ind w:left="0" w:right="115" w:firstLine="0"/>
              <w:jc w:val="center"/>
              <w:rPr>
                <w:rFonts w:hint="eastAsia"/>
                <w:sz w:val="21"/>
                <w:szCs w:val="22"/>
              </w:rPr>
            </w:pPr>
            <w:r>
              <w:rPr>
                <w:rFonts w:hint="eastAsia"/>
                <w:sz w:val="21"/>
                <w:szCs w:val="22"/>
              </w:rPr>
              <w:t>新增，已安装</w:t>
            </w:r>
          </w:p>
        </w:tc>
      </w:tr>
    </w:tbl>
    <w:p w14:paraId="38471BC1">
      <w:pPr>
        <w:pStyle w:val="188"/>
        <w:rPr>
          <w:rFonts w:hint="eastAsia"/>
          <w:lang w:val="en-US" w:eastAsia="zh-CN"/>
        </w:rPr>
      </w:pPr>
      <w:r>
        <w:rPr>
          <w:rFonts w:hint="eastAsia"/>
          <w:lang w:val="en-US" w:eastAsia="zh-CN"/>
        </w:rPr>
        <w:t>4.1.7 改扩建后原辅材料</w:t>
      </w:r>
    </w:p>
    <w:p w14:paraId="62D92DF4">
      <w:pPr>
        <w:pStyle w:val="282"/>
        <w:rPr>
          <w:rFonts w:hint="eastAsia" w:ascii="Times New Roman" w:hAnsi="Times New Roman"/>
          <w:b w:val="0"/>
          <w:bCs/>
        </w:rPr>
      </w:pPr>
      <w:r>
        <w:rPr>
          <w:rFonts w:hint="eastAsia"/>
          <w:b w:val="0"/>
          <w:bCs/>
          <w:lang w:val="en-US" w:eastAsia="zh-CN"/>
        </w:rPr>
        <w:t>4.1</w:t>
      </w:r>
      <w:r>
        <w:rPr>
          <w:rFonts w:hint="eastAsia" w:ascii="Times New Roman" w:hAnsi="Times New Roman"/>
          <w:b w:val="0"/>
          <w:bCs/>
          <w:lang w:val="en-US" w:eastAsia="zh-CN"/>
        </w:rPr>
        <w:t>.7</w:t>
      </w:r>
      <w:r>
        <w:rPr>
          <w:rFonts w:hint="eastAsia" w:ascii="Times New Roman" w:hAnsi="Times New Roman"/>
          <w:b w:val="0"/>
          <w:bCs/>
        </w:rPr>
        <w:t>.1</w:t>
      </w:r>
      <w:r>
        <w:rPr>
          <w:rFonts w:hint="eastAsia" w:ascii="Times New Roman" w:hAnsi="Times New Roman"/>
          <w:b w:val="0"/>
          <w:bCs/>
          <w:lang w:val="en-US" w:eastAsia="zh-CN"/>
        </w:rPr>
        <w:t>改扩建后</w:t>
      </w:r>
      <w:r>
        <w:rPr>
          <w:rFonts w:hint="eastAsia" w:ascii="Times New Roman" w:hAnsi="Times New Roman"/>
          <w:b w:val="0"/>
          <w:bCs/>
        </w:rPr>
        <w:t xml:space="preserve">主要原辅料及燃料 </w:t>
      </w:r>
    </w:p>
    <w:p w14:paraId="0C56BCE3">
      <w:pPr>
        <w:ind w:firstLine="480"/>
        <w:rPr>
          <w:color w:val="000000"/>
        </w:rPr>
      </w:pPr>
      <w:r>
        <w:rPr>
          <w:rFonts w:hint="eastAsia"/>
          <w:color w:val="000000"/>
          <w:lang w:val="en-US" w:eastAsia="zh-CN"/>
        </w:rPr>
        <w:t>改扩建完成后项目</w:t>
      </w:r>
      <w:r>
        <w:rPr>
          <w:color w:val="000000"/>
        </w:rPr>
        <w:t>主要原料为</w:t>
      </w:r>
      <w:r>
        <w:rPr>
          <w:rFonts w:hint="eastAsia"/>
          <w:color w:val="000000"/>
          <w:lang w:val="en-US" w:eastAsia="zh-CN"/>
        </w:rPr>
        <w:t>竹子、亩单板</w:t>
      </w:r>
      <w:r>
        <w:rPr>
          <w:color w:val="000000"/>
        </w:rPr>
        <w:t>等；燃料主要为</w:t>
      </w:r>
      <w:r>
        <w:rPr>
          <w:rFonts w:hint="eastAsia"/>
          <w:color w:val="000000"/>
          <w:lang w:val="en-US" w:eastAsia="zh-CN"/>
        </w:rPr>
        <w:t>厂区产生的废边角料</w:t>
      </w:r>
      <w:r>
        <w:rPr>
          <w:color w:val="000000"/>
        </w:rPr>
        <w:t xml:space="preserve">等。根据项目统计，项目主要原、辅材料、燃料消耗分别见表 </w:t>
      </w:r>
      <w:r>
        <w:rPr>
          <w:rFonts w:hint="eastAsia"/>
          <w:color w:val="000000"/>
          <w:lang w:val="en-US" w:eastAsia="zh-CN"/>
        </w:rPr>
        <w:t>4.1</w:t>
      </w:r>
      <w:r>
        <w:rPr>
          <w:color w:val="000000"/>
        </w:rPr>
        <w:t>-</w:t>
      </w:r>
      <w:r>
        <w:rPr>
          <w:rFonts w:hint="eastAsia"/>
          <w:color w:val="000000"/>
          <w:lang w:val="en-US" w:eastAsia="zh-CN"/>
        </w:rPr>
        <w:t>7</w:t>
      </w:r>
      <w:r>
        <w:rPr>
          <w:color w:val="000000"/>
        </w:rPr>
        <w:t>。</w:t>
      </w:r>
    </w:p>
    <w:p w14:paraId="38A43E63">
      <w:pPr>
        <w:pStyle w:val="219"/>
        <w:spacing w:after="0"/>
        <w:ind w:firstLine="482"/>
        <w:jc w:val="center"/>
        <w:rPr>
          <w:rFonts w:hint="eastAsia"/>
          <w:b/>
          <w:bCs/>
          <w:sz w:val="24"/>
        </w:rPr>
      </w:pPr>
      <w:r>
        <w:rPr>
          <w:rFonts w:hint="eastAsia"/>
          <w:b/>
          <w:bCs/>
          <w:sz w:val="24"/>
        </w:rPr>
        <w:t>表</w:t>
      </w:r>
      <w:r>
        <w:rPr>
          <w:rFonts w:hint="eastAsia"/>
          <w:b/>
          <w:bCs/>
          <w:sz w:val="24"/>
          <w:lang w:val="en-US" w:eastAsia="zh-CN"/>
        </w:rPr>
        <w:t>4.1</w:t>
      </w:r>
      <w:r>
        <w:rPr>
          <w:rFonts w:hint="eastAsia"/>
          <w:b/>
          <w:bCs/>
          <w:sz w:val="24"/>
        </w:rPr>
        <w:t>-</w:t>
      </w:r>
      <w:r>
        <w:rPr>
          <w:rFonts w:hint="eastAsia"/>
          <w:b/>
          <w:bCs/>
          <w:sz w:val="24"/>
          <w:lang w:val="en-US" w:eastAsia="zh-CN"/>
        </w:rPr>
        <w:t>7</w:t>
      </w:r>
      <w:r>
        <w:rPr>
          <w:rFonts w:hint="eastAsia"/>
          <w:b/>
          <w:bCs/>
          <w:sz w:val="24"/>
        </w:rPr>
        <w:t xml:space="preserve">    </w:t>
      </w:r>
      <w:r>
        <w:rPr>
          <w:rFonts w:hint="eastAsia"/>
          <w:b/>
          <w:bCs/>
          <w:sz w:val="24"/>
          <w:lang w:val="en-US" w:eastAsia="zh-CN"/>
        </w:rPr>
        <w:t>改扩建完成后</w:t>
      </w:r>
      <w:r>
        <w:rPr>
          <w:rFonts w:hint="eastAsia"/>
          <w:b/>
          <w:bCs/>
          <w:sz w:val="24"/>
        </w:rPr>
        <w:t>主要原辅材料及能源消耗</w:t>
      </w:r>
    </w:p>
    <w:tbl>
      <w:tblPr>
        <w:tblStyle w:val="32"/>
        <w:tblW w:w="92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4"/>
        <w:gridCol w:w="773"/>
        <w:gridCol w:w="1137"/>
        <w:gridCol w:w="1463"/>
        <w:gridCol w:w="1233"/>
        <w:gridCol w:w="1122"/>
        <w:gridCol w:w="1063"/>
        <w:gridCol w:w="1022"/>
        <w:gridCol w:w="920"/>
      </w:tblGrid>
      <w:tr w14:paraId="2DAAA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44" w:hRule="atLeast"/>
          <w:jc w:val="center"/>
        </w:trPr>
        <w:tc>
          <w:tcPr>
            <w:tcW w:w="1337" w:type="dxa"/>
            <w:gridSpan w:val="2"/>
            <w:shd w:val="clear" w:color="auto" w:fill="FFFFFF"/>
            <w:noWrap/>
            <w:vAlign w:val="center"/>
          </w:tcPr>
          <w:p w14:paraId="6062C809">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序号</w:t>
            </w:r>
          </w:p>
        </w:tc>
        <w:tc>
          <w:tcPr>
            <w:tcW w:w="1137" w:type="dxa"/>
            <w:shd w:val="clear" w:color="auto" w:fill="FFFFFF"/>
            <w:noWrap/>
            <w:vAlign w:val="center"/>
          </w:tcPr>
          <w:p w14:paraId="7186ACDD">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名称</w:t>
            </w:r>
          </w:p>
        </w:tc>
        <w:tc>
          <w:tcPr>
            <w:tcW w:w="1463" w:type="dxa"/>
            <w:shd w:val="clear" w:color="auto" w:fill="FFFFFF"/>
            <w:noWrap/>
            <w:vAlign w:val="center"/>
          </w:tcPr>
          <w:p w14:paraId="17E0396E">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年耗量</w:t>
            </w:r>
          </w:p>
        </w:tc>
        <w:tc>
          <w:tcPr>
            <w:tcW w:w="1233" w:type="dxa"/>
            <w:shd w:val="clear" w:color="auto" w:fill="FFFFFF"/>
            <w:noWrap/>
            <w:vAlign w:val="center"/>
          </w:tcPr>
          <w:p w14:paraId="6E990350">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规格</w:t>
            </w:r>
          </w:p>
        </w:tc>
        <w:tc>
          <w:tcPr>
            <w:tcW w:w="1122" w:type="dxa"/>
            <w:shd w:val="clear" w:color="auto" w:fill="FFFFFF"/>
            <w:noWrap/>
            <w:vAlign w:val="center"/>
          </w:tcPr>
          <w:p w14:paraId="6BAE3BF7">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包装及存放地点</w:t>
            </w:r>
          </w:p>
        </w:tc>
        <w:tc>
          <w:tcPr>
            <w:tcW w:w="1063" w:type="dxa"/>
            <w:shd w:val="clear" w:color="auto" w:fill="FFFFFF"/>
            <w:noWrap/>
            <w:vAlign w:val="center"/>
          </w:tcPr>
          <w:p w14:paraId="2C3B26EA">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最大储存量</w:t>
            </w:r>
          </w:p>
        </w:tc>
        <w:tc>
          <w:tcPr>
            <w:tcW w:w="1022" w:type="dxa"/>
            <w:shd w:val="clear" w:color="auto" w:fill="FFFFFF"/>
            <w:noWrap/>
            <w:vAlign w:val="center"/>
          </w:tcPr>
          <w:p w14:paraId="08E1E3DE">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来源</w:t>
            </w:r>
          </w:p>
        </w:tc>
        <w:tc>
          <w:tcPr>
            <w:tcW w:w="920" w:type="dxa"/>
            <w:shd w:val="clear" w:color="auto" w:fill="FFFFFF"/>
            <w:noWrap/>
            <w:vAlign w:val="center"/>
          </w:tcPr>
          <w:p w14:paraId="0CBD6ED5">
            <w:pPr>
              <w:spacing w:line="321" w:lineRule="exact"/>
              <w:ind w:right="115" w:firstLine="0"/>
              <w:jc w:val="center"/>
              <w:rPr>
                <w:rFonts w:ascii="Times New Roman" w:hAnsi="Times New Roman" w:eastAsia="宋体" w:cs="Times New Roman"/>
                <w:b/>
                <w:color w:val="000000"/>
                <w:sz w:val="21"/>
                <w:szCs w:val="22"/>
                <w:lang w:val="en-US" w:eastAsia="zh-CN" w:bidi="ar-SA"/>
              </w:rPr>
            </w:pPr>
            <w:r>
              <w:rPr>
                <w:rFonts w:hint="eastAsia" w:ascii="Times New Roman" w:hAnsi="Times New Roman" w:eastAsia="宋体" w:cs="Times New Roman"/>
                <w:b/>
                <w:color w:val="000000"/>
                <w:sz w:val="21"/>
                <w:szCs w:val="22"/>
                <w:lang w:val="en-US" w:eastAsia="zh-CN" w:bidi="ar-SA"/>
              </w:rPr>
              <w:t>运输方式</w:t>
            </w:r>
          </w:p>
        </w:tc>
      </w:tr>
      <w:tr w14:paraId="0FF15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2" w:hRule="atLeast"/>
          <w:jc w:val="center"/>
        </w:trPr>
        <w:tc>
          <w:tcPr>
            <w:tcW w:w="564" w:type="dxa"/>
            <w:vMerge w:val="restart"/>
            <w:noWrap/>
            <w:vAlign w:val="center"/>
          </w:tcPr>
          <w:p w14:paraId="048E243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原辅材料</w:t>
            </w:r>
          </w:p>
        </w:tc>
        <w:tc>
          <w:tcPr>
            <w:tcW w:w="773" w:type="dxa"/>
            <w:noWrap/>
            <w:vAlign w:val="center"/>
          </w:tcPr>
          <w:p w14:paraId="7F67965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一</w:t>
            </w:r>
          </w:p>
        </w:tc>
        <w:tc>
          <w:tcPr>
            <w:tcW w:w="7960" w:type="dxa"/>
            <w:gridSpan w:val="7"/>
            <w:noWrap/>
            <w:vAlign w:val="center"/>
          </w:tcPr>
          <w:p w14:paraId="01AF0572">
            <w:pPr>
              <w:spacing w:line="321" w:lineRule="exact"/>
              <w:ind w:right="115" w:firstLine="0"/>
              <w:jc w:val="both"/>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板材生产</w:t>
            </w:r>
          </w:p>
        </w:tc>
      </w:tr>
      <w:tr w14:paraId="72A9D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92" w:hRule="atLeast"/>
          <w:jc w:val="center"/>
        </w:trPr>
        <w:tc>
          <w:tcPr>
            <w:tcW w:w="564" w:type="dxa"/>
            <w:vMerge w:val="continue"/>
            <w:noWrap/>
            <w:vAlign w:val="center"/>
          </w:tcPr>
          <w:p w14:paraId="5698C60B">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3D87AE7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1</w:t>
            </w:r>
          </w:p>
        </w:tc>
        <w:tc>
          <w:tcPr>
            <w:tcW w:w="1137" w:type="dxa"/>
            <w:noWrap/>
            <w:vAlign w:val="center"/>
          </w:tcPr>
          <w:p w14:paraId="5223653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竹子</w:t>
            </w:r>
          </w:p>
        </w:tc>
        <w:tc>
          <w:tcPr>
            <w:tcW w:w="1463" w:type="dxa"/>
            <w:noWrap/>
            <w:vAlign w:val="center"/>
          </w:tcPr>
          <w:p w14:paraId="001EDCA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25万t/a</w:t>
            </w:r>
          </w:p>
        </w:tc>
        <w:tc>
          <w:tcPr>
            <w:tcW w:w="1233" w:type="dxa"/>
            <w:noWrap/>
            <w:vAlign w:val="center"/>
          </w:tcPr>
          <w:p w14:paraId="46202236">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胸径6cm以上</w:t>
            </w:r>
          </w:p>
        </w:tc>
        <w:tc>
          <w:tcPr>
            <w:tcW w:w="1122" w:type="dxa"/>
            <w:noWrap/>
            <w:vAlign w:val="center"/>
          </w:tcPr>
          <w:p w14:paraId="1E52D8D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1"/>
                <w:lang w:val="en-US" w:eastAsia="zh-CN" w:bidi="ar-SA"/>
              </w:rPr>
              <w:t>堆场</w:t>
            </w:r>
          </w:p>
        </w:tc>
        <w:tc>
          <w:tcPr>
            <w:tcW w:w="1063" w:type="dxa"/>
            <w:noWrap/>
            <w:vAlign w:val="center"/>
          </w:tcPr>
          <w:p w14:paraId="3066DDA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3000吨</w:t>
            </w:r>
          </w:p>
        </w:tc>
        <w:tc>
          <w:tcPr>
            <w:tcW w:w="1022" w:type="dxa"/>
            <w:noWrap/>
            <w:vAlign w:val="center"/>
          </w:tcPr>
          <w:p w14:paraId="2455024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Noto Sans CJK JP Regular" w:hAnsi="Noto Sans CJK JP Regular" w:eastAsia="宋体" w:cs="Noto Sans CJK JP Regular"/>
                <w:color w:val="000000"/>
                <w:sz w:val="21"/>
                <w:lang w:val="en-US" w:eastAsia="zh-CN" w:bidi="ar-SA"/>
              </w:rPr>
              <w:t>市场采购</w:t>
            </w:r>
          </w:p>
        </w:tc>
        <w:tc>
          <w:tcPr>
            <w:tcW w:w="920" w:type="dxa"/>
            <w:noWrap/>
            <w:vAlign w:val="center"/>
          </w:tcPr>
          <w:p w14:paraId="1614E1B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汽车</w:t>
            </w:r>
          </w:p>
        </w:tc>
      </w:tr>
      <w:tr w14:paraId="25DE8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9" w:hRule="atLeast"/>
          <w:jc w:val="center"/>
        </w:trPr>
        <w:tc>
          <w:tcPr>
            <w:tcW w:w="564" w:type="dxa"/>
            <w:vMerge w:val="continue"/>
            <w:noWrap/>
            <w:vAlign w:val="center"/>
          </w:tcPr>
          <w:p w14:paraId="1AB3239D">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39AB08A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w:t>
            </w:r>
          </w:p>
        </w:tc>
        <w:tc>
          <w:tcPr>
            <w:tcW w:w="1137" w:type="dxa"/>
            <w:noWrap/>
            <w:vAlign w:val="center"/>
          </w:tcPr>
          <w:p w14:paraId="4E96B62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木单板</w:t>
            </w:r>
          </w:p>
        </w:tc>
        <w:tc>
          <w:tcPr>
            <w:tcW w:w="1463" w:type="dxa"/>
            <w:noWrap/>
            <w:vAlign w:val="center"/>
          </w:tcPr>
          <w:p w14:paraId="6FE7947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1"/>
                <w:lang w:val="en-US" w:eastAsia="zh-CN" w:bidi="ar-SA"/>
              </w:rPr>
              <w:t>2000立方米/a</w:t>
            </w:r>
          </w:p>
        </w:tc>
        <w:tc>
          <w:tcPr>
            <w:tcW w:w="1233" w:type="dxa"/>
            <w:noWrap/>
            <w:vAlign w:val="center"/>
          </w:tcPr>
          <w:p w14:paraId="0ABC1FB1">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2500</w:t>
            </w:r>
            <w:r>
              <w:rPr>
                <w:rFonts w:ascii="Arial" w:hAnsi="Arial" w:eastAsia="宋体" w:cs="Arial"/>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1270</w:t>
            </w:r>
            <w:r>
              <w:rPr>
                <w:rFonts w:ascii="Arial" w:hAnsi="Arial" w:eastAsia="宋体" w:cs="Arial"/>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1.6mm</w:t>
            </w:r>
          </w:p>
        </w:tc>
        <w:tc>
          <w:tcPr>
            <w:tcW w:w="1122" w:type="dxa"/>
            <w:noWrap/>
            <w:vAlign w:val="center"/>
          </w:tcPr>
          <w:p w14:paraId="39565BAE">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堆场</w:t>
            </w:r>
          </w:p>
        </w:tc>
        <w:tc>
          <w:tcPr>
            <w:tcW w:w="1063" w:type="dxa"/>
            <w:noWrap/>
            <w:vAlign w:val="center"/>
          </w:tcPr>
          <w:p w14:paraId="11B848D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100立方米</w:t>
            </w:r>
          </w:p>
        </w:tc>
        <w:tc>
          <w:tcPr>
            <w:tcW w:w="1022" w:type="dxa"/>
            <w:noWrap/>
            <w:vAlign w:val="center"/>
          </w:tcPr>
          <w:p w14:paraId="1EEB7CBF">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市场采购</w:t>
            </w:r>
          </w:p>
        </w:tc>
        <w:tc>
          <w:tcPr>
            <w:tcW w:w="920" w:type="dxa"/>
            <w:noWrap/>
            <w:vAlign w:val="center"/>
          </w:tcPr>
          <w:p w14:paraId="4168254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汽车</w:t>
            </w:r>
          </w:p>
        </w:tc>
      </w:tr>
      <w:tr w14:paraId="4A573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564" w:type="dxa"/>
            <w:vMerge w:val="continue"/>
            <w:noWrap/>
            <w:vAlign w:val="center"/>
          </w:tcPr>
          <w:p w14:paraId="69E33C82">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43C7D95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3</w:t>
            </w:r>
          </w:p>
        </w:tc>
        <w:tc>
          <w:tcPr>
            <w:tcW w:w="1137" w:type="dxa"/>
            <w:noWrap/>
            <w:vAlign w:val="center"/>
          </w:tcPr>
          <w:p w14:paraId="3FA51F1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酚醛树脂胶</w:t>
            </w:r>
          </w:p>
        </w:tc>
        <w:tc>
          <w:tcPr>
            <w:tcW w:w="1463" w:type="dxa"/>
            <w:noWrap/>
            <w:vAlign w:val="center"/>
          </w:tcPr>
          <w:p w14:paraId="67F496E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1"/>
                <w:lang w:val="en-US" w:eastAsia="zh-CN" w:bidi="ar-SA"/>
              </w:rPr>
              <w:t>3000t/a</w:t>
            </w:r>
          </w:p>
        </w:tc>
        <w:tc>
          <w:tcPr>
            <w:tcW w:w="1233" w:type="dxa"/>
            <w:noWrap/>
            <w:vAlign w:val="center"/>
          </w:tcPr>
          <w:p w14:paraId="07B4E7D9">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250kg/桶</w:t>
            </w:r>
          </w:p>
        </w:tc>
        <w:tc>
          <w:tcPr>
            <w:tcW w:w="1122" w:type="dxa"/>
            <w:noWrap/>
            <w:vAlign w:val="center"/>
          </w:tcPr>
          <w:p w14:paraId="759531C5">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制胶车间</w:t>
            </w:r>
          </w:p>
        </w:tc>
        <w:tc>
          <w:tcPr>
            <w:tcW w:w="1063" w:type="dxa"/>
            <w:noWrap/>
            <w:vAlign w:val="center"/>
          </w:tcPr>
          <w:p w14:paraId="5DB855DF">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10t</w:t>
            </w:r>
          </w:p>
        </w:tc>
        <w:tc>
          <w:tcPr>
            <w:tcW w:w="1022" w:type="dxa"/>
            <w:noWrap/>
            <w:vAlign w:val="center"/>
          </w:tcPr>
          <w:p w14:paraId="565A18F2">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自制，市场采购</w:t>
            </w:r>
          </w:p>
        </w:tc>
        <w:tc>
          <w:tcPr>
            <w:tcW w:w="920" w:type="dxa"/>
            <w:noWrap/>
            <w:vAlign w:val="center"/>
          </w:tcPr>
          <w:p w14:paraId="056CFD7D">
            <w:pPr>
              <w:ind w:firstLine="0"/>
              <w:jc w:val="center"/>
              <w:rPr>
                <w:rFonts w:ascii="Times New Roman" w:hAnsi="Times New Roman" w:eastAsia="宋体" w:cs="Times New Roman"/>
                <w:color w:val="000000"/>
              </w:rPr>
            </w:pPr>
            <w:r>
              <w:rPr>
                <w:rFonts w:hint="eastAsia" w:ascii="Times New Roman" w:hAnsi="Times New Roman" w:eastAsia="宋体" w:cs="Times New Roman"/>
                <w:color w:val="000000"/>
                <w:sz w:val="21"/>
                <w:szCs w:val="22"/>
              </w:rPr>
              <w:t>汽车</w:t>
            </w:r>
          </w:p>
        </w:tc>
      </w:tr>
      <w:tr w14:paraId="0BA8C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564" w:type="dxa"/>
            <w:vMerge w:val="continue"/>
            <w:noWrap/>
            <w:vAlign w:val="center"/>
          </w:tcPr>
          <w:p w14:paraId="689C07EE">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77AC685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5</w:t>
            </w:r>
          </w:p>
        </w:tc>
        <w:tc>
          <w:tcPr>
            <w:tcW w:w="1137" w:type="dxa"/>
            <w:noWrap/>
            <w:vAlign w:val="center"/>
          </w:tcPr>
          <w:p w14:paraId="2A630382">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脲醛树脂胶</w:t>
            </w:r>
          </w:p>
        </w:tc>
        <w:tc>
          <w:tcPr>
            <w:tcW w:w="1463" w:type="dxa"/>
            <w:noWrap/>
            <w:vAlign w:val="center"/>
          </w:tcPr>
          <w:p w14:paraId="2246D04F">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1"/>
                <w:lang w:val="en-US" w:eastAsia="zh-CN" w:bidi="ar-SA"/>
              </w:rPr>
              <w:t>6000t/a</w:t>
            </w:r>
          </w:p>
        </w:tc>
        <w:tc>
          <w:tcPr>
            <w:tcW w:w="1233" w:type="dxa"/>
            <w:noWrap/>
            <w:vAlign w:val="center"/>
          </w:tcPr>
          <w:p w14:paraId="7B233C1B">
            <w:pPr>
              <w:spacing w:line="321" w:lineRule="exact"/>
              <w:ind w:left="0" w:right="115" w:firstLine="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250</w:t>
            </w:r>
            <w:r>
              <w:rPr>
                <w:rFonts w:hint="eastAsia" w:ascii="Times New Roman" w:hAnsi="Times New Roman" w:eastAsia="宋体" w:cs="Times New Roman"/>
                <w:color w:val="000000"/>
                <w:sz w:val="21"/>
                <w:szCs w:val="21"/>
              </w:rPr>
              <w:t>kg/桶</w:t>
            </w:r>
          </w:p>
        </w:tc>
        <w:tc>
          <w:tcPr>
            <w:tcW w:w="1122" w:type="dxa"/>
            <w:noWrap/>
            <w:vAlign w:val="center"/>
          </w:tcPr>
          <w:p w14:paraId="08B3ABB8">
            <w:pPr>
              <w:spacing w:line="321" w:lineRule="exact"/>
              <w:ind w:right="115"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制胶车间</w:t>
            </w:r>
          </w:p>
        </w:tc>
        <w:tc>
          <w:tcPr>
            <w:tcW w:w="1063" w:type="dxa"/>
            <w:noWrap/>
            <w:vAlign w:val="center"/>
          </w:tcPr>
          <w:p w14:paraId="7F5800A7">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10t</w:t>
            </w:r>
          </w:p>
        </w:tc>
        <w:tc>
          <w:tcPr>
            <w:tcW w:w="1022" w:type="dxa"/>
            <w:noWrap/>
            <w:vAlign w:val="center"/>
          </w:tcPr>
          <w:p w14:paraId="21134599">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自制，市场采购</w:t>
            </w:r>
          </w:p>
        </w:tc>
        <w:tc>
          <w:tcPr>
            <w:tcW w:w="920" w:type="dxa"/>
            <w:noWrap/>
            <w:vAlign w:val="center"/>
          </w:tcPr>
          <w:p w14:paraId="320BE892">
            <w:pPr>
              <w:ind w:firstLine="0"/>
              <w:jc w:val="center"/>
              <w:rPr>
                <w:rFonts w:ascii="Times New Roman" w:hAnsi="Times New Roman" w:eastAsia="宋体" w:cs="Times New Roman"/>
                <w:color w:val="000000"/>
              </w:rPr>
            </w:pPr>
            <w:r>
              <w:rPr>
                <w:rFonts w:hint="eastAsia" w:ascii="Times New Roman" w:hAnsi="Times New Roman" w:eastAsia="宋体" w:cs="Times New Roman"/>
                <w:color w:val="000000"/>
                <w:sz w:val="21"/>
                <w:szCs w:val="22"/>
              </w:rPr>
              <w:t>汽车</w:t>
            </w:r>
          </w:p>
        </w:tc>
      </w:tr>
      <w:tr w14:paraId="1BDDF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564" w:type="dxa"/>
            <w:vMerge w:val="continue"/>
            <w:noWrap/>
            <w:vAlign w:val="center"/>
          </w:tcPr>
          <w:p w14:paraId="712AC3AC">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63EC4D4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6</w:t>
            </w:r>
          </w:p>
        </w:tc>
        <w:tc>
          <w:tcPr>
            <w:tcW w:w="1137" w:type="dxa"/>
            <w:noWrap/>
            <w:vAlign w:val="center"/>
          </w:tcPr>
          <w:p w14:paraId="3D6A5D29">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面粉</w:t>
            </w:r>
          </w:p>
        </w:tc>
        <w:tc>
          <w:tcPr>
            <w:tcW w:w="1463" w:type="dxa"/>
            <w:noWrap/>
            <w:vAlign w:val="center"/>
          </w:tcPr>
          <w:p w14:paraId="0CE3F751">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3t/a</w:t>
            </w:r>
          </w:p>
        </w:tc>
        <w:tc>
          <w:tcPr>
            <w:tcW w:w="1233" w:type="dxa"/>
            <w:noWrap/>
            <w:vAlign w:val="center"/>
          </w:tcPr>
          <w:p w14:paraId="3A401835">
            <w:pPr>
              <w:spacing w:line="321" w:lineRule="exact"/>
              <w:ind w:left="0" w:right="115" w:firstLine="0"/>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25kg/袋</w:t>
            </w:r>
          </w:p>
        </w:tc>
        <w:tc>
          <w:tcPr>
            <w:tcW w:w="1122" w:type="dxa"/>
            <w:noWrap/>
            <w:vAlign w:val="center"/>
          </w:tcPr>
          <w:p w14:paraId="4D84618D">
            <w:pPr>
              <w:spacing w:line="321" w:lineRule="exact"/>
              <w:ind w:right="115"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板材生产车间</w:t>
            </w:r>
          </w:p>
        </w:tc>
        <w:tc>
          <w:tcPr>
            <w:tcW w:w="1063" w:type="dxa"/>
            <w:noWrap/>
            <w:vAlign w:val="center"/>
          </w:tcPr>
          <w:p w14:paraId="4B70F3AA">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0.5t</w:t>
            </w:r>
          </w:p>
        </w:tc>
        <w:tc>
          <w:tcPr>
            <w:tcW w:w="1022" w:type="dxa"/>
            <w:noWrap/>
            <w:vAlign w:val="center"/>
          </w:tcPr>
          <w:p w14:paraId="262E50B5">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市场采购</w:t>
            </w:r>
          </w:p>
        </w:tc>
        <w:tc>
          <w:tcPr>
            <w:tcW w:w="920" w:type="dxa"/>
            <w:noWrap/>
            <w:vAlign w:val="center"/>
          </w:tcPr>
          <w:p w14:paraId="49669480">
            <w:pPr>
              <w:ind w:firstLine="0"/>
              <w:jc w:val="center"/>
              <w:rPr>
                <w:rFonts w:hint="eastAsia"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汽车</w:t>
            </w:r>
          </w:p>
        </w:tc>
      </w:tr>
      <w:tr w14:paraId="047AF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64" w:type="dxa"/>
            <w:vMerge w:val="continue"/>
            <w:noWrap/>
            <w:vAlign w:val="center"/>
          </w:tcPr>
          <w:p w14:paraId="1F1F887E">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1DD9CDC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7</w:t>
            </w:r>
          </w:p>
        </w:tc>
        <w:tc>
          <w:tcPr>
            <w:tcW w:w="1137" w:type="dxa"/>
            <w:noWrap/>
            <w:vAlign w:val="center"/>
          </w:tcPr>
          <w:p w14:paraId="3D472A62">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膜纸</w:t>
            </w:r>
          </w:p>
        </w:tc>
        <w:tc>
          <w:tcPr>
            <w:tcW w:w="1463" w:type="dxa"/>
            <w:noWrap/>
            <w:vAlign w:val="center"/>
          </w:tcPr>
          <w:p w14:paraId="15876582">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50万m</w:t>
            </w:r>
            <w:r>
              <w:rPr>
                <w:rFonts w:hint="eastAsia" w:ascii="Times New Roman" w:hAnsi="Times New Roman" w:eastAsia="宋体" w:cs="Times New Roman"/>
                <w:color w:val="000000"/>
                <w:sz w:val="21"/>
                <w:szCs w:val="21"/>
                <w:vertAlign w:val="superscript"/>
                <w:lang w:val="en-US" w:eastAsia="zh-CN" w:bidi="ar-SA"/>
              </w:rPr>
              <w:t>2</w:t>
            </w:r>
            <w:r>
              <w:rPr>
                <w:rFonts w:hint="eastAsia" w:ascii="Times New Roman" w:hAnsi="Times New Roman" w:eastAsia="宋体" w:cs="Times New Roman"/>
                <w:color w:val="000000"/>
                <w:sz w:val="21"/>
                <w:szCs w:val="21"/>
                <w:lang w:val="en-US" w:eastAsia="zh-CN" w:bidi="ar-SA"/>
              </w:rPr>
              <w:t>/a</w:t>
            </w:r>
          </w:p>
        </w:tc>
        <w:tc>
          <w:tcPr>
            <w:tcW w:w="1233" w:type="dxa"/>
            <w:noWrap/>
            <w:vAlign w:val="center"/>
          </w:tcPr>
          <w:p w14:paraId="4581CE8B">
            <w:pPr>
              <w:spacing w:line="321" w:lineRule="exact"/>
              <w:ind w:left="0" w:right="115"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868m</w:t>
            </w:r>
            <w:r>
              <w:rPr>
                <w:rFonts w:hint="eastAsia"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lang w:val="en-US" w:eastAsia="zh-CN"/>
              </w:rPr>
              <w:t>/卷</w:t>
            </w:r>
          </w:p>
        </w:tc>
        <w:tc>
          <w:tcPr>
            <w:tcW w:w="1122" w:type="dxa"/>
            <w:noWrap/>
            <w:vAlign w:val="center"/>
          </w:tcPr>
          <w:p w14:paraId="440FC154">
            <w:pPr>
              <w:spacing w:line="321" w:lineRule="exact"/>
              <w:ind w:right="115"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板材生产车间</w:t>
            </w:r>
          </w:p>
        </w:tc>
        <w:tc>
          <w:tcPr>
            <w:tcW w:w="1063" w:type="dxa"/>
            <w:noWrap/>
            <w:vAlign w:val="center"/>
          </w:tcPr>
          <w:p w14:paraId="10BDBEA6">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130卷</w:t>
            </w:r>
          </w:p>
        </w:tc>
        <w:tc>
          <w:tcPr>
            <w:tcW w:w="1022" w:type="dxa"/>
            <w:noWrap/>
            <w:vAlign w:val="center"/>
          </w:tcPr>
          <w:p w14:paraId="53858375">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市场采购</w:t>
            </w:r>
          </w:p>
        </w:tc>
        <w:tc>
          <w:tcPr>
            <w:tcW w:w="920" w:type="dxa"/>
            <w:noWrap/>
            <w:vAlign w:val="center"/>
          </w:tcPr>
          <w:p w14:paraId="142E21E6">
            <w:pPr>
              <w:ind w:firstLine="0"/>
              <w:jc w:val="center"/>
              <w:rPr>
                <w:rFonts w:hint="eastAsia"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汽车</w:t>
            </w:r>
          </w:p>
        </w:tc>
      </w:tr>
      <w:tr w14:paraId="12978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564" w:type="dxa"/>
            <w:vMerge w:val="continue"/>
            <w:noWrap/>
            <w:vAlign w:val="center"/>
          </w:tcPr>
          <w:p w14:paraId="6D6B812A">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16783F1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二</w:t>
            </w:r>
          </w:p>
        </w:tc>
        <w:tc>
          <w:tcPr>
            <w:tcW w:w="7960" w:type="dxa"/>
            <w:gridSpan w:val="7"/>
            <w:noWrap/>
            <w:vAlign w:val="center"/>
          </w:tcPr>
          <w:p w14:paraId="0F25DA20">
            <w:pPr>
              <w:ind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rPr>
              <w:t>胶水生产</w:t>
            </w:r>
          </w:p>
        </w:tc>
      </w:tr>
      <w:tr w14:paraId="23ADA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564" w:type="dxa"/>
            <w:vMerge w:val="continue"/>
            <w:noWrap/>
            <w:vAlign w:val="center"/>
          </w:tcPr>
          <w:p w14:paraId="1A5719D8">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6CBF9A3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1</w:t>
            </w:r>
          </w:p>
        </w:tc>
        <w:tc>
          <w:tcPr>
            <w:tcW w:w="1137" w:type="dxa"/>
            <w:noWrap/>
            <w:vAlign w:val="center"/>
          </w:tcPr>
          <w:p w14:paraId="34C6D683">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苯酚</w:t>
            </w:r>
          </w:p>
        </w:tc>
        <w:tc>
          <w:tcPr>
            <w:tcW w:w="1463" w:type="dxa"/>
            <w:noWrap/>
            <w:vAlign w:val="center"/>
          </w:tcPr>
          <w:p w14:paraId="44649B5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750t/a</w:t>
            </w:r>
          </w:p>
        </w:tc>
        <w:tc>
          <w:tcPr>
            <w:tcW w:w="1233" w:type="dxa"/>
            <w:noWrap/>
            <w:vAlign w:val="center"/>
          </w:tcPr>
          <w:p w14:paraId="461FE818">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200kg/桶</w:t>
            </w:r>
          </w:p>
        </w:tc>
        <w:tc>
          <w:tcPr>
            <w:tcW w:w="1122" w:type="dxa"/>
            <w:noWrap/>
            <w:vAlign w:val="center"/>
          </w:tcPr>
          <w:p w14:paraId="08C44A3B">
            <w:pPr>
              <w:spacing w:line="321" w:lineRule="exact"/>
              <w:ind w:right="115"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制胶车间</w:t>
            </w:r>
          </w:p>
        </w:tc>
        <w:tc>
          <w:tcPr>
            <w:tcW w:w="1063" w:type="dxa"/>
            <w:noWrap/>
            <w:vAlign w:val="center"/>
          </w:tcPr>
          <w:p w14:paraId="038AE99A">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Times New Roman" w:hAnsi="Times New Roman" w:eastAsia="宋体" w:cs="Times New Roman"/>
                <w:color w:val="000000"/>
                <w:sz w:val="21"/>
                <w:szCs w:val="22"/>
                <w:lang w:val="en-US" w:eastAsia="zh-CN" w:bidi="ar-SA"/>
              </w:rPr>
              <w:t>30t</w:t>
            </w:r>
          </w:p>
        </w:tc>
        <w:tc>
          <w:tcPr>
            <w:tcW w:w="1022" w:type="dxa"/>
            <w:noWrap/>
            <w:vAlign w:val="center"/>
          </w:tcPr>
          <w:p w14:paraId="493765D9">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市场采购</w:t>
            </w:r>
          </w:p>
        </w:tc>
        <w:tc>
          <w:tcPr>
            <w:tcW w:w="920" w:type="dxa"/>
            <w:noWrap/>
            <w:vAlign w:val="center"/>
          </w:tcPr>
          <w:p w14:paraId="5DFAA065">
            <w:pPr>
              <w:ind w:firstLine="0"/>
              <w:jc w:val="center"/>
              <w:rPr>
                <w:rFonts w:hint="eastAsia"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汽车</w:t>
            </w:r>
          </w:p>
        </w:tc>
      </w:tr>
      <w:tr w14:paraId="19E39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564" w:type="dxa"/>
            <w:vMerge w:val="continue"/>
            <w:noWrap/>
            <w:vAlign w:val="center"/>
          </w:tcPr>
          <w:p w14:paraId="56B2C513">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212F992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w:t>
            </w:r>
          </w:p>
        </w:tc>
        <w:tc>
          <w:tcPr>
            <w:tcW w:w="1137" w:type="dxa"/>
            <w:noWrap/>
            <w:vAlign w:val="center"/>
          </w:tcPr>
          <w:p w14:paraId="60CE0074">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甲醛溶液</w:t>
            </w:r>
            <w:r>
              <w:rPr>
                <w:rFonts w:ascii="Times New Roman" w:hAnsi="Times New Roman" w:eastAsia="宋体" w:cs="Times New Roman"/>
                <w:color w:val="000000"/>
                <w:sz w:val="21"/>
                <w:szCs w:val="21"/>
                <w:lang w:val="en-US" w:eastAsia="zh-CN" w:bidi="ar-SA"/>
              </w:rPr>
              <w:t>（37%）</w:t>
            </w:r>
          </w:p>
        </w:tc>
        <w:tc>
          <w:tcPr>
            <w:tcW w:w="1463" w:type="dxa"/>
            <w:noWrap/>
            <w:vAlign w:val="center"/>
          </w:tcPr>
          <w:p w14:paraId="2A4D61F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2720ta</w:t>
            </w:r>
          </w:p>
        </w:tc>
        <w:tc>
          <w:tcPr>
            <w:tcW w:w="1233" w:type="dxa"/>
            <w:noWrap/>
            <w:vAlign w:val="center"/>
          </w:tcPr>
          <w:p w14:paraId="5808A9B6">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60T储罐</w:t>
            </w:r>
          </w:p>
        </w:tc>
        <w:tc>
          <w:tcPr>
            <w:tcW w:w="1122" w:type="dxa"/>
            <w:noWrap/>
            <w:vAlign w:val="center"/>
          </w:tcPr>
          <w:p w14:paraId="4F14DF91">
            <w:pPr>
              <w:spacing w:line="321" w:lineRule="exact"/>
              <w:ind w:right="115"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制胶车间</w:t>
            </w:r>
          </w:p>
        </w:tc>
        <w:tc>
          <w:tcPr>
            <w:tcW w:w="1063" w:type="dxa"/>
            <w:noWrap/>
            <w:vAlign w:val="center"/>
          </w:tcPr>
          <w:p w14:paraId="54D29C3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50t</w:t>
            </w:r>
          </w:p>
        </w:tc>
        <w:tc>
          <w:tcPr>
            <w:tcW w:w="1022" w:type="dxa"/>
            <w:noWrap/>
            <w:vAlign w:val="center"/>
          </w:tcPr>
          <w:p w14:paraId="40E4009B">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szCs w:val="22"/>
                <w:lang w:val="en-US" w:eastAsia="zh-CN" w:bidi="ar-SA"/>
              </w:rPr>
              <w:t>市场采购</w:t>
            </w:r>
          </w:p>
        </w:tc>
        <w:tc>
          <w:tcPr>
            <w:tcW w:w="920" w:type="dxa"/>
            <w:noWrap/>
            <w:vAlign w:val="center"/>
          </w:tcPr>
          <w:p w14:paraId="5E816EFB">
            <w:pPr>
              <w:ind w:left="0" w:firstLine="0"/>
              <w:jc w:val="center"/>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汽车</w:t>
            </w:r>
          </w:p>
        </w:tc>
      </w:tr>
      <w:tr w14:paraId="6645B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564" w:type="dxa"/>
            <w:vMerge w:val="continue"/>
            <w:noWrap/>
            <w:vAlign w:val="center"/>
          </w:tcPr>
          <w:p w14:paraId="4D80FC90">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229FD0F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3</w:t>
            </w:r>
          </w:p>
        </w:tc>
        <w:tc>
          <w:tcPr>
            <w:tcW w:w="1137" w:type="dxa"/>
            <w:noWrap/>
            <w:vAlign w:val="center"/>
          </w:tcPr>
          <w:p w14:paraId="129EE56E">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氢氧化钠</w:t>
            </w:r>
          </w:p>
        </w:tc>
        <w:tc>
          <w:tcPr>
            <w:tcW w:w="1463" w:type="dxa"/>
            <w:noWrap/>
            <w:vAlign w:val="center"/>
          </w:tcPr>
          <w:p w14:paraId="5D44B18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225.522t/a</w:t>
            </w:r>
          </w:p>
        </w:tc>
        <w:tc>
          <w:tcPr>
            <w:tcW w:w="1233" w:type="dxa"/>
            <w:noWrap/>
            <w:vAlign w:val="center"/>
          </w:tcPr>
          <w:p w14:paraId="51D5CEDC">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25kg/袋</w:t>
            </w:r>
          </w:p>
        </w:tc>
        <w:tc>
          <w:tcPr>
            <w:tcW w:w="1122" w:type="dxa"/>
            <w:noWrap/>
            <w:vAlign w:val="center"/>
          </w:tcPr>
          <w:p w14:paraId="23953A60">
            <w:pPr>
              <w:spacing w:line="321" w:lineRule="exact"/>
              <w:ind w:right="115"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制胶车间</w:t>
            </w:r>
          </w:p>
        </w:tc>
        <w:tc>
          <w:tcPr>
            <w:tcW w:w="1063" w:type="dxa"/>
            <w:noWrap/>
            <w:vAlign w:val="center"/>
          </w:tcPr>
          <w:p w14:paraId="7FEF440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5t</w:t>
            </w:r>
          </w:p>
        </w:tc>
        <w:tc>
          <w:tcPr>
            <w:tcW w:w="1022" w:type="dxa"/>
            <w:noWrap/>
            <w:vAlign w:val="center"/>
          </w:tcPr>
          <w:p w14:paraId="53FD5DAF">
            <w:pPr>
              <w:spacing w:line="321" w:lineRule="exact"/>
              <w:ind w:right="115" w:firstLine="0"/>
              <w:jc w:val="center"/>
              <w:rPr>
                <w:rFonts w:hint="eastAsia" w:ascii="Noto Sans CJK JP Regular" w:hAnsi="Noto Sans CJK JP Regular" w:eastAsia="宋体" w:cs="Noto Sans CJK JP Regular"/>
                <w:color w:val="000000"/>
                <w:sz w:val="21"/>
                <w:szCs w:val="22"/>
                <w:lang w:val="en-US" w:eastAsia="zh-CN" w:bidi="ar-SA"/>
              </w:rPr>
            </w:pPr>
            <w:r>
              <w:rPr>
                <w:rFonts w:hint="eastAsia" w:ascii="Noto Sans CJK JP Regular" w:hAnsi="Noto Sans CJK JP Regular" w:eastAsia="宋体" w:cs="Noto Sans CJK JP Regular"/>
                <w:color w:val="000000"/>
                <w:sz w:val="21"/>
                <w:szCs w:val="22"/>
                <w:lang w:val="en-US" w:eastAsia="zh-CN" w:bidi="ar-SA"/>
              </w:rPr>
              <w:t>市场采购</w:t>
            </w:r>
          </w:p>
        </w:tc>
        <w:tc>
          <w:tcPr>
            <w:tcW w:w="920" w:type="dxa"/>
            <w:noWrap/>
            <w:vAlign w:val="center"/>
          </w:tcPr>
          <w:p w14:paraId="26987432">
            <w:pPr>
              <w:ind w:left="0" w:firstLine="0"/>
              <w:jc w:val="center"/>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汽车</w:t>
            </w:r>
          </w:p>
        </w:tc>
      </w:tr>
      <w:tr w14:paraId="2DC3B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564" w:type="dxa"/>
            <w:vMerge w:val="continue"/>
            <w:noWrap/>
            <w:vAlign w:val="center"/>
          </w:tcPr>
          <w:p w14:paraId="3FBB3466">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596F5C5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4</w:t>
            </w:r>
          </w:p>
        </w:tc>
        <w:tc>
          <w:tcPr>
            <w:tcW w:w="1137" w:type="dxa"/>
            <w:noWrap/>
            <w:vAlign w:val="center"/>
          </w:tcPr>
          <w:p w14:paraId="15AEC643">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尿素</w:t>
            </w:r>
          </w:p>
        </w:tc>
        <w:tc>
          <w:tcPr>
            <w:tcW w:w="1463" w:type="dxa"/>
            <w:noWrap/>
            <w:vAlign w:val="center"/>
          </w:tcPr>
          <w:p w14:paraId="1FC1ECF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901.87t/a</w:t>
            </w:r>
          </w:p>
        </w:tc>
        <w:tc>
          <w:tcPr>
            <w:tcW w:w="1233" w:type="dxa"/>
            <w:noWrap/>
            <w:vAlign w:val="center"/>
          </w:tcPr>
          <w:p w14:paraId="5091C223">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40kg/袋</w:t>
            </w:r>
          </w:p>
        </w:tc>
        <w:tc>
          <w:tcPr>
            <w:tcW w:w="1122" w:type="dxa"/>
            <w:noWrap/>
            <w:vAlign w:val="center"/>
          </w:tcPr>
          <w:p w14:paraId="2103C7DF">
            <w:pPr>
              <w:spacing w:line="321" w:lineRule="exact"/>
              <w:ind w:right="115"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制胶车间</w:t>
            </w:r>
          </w:p>
        </w:tc>
        <w:tc>
          <w:tcPr>
            <w:tcW w:w="1063" w:type="dxa"/>
            <w:noWrap/>
            <w:vAlign w:val="center"/>
          </w:tcPr>
          <w:p w14:paraId="7865DAD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100t</w:t>
            </w:r>
          </w:p>
        </w:tc>
        <w:tc>
          <w:tcPr>
            <w:tcW w:w="1022" w:type="dxa"/>
            <w:noWrap/>
            <w:vAlign w:val="center"/>
          </w:tcPr>
          <w:p w14:paraId="5968E2A7">
            <w:pPr>
              <w:spacing w:line="321" w:lineRule="exact"/>
              <w:ind w:right="115" w:firstLine="0"/>
              <w:jc w:val="center"/>
              <w:rPr>
                <w:rFonts w:hint="eastAsia" w:ascii="Noto Sans CJK JP Regular" w:hAnsi="Noto Sans CJK JP Regular" w:eastAsia="宋体" w:cs="Noto Sans CJK JP Regular"/>
                <w:color w:val="000000"/>
                <w:sz w:val="21"/>
                <w:szCs w:val="22"/>
                <w:lang w:val="en-US" w:eastAsia="zh-CN" w:bidi="ar-SA"/>
              </w:rPr>
            </w:pPr>
            <w:r>
              <w:rPr>
                <w:rFonts w:hint="eastAsia" w:ascii="Noto Sans CJK JP Regular" w:hAnsi="Noto Sans CJK JP Regular" w:eastAsia="宋体" w:cs="Noto Sans CJK JP Regular"/>
                <w:color w:val="000000"/>
                <w:sz w:val="21"/>
                <w:szCs w:val="22"/>
                <w:lang w:val="en-US" w:eastAsia="zh-CN" w:bidi="ar-SA"/>
              </w:rPr>
              <w:t>市场采购</w:t>
            </w:r>
          </w:p>
        </w:tc>
        <w:tc>
          <w:tcPr>
            <w:tcW w:w="920" w:type="dxa"/>
            <w:noWrap/>
            <w:vAlign w:val="center"/>
          </w:tcPr>
          <w:p w14:paraId="1C4A9815">
            <w:pPr>
              <w:ind w:left="0" w:firstLine="0"/>
              <w:jc w:val="center"/>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汽车</w:t>
            </w:r>
          </w:p>
        </w:tc>
      </w:tr>
      <w:tr w14:paraId="0BC7C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564" w:type="dxa"/>
            <w:vMerge w:val="continue"/>
            <w:noWrap/>
            <w:vAlign w:val="center"/>
          </w:tcPr>
          <w:p w14:paraId="12DE3DB2">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11904E6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5</w:t>
            </w:r>
          </w:p>
        </w:tc>
        <w:tc>
          <w:tcPr>
            <w:tcW w:w="1137" w:type="dxa"/>
            <w:noWrap/>
            <w:vAlign w:val="center"/>
          </w:tcPr>
          <w:p w14:paraId="03748531">
            <w:pPr>
              <w:spacing w:line="321" w:lineRule="exact"/>
              <w:ind w:right="115" w:firstLine="0"/>
              <w:jc w:val="center"/>
              <w:rPr>
                <w:rFonts w:hint="eastAsia" w:ascii="Noto Sans CJK JP Regular" w:hAnsi="Noto Sans CJK JP Regular" w:eastAsia="宋体" w:cs="Noto Sans CJK JP Regular"/>
                <w:color w:val="000000"/>
                <w:sz w:val="21"/>
                <w:lang w:val="en-US" w:eastAsia="zh-CN" w:bidi="ar-SA"/>
              </w:rPr>
            </w:pPr>
            <w:r>
              <w:rPr>
                <w:rFonts w:hint="eastAsia"/>
                <w:color w:val="000000"/>
                <w:sz w:val="21"/>
                <w:szCs w:val="21"/>
                <w:lang w:val="en-US" w:eastAsia="zh-CN"/>
              </w:rPr>
              <w:t>三聚氰胺粉</w:t>
            </w:r>
          </w:p>
        </w:tc>
        <w:tc>
          <w:tcPr>
            <w:tcW w:w="1463" w:type="dxa"/>
            <w:noWrap/>
            <w:vAlign w:val="center"/>
          </w:tcPr>
          <w:p w14:paraId="06C1042E">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200t/a</w:t>
            </w:r>
          </w:p>
        </w:tc>
        <w:tc>
          <w:tcPr>
            <w:tcW w:w="1233" w:type="dxa"/>
            <w:noWrap/>
            <w:vAlign w:val="center"/>
          </w:tcPr>
          <w:p w14:paraId="7B03BDB8">
            <w:pPr>
              <w:spacing w:line="321" w:lineRule="exact"/>
              <w:ind w:right="115"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25kg/袋</w:t>
            </w:r>
          </w:p>
        </w:tc>
        <w:tc>
          <w:tcPr>
            <w:tcW w:w="1122" w:type="dxa"/>
            <w:noWrap/>
            <w:vAlign w:val="center"/>
          </w:tcPr>
          <w:p w14:paraId="249AD64E">
            <w:pPr>
              <w:spacing w:line="321" w:lineRule="exact"/>
              <w:ind w:right="115"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制胶车间</w:t>
            </w:r>
          </w:p>
        </w:tc>
        <w:tc>
          <w:tcPr>
            <w:tcW w:w="1063" w:type="dxa"/>
            <w:noWrap/>
            <w:vAlign w:val="center"/>
          </w:tcPr>
          <w:p w14:paraId="51AC2579">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30t</w:t>
            </w:r>
          </w:p>
        </w:tc>
        <w:tc>
          <w:tcPr>
            <w:tcW w:w="1022" w:type="dxa"/>
            <w:noWrap/>
            <w:vAlign w:val="center"/>
          </w:tcPr>
          <w:p w14:paraId="2D6598BE">
            <w:pPr>
              <w:spacing w:line="321" w:lineRule="exact"/>
              <w:ind w:right="115" w:firstLine="0"/>
              <w:jc w:val="center"/>
              <w:rPr>
                <w:rFonts w:hint="eastAsia" w:ascii="Noto Sans CJK JP Regular" w:hAnsi="Noto Sans CJK JP Regular" w:eastAsia="宋体" w:cs="Noto Sans CJK JP Regular"/>
                <w:color w:val="000000"/>
                <w:sz w:val="21"/>
                <w:szCs w:val="22"/>
                <w:lang w:val="en-US" w:eastAsia="zh-CN" w:bidi="ar-SA"/>
              </w:rPr>
            </w:pPr>
            <w:r>
              <w:rPr>
                <w:rFonts w:hint="eastAsia" w:ascii="Noto Sans CJK JP Regular" w:hAnsi="Noto Sans CJK JP Regular" w:eastAsia="宋体" w:cs="Noto Sans CJK JP Regular"/>
                <w:color w:val="000000"/>
                <w:sz w:val="21"/>
                <w:szCs w:val="22"/>
                <w:lang w:val="en-US" w:eastAsia="zh-CN" w:bidi="ar-SA"/>
              </w:rPr>
              <w:t>市场采购</w:t>
            </w:r>
          </w:p>
        </w:tc>
        <w:tc>
          <w:tcPr>
            <w:tcW w:w="920" w:type="dxa"/>
            <w:noWrap/>
            <w:vAlign w:val="center"/>
          </w:tcPr>
          <w:p w14:paraId="4073B840">
            <w:pPr>
              <w:spacing w:line="321" w:lineRule="exact"/>
              <w:ind w:left="0" w:right="115" w:firstLine="0"/>
              <w:jc w:val="center"/>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汽车</w:t>
            </w:r>
          </w:p>
        </w:tc>
      </w:tr>
      <w:tr w14:paraId="3BFB8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564" w:type="dxa"/>
            <w:vMerge w:val="continue"/>
            <w:noWrap/>
            <w:vAlign w:val="center"/>
          </w:tcPr>
          <w:p w14:paraId="598073DF">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611ECDFF">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6</w:t>
            </w:r>
          </w:p>
        </w:tc>
        <w:tc>
          <w:tcPr>
            <w:tcW w:w="1137" w:type="dxa"/>
            <w:noWrap/>
            <w:vAlign w:val="center"/>
          </w:tcPr>
          <w:p w14:paraId="20352287">
            <w:pPr>
              <w:spacing w:line="321" w:lineRule="exact"/>
              <w:ind w:right="115" w:firstLine="0"/>
              <w:jc w:val="center"/>
              <w:rPr>
                <w:rFonts w:hint="eastAsia" w:ascii="Noto Sans CJK JP Regular" w:hAnsi="Noto Sans CJK JP Regular" w:eastAsia="宋体" w:cs="Noto Sans CJK JP Regular"/>
                <w:color w:val="000000"/>
                <w:sz w:val="21"/>
                <w:lang w:val="en-US" w:eastAsia="zh-CN" w:bidi="ar-SA"/>
              </w:rPr>
            </w:pPr>
            <w:r>
              <w:rPr>
                <w:rFonts w:hint="eastAsia"/>
                <w:color w:val="000000"/>
                <w:sz w:val="21"/>
                <w:szCs w:val="21"/>
                <w:lang w:val="en-US" w:eastAsia="zh-CN"/>
              </w:rPr>
              <w:t>甲酸</w:t>
            </w:r>
          </w:p>
        </w:tc>
        <w:tc>
          <w:tcPr>
            <w:tcW w:w="1463" w:type="dxa"/>
            <w:noWrap/>
            <w:vAlign w:val="center"/>
          </w:tcPr>
          <w:p w14:paraId="2355B5F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0.5t/a</w:t>
            </w:r>
          </w:p>
        </w:tc>
        <w:tc>
          <w:tcPr>
            <w:tcW w:w="1233" w:type="dxa"/>
            <w:noWrap/>
            <w:vAlign w:val="center"/>
          </w:tcPr>
          <w:p w14:paraId="191BF8C0">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25kg/桶</w:t>
            </w:r>
          </w:p>
        </w:tc>
        <w:tc>
          <w:tcPr>
            <w:tcW w:w="1122" w:type="dxa"/>
            <w:noWrap/>
            <w:vAlign w:val="center"/>
          </w:tcPr>
          <w:p w14:paraId="2F18BA70">
            <w:pPr>
              <w:spacing w:line="321" w:lineRule="exact"/>
              <w:ind w:right="115" w:firstLine="0"/>
              <w:jc w:val="center"/>
              <w:rPr>
                <w:rFonts w:hint="eastAsia" w:ascii="Times New Roman" w:hAnsi="Times New Roman" w:eastAsia="宋体" w:cs="Times New Roman"/>
                <w:color w:val="000000"/>
                <w:sz w:val="21"/>
                <w:szCs w:val="21"/>
              </w:rPr>
            </w:pPr>
            <w:r>
              <w:rPr>
                <w:rFonts w:hint="eastAsia" w:ascii="Noto Sans CJK JP Regular" w:hAnsi="Noto Sans CJK JP Regular" w:eastAsia="宋体" w:cs="Noto Sans CJK JP Regular"/>
                <w:color w:val="000000"/>
                <w:sz w:val="21"/>
                <w:szCs w:val="22"/>
                <w:lang w:val="en-US" w:eastAsia="zh-CN" w:bidi="ar-SA"/>
              </w:rPr>
              <w:t>制胶车间</w:t>
            </w:r>
          </w:p>
        </w:tc>
        <w:tc>
          <w:tcPr>
            <w:tcW w:w="1063" w:type="dxa"/>
            <w:noWrap/>
            <w:vAlign w:val="center"/>
          </w:tcPr>
          <w:p w14:paraId="0EFE8F8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0.05t</w:t>
            </w:r>
          </w:p>
        </w:tc>
        <w:tc>
          <w:tcPr>
            <w:tcW w:w="1022" w:type="dxa"/>
            <w:noWrap/>
            <w:vAlign w:val="center"/>
          </w:tcPr>
          <w:p w14:paraId="5A41D129">
            <w:pPr>
              <w:spacing w:line="321" w:lineRule="exact"/>
              <w:ind w:right="115" w:firstLine="0"/>
              <w:jc w:val="center"/>
              <w:rPr>
                <w:rFonts w:hint="eastAsia" w:ascii="Noto Sans CJK JP Regular" w:hAnsi="Noto Sans CJK JP Regular" w:eastAsia="宋体" w:cs="Noto Sans CJK JP Regular"/>
                <w:color w:val="000000"/>
                <w:sz w:val="21"/>
                <w:szCs w:val="22"/>
                <w:lang w:val="en-US" w:eastAsia="zh-CN" w:bidi="ar-SA"/>
              </w:rPr>
            </w:pPr>
            <w:r>
              <w:rPr>
                <w:rFonts w:hint="eastAsia" w:ascii="Noto Sans CJK JP Regular" w:hAnsi="Noto Sans CJK JP Regular" w:eastAsia="宋体" w:cs="Noto Sans CJK JP Regular"/>
                <w:color w:val="000000"/>
                <w:sz w:val="21"/>
                <w:szCs w:val="22"/>
                <w:lang w:val="en-US" w:eastAsia="zh-CN" w:bidi="ar-SA"/>
              </w:rPr>
              <w:t>市场采购</w:t>
            </w:r>
          </w:p>
        </w:tc>
        <w:tc>
          <w:tcPr>
            <w:tcW w:w="920" w:type="dxa"/>
            <w:noWrap/>
            <w:vAlign w:val="center"/>
          </w:tcPr>
          <w:p w14:paraId="04DFD06A">
            <w:pPr>
              <w:spacing w:line="321" w:lineRule="exact"/>
              <w:ind w:left="0" w:right="115" w:firstLine="0"/>
              <w:jc w:val="center"/>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汽车</w:t>
            </w:r>
          </w:p>
        </w:tc>
      </w:tr>
      <w:tr w14:paraId="5A456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564" w:type="dxa"/>
            <w:vMerge w:val="continue"/>
            <w:noWrap/>
            <w:vAlign w:val="center"/>
          </w:tcPr>
          <w:p w14:paraId="625A73B8">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1D99630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7</w:t>
            </w:r>
          </w:p>
        </w:tc>
        <w:tc>
          <w:tcPr>
            <w:tcW w:w="1137" w:type="dxa"/>
            <w:noWrap/>
            <w:vAlign w:val="center"/>
          </w:tcPr>
          <w:p w14:paraId="7E4C671F">
            <w:pPr>
              <w:spacing w:line="321" w:lineRule="exact"/>
              <w:ind w:right="115" w:firstLine="0"/>
              <w:jc w:val="center"/>
              <w:rPr>
                <w:rFonts w:ascii="Noto Sans CJK JP Regular" w:hAnsi="Noto Sans CJK JP Regular" w:eastAsia="宋体" w:cs="Noto Sans CJK JP Regular"/>
                <w:color w:val="000000"/>
                <w:sz w:val="21"/>
                <w:szCs w:val="21"/>
                <w:lang w:val="en-US" w:eastAsia="zh-CN" w:bidi="ar-SA"/>
              </w:rPr>
            </w:pPr>
            <w:r>
              <w:rPr>
                <w:rFonts w:hint="eastAsia"/>
                <w:color w:val="000000"/>
                <w:sz w:val="21"/>
                <w:szCs w:val="21"/>
                <w:lang w:val="en-US" w:eastAsia="zh-CN"/>
              </w:rPr>
              <w:t>聚乙烯醇</w:t>
            </w:r>
          </w:p>
        </w:tc>
        <w:tc>
          <w:tcPr>
            <w:tcW w:w="1463" w:type="dxa"/>
            <w:noWrap/>
            <w:vAlign w:val="center"/>
          </w:tcPr>
          <w:p w14:paraId="4DF57C3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4.5t/a</w:t>
            </w:r>
          </w:p>
        </w:tc>
        <w:tc>
          <w:tcPr>
            <w:tcW w:w="1233" w:type="dxa"/>
            <w:noWrap/>
            <w:vAlign w:val="center"/>
          </w:tcPr>
          <w:p w14:paraId="5A918343">
            <w:pPr>
              <w:spacing w:line="321" w:lineRule="exact"/>
              <w:ind w:right="115"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12.5kg/袋</w:t>
            </w:r>
          </w:p>
        </w:tc>
        <w:tc>
          <w:tcPr>
            <w:tcW w:w="1122" w:type="dxa"/>
            <w:noWrap/>
            <w:vAlign w:val="center"/>
          </w:tcPr>
          <w:p w14:paraId="4A79A293">
            <w:pPr>
              <w:spacing w:line="321" w:lineRule="exact"/>
              <w:ind w:right="115" w:firstLine="0"/>
              <w:jc w:val="center"/>
              <w:rPr>
                <w:rFonts w:ascii="Times New Roman" w:hAnsi="Times New Roman" w:eastAsia="宋体" w:cs="Times New Roman"/>
                <w:color w:val="000000"/>
                <w:sz w:val="21"/>
                <w:szCs w:val="21"/>
              </w:rPr>
            </w:pPr>
            <w:r>
              <w:rPr>
                <w:rFonts w:hint="eastAsia" w:ascii="Noto Sans CJK JP Regular" w:hAnsi="Noto Sans CJK JP Regular" w:eastAsia="宋体" w:cs="Noto Sans CJK JP Regular"/>
                <w:color w:val="000000"/>
                <w:sz w:val="21"/>
                <w:szCs w:val="22"/>
                <w:lang w:val="en-US" w:eastAsia="zh-CN" w:bidi="ar-SA"/>
              </w:rPr>
              <w:t>制胶车间</w:t>
            </w:r>
          </w:p>
        </w:tc>
        <w:tc>
          <w:tcPr>
            <w:tcW w:w="1063" w:type="dxa"/>
            <w:noWrap/>
            <w:vAlign w:val="center"/>
          </w:tcPr>
          <w:p w14:paraId="570F12AE">
            <w:pPr>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Noto Sans CJK JP Regular" w:hAnsi="Noto Sans CJK JP Regular" w:eastAsia="宋体" w:cs="Noto Sans CJK JP Regular"/>
                <w:color w:val="000000"/>
                <w:sz w:val="21"/>
                <w:lang w:val="en-US" w:eastAsia="zh-CN" w:bidi="ar-SA"/>
              </w:rPr>
              <w:t>1t</w:t>
            </w:r>
          </w:p>
        </w:tc>
        <w:tc>
          <w:tcPr>
            <w:tcW w:w="1022" w:type="dxa"/>
            <w:noWrap/>
            <w:vAlign w:val="center"/>
          </w:tcPr>
          <w:p w14:paraId="4C4345A9">
            <w:pPr>
              <w:spacing w:line="321" w:lineRule="exact"/>
              <w:ind w:right="115" w:firstLine="0"/>
              <w:jc w:val="center"/>
              <w:rPr>
                <w:rFonts w:hint="eastAsia" w:ascii="Noto Sans CJK JP Regular" w:hAnsi="Noto Sans CJK JP Regular" w:eastAsia="宋体" w:cs="Noto Sans CJK JP Regular"/>
                <w:color w:val="000000"/>
                <w:sz w:val="21"/>
                <w:szCs w:val="22"/>
                <w:lang w:val="en-US" w:eastAsia="zh-CN" w:bidi="ar-SA"/>
              </w:rPr>
            </w:pPr>
            <w:r>
              <w:rPr>
                <w:rFonts w:hint="eastAsia" w:ascii="Noto Sans CJK JP Regular" w:hAnsi="Noto Sans CJK JP Regular" w:eastAsia="宋体" w:cs="Noto Sans CJK JP Regular"/>
                <w:color w:val="000000"/>
                <w:sz w:val="21"/>
                <w:szCs w:val="22"/>
                <w:lang w:val="en-US" w:eastAsia="zh-CN" w:bidi="ar-SA"/>
              </w:rPr>
              <w:t>市场采购</w:t>
            </w:r>
          </w:p>
        </w:tc>
        <w:tc>
          <w:tcPr>
            <w:tcW w:w="920" w:type="dxa"/>
            <w:noWrap/>
            <w:vAlign w:val="center"/>
          </w:tcPr>
          <w:p w14:paraId="3E69E4A5">
            <w:pPr>
              <w:spacing w:line="321" w:lineRule="exact"/>
              <w:ind w:right="115" w:firstLine="0"/>
              <w:jc w:val="center"/>
              <w:rPr>
                <w:rFonts w:hint="eastAsia"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汽车</w:t>
            </w:r>
          </w:p>
        </w:tc>
      </w:tr>
      <w:tr w14:paraId="12FD1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564" w:type="dxa"/>
            <w:vMerge w:val="restart"/>
            <w:noWrap/>
            <w:vAlign w:val="center"/>
          </w:tcPr>
          <w:p w14:paraId="103C409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燃料能耗</w:t>
            </w:r>
          </w:p>
        </w:tc>
        <w:tc>
          <w:tcPr>
            <w:tcW w:w="773" w:type="dxa"/>
            <w:noWrap/>
            <w:vAlign w:val="center"/>
          </w:tcPr>
          <w:p w14:paraId="219C508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1</w:t>
            </w:r>
          </w:p>
        </w:tc>
        <w:tc>
          <w:tcPr>
            <w:tcW w:w="1137" w:type="dxa"/>
            <w:noWrap/>
            <w:vAlign w:val="center"/>
          </w:tcPr>
          <w:p w14:paraId="1042216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废边角料</w:t>
            </w:r>
          </w:p>
        </w:tc>
        <w:tc>
          <w:tcPr>
            <w:tcW w:w="1463" w:type="dxa"/>
            <w:noWrap/>
            <w:vAlign w:val="center"/>
          </w:tcPr>
          <w:p w14:paraId="21C0B70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 xml:space="preserve"> 9000t/a</w:t>
            </w:r>
          </w:p>
        </w:tc>
        <w:tc>
          <w:tcPr>
            <w:tcW w:w="1233" w:type="dxa"/>
            <w:noWrap/>
            <w:vAlign w:val="center"/>
          </w:tcPr>
          <w:p w14:paraId="5ED018A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 xml:space="preserve"> /</w:t>
            </w:r>
          </w:p>
        </w:tc>
        <w:tc>
          <w:tcPr>
            <w:tcW w:w="1122" w:type="dxa"/>
            <w:noWrap/>
            <w:vAlign w:val="center"/>
          </w:tcPr>
          <w:p w14:paraId="4E4D664B">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1"/>
              </w:rPr>
              <w:t>锅炉燃料棚</w:t>
            </w:r>
          </w:p>
        </w:tc>
        <w:tc>
          <w:tcPr>
            <w:tcW w:w="1063" w:type="dxa"/>
            <w:noWrap/>
            <w:vAlign w:val="center"/>
          </w:tcPr>
          <w:p w14:paraId="49E5073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50吨</w:t>
            </w:r>
          </w:p>
        </w:tc>
        <w:tc>
          <w:tcPr>
            <w:tcW w:w="1022" w:type="dxa"/>
            <w:noWrap/>
            <w:vAlign w:val="center"/>
          </w:tcPr>
          <w:p w14:paraId="32FC190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自产</w:t>
            </w:r>
          </w:p>
        </w:tc>
        <w:tc>
          <w:tcPr>
            <w:tcW w:w="920" w:type="dxa"/>
            <w:noWrap/>
            <w:vAlign w:val="center"/>
          </w:tcPr>
          <w:p w14:paraId="5558D53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汽车</w:t>
            </w:r>
          </w:p>
        </w:tc>
      </w:tr>
      <w:tr w14:paraId="34A1A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564" w:type="dxa"/>
            <w:vMerge w:val="continue"/>
            <w:noWrap/>
            <w:vAlign w:val="center"/>
          </w:tcPr>
          <w:p w14:paraId="04C43FC8">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72BC4EF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w:t>
            </w:r>
          </w:p>
        </w:tc>
        <w:tc>
          <w:tcPr>
            <w:tcW w:w="1137" w:type="dxa"/>
            <w:noWrap/>
            <w:vAlign w:val="center"/>
          </w:tcPr>
          <w:p w14:paraId="5E48BE0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导热油</w:t>
            </w:r>
          </w:p>
        </w:tc>
        <w:tc>
          <w:tcPr>
            <w:tcW w:w="1463" w:type="dxa"/>
            <w:noWrap/>
            <w:vAlign w:val="center"/>
          </w:tcPr>
          <w:p w14:paraId="7B0738D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4t/a</w:t>
            </w:r>
          </w:p>
        </w:tc>
        <w:tc>
          <w:tcPr>
            <w:tcW w:w="1233" w:type="dxa"/>
            <w:noWrap/>
            <w:vAlign w:val="center"/>
          </w:tcPr>
          <w:p w14:paraId="024B105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200kg/桶</w:t>
            </w:r>
          </w:p>
        </w:tc>
        <w:tc>
          <w:tcPr>
            <w:tcW w:w="1122" w:type="dxa"/>
            <w:noWrap/>
            <w:vAlign w:val="center"/>
          </w:tcPr>
          <w:p w14:paraId="18BECC9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热载体炉</w:t>
            </w:r>
          </w:p>
        </w:tc>
        <w:tc>
          <w:tcPr>
            <w:tcW w:w="1063" w:type="dxa"/>
            <w:noWrap/>
            <w:vAlign w:val="center"/>
          </w:tcPr>
          <w:p w14:paraId="00C0909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w:t>
            </w:r>
          </w:p>
        </w:tc>
        <w:tc>
          <w:tcPr>
            <w:tcW w:w="1022" w:type="dxa"/>
            <w:noWrap/>
            <w:vAlign w:val="center"/>
          </w:tcPr>
          <w:p w14:paraId="7305F02B">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市场外购</w:t>
            </w:r>
          </w:p>
        </w:tc>
        <w:tc>
          <w:tcPr>
            <w:tcW w:w="920" w:type="dxa"/>
            <w:noWrap/>
            <w:vAlign w:val="center"/>
          </w:tcPr>
          <w:p w14:paraId="6E10A16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汽车</w:t>
            </w:r>
          </w:p>
        </w:tc>
      </w:tr>
      <w:tr w14:paraId="192A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564" w:type="dxa"/>
            <w:vMerge w:val="continue"/>
            <w:noWrap/>
            <w:vAlign w:val="center"/>
          </w:tcPr>
          <w:p w14:paraId="1B7B6817">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73" w:type="dxa"/>
            <w:noWrap/>
            <w:vAlign w:val="center"/>
          </w:tcPr>
          <w:p w14:paraId="7823275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3</w:t>
            </w:r>
          </w:p>
        </w:tc>
        <w:tc>
          <w:tcPr>
            <w:tcW w:w="1137" w:type="dxa"/>
            <w:noWrap/>
            <w:vAlign w:val="center"/>
          </w:tcPr>
          <w:p w14:paraId="5743EDB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水</w:t>
            </w:r>
          </w:p>
        </w:tc>
        <w:tc>
          <w:tcPr>
            <w:tcW w:w="1463" w:type="dxa"/>
            <w:noWrap/>
            <w:vAlign w:val="center"/>
          </w:tcPr>
          <w:p w14:paraId="474BCA4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cs="Times New Roman"/>
                <w:color w:val="000000"/>
                <w:sz w:val="21"/>
                <w:szCs w:val="21"/>
                <w:lang w:val="en-US" w:eastAsia="zh-CN"/>
              </w:rPr>
              <w:t>55582.12</w:t>
            </w:r>
            <w:r>
              <w:rPr>
                <w:rFonts w:hint="eastAsia" w:ascii="Times New Roman" w:hAnsi="Times New Roman" w:eastAsia="宋体" w:cs="Times New Roman"/>
                <w:color w:val="000000"/>
                <w:sz w:val="21"/>
                <w:szCs w:val="22"/>
                <w:lang w:val="en-US" w:eastAsia="zh-CN" w:bidi="ar-SA"/>
              </w:rPr>
              <w:t>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/a</w:t>
            </w:r>
          </w:p>
        </w:tc>
        <w:tc>
          <w:tcPr>
            <w:tcW w:w="1233" w:type="dxa"/>
            <w:noWrap/>
            <w:vAlign w:val="center"/>
          </w:tcPr>
          <w:p w14:paraId="13B8F7E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w:t>
            </w:r>
          </w:p>
        </w:tc>
        <w:tc>
          <w:tcPr>
            <w:tcW w:w="1122" w:type="dxa"/>
            <w:noWrap/>
            <w:vAlign w:val="center"/>
          </w:tcPr>
          <w:p w14:paraId="77DC635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w:t>
            </w:r>
          </w:p>
        </w:tc>
        <w:tc>
          <w:tcPr>
            <w:tcW w:w="1063" w:type="dxa"/>
            <w:noWrap/>
            <w:vAlign w:val="center"/>
          </w:tcPr>
          <w:p w14:paraId="0658772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w:t>
            </w:r>
          </w:p>
        </w:tc>
        <w:tc>
          <w:tcPr>
            <w:tcW w:w="1022" w:type="dxa"/>
            <w:noWrap/>
            <w:vAlign w:val="center"/>
          </w:tcPr>
          <w:p w14:paraId="520B71F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自来水供给</w:t>
            </w:r>
          </w:p>
        </w:tc>
        <w:tc>
          <w:tcPr>
            <w:tcW w:w="920" w:type="dxa"/>
            <w:noWrap/>
            <w:vAlign w:val="center"/>
          </w:tcPr>
          <w:p w14:paraId="5D93380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管道</w:t>
            </w:r>
          </w:p>
        </w:tc>
      </w:tr>
      <w:tr w14:paraId="16707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2" w:hRule="atLeast"/>
          <w:jc w:val="center"/>
        </w:trPr>
        <w:tc>
          <w:tcPr>
            <w:tcW w:w="564" w:type="dxa"/>
            <w:vMerge w:val="continue"/>
            <w:noWrap/>
            <w:vAlign w:val="center"/>
          </w:tcPr>
          <w:p w14:paraId="067B21B3">
            <w:pPr>
              <w:ind w:firstLine="480"/>
              <w:jc w:val="center"/>
              <w:rPr>
                <w:rFonts w:ascii="Times New Roman" w:hAnsi="Times New Roman" w:eastAsia="宋体" w:cs="Times New Roman"/>
                <w:color w:val="000000"/>
                <w:szCs w:val="21"/>
              </w:rPr>
            </w:pPr>
          </w:p>
        </w:tc>
        <w:tc>
          <w:tcPr>
            <w:tcW w:w="773" w:type="dxa"/>
            <w:noWrap/>
            <w:vAlign w:val="center"/>
          </w:tcPr>
          <w:p w14:paraId="0EF518CB">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4</w:t>
            </w:r>
          </w:p>
        </w:tc>
        <w:tc>
          <w:tcPr>
            <w:tcW w:w="1137" w:type="dxa"/>
            <w:noWrap/>
            <w:vAlign w:val="center"/>
          </w:tcPr>
          <w:p w14:paraId="79A0572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电</w:t>
            </w:r>
          </w:p>
        </w:tc>
        <w:tc>
          <w:tcPr>
            <w:tcW w:w="1463" w:type="dxa"/>
            <w:noWrap/>
            <w:vAlign w:val="center"/>
          </w:tcPr>
          <w:p w14:paraId="538C93A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cs="Times New Roman"/>
                <w:color w:val="000000"/>
                <w:sz w:val="21"/>
                <w:szCs w:val="21"/>
                <w:lang w:val="en-US" w:eastAsia="zh-CN"/>
              </w:rPr>
              <w:t>600万kWh/a</w:t>
            </w:r>
          </w:p>
        </w:tc>
        <w:tc>
          <w:tcPr>
            <w:tcW w:w="1233" w:type="dxa"/>
            <w:noWrap/>
            <w:vAlign w:val="center"/>
          </w:tcPr>
          <w:p w14:paraId="654BAA1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w:t>
            </w:r>
          </w:p>
        </w:tc>
        <w:tc>
          <w:tcPr>
            <w:tcW w:w="1122" w:type="dxa"/>
            <w:noWrap/>
            <w:vAlign w:val="center"/>
          </w:tcPr>
          <w:p w14:paraId="7C9417F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w:t>
            </w:r>
          </w:p>
        </w:tc>
        <w:tc>
          <w:tcPr>
            <w:tcW w:w="1063" w:type="dxa"/>
            <w:noWrap/>
            <w:vAlign w:val="center"/>
          </w:tcPr>
          <w:p w14:paraId="5A78FC4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w:t>
            </w:r>
          </w:p>
        </w:tc>
        <w:tc>
          <w:tcPr>
            <w:tcW w:w="1022" w:type="dxa"/>
            <w:noWrap/>
            <w:vAlign w:val="center"/>
          </w:tcPr>
          <w:p w14:paraId="52D5356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电力公司供电</w:t>
            </w:r>
          </w:p>
        </w:tc>
        <w:tc>
          <w:tcPr>
            <w:tcW w:w="920" w:type="dxa"/>
            <w:noWrap/>
            <w:vAlign w:val="center"/>
          </w:tcPr>
          <w:p w14:paraId="0A68A92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线路</w:t>
            </w:r>
          </w:p>
        </w:tc>
      </w:tr>
    </w:tbl>
    <w:p w14:paraId="07F6A6B3">
      <w:pPr>
        <w:pStyle w:val="219"/>
        <w:spacing w:after="0"/>
        <w:ind w:firstLine="482"/>
        <w:jc w:val="center"/>
        <w:rPr>
          <w:rFonts w:hint="eastAsia"/>
          <w:b/>
          <w:bCs/>
          <w:sz w:val="24"/>
        </w:rPr>
      </w:pPr>
    </w:p>
    <w:p w14:paraId="5784A976">
      <w:pPr>
        <w:pStyle w:val="282"/>
        <w:rPr>
          <w:rFonts w:ascii="Times New Roman" w:hAnsi="Times New Roman" w:eastAsia="黑体"/>
          <w:b w:val="0"/>
          <w:bCs/>
          <w:lang w:val="en-US" w:eastAsia="zh-CN"/>
        </w:rPr>
      </w:pPr>
      <w:r>
        <w:rPr>
          <w:rFonts w:hint="eastAsia"/>
          <w:b w:val="0"/>
          <w:bCs/>
          <w:lang w:val="en-US" w:eastAsia="zh-CN"/>
        </w:rPr>
        <w:t>4.1</w:t>
      </w:r>
      <w:r>
        <w:rPr>
          <w:rFonts w:hint="eastAsia" w:ascii="Times New Roman" w:hAnsi="Times New Roman"/>
          <w:b w:val="0"/>
          <w:bCs/>
          <w:lang w:val="en-US" w:eastAsia="zh-CN"/>
        </w:rPr>
        <w:t>.7.2</w:t>
      </w:r>
      <w:r>
        <w:rPr>
          <w:rFonts w:hint="eastAsia" w:ascii="Times New Roman" w:hAnsi="Times New Roman"/>
          <w:b w:val="0"/>
          <w:bCs/>
        </w:rPr>
        <w:t>原辅料</w:t>
      </w:r>
      <w:r>
        <w:rPr>
          <w:rFonts w:hint="eastAsia"/>
          <w:b w:val="0"/>
          <w:bCs/>
          <w:lang w:val="en-US" w:eastAsia="zh-CN"/>
        </w:rPr>
        <w:t>理化性质</w:t>
      </w:r>
    </w:p>
    <w:p w14:paraId="7C11D925">
      <w:pPr>
        <w:ind w:firstLine="480"/>
        <w:jc w:val="center"/>
        <w:rPr>
          <w:rFonts w:hint="eastAsia" w:ascii="Times New Roman" w:hAnsi="Times New Roman" w:cs="Times New Roman"/>
          <w:b/>
          <w:bCs/>
          <w:color w:val="000000"/>
          <w:szCs w:val="24"/>
          <w:lang w:val="en-US" w:eastAsia="zh-CN" w:bidi="ar"/>
        </w:rPr>
      </w:pPr>
      <w:r>
        <w:rPr>
          <w:rFonts w:ascii="Times New Roman" w:hAnsi="Times New Roman" w:cs="Times New Roman"/>
          <w:b/>
          <w:bCs/>
          <w:color w:val="000000"/>
          <w:szCs w:val="24"/>
          <w:lang w:val="en-US" w:eastAsia="zh-CN" w:bidi="ar"/>
        </w:rPr>
        <w:t>表4.1-8</w:t>
      </w:r>
      <w:r>
        <w:rPr>
          <w:rFonts w:hint="eastAsia" w:ascii="Times New Roman" w:hAnsi="Times New Roman" w:cs="Times New Roman"/>
          <w:b/>
          <w:bCs/>
          <w:color w:val="000000"/>
          <w:szCs w:val="24"/>
          <w:lang w:val="en-US" w:eastAsia="zh-CN" w:bidi="ar"/>
        </w:rPr>
        <w:t xml:space="preserve">  苯酚理化性质一览表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0"/>
        <w:gridCol w:w="1319"/>
        <w:gridCol w:w="64"/>
        <w:gridCol w:w="1486"/>
        <w:gridCol w:w="1082"/>
        <w:gridCol w:w="1302"/>
        <w:gridCol w:w="2833"/>
      </w:tblGrid>
      <w:tr w14:paraId="153992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170" w:type="dxa"/>
            <w:vMerge w:val="restart"/>
            <w:noWrap w:val="0"/>
            <w:vAlign w:val="top"/>
          </w:tcPr>
          <w:p w14:paraId="51A4AA7F">
            <w:pPr>
              <w:spacing w:line="321" w:lineRule="exact"/>
              <w:ind w:right="115" w:firstLine="0"/>
              <w:jc w:val="center"/>
              <w:rPr>
                <w:rFonts w:ascii="Times New Roman" w:hAnsi="Times New Roman" w:eastAsia="宋体" w:cs="Times New Roman"/>
                <w:color w:val="000000"/>
                <w:sz w:val="21"/>
                <w:szCs w:val="22"/>
                <w:lang w:val="en-US" w:eastAsia="zh-CN" w:bidi="ar-SA"/>
              </w:rPr>
            </w:pPr>
          </w:p>
          <w:p w14:paraId="6A57112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标识</w:t>
            </w:r>
          </w:p>
        </w:tc>
        <w:tc>
          <w:tcPr>
            <w:tcW w:w="2869" w:type="dxa"/>
            <w:gridSpan w:val="3"/>
            <w:noWrap w:val="0"/>
            <w:vAlign w:val="top"/>
          </w:tcPr>
          <w:p w14:paraId="0853A38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英文名：</w:t>
            </w:r>
            <w:r>
              <w:rPr>
                <w:rFonts w:ascii="Times New Roman" w:hAnsi="Times New Roman" w:eastAsia="宋体" w:cs="Times New Roman"/>
                <w:color w:val="000000"/>
                <w:sz w:val="21"/>
                <w:szCs w:val="22"/>
                <w:lang w:val="en-US" w:eastAsia="zh-CN" w:bidi="ar-SA"/>
              </w:rPr>
              <w:t>Phenol</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Carbolic acid</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Hyfroxybenzene</w:t>
            </w:r>
          </w:p>
        </w:tc>
        <w:tc>
          <w:tcPr>
            <w:tcW w:w="2384" w:type="dxa"/>
            <w:gridSpan w:val="2"/>
            <w:noWrap w:val="0"/>
            <w:vAlign w:val="top"/>
          </w:tcPr>
          <w:p w14:paraId="3CC3623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化学式：</w:t>
            </w:r>
            <w:r>
              <w:rPr>
                <w:rFonts w:ascii="Times New Roman" w:hAnsi="Times New Roman" w:eastAsia="宋体" w:cs="Times New Roman"/>
                <w:color w:val="000000"/>
                <w:sz w:val="21"/>
                <w:szCs w:val="22"/>
                <w:lang w:val="en-US" w:eastAsia="zh-CN" w:bidi="ar-SA"/>
              </w:rPr>
              <w:t>C</w:t>
            </w:r>
            <w:r>
              <w:rPr>
                <w:rFonts w:ascii="Times New Roman" w:hAnsi="Times New Roman" w:eastAsia="宋体" w:cs="Times New Roman"/>
                <w:color w:val="000000"/>
                <w:sz w:val="21"/>
                <w:szCs w:val="22"/>
                <w:vertAlign w:val="subscript"/>
                <w:lang w:val="en-US" w:eastAsia="zh-CN" w:bidi="ar-SA"/>
              </w:rPr>
              <w:t>6</w:t>
            </w:r>
            <w:r>
              <w:rPr>
                <w:rFonts w:ascii="Times New Roman" w:hAnsi="Times New Roman" w:eastAsia="宋体" w:cs="Times New Roman"/>
                <w:color w:val="000000"/>
                <w:sz w:val="21"/>
                <w:szCs w:val="22"/>
                <w:lang w:val="en-US" w:eastAsia="zh-CN" w:bidi="ar-SA"/>
              </w:rPr>
              <w:t>H</w:t>
            </w:r>
            <w:r>
              <w:rPr>
                <w:rFonts w:ascii="Times New Roman" w:hAnsi="Times New Roman" w:eastAsia="宋体" w:cs="Times New Roman"/>
                <w:color w:val="000000"/>
                <w:sz w:val="21"/>
                <w:szCs w:val="22"/>
                <w:vertAlign w:val="subscript"/>
                <w:lang w:val="en-US" w:eastAsia="zh-CN" w:bidi="ar-SA"/>
              </w:rPr>
              <w:t>6</w:t>
            </w:r>
            <w:r>
              <w:rPr>
                <w:rFonts w:ascii="Times New Roman" w:hAnsi="Times New Roman" w:eastAsia="宋体" w:cs="Times New Roman"/>
                <w:color w:val="000000"/>
                <w:sz w:val="21"/>
                <w:szCs w:val="22"/>
                <w:lang w:val="en-US" w:eastAsia="zh-CN" w:bidi="ar-SA"/>
              </w:rPr>
              <w:t>O</w:t>
            </w:r>
          </w:p>
        </w:tc>
        <w:tc>
          <w:tcPr>
            <w:tcW w:w="2833" w:type="dxa"/>
            <w:noWrap w:val="0"/>
            <w:vAlign w:val="top"/>
          </w:tcPr>
          <w:p w14:paraId="6F959E8F">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分子量：</w:t>
            </w:r>
            <w:r>
              <w:rPr>
                <w:rFonts w:ascii="Times New Roman" w:hAnsi="Times New Roman" w:eastAsia="宋体" w:cs="Times New Roman"/>
                <w:color w:val="000000"/>
                <w:sz w:val="21"/>
                <w:szCs w:val="22"/>
                <w:lang w:val="en-US" w:eastAsia="zh-CN" w:bidi="ar-SA"/>
              </w:rPr>
              <w:t>94.11</w:t>
            </w:r>
          </w:p>
        </w:tc>
      </w:tr>
      <w:tr w14:paraId="3C51A3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170" w:type="dxa"/>
            <w:vMerge w:val="continue"/>
            <w:noWrap w:val="0"/>
            <w:vAlign w:val="top"/>
          </w:tcPr>
          <w:p w14:paraId="252F15EB">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869" w:type="dxa"/>
            <w:gridSpan w:val="3"/>
            <w:noWrap w:val="0"/>
            <w:vAlign w:val="top"/>
          </w:tcPr>
          <w:p w14:paraId="1162521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危险化学品分类：毒害品</w:t>
            </w:r>
          </w:p>
        </w:tc>
        <w:tc>
          <w:tcPr>
            <w:tcW w:w="2384" w:type="dxa"/>
            <w:gridSpan w:val="2"/>
            <w:noWrap w:val="0"/>
            <w:vAlign w:val="top"/>
          </w:tcPr>
          <w:p w14:paraId="323BC7D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危险货物编号：</w:t>
            </w:r>
            <w:r>
              <w:rPr>
                <w:rFonts w:ascii="Times New Roman" w:hAnsi="Times New Roman" w:eastAsia="宋体" w:cs="Times New Roman"/>
                <w:color w:val="000000"/>
                <w:sz w:val="21"/>
                <w:szCs w:val="22"/>
                <w:lang w:val="en-US" w:eastAsia="zh-CN" w:bidi="ar-SA"/>
              </w:rPr>
              <w:t>61067</w:t>
            </w:r>
          </w:p>
        </w:tc>
        <w:tc>
          <w:tcPr>
            <w:tcW w:w="2833" w:type="dxa"/>
            <w:noWrap w:val="0"/>
            <w:vAlign w:val="top"/>
          </w:tcPr>
          <w:p w14:paraId="6CDEC34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 xml:space="preserve">CAS </w:t>
            </w:r>
            <w:r>
              <w:rPr>
                <w:rFonts w:hint="eastAsia" w:ascii="Times New Roman" w:hAnsi="Times New Roman" w:eastAsia="宋体" w:cs="Times New Roman"/>
                <w:color w:val="000000"/>
                <w:sz w:val="21"/>
                <w:szCs w:val="22"/>
                <w:lang w:val="en-US" w:eastAsia="zh-CN" w:bidi="ar-SA"/>
              </w:rPr>
              <w:t>号：</w:t>
            </w:r>
            <w:r>
              <w:rPr>
                <w:rFonts w:ascii="Times New Roman" w:hAnsi="Times New Roman" w:eastAsia="宋体" w:cs="Times New Roman"/>
                <w:color w:val="000000"/>
                <w:sz w:val="21"/>
                <w:szCs w:val="22"/>
                <w:lang w:val="en-US" w:eastAsia="zh-CN" w:bidi="ar-SA"/>
              </w:rPr>
              <w:t>108-95-2</w:t>
            </w:r>
          </w:p>
        </w:tc>
      </w:tr>
      <w:tr w14:paraId="2BF21B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top"/>
          </w:tcPr>
          <w:p w14:paraId="2003109E">
            <w:pPr>
              <w:spacing w:line="321" w:lineRule="exact"/>
              <w:ind w:right="115" w:firstLine="0"/>
              <w:jc w:val="center"/>
              <w:rPr>
                <w:rFonts w:ascii="Times New Roman" w:hAnsi="Times New Roman" w:eastAsia="宋体" w:cs="Times New Roman"/>
                <w:color w:val="000000"/>
                <w:sz w:val="21"/>
                <w:szCs w:val="22"/>
                <w:lang w:val="en-US" w:eastAsia="zh-CN" w:bidi="ar-SA"/>
              </w:rPr>
            </w:pPr>
          </w:p>
          <w:p w14:paraId="45683182">
            <w:pPr>
              <w:spacing w:line="321" w:lineRule="exact"/>
              <w:ind w:right="115" w:firstLine="0"/>
              <w:jc w:val="center"/>
              <w:rPr>
                <w:rFonts w:ascii="Times New Roman" w:hAnsi="Times New Roman" w:eastAsia="宋体" w:cs="Times New Roman"/>
                <w:color w:val="000000"/>
                <w:sz w:val="21"/>
                <w:szCs w:val="22"/>
                <w:lang w:val="en-US" w:eastAsia="zh-CN" w:bidi="ar-SA"/>
              </w:rPr>
            </w:pPr>
          </w:p>
          <w:p w14:paraId="6F8CF19F">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理化性质</w:t>
            </w:r>
          </w:p>
        </w:tc>
        <w:tc>
          <w:tcPr>
            <w:tcW w:w="1383" w:type="dxa"/>
            <w:gridSpan w:val="2"/>
            <w:noWrap w:val="0"/>
            <w:vAlign w:val="top"/>
          </w:tcPr>
          <w:p w14:paraId="6BEE7BA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外观与性状</w:t>
            </w:r>
          </w:p>
        </w:tc>
        <w:tc>
          <w:tcPr>
            <w:tcW w:w="6703" w:type="dxa"/>
            <w:gridSpan w:val="4"/>
            <w:noWrap w:val="0"/>
            <w:vAlign w:val="top"/>
          </w:tcPr>
          <w:p w14:paraId="1ADC1EC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无色至黄色或淡粉色晶体。</w:t>
            </w:r>
          </w:p>
        </w:tc>
      </w:tr>
      <w:tr w14:paraId="5B34E9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jc w:val="center"/>
        </w:trPr>
        <w:tc>
          <w:tcPr>
            <w:tcW w:w="1170" w:type="dxa"/>
            <w:vMerge w:val="continue"/>
            <w:noWrap w:val="0"/>
            <w:vAlign w:val="top"/>
          </w:tcPr>
          <w:p w14:paraId="36997EA2">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8086" w:type="dxa"/>
            <w:gridSpan w:val="6"/>
            <w:noWrap w:val="0"/>
            <w:vAlign w:val="top"/>
          </w:tcPr>
          <w:p w14:paraId="3F150A6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相对密度（水</w:t>
            </w:r>
            <w:r>
              <w:rPr>
                <w:rFonts w:ascii="Times New Roman" w:hAnsi="Times New Roman" w:eastAsia="宋体" w:cs="Times New Roman"/>
                <w:color w:val="000000"/>
                <w:sz w:val="21"/>
                <w:szCs w:val="22"/>
                <w:lang w:val="en-US" w:eastAsia="zh-CN" w:bidi="ar-SA"/>
              </w:rPr>
              <w:t>=1</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1.06</w:t>
            </w:r>
            <w:r>
              <w:rPr>
                <w:rFonts w:hint="eastAsia" w:ascii="Times New Roman" w:hAnsi="Times New Roman" w:eastAsia="宋体" w:cs="Times New Roman"/>
                <w:color w:val="000000"/>
                <w:sz w:val="21"/>
                <w:szCs w:val="22"/>
                <w:lang w:val="en-US" w:eastAsia="zh-CN" w:bidi="ar-SA"/>
              </w:rPr>
              <w:t xml:space="preserve">，熔点 </w:t>
            </w:r>
            <w:r>
              <w:rPr>
                <w:rFonts w:ascii="Times New Roman" w:hAnsi="Times New Roman" w:eastAsia="宋体" w:cs="Times New Roman"/>
                <w:color w:val="000000"/>
                <w:sz w:val="21"/>
                <w:szCs w:val="22"/>
                <w:lang w:val="en-US" w:eastAsia="zh-CN" w:bidi="ar-SA"/>
              </w:rPr>
              <w:t>43</w:t>
            </w:r>
            <w:r>
              <w:rPr>
                <w:rFonts w:hint="eastAsia" w:ascii="Times New Roman" w:hAnsi="Times New Roman" w:eastAsia="宋体" w:cs="Times New Roman"/>
                <w:color w:val="000000"/>
                <w:sz w:val="21"/>
                <w:szCs w:val="22"/>
                <w:lang w:val="en-US" w:eastAsia="zh-CN" w:bidi="ar-SA"/>
              </w:rPr>
              <w:t xml:space="preserve">℃，沸点 </w:t>
            </w:r>
            <w:r>
              <w:rPr>
                <w:rFonts w:ascii="Times New Roman" w:hAnsi="Times New Roman" w:eastAsia="宋体" w:cs="Times New Roman"/>
                <w:color w:val="000000"/>
                <w:sz w:val="21"/>
                <w:szCs w:val="22"/>
                <w:lang w:val="en-US" w:eastAsia="zh-CN" w:bidi="ar-SA"/>
              </w:rPr>
              <w:t>181.9</w:t>
            </w:r>
            <w:r>
              <w:rPr>
                <w:rFonts w:hint="eastAsia" w:ascii="Times New Roman" w:hAnsi="Times New Roman" w:eastAsia="宋体" w:cs="Times New Roman"/>
                <w:color w:val="000000"/>
                <w:sz w:val="21"/>
                <w:szCs w:val="22"/>
                <w:lang w:val="en-US" w:eastAsia="zh-CN" w:bidi="ar-SA"/>
              </w:rPr>
              <w:t>℃，饱和蒸气压（</w:t>
            </w:r>
            <w:r>
              <w:rPr>
                <w:rFonts w:ascii="Times New Roman" w:hAnsi="Times New Roman" w:eastAsia="宋体" w:cs="Times New Roman"/>
                <w:color w:val="000000"/>
                <w:sz w:val="21"/>
                <w:szCs w:val="22"/>
                <w:lang w:val="en-US" w:eastAsia="zh-CN" w:bidi="ar-SA"/>
              </w:rPr>
              <w:t>kPa</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0.13</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40.1</w:t>
            </w:r>
            <w:r>
              <w:rPr>
                <w:rFonts w:hint="eastAsia" w:ascii="Times New Roman" w:hAnsi="Times New Roman" w:eastAsia="宋体" w:cs="Times New Roman"/>
                <w:color w:val="000000"/>
                <w:sz w:val="21"/>
                <w:szCs w:val="22"/>
                <w:lang w:val="en-US" w:eastAsia="zh-CN" w:bidi="ar-SA"/>
              </w:rPr>
              <w:t xml:space="preserve">℃） 闪点 </w:t>
            </w:r>
            <w:r>
              <w:rPr>
                <w:rFonts w:ascii="Times New Roman" w:hAnsi="Times New Roman" w:eastAsia="宋体" w:cs="Times New Roman"/>
                <w:color w:val="000000"/>
                <w:sz w:val="21"/>
                <w:szCs w:val="22"/>
                <w:lang w:val="en-US" w:eastAsia="zh-CN" w:bidi="ar-SA"/>
              </w:rPr>
              <w:t>79</w:t>
            </w:r>
            <w:r>
              <w:rPr>
                <w:rFonts w:hint="eastAsia" w:ascii="Times New Roman" w:hAnsi="Times New Roman" w:eastAsia="宋体" w:cs="Times New Roman"/>
                <w:color w:val="000000"/>
                <w:sz w:val="21"/>
                <w:szCs w:val="22"/>
                <w:lang w:val="en-US" w:eastAsia="zh-CN" w:bidi="ar-SA"/>
              </w:rPr>
              <w:t xml:space="preserve">℃，爆炸极限 </w:t>
            </w:r>
            <w:r>
              <w:rPr>
                <w:rFonts w:ascii="Times New Roman" w:hAnsi="Times New Roman" w:eastAsia="宋体" w:cs="Times New Roman"/>
                <w:color w:val="000000"/>
                <w:sz w:val="21"/>
                <w:szCs w:val="22"/>
                <w:lang w:val="en-US" w:eastAsia="zh-CN" w:bidi="ar-SA"/>
              </w:rPr>
              <w:t>3%~10%</w:t>
            </w:r>
            <w:r>
              <w:rPr>
                <w:rFonts w:hint="eastAsia" w:ascii="Times New Roman" w:hAnsi="Times New Roman" w:eastAsia="宋体" w:cs="Times New Roman"/>
                <w:color w:val="000000"/>
                <w:sz w:val="21"/>
                <w:szCs w:val="22"/>
                <w:lang w:val="en-US" w:eastAsia="zh-CN" w:bidi="ar-SA"/>
              </w:rPr>
              <w:t>。</w:t>
            </w:r>
          </w:p>
        </w:tc>
      </w:tr>
      <w:tr w14:paraId="2CB587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1170" w:type="dxa"/>
            <w:vMerge w:val="continue"/>
            <w:noWrap w:val="0"/>
            <w:vAlign w:val="top"/>
          </w:tcPr>
          <w:p w14:paraId="0CA196E3">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83" w:type="dxa"/>
            <w:gridSpan w:val="2"/>
            <w:noWrap w:val="0"/>
            <w:vAlign w:val="top"/>
          </w:tcPr>
          <w:p w14:paraId="57EB63E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溶解性</w:t>
            </w:r>
          </w:p>
        </w:tc>
        <w:tc>
          <w:tcPr>
            <w:tcW w:w="6703" w:type="dxa"/>
            <w:gridSpan w:val="4"/>
            <w:noWrap w:val="0"/>
            <w:vAlign w:val="top"/>
          </w:tcPr>
          <w:p w14:paraId="57C72A7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可混溶于乙醇、醚、氯仿、甘油。</w:t>
            </w:r>
          </w:p>
        </w:tc>
      </w:tr>
      <w:tr w14:paraId="2D46B5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top"/>
          </w:tcPr>
          <w:p w14:paraId="59A40C66">
            <w:pPr>
              <w:spacing w:line="321" w:lineRule="exact"/>
              <w:ind w:right="115" w:firstLine="0"/>
              <w:jc w:val="center"/>
              <w:rPr>
                <w:rFonts w:ascii="Times New Roman" w:hAnsi="Times New Roman" w:eastAsia="宋体" w:cs="Times New Roman"/>
                <w:color w:val="000000"/>
                <w:sz w:val="21"/>
                <w:szCs w:val="22"/>
                <w:lang w:val="en-US" w:eastAsia="zh-CN" w:bidi="ar-SA"/>
              </w:rPr>
            </w:pPr>
          </w:p>
          <w:p w14:paraId="077C340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毒理学资料</w:t>
            </w:r>
          </w:p>
        </w:tc>
        <w:tc>
          <w:tcPr>
            <w:tcW w:w="1383" w:type="dxa"/>
            <w:gridSpan w:val="2"/>
            <w:noWrap w:val="0"/>
            <w:vAlign w:val="top"/>
          </w:tcPr>
          <w:p w14:paraId="0CCACD2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接触限值</w:t>
            </w:r>
          </w:p>
        </w:tc>
        <w:tc>
          <w:tcPr>
            <w:tcW w:w="6703" w:type="dxa"/>
            <w:gridSpan w:val="4"/>
            <w:noWrap w:val="0"/>
            <w:vAlign w:val="top"/>
          </w:tcPr>
          <w:p w14:paraId="3D95C52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 xml:space="preserve">中国 </w:t>
            </w:r>
            <w:r>
              <w:rPr>
                <w:rFonts w:ascii="Times New Roman" w:hAnsi="Times New Roman" w:eastAsia="宋体" w:cs="Times New Roman"/>
                <w:color w:val="000000"/>
                <w:sz w:val="21"/>
                <w:szCs w:val="22"/>
                <w:lang w:val="en-US" w:eastAsia="zh-CN" w:bidi="ar-SA"/>
              </w:rPr>
              <w:t>PC-TWA</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10mg/m</w:t>
            </w:r>
            <w:r>
              <w:rPr>
                <w:rFonts w:hint="eastAsia" w:ascii="Times New Roman" w:hAnsi="Times New Roman" w:eastAsia="宋体" w:cs="Times New Roman"/>
                <w:color w:val="000000"/>
                <w:sz w:val="21"/>
                <w:szCs w:val="22"/>
                <w:lang w:val="en-US" w:eastAsia="zh-CN" w:bidi="ar-SA"/>
              </w:rPr>
              <w:t xml:space="preserve">³；美国 </w:t>
            </w:r>
            <w:r>
              <w:rPr>
                <w:rFonts w:ascii="Times New Roman" w:hAnsi="Times New Roman" w:eastAsia="宋体" w:cs="Times New Roman"/>
                <w:color w:val="000000"/>
                <w:sz w:val="21"/>
                <w:szCs w:val="22"/>
                <w:lang w:val="en-US" w:eastAsia="zh-CN" w:bidi="ar-SA"/>
              </w:rPr>
              <w:t>TLV-TWA5ppm</w:t>
            </w:r>
          </w:p>
        </w:tc>
      </w:tr>
      <w:tr w14:paraId="087878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jc w:val="center"/>
        </w:trPr>
        <w:tc>
          <w:tcPr>
            <w:tcW w:w="1170" w:type="dxa"/>
            <w:vMerge w:val="continue"/>
            <w:noWrap w:val="0"/>
            <w:vAlign w:val="top"/>
          </w:tcPr>
          <w:p w14:paraId="62398A4B">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83" w:type="dxa"/>
            <w:gridSpan w:val="2"/>
            <w:noWrap w:val="0"/>
            <w:vAlign w:val="top"/>
          </w:tcPr>
          <w:p w14:paraId="6384AF4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急性毒性</w:t>
            </w:r>
          </w:p>
        </w:tc>
        <w:tc>
          <w:tcPr>
            <w:tcW w:w="6703" w:type="dxa"/>
            <w:gridSpan w:val="4"/>
            <w:noWrap w:val="0"/>
            <w:vAlign w:val="top"/>
          </w:tcPr>
          <w:p w14:paraId="1D07C0F1">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低毒类，</w:t>
            </w:r>
            <w:r>
              <w:rPr>
                <w:rFonts w:ascii="Times New Roman" w:hAnsi="Times New Roman" w:eastAsia="宋体" w:cs="Times New Roman"/>
                <w:color w:val="000000"/>
                <w:sz w:val="21"/>
                <w:szCs w:val="22"/>
                <w:lang w:val="en-US" w:eastAsia="zh-CN" w:bidi="ar-SA"/>
              </w:rPr>
              <w:t>LD</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530mg/kg</w:t>
            </w:r>
            <w:r>
              <w:rPr>
                <w:rFonts w:hint="eastAsia" w:ascii="Times New Roman" w:hAnsi="Times New Roman" w:eastAsia="宋体" w:cs="Times New Roman"/>
                <w:color w:val="000000"/>
                <w:sz w:val="21"/>
                <w:szCs w:val="22"/>
                <w:lang w:val="en-US" w:eastAsia="zh-CN" w:bidi="ar-SA"/>
              </w:rPr>
              <w:t>（大鼠经口），</w:t>
            </w:r>
            <w:r>
              <w:rPr>
                <w:rFonts w:ascii="Times New Roman" w:hAnsi="Times New Roman" w:eastAsia="宋体" w:cs="Times New Roman"/>
                <w:color w:val="000000"/>
                <w:sz w:val="21"/>
                <w:szCs w:val="22"/>
                <w:lang w:val="en-US" w:eastAsia="zh-CN" w:bidi="ar-SA"/>
              </w:rPr>
              <w:t>500~600mg/kg</w:t>
            </w:r>
            <w:r>
              <w:rPr>
                <w:rFonts w:hint="eastAsia" w:ascii="Times New Roman" w:hAnsi="Times New Roman" w:eastAsia="宋体" w:cs="Times New Roman"/>
                <w:color w:val="000000"/>
                <w:sz w:val="21"/>
                <w:szCs w:val="22"/>
                <w:lang w:val="en-US" w:eastAsia="zh-CN" w:bidi="ar-SA"/>
              </w:rPr>
              <w:t>（兔经皮）；</w:t>
            </w:r>
          </w:p>
          <w:p w14:paraId="6AA1B10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LC</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316mg/m</w:t>
            </w:r>
            <w:r>
              <w:rPr>
                <w:rFonts w:hint="eastAsia" w:ascii="Times New Roman" w:hAnsi="Times New Roman" w:eastAsia="宋体" w:cs="Times New Roman"/>
                <w:color w:val="000000"/>
                <w:sz w:val="21"/>
                <w:szCs w:val="22"/>
                <w:lang w:val="en-US" w:eastAsia="zh-CN" w:bidi="ar-SA"/>
              </w:rPr>
              <w:t>³（大鼠吸入，</w:t>
            </w:r>
            <w:r>
              <w:rPr>
                <w:rFonts w:ascii="Times New Roman" w:hAnsi="Times New Roman" w:eastAsia="宋体" w:cs="Times New Roman"/>
                <w:color w:val="000000"/>
                <w:sz w:val="21"/>
                <w:szCs w:val="22"/>
                <w:lang w:val="en-US" w:eastAsia="zh-CN" w:bidi="ar-SA"/>
              </w:rPr>
              <w:t>4h</w:t>
            </w:r>
            <w:r>
              <w:rPr>
                <w:rFonts w:hint="eastAsia" w:ascii="Times New Roman" w:hAnsi="Times New Roman" w:eastAsia="宋体" w:cs="Times New Roman"/>
                <w:color w:val="000000"/>
                <w:sz w:val="21"/>
                <w:szCs w:val="22"/>
                <w:lang w:val="en-US" w:eastAsia="zh-CN" w:bidi="ar-SA"/>
              </w:rPr>
              <w:t>）。</w:t>
            </w:r>
          </w:p>
        </w:tc>
      </w:tr>
      <w:tr w14:paraId="3F2ECE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1170" w:type="dxa"/>
            <w:vMerge w:val="continue"/>
            <w:noWrap w:val="0"/>
            <w:vAlign w:val="top"/>
          </w:tcPr>
          <w:p w14:paraId="5F5618F7">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83" w:type="dxa"/>
            <w:gridSpan w:val="2"/>
            <w:noWrap w:val="0"/>
            <w:vAlign w:val="top"/>
          </w:tcPr>
          <w:p w14:paraId="0884D17F">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亚急性与慢急性</w:t>
            </w:r>
          </w:p>
        </w:tc>
        <w:tc>
          <w:tcPr>
            <w:tcW w:w="6703" w:type="dxa"/>
            <w:gridSpan w:val="4"/>
            <w:noWrap w:val="0"/>
            <w:vAlign w:val="top"/>
          </w:tcPr>
          <w:p w14:paraId="549E057D">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长期接触低浓度酚可引起慢性中毒，出现头痛、眩晕、失眠、易激动等类神经症综合征症状，以及食欲不振、恶心、呕吐、吞咽困难、唾液分</w:t>
            </w:r>
          </w:p>
          <w:p w14:paraId="75522CE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泌物增多与腹泻等消化道症状，少数人可有肝功能异常</w:t>
            </w:r>
          </w:p>
        </w:tc>
      </w:tr>
      <w:tr w14:paraId="53F97E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170" w:type="dxa"/>
            <w:vMerge w:val="restart"/>
            <w:noWrap w:val="0"/>
            <w:vAlign w:val="top"/>
          </w:tcPr>
          <w:p w14:paraId="7FADAEE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燃烧爆炸危险性</w:t>
            </w:r>
          </w:p>
        </w:tc>
        <w:tc>
          <w:tcPr>
            <w:tcW w:w="1319" w:type="dxa"/>
            <w:noWrap w:val="0"/>
            <w:vAlign w:val="top"/>
          </w:tcPr>
          <w:p w14:paraId="12CD768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火灾危险性</w:t>
            </w:r>
          </w:p>
        </w:tc>
        <w:tc>
          <w:tcPr>
            <w:tcW w:w="1550" w:type="dxa"/>
            <w:gridSpan w:val="2"/>
            <w:noWrap w:val="0"/>
            <w:vAlign w:val="top"/>
          </w:tcPr>
          <w:p w14:paraId="61D9432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可燃</w:t>
            </w:r>
          </w:p>
        </w:tc>
        <w:tc>
          <w:tcPr>
            <w:tcW w:w="1082" w:type="dxa"/>
            <w:noWrap w:val="0"/>
            <w:vAlign w:val="top"/>
          </w:tcPr>
          <w:p w14:paraId="3E751CD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禁忌物</w:t>
            </w:r>
          </w:p>
        </w:tc>
        <w:tc>
          <w:tcPr>
            <w:tcW w:w="4135" w:type="dxa"/>
            <w:gridSpan w:val="2"/>
            <w:noWrap w:val="0"/>
            <w:vAlign w:val="top"/>
          </w:tcPr>
          <w:p w14:paraId="3F0363C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强氧化剂、强酸、强碱</w:t>
            </w:r>
          </w:p>
        </w:tc>
      </w:tr>
      <w:tr w14:paraId="1ED4F1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2" w:hRule="atLeast"/>
          <w:jc w:val="center"/>
        </w:trPr>
        <w:tc>
          <w:tcPr>
            <w:tcW w:w="1170" w:type="dxa"/>
            <w:vMerge w:val="continue"/>
            <w:noWrap w:val="0"/>
            <w:vAlign w:val="top"/>
          </w:tcPr>
          <w:p w14:paraId="4E4F6237">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9" w:type="dxa"/>
            <w:noWrap w:val="0"/>
            <w:vAlign w:val="top"/>
          </w:tcPr>
          <w:p w14:paraId="61E6C83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危险特性</w:t>
            </w:r>
          </w:p>
        </w:tc>
        <w:tc>
          <w:tcPr>
            <w:tcW w:w="6767" w:type="dxa"/>
            <w:gridSpan w:val="5"/>
            <w:noWrap w:val="0"/>
            <w:vAlign w:val="top"/>
          </w:tcPr>
          <w:p w14:paraId="24CD941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遇明火、高热可燃。</w:t>
            </w:r>
          </w:p>
        </w:tc>
      </w:tr>
    </w:tbl>
    <w:p w14:paraId="7DE592E3">
      <w:pPr>
        <w:pStyle w:val="219"/>
        <w:spacing w:before="76"/>
        <w:ind w:left="40"/>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表 </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9</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甲醛</w:t>
      </w:r>
      <w:r>
        <w:rPr>
          <w:rFonts w:hint="eastAsia" w:ascii="Times New Roman" w:hAnsi="Times New Roman" w:eastAsia="宋体" w:cs="Times New Roman"/>
          <w:b/>
          <w:bCs/>
          <w:sz w:val="24"/>
          <w:szCs w:val="24"/>
        </w:rPr>
        <w:t>理化性质一览表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32"/>
        <w:gridCol w:w="1095"/>
        <w:gridCol w:w="172"/>
        <w:gridCol w:w="1199"/>
        <w:gridCol w:w="386"/>
        <w:gridCol w:w="1309"/>
        <w:gridCol w:w="436"/>
        <w:gridCol w:w="3363"/>
      </w:tblGrid>
      <w:tr w14:paraId="58D31E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restart"/>
            <w:noWrap w:val="0"/>
            <w:vAlign w:val="top"/>
          </w:tcPr>
          <w:p w14:paraId="428B352E">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标识</w:t>
            </w:r>
          </w:p>
        </w:tc>
        <w:tc>
          <w:tcPr>
            <w:tcW w:w="2466" w:type="dxa"/>
            <w:gridSpan w:val="3"/>
            <w:noWrap w:val="0"/>
            <w:vAlign w:val="top"/>
          </w:tcPr>
          <w:p w14:paraId="0A8731A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英文名：formaldehyde</w:t>
            </w:r>
          </w:p>
        </w:tc>
        <w:tc>
          <w:tcPr>
            <w:tcW w:w="2131" w:type="dxa"/>
            <w:gridSpan w:val="3"/>
            <w:noWrap w:val="0"/>
            <w:vAlign w:val="top"/>
          </w:tcPr>
          <w:p w14:paraId="08FB09A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化学式：HCHO</w:t>
            </w:r>
          </w:p>
        </w:tc>
        <w:tc>
          <w:tcPr>
            <w:tcW w:w="3363" w:type="dxa"/>
            <w:noWrap w:val="0"/>
            <w:vAlign w:val="top"/>
          </w:tcPr>
          <w:p w14:paraId="7121B32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分子量：30.03</w:t>
            </w:r>
          </w:p>
        </w:tc>
      </w:tr>
      <w:tr w14:paraId="4165B1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continue"/>
            <w:noWrap w:val="0"/>
            <w:vAlign w:val="top"/>
          </w:tcPr>
          <w:p w14:paraId="14683A45">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466" w:type="dxa"/>
            <w:gridSpan w:val="3"/>
            <w:noWrap w:val="0"/>
            <w:vAlign w:val="top"/>
          </w:tcPr>
          <w:p w14:paraId="0D258C2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危险化学品分类：其他腐蚀品</w:t>
            </w:r>
          </w:p>
        </w:tc>
        <w:tc>
          <w:tcPr>
            <w:tcW w:w="2131" w:type="dxa"/>
            <w:gridSpan w:val="3"/>
            <w:noWrap w:val="0"/>
            <w:vAlign w:val="top"/>
          </w:tcPr>
          <w:p w14:paraId="7C7E406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危险货物编号：83012</w:t>
            </w:r>
          </w:p>
        </w:tc>
        <w:tc>
          <w:tcPr>
            <w:tcW w:w="3363" w:type="dxa"/>
            <w:noWrap w:val="0"/>
            <w:vAlign w:val="top"/>
          </w:tcPr>
          <w:p w14:paraId="5E16112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CAS号：50-00-0</w:t>
            </w:r>
          </w:p>
        </w:tc>
      </w:tr>
      <w:tr w14:paraId="30AF55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restart"/>
            <w:noWrap w:val="0"/>
            <w:vAlign w:val="top"/>
          </w:tcPr>
          <w:p w14:paraId="444A9388">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理化性质</w:t>
            </w:r>
          </w:p>
        </w:tc>
        <w:tc>
          <w:tcPr>
            <w:tcW w:w="1095" w:type="dxa"/>
            <w:noWrap w:val="0"/>
            <w:vAlign w:val="top"/>
          </w:tcPr>
          <w:p w14:paraId="2D64813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外观与性状</w:t>
            </w:r>
          </w:p>
        </w:tc>
        <w:tc>
          <w:tcPr>
            <w:tcW w:w="6865" w:type="dxa"/>
            <w:gridSpan w:val="6"/>
            <w:noWrap w:val="0"/>
            <w:vAlign w:val="top"/>
          </w:tcPr>
          <w:p w14:paraId="1C14E5F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无色水溶液或气体，有刺激性气味，液体在较冷时久贮易混浊，在低温时则形成三聚甲醛沉淀。</w:t>
            </w:r>
          </w:p>
        </w:tc>
      </w:tr>
      <w:tr w14:paraId="412A7E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1232" w:type="dxa"/>
            <w:vMerge w:val="continue"/>
            <w:noWrap w:val="0"/>
            <w:vAlign w:val="top"/>
          </w:tcPr>
          <w:p w14:paraId="34EC456D">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960" w:type="dxa"/>
            <w:gridSpan w:val="7"/>
            <w:noWrap w:val="0"/>
            <w:vAlign w:val="top"/>
          </w:tcPr>
          <w:p w14:paraId="40252DD2">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相对密度（d2525）1.081~1.085，熔点-118℃，沸点-19.5℃，折光率（n20D）1.3746，  闪点60℃，爆炸下限（%）：7.0，爆炸上限（%）：73.0</w:t>
            </w:r>
          </w:p>
        </w:tc>
      </w:tr>
      <w:tr w14:paraId="7CE184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continue"/>
            <w:noWrap w:val="0"/>
            <w:vAlign w:val="top"/>
          </w:tcPr>
          <w:p w14:paraId="1D499EBF">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267" w:type="dxa"/>
            <w:gridSpan w:val="2"/>
            <w:noWrap w:val="0"/>
            <w:vAlign w:val="top"/>
          </w:tcPr>
          <w:p w14:paraId="641C69AC">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溶解性</w:t>
            </w:r>
          </w:p>
        </w:tc>
        <w:tc>
          <w:tcPr>
            <w:tcW w:w="6693" w:type="dxa"/>
            <w:gridSpan w:val="5"/>
            <w:noWrap w:val="0"/>
            <w:vAlign w:val="top"/>
          </w:tcPr>
          <w:p w14:paraId="4D017131">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易溶于水、醇和醚。</w:t>
            </w:r>
          </w:p>
        </w:tc>
      </w:tr>
      <w:tr w14:paraId="335DFD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restart"/>
            <w:noWrap w:val="0"/>
            <w:vAlign w:val="top"/>
          </w:tcPr>
          <w:p w14:paraId="1BE4D100">
            <w:pPr>
              <w:spacing w:line="321" w:lineRule="exact"/>
              <w:ind w:right="115" w:firstLine="0"/>
              <w:jc w:val="center"/>
              <w:rPr>
                <w:rFonts w:ascii="Times New Roman" w:hAnsi="Times New Roman" w:eastAsia="宋体" w:cs="Times New Roman"/>
                <w:color w:val="000000"/>
                <w:sz w:val="21"/>
                <w:szCs w:val="22"/>
                <w:lang w:val="en-US" w:eastAsia="zh-CN" w:bidi="ar-SA"/>
              </w:rPr>
            </w:pPr>
          </w:p>
          <w:p w14:paraId="0861A798">
            <w:pPr>
              <w:spacing w:line="321" w:lineRule="exact"/>
              <w:ind w:right="115" w:firstLine="0"/>
              <w:jc w:val="center"/>
              <w:rPr>
                <w:rFonts w:ascii="Times New Roman" w:hAnsi="Times New Roman" w:eastAsia="宋体" w:cs="Times New Roman"/>
                <w:color w:val="000000"/>
                <w:sz w:val="21"/>
                <w:szCs w:val="22"/>
                <w:lang w:val="en-US" w:eastAsia="zh-CN" w:bidi="ar-SA"/>
              </w:rPr>
            </w:pPr>
          </w:p>
          <w:p w14:paraId="47619B1E">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毒理学资料</w:t>
            </w:r>
          </w:p>
        </w:tc>
        <w:tc>
          <w:tcPr>
            <w:tcW w:w="1267" w:type="dxa"/>
            <w:gridSpan w:val="2"/>
            <w:noWrap w:val="0"/>
            <w:vAlign w:val="top"/>
          </w:tcPr>
          <w:p w14:paraId="31E9DCB8">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接触限值</w:t>
            </w:r>
          </w:p>
        </w:tc>
        <w:tc>
          <w:tcPr>
            <w:tcW w:w="6693" w:type="dxa"/>
            <w:gridSpan w:val="5"/>
            <w:noWrap w:val="0"/>
            <w:vAlign w:val="top"/>
          </w:tcPr>
          <w:p w14:paraId="5F678F2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中国MAC（mg/m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）：3；前苏联MAC（mg/m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）：0.5</w:t>
            </w:r>
          </w:p>
        </w:tc>
      </w:tr>
      <w:tr w14:paraId="0DC3F5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0" w:hRule="atLeast"/>
          <w:jc w:val="center"/>
        </w:trPr>
        <w:tc>
          <w:tcPr>
            <w:tcW w:w="1232" w:type="dxa"/>
            <w:vMerge w:val="continue"/>
            <w:noWrap w:val="0"/>
            <w:vAlign w:val="top"/>
          </w:tcPr>
          <w:p w14:paraId="30BC4B5C">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267" w:type="dxa"/>
            <w:gridSpan w:val="2"/>
            <w:noWrap w:val="0"/>
            <w:vAlign w:val="top"/>
          </w:tcPr>
          <w:p w14:paraId="6E5149B0">
            <w:pPr>
              <w:spacing w:line="321" w:lineRule="exact"/>
              <w:ind w:right="115" w:firstLine="0"/>
              <w:jc w:val="center"/>
              <w:rPr>
                <w:rFonts w:hint="eastAsia" w:ascii="Times New Roman" w:hAnsi="Times New Roman" w:eastAsia="宋体" w:cs="Times New Roman"/>
                <w:color w:val="000000"/>
                <w:sz w:val="21"/>
                <w:szCs w:val="22"/>
                <w:lang w:val="en-US" w:eastAsia="zh-CN" w:bidi="ar-SA"/>
              </w:rPr>
            </w:pPr>
          </w:p>
          <w:p w14:paraId="412E3303">
            <w:pPr>
              <w:spacing w:line="321" w:lineRule="exact"/>
              <w:ind w:right="115" w:firstLine="0"/>
              <w:jc w:val="center"/>
              <w:rPr>
                <w:rFonts w:hint="eastAsia" w:ascii="Times New Roman" w:hAnsi="Times New Roman" w:eastAsia="宋体" w:cs="Times New Roman"/>
                <w:color w:val="000000"/>
                <w:sz w:val="21"/>
                <w:szCs w:val="22"/>
                <w:lang w:val="en-US" w:eastAsia="zh-CN" w:bidi="ar-SA"/>
              </w:rPr>
            </w:pPr>
          </w:p>
          <w:p w14:paraId="623BE2D2">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急性毒性</w:t>
            </w:r>
          </w:p>
        </w:tc>
        <w:tc>
          <w:tcPr>
            <w:tcW w:w="6693" w:type="dxa"/>
            <w:gridSpan w:val="5"/>
            <w:noWrap w:val="0"/>
            <w:vAlign w:val="top"/>
          </w:tcPr>
          <w:p w14:paraId="26C82D51">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LD</w:t>
            </w:r>
            <w:r>
              <w:rPr>
                <w:rFonts w:hint="eastAsia" w:ascii="Times New Roman" w:hAnsi="Times New Roman" w:eastAsia="宋体" w:cs="Times New Roman"/>
                <w:color w:val="000000"/>
                <w:sz w:val="21"/>
                <w:szCs w:val="22"/>
                <w:vertAlign w:val="subscript"/>
                <w:lang w:val="en-US" w:eastAsia="zh-CN" w:bidi="ar-SA"/>
              </w:rPr>
              <w:t>50</w:t>
            </w:r>
            <w:r>
              <w:rPr>
                <w:rFonts w:hint="eastAsia" w:ascii="Times New Roman" w:hAnsi="Times New Roman" w:eastAsia="宋体" w:cs="Times New Roman"/>
                <w:color w:val="000000"/>
                <w:sz w:val="21"/>
                <w:szCs w:val="22"/>
                <w:lang w:val="en-US" w:eastAsia="zh-CN" w:bidi="ar-SA"/>
              </w:rPr>
              <w:t>800mg/kg（大鼠经口），2700mg/kg（兔经皮）；LC</w:t>
            </w:r>
            <w:r>
              <w:rPr>
                <w:rFonts w:hint="eastAsia" w:ascii="Times New Roman" w:hAnsi="Times New Roman" w:eastAsia="宋体" w:cs="Times New Roman"/>
                <w:color w:val="000000"/>
                <w:sz w:val="21"/>
                <w:szCs w:val="22"/>
                <w:vertAlign w:val="subscript"/>
                <w:lang w:val="en-US" w:eastAsia="zh-CN" w:bidi="ar-SA"/>
              </w:rPr>
              <w:t>50</w:t>
            </w:r>
            <w:r>
              <w:rPr>
                <w:rFonts w:hint="eastAsia" w:ascii="Times New Roman" w:hAnsi="Times New Roman" w:eastAsia="宋体" w:cs="Times New Roman"/>
                <w:color w:val="000000"/>
                <w:sz w:val="21"/>
                <w:szCs w:val="22"/>
                <w:lang w:val="en-US" w:eastAsia="zh-CN" w:bidi="ar-SA"/>
              </w:rPr>
              <w:t>590mg/m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（大鼠吸入）；人吸入60~120mg/m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，发生支气管炎，肺部严重损害；人吸入12~24mg/m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，鼻、咽粘膜严重灼伤、流泪、咳嗽；人经口10~20ml，</w:t>
            </w:r>
          </w:p>
          <w:p w14:paraId="08582A5B">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致死。</w:t>
            </w:r>
          </w:p>
        </w:tc>
      </w:tr>
      <w:tr w14:paraId="5310AE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9" w:hRule="atLeast"/>
          <w:jc w:val="center"/>
        </w:trPr>
        <w:tc>
          <w:tcPr>
            <w:tcW w:w="1232" w:type="dxa"/>
            <w:vMerge w:val="continue"/>
            <w:noWrap w:val="0"/>
            <w:vAlign w:val="top"/>
          </w:tcPr>
          <w:p w14:paraId="2F62D2C9">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267" w:type="dxa"/>
            <w:gridSpan w:val="2"/>
            <w:noWrap w:val="0"/>
            <w:vAlign w:val="top"/>
          </w:tcPr>
          <w:p w14:paraId="588BD04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p>
          <w:p w14:paraId="1B343936">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亚急性与慢性毒性</w:t>
            </w:r>
          </w:p>
        </w:tc>
        <w:tc>
          <w:tcPr>
            <w:tcW w:w="6693" w:type="dxa"/>
            <w:gridSpan w:val="5"/>
            <w:noWrap w:val="0"/>
            <w:vAlign w:val="top"/>
          </w:tcPr>
          <w:p w14:paraId="4A68932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大鼠吸入50~70mg/m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，1小时/天，3天/周，35周，发现气管及支气管基底细胞增生及生化改变；人吸入20~70mg/m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×长时间，食欲丧失、体重  减轻、无力、头痛、失眠；人吸入12mg/m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×长期接触，嗜睡、无力、头痛、手指震颤、视力减退。</w:t>
            </w:r>
          </w:p>
        </w:tc>
      </w:tr>
      <w:tr w14:paraId="1B7067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1232" w:type="dxa"/>
            <w:vMerge w:val="restart"/>
            <w:noWrap w:val="0"/>
            <w:vAlign w:val="top"/>
          </w:tcPr>
          <w:p w14:paraId="4639AB5F">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燃烧爆炸危险性</w:t>
            </w:r>
          </w:p>
        </w:tc>
        <w:tc>
          <w:tcPr>
            <w:tcW w:w="1267" w:type="dxa"/>
            <w:gridSpan w:val="2"/>
            <w:noWrap w:val="0"/>
            <w:vAlign w:val="top"/>
          </w:tcPr>
          <w:p w14:paraId="314FF66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火灾危险性</w:t>
            </w:r>
          </w:p>
        </w:tc>
        <w:tc>
          <w:tcPr>
            <w:tcW w:w="1585" w:type="dxa"/>
            <w:gridSpan w:val="2"/>
            <w:noWrap w:val="0"/>
            <w:vAlign w:val="top"/>
          </w:tcPr>
          <w:p w14:paraId="2B8EDA2A">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易燃</w:t>
            </w:r>
          </w:p>
        </w:tc>
        <w:tc>
          <w:tcPr>
            <w:tcW w:w="1309" w:type="dxa"/>
            <w:noWrap w:val="0"/>
            <w:vAlign w:val="top"/>
          </w:tcPr>
          <w:p w14:paraId="25BDB8C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禁忌物</w:t>
            </w:r>
          </w:p>
        </w:tc>
        <w:tc>
          <w:tcPr>
            <w:tcW w:w="3799" w:type="dxa"/>
            <w:gridSpan w:val="2"/>
            <w:noWrap w:val="0"/>
            <w:vAlign w:val="top"/>
          </w:tcPr>
          <w:p w14:paraId="50C47E0C">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强氧化剂、强酸、强碱</w:t>
            </w:r>
          </w:p>
        </w:tc>
      </w:tr>
      <w:tr w14:paraId="7BF009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9" w:hRule="atLeast"/>
          <w:jc w:val="center"/>
        </w:trPr>
        <w:tc>
          <w:tcPr>
            <w:tcW w:w="1232" w:type="dxa"/>
            <w:vMerge w:val="continue"/>
            <w:noWrap w:val="0"/>
            <w:vAlign w:val="top"/>
          </w:tcPr>
          <w:p w14:paraId="4149A354">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267" w:type="dxa"/>
            <w:gridSpan w:val="2"/>
            <w:noWrap w:val="0"/>
            <w:vAlign w:val="top"/>
          </w:tcPr>
          <w:p w14:paraId="48697703">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危险特性</w:t>
            </w:r>
          </w:p>
        </w:tc>
        <w:tc>
          <w:tcPr>
            <w:tcW w:w="6693" w:type="dxa"/>
            <w:gridSpan w:val="5"/>
            <w:noWrap w:val="0"/>
            <w:vAlign w:val="top"/>
          </w:tcPr>
          <w:p w14:paraId="4567673B">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其蒸气与空气形成爆炸性混合物，遇明火、高热能引起燃烧爆炸。若遇</w:t>
            </w:r>
          </w:p>
          <w:p w14:paraId="7EF8381F">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高热，容器内压增大，有开裂和爆炸的危险。</w:t>
            </w:r>
          </w:p>
        </w:tc>
      </w:tr>
    </w:tbl>
    <w:p w14:paraId="734127FF">
      <w:pPr>
        <w:pStyle w:val="219"/>
        <w:spacing w:before="76"/>
        <w:ind w:left="40"/>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表 </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 xml:space="preserve">.1-10  </w:t>
      </w:r>
      <w:r>
        <w:rPr>
          <w:rFonts w:hint="eastAsia" w:ascii="Times New Roman" w:hAnsi="Times New Roman" w:eastAsia="宋体" w:cs="Times New Roman"/>
          <w:b/>
          <w:bCs/>
          <w:sz w:val="24"/>
          <w:szCs w:val="24"/>
        </w:rPr>
        <w:t>三聚氰胺理化性质一览表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32"/>
        <w:gridCol w:w="1316"/>
        <w:gridCol w:w="1150"/>
        <w:gridCol w:w="1456"/>
        <w:gridCol w:w="675"/>
        <w:gridCol w:w="3363"/>
      </w:tblGrid>
      <w:tr w14:paraId="7FFEFD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restart"/>
            <w:noWrap w:val="0"/>
            <w:vAlign w:val="top"/>
          </w:tcPr>
          <w:p w14:paraId="04112342">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标识</w:t>
            </w:r>
          </w:p>
        </w:tc>
        <w:tc>
          <w:tcPr>
            <w:tcW w:w="2466" w:type="dxa"/>
            <w:gridSpan w:val="2"/>
            <w:noWrap w:val="0"/>
            <w:vAlign w:val="top"/>
          </w:tcPr>
          <w:p w14:paraId="1318559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英文名：</w:t>
            </w:r>
            <w:r>
              <w:rPr>
                <w:rFonts w:ascii="Times New Roman" w:hAnsi="Times New Roman" w:eastAsia="宋体" w:cs="Times New Roman"/>
                <w:color w:val="000000"/>
                <w:sz w:val="21"/>
                <w:szCs w:val="22"/>
                <w:lang w:val="en-US" w:eastAsia="zh-CN" w:bidi="ar-SA"/>
              </w:rPr>
              <w:t>Melamine</w:t>
            </w:r>
          </w:p>
        </w:tc>
        <w:tc>
          <w:tcPr>
            <w:tcW w:w="2131" w:type="dxa"/>
            <w:gridSpan w:val="2"/>
            <w:noWrap w:val="0"/>
            <w:vAlign w:val="top"/>
          </w:tcPr>
          <w:p w14:paraId="63C561B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化学式：</w:t>
            </w:r>
            <w:r>
              <w:rPr>
                <w:rFonts w:ascii="Times New Roman" w:hAnsi="Times New Roman" w:eastAsia="宋体" w:cs="Times New Roman"/>
                <w:color w:val="000000"/>
                <w:sz w:val="21"/>
                <w:szCs w:val="22"/>
                <w:lang w:val="en-US" w:eastAsia="zh-CN" w:bidi="ar-SA"/>
              </w:rPr>
              <w:t>C</w:t>
            </w:r>
            <w:r>
              <w:rPr>
                <w:rFonts w:ascii="Times New Roman" w:hAnsi="Times New Roman" w:eastAsia="宋体" w:cs="Times New Roman"/>
                <w:color w:val="000000"/>
                <w:sz w:val="21"/>
                <w:szCs w:val="22"/>
                <w:vertAlign w:val="subscript"/>
                <w:lang w:val="en-US" w:eastAsia="zh-CN" w:bidi="ar-SA"/>
              </w:rPr>
              <w:t>3</w:t>
            </w:r>
            <w:r>
              <w:rPr>
                <w:rFonts w:ascii="Times New Roman" w:hAnsi="Times New Roman" w:eastAsia="宋体" w:cs="Times New Roman"/>
                <w:color w:val="000000"/>
                <w:sz w:val="21"/>
                <w:szCs w:val="22"/>
                <w:lang w:val="en-US" w:eastAsia="zh-CN" w:bidi="ar-SA"/>
              </w:rPr>
              <w:t>H</w:t>
            </w:r>
            <w:r>
              <w:rPr>
                <w:rFonts w:ascii="Times New Roman" w:hAnsi="Times New Roman" w:eastAsia="宋体" w:cs="Times New Roman"/>
                <w:color w:val="000000"/>
                <w:sz w:val="21"/>
                <w:szCs w:val="22"/>
                <w:vertAlign w:val="subscript"/>
                <w:lang w:val="en-US" w:eastAsia="zh-CN" w:bidi="ar-SA"/>
              </w:rPr>
              <w:t>6</w:t>
            </w:r>
            <w:r>
              <w:rPr>
                <w:rFonts w:ascii="Times New Roman" w:hAnsi="Times New Roman" w:eastAsia="宋体" w:cs="Times New Roman"/>
                <w:color w:val="000000"/>
                <w:sz w:val="21"/>
                <w:szCs w:val="22"/>
                <w:lang w:val="en-US" w:eastAsia="zh-CN" w:bidi="ar-SA"/>
              </w:rPr>
              <w:t>N</w:t>
            </w:r>
            <w:r>
              <w:rPr>
                <w:rFonts w:ascii="Times New Roman" w:hAnsi="Times New Roman" w:eastAsia="宋体" w:cs="Times New Roman"/>
                <w:color w:val="000000"/>
                <w:sz w:val="21"/>
                <w:szCs w:val="22"/>
                <w:vertAlign w:val="subscript"/>
                <w:lang w:val="en-US" w:eastAsia="zh-CN" w:bidi="ar-SA"/>
              </w:rPr>
              <w:t>6</w:t>
            </w:r>
          </w:p>
        </w:tc>
        <w:tc>
          <w:tcPr>
            <w:tcW w:w="3363" w:type="dxa"/>
            <w:noWrap w:val="0"/>
            <w:vAlign w:val="top"/>
          </w:tcPr>
          <w:p w14:paraId="295BD20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分子量：</w:t>
            </w:r>
            <w:r>
              <w:rPr>
                <w:rFonts w:ascii="Times New Roman" w:hAnsi="Times New Roman" w:eastAsia="宋体" w:cs="Times New Roman"/>
                <w:color w:val="000000"/>
                <w:sz w:val="21"/>
                <w:szCs w:val="22"/>
                <w:lang w:val="en-US" w:eastAsia="zh-CN" w:bidi="ar-SA"/>
              </w:rPr>
              <w:t>126.12</w:t>
            </w:r>
          </w:p>
        </w:tc>
      </w:tr>
      <w:tr w14:paraId="75ABA8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continue"/>
            <w:noWrap w:val="0"/>
            <w:vAlign w:val="top"/>
          </w:tcPr>
          <w:p w14:paraId="1CFEBF4C">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466" w:type="dxa"/>
            <w:gridSpan w:val="2"/>
            <w:noWrap w:val="0"/>
            <w:vAlign w:val="top"/>
          </w:tcPr>
          <w:p w14:paraId="38138DC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危险化学品分类：</w:t>
            </w:r>
            <w:r>
              <w:rPr>
                <w:rFonts w:ascii="Times New Roman" w:hAnsi="Times New Roman" w:eastAsia="宋体" w:cs="Times New Roman"/>
                <w:color w:val="000000"/>
                <w:sz w:val="21"/>
                <w:szCs w:val="22"/>
                <w:lang w:val="en-US" w:eastAsia="zh-CN" w:bidi="ar-SA"/>
              </w:rPr>
              <w:t>/</w:t>
            </w:r>
          </w:p>
        </w:tc>
        <w:tc>
          <w:tcPr>
            <w:tcW w:w="2131" w:type="dxa"/>
            <w:gridSpan w:val="2"/>
            <w:noWrap w:val="0"/>
            <w:vAlign w:val="top"/>
          </w:tcPr>
          <w:p w14:paraId="72CEA9F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危险货物编号：</w:t>
            </w:r>
            <w:r>
              <w:rPr>
                <w:rFonts w:ascii="Times New Roman" w:hAnsi="Times New Roman" w:eastAsia="宋体" w:cs="Times New Roman"/>
                <w:color w:val="000000"/>
                <w:sz w:val="21"/>
                <w:szCs w:val="22"/>
                <w:lang w:val="en-US" w:eastAsia="zh-CN" w:bidi="ar-SA"/>
              </w:rPr>
              <w:t>/</w:t>
            </w:r>
          </w:p>
        </w:tc>
        <w:tc>
          <w:tcPr>
            <w:tcW w:w="3363" w:type="dxa"/>
            <w:noWrap w:val="0"/>
            <w:vAlign w:val="top"/>
          </w:tcPr>
          <w:p w14:paraId="69BC158B">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 xml:space="preserve">CAS </w:t>
            </w:r>
            <w:r>
              <w:rPr>
                <w:rFonts w:hint="eastAsia" w:ascii="Times New Roman" w:hAnsi="Times New Roman" w:eastAsia="宋体" w:cs="Times New Roman"/>
                <w:color w:val="000000"/>
                <w:sz w:val="21"/>
                <w:szCs w:val="22"/>
                <w:lang w:val="en-US" w:eastAsia="zh-CN" w:bidi="ar-SA"/>
              </w:rPr>
              <w:t>号：</w:t>
            </w:r>
            <w:r>
              <w:rPr>
                <w:rFonts w:ascii="Times New Roman" w:hAnsi="Times New Roman" w:eastAsia="宋体" w:cs="Times New Roman"/>
                <w:color w:val="000000"/>
                <w:sz w:val="21"/>
                <w:szCs w:val="22"/>
                <w:lang w:val="en-US" w:eastAsia="zh-CN" w:bidi="ar-SA"/>
              </w:rPr>
              <w:t>108-78-1</w:t>
            </w:r>
          </w:p>
        </w:tc>
      </w:tr>
      <w:tr w14:paraId="7EF7C7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restart"/>
            <w:noWrap w:val="0"/>
            <w:vAlign w:val="top"/>
          </w:tcPr>
          <w:p w14:paraId="0A550050">
            <w:pPr>
              <w:spacing w:line="321" w:lineRule="exact"/>
              <w:ind w:right="115" w:firstLine="0"/>
              <w:jc w:val="center"/>
              <w:rPr>
                <w:rFonts w:ascii="Times New Roman" w:hAnsi="Times New Roman" w:eastAsia="宋体" w:cs="Times New Roman"/>
                <w:color w:val="000000"/>
                <w:sz w:val="21"/>
                <w:szCs w:val="22"/>
                <w:lang w:val="en-US" w:eastAsia="zh-CN" w:bidi="ar-SA"/>
              </w:rPr>
            </w:pPr>
          </w:p>
          <w:p w14:paraId="170115BD">
            <w:pPr>
              <w:spacing w:line="321" w:lineRule="exact"/>
              <w:ind w:right="115" w:firstLine="0"/>
              <w:jc w:val="center"/>
              <w:rPr>
                <w:rFonts w:ascii="Times New Roman" w:hAnsi="Times New Roman" w:eastAsia="宋体" w:cs="Times New Roman"/>
                <w:color w:val="000000"/>
                <w:sz w:val="21"/>
                <w:szCs w:val="22"/>
                <w:lang w:val="en-US" w:eastAsia="zh-CN" w:bidi="ar-SA"/>
              </w:rPr>
            </w:pPr>
          </w:p>
          <w:p w14:paraId="5083F58D">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理化性质</w:t>
            </w:r>
          </w:p>
        </w:tc>
        <w:tc>
          <w:tcPr>
            <w:tcW w:w="1316" w:type="dxa"/>
            <w:noWrap w:val="0"/>
            <w:vAlign w:val="top"/>
          </w:tcPr>
          <w:p w14:paraId="5366DF6F">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外观与性状</w:t>
            </w:r>
          </w:p>
        </w:tc>
        <w:tc>
          <w:tcPr>
            <w:tcW w:w="6644" w:type="dxa"/>
            <w:gridSpan w:val="4"/>
            <w:noWrap w:val="0"/>
            <w:vAlign w:val="top"/>
          </w:tcPr>
          <w:p w14:paraId="18FA6569">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白色，单斜晶体，用于制备合成树脂和塑料等。</w:t>
            </w:r>
          </w:p>
        </w:tc>
      </w:tr>
      <w:tr w14:paraId="376E34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1232" w:type="dxa"/>
            <w:vMerge w:val="continue"/>
            <w:noWrap w:val="0"/>
            <w:vAlign w:val="top"/>
          </w:tcPr>
          <w:p w14:paraId="72EB183B">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7960" w:type="dxa"/>
            <w:gridSpan w:val="5"/>
            <w:noWrap w:val="0"/>
            <w:vAlign w:val="top"/>
          </w:tcPr>
          <w:p w14:paraId="3A3BBC95">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相对密度（水</w:t>
            </w:r>
            <w:r>
              <w:rPr>
                <w:rFonts w:ascii="Times New Roman" w:hAnsi="Times New Roman" w:eastAsia="宋体" w:cs="Times New Roman"/>
                <w:color w:val="000000"/>
                <w:sz w:val="21"/>
                <w:szCs w:val="22"/>
                <w:lang w:val="en-US" w:eastAsia="zh-CN" w:bidi="ar-SA"/>
              </w:rPr>
              <w:t>=1</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1.573316</w:t>
            </w:r>
            <w:r>
              <w:rPr>
                <w:rFonts w:hint="eastAsia" w:ascii="Times New Roman" w:hAnsi="Times New Roman" w:eastAsia="宋体" w:cs="Times New Roman"/>
                <w:color w:val="000000"/>
                <w:sz w:val="21"/>
                <w:szCs w:val="22"/>
                <w:lang w:val="en-US" w:eastAsia="zh-CN" w:bidi="ar-SA"/>
              </w:rPr>
              <w:t>，相对蒸气密度（空气</w:t>
            </w:r>
            <w:r>
              <w:rPr>
                <w:rFonts w:ascii="Times New Roman" w:hAnsi="Times New Roman" w:eastAsia="宋体" w:cs="Times New Roman"/>
                <w:color w:val="000000"/>
                <w:sz w:val="21"/>
                <w:szCs w:val="22"/>
                <w:lang w:val="en-US" w:eastAsia="zh-CN" w:bidi="ar-SA"/>
              </w:rPr>
              <w:t>=1</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4.34</w:t>
            </w:r>
            <w:r>
              <w:rPr>
                <w:rFonts w:hint="eastAsia" w:ascii="Times New Roman" w:hAnsi="Times New Roman" w:eastAsia="宋体" w:cs="Times New Roman"/>
                <w:color w:val="000000"/>
                <w:sz w:val="21"/>
                <w:szCs w:val="22"/>
                <w:lang w:val="en-US" w:eastAsia="zh-CN" w:bidi="ar-SA"/>
              </w:rPr>
              <w:t xml:space="preserve">。在 </w:t>
            </w:r>
            <w:r>
              <w:rPr>
                <w:rFonts w:ascii="Times New Roman" w:hAnsi="Times New Roman" w:eastAsia="宋体" w:cs="Times New Roman"/>
                <w:color w:val="000000"/>
                <w:sz w:val="21"/>
                <w:szCs w:val="22"/>
                <w:lang w:val="en-US" w:eastAsia="zh-CN" w:bidi="ar-SA"/>
              </w:rPr>
              <w:t>345</w:t>
            </w:r>
            <w:r>
              <w:rPr>
                <w:rFonts w:hint="eastAsia" w:ascii="Times New Roman" w:hAnsi="Times New Roman" w:eastAsia="宋体" w:cs="Times New Roman"/>
                <w:color w:val="000000"/>
                <w:sz w:val="21"/>
                <w:szCs w:val="22"/>
                <w:lang w:val="en-US" w:eastAsia="zh-CN" w:bidi="ar-SA"/>
              </w:rPr>
              <w:t>℃的情况下分解， 熔点</w:t>
            </w:r>
            <w:r>
              <w:rPr>
                <w:rFonts w:ascii="Times New Roman" w:hAnsi="Times New Roman" w:eastAsia="宋体" w:cs="Times New Roman"/>
                <w:color w:val="000000"/>
                <w:sz w:val="21"/>
                <w:szCs w:val="22"/>
                <w:lang w:val="en-US" w:eastAsia="zh-CN" w:bidi="ar-SA"/>
              </w:rPr>
              <w:t>&gt;300</w:t>
            </w:r>
            <w:r>
              <w:rPr>
                <w:rFonts w:hint="eastAsia" w:ascii="Times New Roman" w:hAnsi="Times New Roman" w:eastAsia="宋体" w:cs="Times New Roman"/>
                <w:color w:val="000000"/>
                <w:sz w:val="21"/>
                <w:szCs w:val="22"/>
                <w:lang w:val="en-US" w:eastAsia="zh-CN" w:bidi="ar-SA"/>
              </w:rPr>
              <w:t>℃（升华），饱和蒸气压（</w:t>
            </w:r>
            <w:r>
              <w:rPr>
                <w:rFonts w:ascii="Times New Roman" w:hAnsi="Times New Roman" w:eastAsia="宋体" w:cs="Times New Roman"/>
                <w:color w:val="000000"/>
                <w:sz w:val="21"/>
                <w:szCs w:val="22"/>
                <w:lang w:val="en-US" w:eastAsia="zh-CN" w:bidi="ar-SA"/>
              </w:rPr>
              <w:t>kPa</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6.66</w:t>
            </w:r>
            <w:r>
              <w:rPr>
                <w:rFonts w:hint="eastAsia" w:ascii="Times New Roman" w:hAnsi="Times New Roman" w:eastAsia="宋体" w:cs="Times New Roman"/>
                <w:color w:val="000000"/>
                <w:sz w:val="21"/>
                <w:szCs w:val="22"/>
                <w:lang w:val="en-US" w:eastAsia="zh-CN" w:bidi="ar-SA"/>
              </w:rPr>
              <w:t>，水中溶解度（</w:t>
            </w:r>
            <w:r>
              <w:rPr>
                <w:rFonts w:ascii="Times New Roman" w:hAnsi="Times New Roman" w:eastAsia="宋体" w:cs="Times New Roman"/>
                <w:color w:val="000000"/>
                <w:sz w:val="21"/>
                <w:szCs w:val="22"/>
                <w:lang w:val="en-US" w:eastAsia="zh-CN" w:bidi="ar-SA"/>
              </w:rPr>
              <w:t>20</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0.33g</w:t>
            </w:r>
            <w:r>
              <w:rPr>
                <w:rFonts w:hint="eastAsia" w:ascii="Times New Roman" w:hAnsi="Times New Roman" w:eastAsia="宋体" w:cs="Times New Roman"/>
                <w:color w:val="000000"/>
                <w:sz w:val="21"/>
                <w:szCs w:val="22"/>
                <w:lang w:val="en-US" w:eastAsia="zh-CN" w:bidi="ar-SA"/>
              </w:rPr>
              <w:t xml:space="preserve">，沸点 </w:t>
            </w:r>
            <w:r>
              <w:rPr>
                <w:rFonts w:ascii="Times New Roman" w:hAnsi="Times New Roman" w:eastAsia="宋体" w:cs="Times New Roman"/>
                <w:color w:val="000000"/>
                <w:sz w:val="21"/>
                <w:szCs w:val="22"/>
                <w:lang w:val="en-US" w:eastAsia="zh-CN" w:bidi="ar-SA"/>
              </w:rPr>
              <w:t>299.696</w:t>
            </w:r>
            <w:r>
              <w:rPr>
                <w:rFonts w:hint="eastAsia" w:ascii="Times New Roman" w:hAnsi="Times New Roman" w:eastAsia="宋体" w:cs="Times New Roman"/>
                <w:color w:val="000000"/>
                <w:sz w:val="21"/>
                <w:szCs w:val="22"/>
                <w:lang w:val="en-US" w:eastAsia="zh-CN" w:bidi="ar-SA"/>
              </w:rPr>
              <w:t xml:space="preserve">℃ </w:t>
            </w:r>
            <w:r>
              <w:rPr>
                <w:rFonts w:ascii="Times New Roman" w:hAnsi="Times New Roman" w:eastAsia="宋体" w:cs="Times New Roman"/>
                <w:color w:val="000000"/>
                <w:sz w:val="21"/>
                <w:szCs w:val="22"/>
                <w:lang w:val="en-US" w:eastAsia="zh-CN" w:bidi="ar-SA"/>
              </w:rPr>
              <w:t>at 760mmHg</w:t>
            </w:r>
            <w:r>
              <w:rPr>
                <w:rFonts w:hint="eastAsia" w:ascii="Times New Roman" w:hAnsi="Times New Roman" w:eastAsia="宋体" w:cs="Times New Roman"/>
                <w:color w:val="000000"/>
                <w:sz w:val="21"/>
                <w:szCs w:val="22"/>
                <w:lang w:val="en-US" w:eastAsia="zh-CN" w:bidi="ar-SA"/>
              </w:rPr>
              <w:t xml:space="preserve">，闪点 </w:t>
            </w:r>
            <w:r>
              <w:rPr>
                <w:rFonts w:ascii="Times New Roman" w:hAnsi="Times New Roman" w:eastAsia="宋体" w:cs="Times New Roman"/>
                <w:color w:val="000000"/>
                <w:sz w:val="21"/>
                <w:szCs w:val="22"/>
                <w:lang w:val="en-US" w:eastAsia="zh-CN" w:bidi="ar-SA"/>
              </w:rPr>
              <w:t>300</w:t>
            </w:r>
            <w:r>
              <w:rPr>
                <w:rFonts w:hint="eastAsia" w:ascii="Times New Roman" w:hAnsi="Times New Roman" w:eastAsia="宋体" w:cs="Times New Roman"/>
                <w:color w:val="000000"/>
                <w:sz w:val="21"/>
                <w:szCs w:val="22"/>
                <w:lang w:val="en-US" w:eastAsia="zh-CN" w:bidi="ar-SA"/>
              </w:rPr>
              <w:t>℃。</w:t>
            </w:r>
          </w:p>
        </w:tc>
      </w:tr>
      <w:tr w14:paraId="7D8120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continue"/>
            <w:noWrap w:val="0"/>
            <w:vAlign w:val="top"/>
          </w:tcPr>
          <w:p w14:paraId="04E99C4D">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6" w:type="dxa"/>
            <w:noWrap w:val="0"/>
            <w:vAlign w:val="top"/>
          </w:tcPr>
          <w:p w14:paraId="376409F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溶解性</w:t>
            </w:r>
          </w:p>
        </w:tc>
        <w:tc>
          <w:tcPr>
            <w:tcW w:w="6644" w:type="dxa"/>
            <w:gridSpan w:val="4"/>
            <w:noWrap w:val="0"/>
            <w:vAlign w:val="top"/>
          </w:tcPr>
          <w:p w14:paraId="27DBFC15">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不溶于水，微溶于乙二醇、甘油、乙醇，不溶于乙醚、苯、四氯化碳。</w:t>
            </w:r>
          </w:p>
        </w:tc>
      </w:tr>
      <w:tr w14:paraId="3F840D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232" w:type="dxa"/>
            <w:vMerge w:val="restart"/>
            <w:noWrap w:val="0"/>
            <w:vAlign w:val="top"/>
          </w:tcPr>
          <w:p w14:paraId="0B334FE3">
            <w:pPr>
              <w:spacing w:line="321" w:lineRule="exact"/>
              <w:ind w:right="115" w:firstLine="0"/>
              <w:jc w:val="center"/>
              <w:rPr>
                <w:rFonts w:ascii="Times New Roman" w:hAnsi="Times New Roman" w:eastAsia="宋体" w:cs="Times New Roman"/>
                <w:color w:val="000000"/>
                <w:sz w:val="21"/>
                <w:szCs w:val="22"/>
                <w:lang w:val="en-US" w:eastAsia="zh-CN" w:bidi="ar-SA"/>
              </w:rPr>
            </w:pPr>
          </w:p>
          <w:p w14:paraId="3F9F132E">
            <w:pPr>
              <w:spacing w:line="321" w:lineRule="exact"/>
              <w:ind w:right="115" w:firstLine="0"/>
              <w:jc w:val="center"/>
              <w:rPr>
                <w:rFonts w:ascii="Times New Roman" w:hAnsi="Times New Roman" w:eastAsia="宋体" w:cs="Times New Roman"/>
                <w:color w:val="000000"/>
                <w:sz w:val="21"/>
                <w:szCs w:val="22"/>
                <w:lang w:val="en-US" w:eastAsia="zh-CN" w:bidi="ar-SA"/>
              </w:rPr>
            </w:pPr>
          </w:p>
          <w:p w14:paraId="4E1B44FA">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毒理学资料</w:t>
            </w:r>
          </w:p>
        </w:tc>
        <w:tc>
          <w:tcPr>
            <w:tcW w:w="1316" w:type="dxa"/>
            <w:noWrap w:val="0"/>
            <w:vAlign w:val="top"/>
          </w:tcPr>
          <w:p w14:paraId="10BDED8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接触限值</w:t>
            </w:r>
          </w:p>
        </w:tc>
        <w:tc>
          <w:tcPr>
            <w:tcW w:w="6644" w:type="dxa"/>
            <w:gridSpan w:val="4"/>
            <w:noWrap w:val="0"/>
            <w:vAlign w:val="top"/>
          </w:tcPr>
          <w:p w14:paraId="2F38291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 xml:space="preserve">中国 </w:t>
            </w:r>
            <w:r>
              <w:rPr>
                <w:rFonts w:ascii="Times New Roman" w:hAnsi="Times New Roman" w:eastAsia="宋体" w:cs="Times New Roman"/>
                <w:color w:val="000000"/>
                <w:sz w:val="21"/>
                <w:szCs w:val="22"/>
                <w:lang w:val="en-US" w:eastAsia="zh-CN" w:bidi="ar-SA"/>
              </w:rPr>
              <w:t>MAC</w:t>
            </w:r>
            <w:r>
              <w:rPr>
                <w:rFonts w:hint="eastAsia" w:ascii="Times New Roman" w:hAnsi="Times New Roman" w:eastAsia="宋体" w:cs="Times New Roman"/>
                <w:color w:val="000000"/>
                <w:sz w:val="21"/>
                <w:szCs w:val="22"/>
                <w:lang w:val="en-US" w:eastAsia="zh-CN" w:bidi="ar-SA"/>
              </w:rPr>
              <w:t xml:space="preserve">：未制订标准；前苏联 </w:t>
            </w:r>
            <w:r>
              <w:rPr>
                <w:rFonts w:ascii="Times New Roman" w:hAnsi="Times New Roman" w:eastAsia="宋体" w:cs="Times New Roman"/>
                <w:color w:val="000000"/>
                <w:sz w:val="21"/>
                <w:szCs w:val="22"/>
                <w:lang w:val="en-US" w:eastAsia="zh-CN" w:bidi="ar-SA"/>
              </w:rPr>
              <w:t>MAC</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0.5</w:t>
            </w:r>
          </w:p>
        </w:tc>
      </w:tr>
      <w:tr w14:paraId="107A21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0" w:hRule="atLeast"/>
          <w:jc w:val="center"/>
        </w:trPr>
        <w:tc>
          <w:tcPr>
            <w:tcW w:w="1232" w:type="dxa"/>
            <w:vMerge w:val="continue"/>
            <w:noWrap w:val="0"/>
            <w:vAlign w:val="top"/>
          </w:tcPr>
          <w:p w14:paraId="272595BB">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6" w:type="dxa"/>
            <w:noWrap w:val="0"/>
            <w:vAlign w:val="top"/>
          </w:tcPr>
          <w:p w14:paraId="1DDF41F9">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急性毒性</w:t>
            </w:r>
          </w:p>
        </w:tc>
        <w:tc>
          <w:tcPr>
            <w:tcW w:w="6644" w:type="dxa"/>
            <w:gridSpan w:val="4"/>
            <w:noWrap w:val="0"/>
            <w:vAlign w:val="top"/>
          </w:tcPr>
          <w:p w14:paraId="0FFC595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低毒类，</w:t>
            </w:r>
            <w:r>
              <w:rPr>
                <w:rFonts w:ascii="Times New Roman" w:hAnsi="Times New Roman" w:eastAsia="宋体" w:cs="Times New Roman"/>
                <w:color w:val="000000"/>
                <w:sz w:val="21"/>
                <w:szCs w:val="22"/>
                <w:lang w:val="en-US" w:eastAsia="zh-CN" w:bidi="ar-SA"/>
              </w:rPr>
              <w:t>LD</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4550mg/kg</w:t>
            </w:r>
            <w:r>
              <w:rPr>
                <w:rFonts w:hint="eastAsia" w:ascii="Times New Roman" w:hAnsi="Times New Roman" w:eastAsia="宋体" w:cs="Times New Roman"/>
                <w:color w:val="000000"/>
                <w:sz w:val="21"/>
                <w:szCs w:val="22"/>
                <w:lang w:val="en-US" w:eastAsia="zh-CN" w:bidi="ar-SA"/>
              </w:rPr>
              <w:t>（小鼠经口），</w:t>
            </w:r>
            <w:r>
              <w:rPr>
                <w:rFonts w:ascii="Times New Roman" w:hAnsi="Times New Roman" w:eastAsia="宋体" w:cs="Times New Roman"/>
                <w:color w:val="000000"/>
                <w:sz w:val="21"/>
                <w:szCs w:val="22"/>
                <w:lang w:val="en-US" w:eastAsia="zh-CN" w:bidi="ar-SA"/>
              </w:rPr>
              <w:t>3161mg/kg</w:t>
            </w:r>
            <w:r>
              <w:rPr>
                <w:rFonts w:hint="eastAsia" w:ascii="Times New Roman" w:hAnsi="Times New Roman" w:eastAsia="宋体" w:cs="Times New Roman"/>
                <w:color w:val="000000"/>
                <w:sz w:val="21"/>
                <w:szCs w:val="22"/>
                <w:lang w:val="en-US" w:eastAsia="zh-CN" w:bidi="ar-SA"/>
              </w:rPr>
              <w:t>（大鼠经口）；</w:t>
            </w:r>
          </w:p>
          <w:p w14:paraId="62F9DA5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LC</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3248mg/m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（大鼠吸入）。在高温下能分解产生高度的氰化物气体</w:t>
            </w:r>
          </w:p>
        </w:tc>
      </w:tr>
      <w:tr w14:paraId="7E1A92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9" w:hRule="atLeast"/>
          <w:jc w:val="center"/>
        </w:trPr>
        <w:tc>
          <w:tcPr>
            <w:tcW w:w="1232" w:type="dxa"/>
            <w:vMerge w:val="continue"/>
            <w:noWrap w:val="0"/>
            <w:vAlign w:val="top"/>
          </w:tcPr>
          <w:p w14:paraId="387A4B80">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6" w:type="dxa"/>
            <w:noWrap w:val="0"/>
            <w:vAlign w:val="top"/>
          </w:tcPr>
          <w:p w14:paraId="05527AF3">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亚急性与慢性毒性</w:t>
            </w:r>
          </w:p>
        </w:tc>
        <w:tc>
          <w:tcPr>
            <w:tcW w:w="6644" w:type="dxa"/>
            <w:gridSpan w:val="4"/>
            <w:noWrap w:val="0"/>
            <w:vAlign w:val="top"/>
          </w:tcPr>
          <w:p w14:paraId="744919D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w:t>
            </w:r>
          </w:p>
        </w:tc>
      </w:tr>
      <w:tr w14:paraId="5E507F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1232" w:type="dxa"/>
            <w:vMerge w:val="restart"/>
            <w:noWrap w:val="0"/>
            <w:vAlign w:val="top"/>
          </w:tcPr>
          <w:p w14:paraId="244E78A6">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燃烧爆炸危险性</w:t>
            </w:r>
          </w:p>
        </w:tc>
        <w:tc>
          <w:tcPr>
            <w:tcW w:w="1316" w:type="dxa"/>
            <w:noWrap w:val="0"/>
            <w:vAlign w:val="top"/>
          </w:tcPr>
          <w:p w14:paraId="04630736">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火灾危险性</w:t>
            </w:r>
          </w:p>
        </w:tc>
        <w:tc>
          <w:tcPr>
            <w:tcW w:w="1150" w:type="dxa"/>
            <w:noWrap w:val="0"/>
            <w:vAlign w:val="top"/>
          </w:tcPr>
          <w:p w14:paraId="6630D92B">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不燃</w:t>
            </w:r>
          </w:p>
        </w:tc>
        <w:tc>
          <w:tcPr>
            <w:tcW w:w="1456" w:type="dxa"/>
            <w:noWrap w:val="0"/>
            <w:vAlign w:val="top"/>
          </w:tcPr>
          <w:p w14:paraId="5336CBC8">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禁忌物</w:t>
            </w:r>
          </w:p>
        </w:tc>
        <w:tc>
          <w:tcPr>
            <w:tcW w:w="4038" w:type="dxa"/>
            <w:gridSpan w:val="2"/>
            <w:noWrap w:val="0"/>
            <w:vAlign w:val="top"/>
          </w:tcPr>
          <w:p w14:paraId="39301F96">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氧化剂、酸类</w:t>
            </w:r>
          </w:p>
        </w:tc>
      </w:tr>
      <w:tr w14:paraId="083FFE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9" w:hRule="atLeast"/>
          <w:jc w:val="center"/>
        </w:trPr>
        <w:tc>
          <w:tcPr>
            <w:tcW w:w="1232" w:type="dxa"/>
            <w:vMerge w:val="continue"/>
            <w:noWrap w:val="0"/>
            <w:vAlign w:val="top"/>
          </w:tcPr>
          <w:p w14:paraId="2337719F">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6" w:type="dxa"/>
            <w:noWrap w:val="0"/>
            <w:vAlign w:val="top"/>
          </w:tcPr>
          <w:p w14:paraId="399135A1">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危险特性</w:t>
            </w:r>
          </w:p>
        </w:tc>
        <w:tc>
          <w:tcPr>
            <w:tcW w:w="6644" w:type="dxa"/>
            <w:gridSpan w:val="4"/>
            <w:noWrap w:val="0"/>
            <w:vAlign w:val="top"/>
          </w:tcPr>
          <w:p w14:paraId="68E3240A">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受热分解产生剧毒的氰化物气体。</w:t>
            </w:r>
          </w:p>
        </w:tc>
      </w:tr>
    </w:tbl>
    <w:p w14:paraId="567EDC7D">
      <w:pPr>
        <w:pStyle w:val="219"/>
        <w:spacing w:before="76"/>
        <w:ind w:left="4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表 </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1-1</w:t>
      </w:r>
      <w:r>
        <w:rPr>
          <w:rFonts w:hint="eastAsia" w:ascii="Times New Roman" w:hAnsi="Times New Roman" w:eastAsia="宋体" w:cs="Times New Roman"/>
          <w:b/>
          <w:bCs/>
          <w:sz w:val="24"/>
          <w:szCs w:val="24"/>
          <w:lang w:val="en-US" w:eastAsia="zh-CN"/>
        </w:rPr>
        <w:t>1</w:t>
      </w:r>
      <w:r>
        <w:rPr>
          <w:rFonts w:ascii="Times New Roman" w:hAnsi="Times New Roman" w:eastAsia="宋体" w:cs="Times New Roman"/>
          <w:b/>
          <w:bCs/>
          <w:sz w:val="24"/>
          <w:szCs w:val="24"/>
        </w:rPr>
        <w:t xml:space="preserve">  甲酸理化性质一览表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0"/>
        <w:gridCol w:w="1319"/>
        <w:gridCol w:w="1550"/>
        <w:gridCol w:w="1082"/>
        <w:gridCol w:w="1302"/>
        <w:gridCol w:w="2833"/>
      </w:tblGrid>
      <w:tr w14:paraId="70B136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170" w:type="dxa"/>
            <w:vMerge w:val="restart"/>
            <w:noWrap w:val="0"/>
            <w:vAlign w:val="center"/>
          </w:tcPr>
          <w:p w14:paraId="14C45CB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标识</w:t>
            </w:r>
          </w:p>
        </w:tc>
        <w:tc>
          <w:tcPr>
            <w:tcW w:w="2869" w:type="dxa"/>
            <w:gridSpan w:val="2"/>
            <w:noWrap w:val="0"/>
            <w:vAlign w:val="center"/>
          </w:tcPr>
          <w:p w14:paraId="6454B0EF">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英文名：Formic acid</w:t>
            </w:r>
          </w:p>
        </w:tc>
        <w:tc>
          <w:tcPr>
            <w:tcW w:w="2384" w:type="dxa"/>
            <w:gridSpan w:val="2"/>
            <w:noWrap w:val="0"/>
            <w:vAlign w:val="center"/>
          </w:tcPr>
          <w:p w14:paraId="1B6EEA9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化学式：CH</w:t>
            </w:r>
            <w:r>
              <w:rPr>
                <w:rFonts w:ascii="Times New Roman" w:hAnsi="Times New Roman" w:eastAsia="宋体" w:cs="Times New Roman"/>
                <w:color w:val="000000"/>
                <w:sz w:val="21"/>
                <w:szCs w:val="22"/>
                <w:vertAlign w:val="subscript"/>
                <w:lang w:val="en-US" w:eastAsia="zh-CN" w:bidi="ar-SA"/>
              </w:rPr>
              <w:t>2</w:t>
            </w:r>
            <w:r>
              <w:rPr>
                <w:rFonts w:ascii="Times New Roman" w:hAnsi="Times New Roman" w:eastAsia="宋体" w:cs="Times New Roman"/>
                <w:color w:val="000000"/>
                <w:sz w:val="21"/>
                <w:szCs w:val="22"/>
                <w:lang w:val="en-US" w:eastAsia="zh-CN" w:bidi="ar-SA"/>
              </w:rPr>
              <w:t>O</w:t>
            </w:r>
            <w:r>
              <w:rPr>
                <w:rFonts w:ascii="Times New Roman" w:hAnsi="Times New Roman" w:eastAsia="宋体" w:cs="Times New Roman"/>
                <w:color w:val="000000"/>
                <w:sz w:val="21"/>
                <w:szCs w:val="22"/>
                <w:vertAlign w:val="subscript"/>
                <w:lang w:val="en-US" w:eastAsia="zh-CN" w:bidi="ar-SA"/>
              </w:rPr>
              <w:t>2</w:t>
            </w:r>
          </w:p>
        </w:tc>
        <w:tc>
          <w:tcPr>
            <w:tcW w:w="2833" w:type="dxa"/>
            <w:noWrap w:val="0"/>
            <w:vAlign w:val="center"/>
          </w:tcPr>
          <w:p w14:paraId="1AA589E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分子量：46.3</w:t>
            </w:r>
          </w:p>
        </w:tc>
      </w:tr>
      <w:tr w14:paraId="277E62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170" w:type="dxa"/>
            <w:vMerge w:val="continue"/>
            <w:noWrap w:val="0"/>
            <w:vAlign w:val="center"/>
          </w:tcPr>
          <w:p w14:paraId="3660CF1A">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869" w:type="dxa"/>
            <w:gridSpan w:val="2"/>
            <w:noWrap w:val="0"/>
            <w:vAlign w:val="center"/>
          </w:tcPr>
          <w:p w14:paraId="17FD08F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危险化学品分类：酸性腐蚀品</w:t>
            </w:r>
          </w:p>
        </w:tc>
        <w:tc>
          <w:tcPr>
            <w:tcW w:w="2384" w:type="dxa"/>
            <w:gridSpan w:val="2"/>
            <w:noWrap w:val="0"/>
            <w:vAlign w:val="center"/>
          </w:tcPr>
          <w:p w14:paraId="2FC0BC6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危险货物编号：81101</w:t>
            </w:r>
          </w:p>
        </w:tc>
        <w:tc>
          <w:tcPr>
            <w:tcW w:w="2833" w:type="dxa"/>
            <w:noWrap w:val="0"/>
            <w:vAlign w:val="center"/>
          </w:tcPr>
          <w:p w14:paraId="25A8AB9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CAS号：64-18-6</w:t>
            </w:r>
          </w:p>
        </w:tc>
      </w:tr>
      <w:tr w14:paraId="0976CE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center"/>
          </w:tcPr>
          <w:p w14:paraId="4814671F">
            <w:pPr>
              <w:spacing w:line="321" w:lineRule="exact"/>
              <w:ind w:right="115" w:firstLine="0"/>
              <w:jc w:val="center"/>
              <w:rPr>
                <w:rFonts w:ascii="Times New Roman" w:hAnsi="Times New Roman" w:eastAsia="宋体" w:cs="Times New Roman"/>
                <w:color w:val="000000"/>
                <w:sz w:val="21"/>
                <w:szCs w:val="22"/>
                <w:lang w:val="en-US" w:eastAsia="zh-CN" w:bidi="ar-SA"/>
              </w:rPr>
            </w:pPr>
          </w:p>
          <w:p w14:paraId="77627CB5">
            <w:pPr>
              <w:spacing w:line="321" w:lineRule="exact"/>
              <w:ind w:right="115" w:firstLine="0"/>
              <w:jc w:val="center"/>
              <w:rPr>
                <w:rFonts w:ascii="Times New Roman" w:hAnsi="Times New Roman" w:eastAsia="宋体" w:cs="Times New Roman"/>
                <w:color w:val="000000"/>
                <w:sz w:val="21"/>
                <w:szCs w:val="22"/>
                <w:lang w:val="en-US" w:eastAsia="zh-CN" w:bidi="ar-SA"/>
              </w:rPr>
            </w:pPr>
          </w:p>
          <w:p w14:paraId="504FB9B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理化性质</w:t>
            </w:r>
          </w:p>
        </w:tc>
        <w:tc>
          <w:tcPr>
            <w:tcW w:w="1319" w:type="dxa"/>
            <w:noWrap w:val="0"/>
            <w:vAlign w:val="center"/>
          </w:tcPr>
          <w:p w14:paraId="77D0588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外观与性状</w:t>
            </w:r>
          </w:p>
        </w:tc>
        <w:tc>
          <w:tcPr>
            <w:tcW w:w="6767" w:type="dxa"/>
            <w:gridSpan w:val="4"/>
            <w:noWrap w:val="0"/>
            <w:vAlign w:val="center"/>
          </w:tcPr>
          <w:p w14:paraId="679063F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无色透明发烟液体，有强烈刺激性酸味。</w:t>
            </w:r>
          </w:p>
        </w:tc>
      </w:tr>
      <w:tr w14:paraId="7A97EF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jc w:val="center"/>
        </w:trPr>
        <w:tc>
          <w:tcPr>
            <w:tcW w:w="1170" w:type="dxa"/>
            <w:vMerge w:val="continue"/>
            <w:noWrap w:val="0"/>
            <w:vAlign w:val="center"/>
          </w:tcPr>
          <w:p w14:paraId="21A2D6E9">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8086" w:type="dxa"/>
            <w:gridSpan w:val="5"/>
            <w:noWrap w:val="0"/>
            <w:vAlign w:val="center"/>
          </w:tcPr>
          <w:p w14:paraId="5FF7A98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相对密度（水=1）1.2，熔点8.2℃，沸点1.1℃，饱和蒸气压（kPa）5.33（24℃），闪  点69℃，爆炸极限18%~51%。</w:t>
            </w:r>
          </w:p>
        </w:tc>
      </w:tr>
      <w:tr w14:paraId="3314E6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1170" w:type="dxa"/>
            <w:vMerge w:val="continue"/>
            <w:noWrap w:val="0"/>
            <w:vAlign w:val="center"/>
          </w:tcPr>
          <w:p w14:paraId="02C2C015">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9" w:type="dxa"/>
            <w:noWrap w:val="0"/>
            <w:vAlign w:val="center"/>
          </w:tcPr>
          <w:p w14:paraId="06E143E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溶解性</w:t>
            </w:r>
          </w:p>
        </w:tc>
        <w:tc>
          <w:tcPr>
            <w:tcW w:w="6767" w:type="dxa"/>
            <w:gridSpan w:val="4"/>
            <w:noWrap w:val="0"/>
            <w:vAlign w:val="center"/>
          </w:tcPr>
          <w:p w14:paraId="3A02FBEF">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与水混溶，不溶于烃类，可混溶于醇。</w:t>
            </w:r>
          </w:p>
        </w:tc>
      </w:tr>
      <w:tr w14:paraId="36A4C6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center"/>
          </w:tcPr>
          <w:p w14:paraId="39969D6D">
            <w:pPr>
              <w:spacing w:line="321" w:lineRule="exact"/>
              <w:ind w:right="115" w:firstLine="0"/>
              <w:jc w:val="center"/>
              <w:rPr>
                <w:rFonts w:ascii="Times New Roman" w:hAnsi="Times New Roman" w:eastAsia="宋体" w:cs="Times New Roman"/>
                <w:color w:val="000000"/>
                <w:sz w:val="21"/>
                <w:szCs w:val="22"/>
                <w:lang w:val="en-US" w:eastAsia="zh-CN" w:bidi="ar-SA"/>
              </w:rPr>
            </w:pPr>
          </w:p>
          <w:p w14:paraId="4D369EAA">
            <w:pPr>
              <w:spacing w:line="321" w:lineRule="exact"/>
              <w:ind w:right="115" w:firstLine="0"/>
              <w:jc w:val="center"/>
              <w:rPr>
                <w:rFonts w:ascii="Times New Roman" w:hAnsi="Times New Roman" w:eastAsia="宋体" w:cs="Times New Roman"/>
                <w:color w:val="000000"/>
                <w:sz w:val="21"/>
                <w:szCs w:val="22"/>
                <w:lang w:val="en-US" w:eastAsia="zh-CN" w:bidi="ar-SA"/>
              </w:rPr>
            </w:pPr>
          </w:p>
          <w:p w14:paraId="6DBBBB3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毒理学资料</w:t>
            </w:r>
          </w:p>
        </w:tc>
        <w:tc>
          <w:tcPr>
            <w:tcW w:w="1319" w:type="dxa"/>
            <w:noWrap w:val="0"/>
            <w:vAlign w:val="center"/>
          </w:tcPr>
          <w:p w14:paraId="7670073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接触限值</w:t>
            </w:r>
          </w:p>
        </w:tc>
        <w:tc>
          <w:tcPr>
            <w:tcW w:w="6767" w:type="dxa"/>
            <w:gridSpan w:val="4"/>
            <w:noWrap w:val="0"/>
            <w:vAlign w:val="center"/>
          </w:tcPr>
          <w:p w14:paraId="2A45207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中国MAC：未制订标准；前苏联MAC：未制订标准</w:t>
            </w:r>
          </w:p>
        </w:tc>
      </w:tr>
      <w:tr w14:paraId="74498D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jc w:val="center"/>
        </w:trPr>
        <w:tc>
          <w:tcPr>
            <w:tcW w:w="1170" w:type="dxa"/>
            <w:vMerge w:val="continue"/>
            <w:noWrap w:val="0"/>
            <w:vAlign w:val="center"/>
          </w:tcPr>
          <w:p w14:paraId="26541E48">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9" w:type="dxa"/>
            <w:noWrap w:val="0"/>
            <w:vAlign w:val="center"/>
          </w:tcPr>
          <w:p w14:paraId="222B55F6">
            <w:pPr>
              <w:spacing w:line="321" w:lineRule="exact"/>
              <w:ind w:right="115" w:firstLine="0"/>
              <w:jc w:val="center"/>
              <w:rPr>
                <w:rFonts w:ascii="Times New Roman" w:hAnsi="Times New Roman" w:eastAsia="宋体" w:cs="Times New Roman"/>
                <w:color w:val="000000"/>
                <w:sz w:val="21"/>
                <w:szCs w:val="22"/>
                <w:lang w:val="en-US" w:eastAsia="zh-CN" w:bidi="ar-SA"/>
              </w:rPr>
            </w:pPr>
          </w:p>
          <w:p w14:paraId="27C23C1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急性毒性</w:t>
            </w:r>
          </w:p>
        </w:tc>
        <w:tc>
          <w:tcPr>
            <w:tcW w:w="6767" w:type="dxa"/>
            <w:gridSpan w:val="4"/>
            <w:noWrap w:val="0"/>
            <w:vAlign w:val="center"/>
          </w:tcPr>
          <w:p w14:paraId="0C64E0E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低毒类，LD</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1100mg/kg（小鼠经口）；LD</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145mg/kg（小鼠静注）；</w:t>
            </w:r>
          </w:p>
          <w:p w14:paraId="5FCD7B7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LD</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1210（大鼠经口）；LC</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5000mg/m³（小鼠吸入）。</w:t>
            </w:r>
          </w:p>
        </w:tc>
      </w:tr>
      <w:tr w14:paraId="0AA14E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1170" w:type="dxa"/>
            <w:vMerge w:val="continue"/>
            <w:noWrap w:val="0"/>
            <w:vAlign w:val="center"/>
          </w:tcPr>
          <w:p w14:paraId="06BCD74C">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9" w:type="dxa"/>
            <w:noWrap w:val="0"/>
            <w:vAlign w:val="center"/>
          </w:tcPr>
          <w:p w14:paraId="6E02578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亚急性与慢</w:t>
            </w:r>
          </w:p>
          <w:p w14:paraId="6DEDB55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性毒性</w:t>
            </w:r>
          </w:p>
        </w:tc>
        <w:tc>
          <w:tcPr>
            <w:tcW w:w="6767" w:type="dxa"/>
            <w:gridSpan w:val="4"/>
            <w:noWrap w:val="0"/>
            <w:vAlign w:val="center"/>
          </w:tcPr>
          <w:p w14:paraId="66799CC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长期接触可有蛋白尿、血尿</w:t>
            </w:r>
          </w:p>
        </w:tc>
      </w:tr>
      <w:tr w14:paraId="5F3FD3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170" w:type="dxa"/>
            <w:vMerge w:val="restart"/>
            <w:noWrap w:val="0"/>
            <w:vAlign w:val="center"/>
          </w:tcPr>
          <w:p w14:paraId="789DB250">
            <w:pPr>
              <w:spacing w:line="321" w:lineRule="exact"/>
              <w:ind w:right="115" w:firstLine="0"/>
              <w:jc w:val="center"/>
              <w:rPr>
                <w:rFonts w:ascii="Times New Roman" w:hAnsi="Times New Roman" w:eastAsia="宋体" w:cs="Times New Roman"/>
                <w:color w:val="000000"/>
                <w:sz w:val="21"/>
                <w:szCs w:val="22"/>
                <w:lang w:val="en-US" w:eastAsia="zh-CN" w:bidi="ar-SA"/>
              </w:rPr>
            </w:pPr>
          </w:p>
          <w:p w14:paraId="3DA9A5F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燃烧爆炸危险性</w:t>
            </w:r>
          </w:p>
        </w:tc>
        <w:tc>
          <w:tcPr>
            <w:tcW w:w="1319" w:type="dxa"/>
            <w:noWrap w:val="0"/>
            <w:vAlign w:val="center"/>
          </w:tcPr>
          <w:p w14:paraId="3F5CCF1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火灾危险性</w:t>
            </w:r>
          </w:p>
        </w:tc>
        <w:tc>
          <w:tcPr>
            <w:tcW w:w="1550" w:type="dxa"/>
            <w:noWrap w:val="0"/>
            <w:vAlign w:val="center"/>
          </w:tcPr>
          <w:p w14:paraId="6533581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可燃</w:t>
            </w:r>
          </w:p>
        </w:tc>
        <w:tc>
          <w:tcPr>
            <w:tcW w:w="1082" w:type="dxa"/>
            <w:noWrap w:val="0"/>
            <w:vAlign w:val="center"/>
          </w:tcPr>
          <w:p w14:paraId="2272C17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禁忌物</w:t>
            </w:r>
          </w:p>
        </w:tc>
        <w:tc>
          <w:tcPr>
            <w:tcW w:w="4135" w:type="dxa"/>
            <w:gridSpan w:val="2"/>
            <w:noWrap w:val="0"/>
            <w:vAlign w:val="center"/>
          </w:tcPr>
          <w:p w14:paraId="06D0F17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强氧化剂、强碱、活性金属粉末</w:t>
            </w:r>
          </w:p>
        </w:tc>
      </w:tr>
      <w:tr w14:paraId="3CFE45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2" w:hRule="atLeast"/>
          <w:jc w:val="center"/>
        </w:trPr>
        <w:tc>
          <w:tcPr>
            <w:tcW w:w="1170" w:type="dxa"/>
            <w:vMerge w:val="continue"/>
            <w:noWrap w:val="0"/>
            <w:vAlign w:val="center"/>
          </w:tcPr>
          <w:p w14:paraId="35FC836A">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9" w:type="dxa"/>
            <w:noWrap w:val="0"/>
            <w:vAlign w:val="center"/>
          </w:tcPr>
          <w:p w14:paraId="621A0BD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危险特性</w:t>
            </w:r>
          </w:p>
        </w:tc>
        <w:tc>
          <w:tcPr>
            <w:tcW w:w="6767" w:type="dxa"/>
            <w:gridSpan w:val="4"/>
            <w:noWrap w:val="0"/>
            <w:vAlign w:val="center"/>
          </w:tcPr>
          <w:p w14:paraId="5CFE515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其蒸气与空气形成爆炸性混合物，遇明火、高热能引起燃烧爆炸，与强</w:t>
            </w:r>
          </w:p>
          <w:p w14:paraId="05DC89BB">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氧化剂可发生反应，具有较强的腐蚀性。</w:t>
            </w:r>
          </w:p>
        </w:tc>
      </w:tr>
    </w:tbl>
    <w:p w14:paraId="211B794B">
      <w:pPr>
        <w:pStyle w:val="219"/>
        <w:spacing w:before="76"/>
        <w:ind w:left="40"/>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表 </w:t>
      </w:r>
      <w:r>
        <w:rPr>
          <w:rFonts w:hint="eastAsia" w:ascii="Times New Roman" w:hAnsi="Times New Roman" w:eastAsia="宋体" w:cs="Times New Roman"/>
          <w:b/>
          <w:bCs/>
          <w:sz w:val="24"/>
          <w:szCs w:val="24"/>
          <w:lang w:val="en-US" w:eastAsia="zh-CN"/>
        </w:rPr>
        <w:t>4.1</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 xml:space="preserve">2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氢氧化钠理化性质一览表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0"/>
        <w:gridCol w:w="1317"/>
        <w:gridCol w:w="1133"/>
        <w:gridCol w:w="500"/>
        <w:gridCol w:w="550"/>
        <w:gridCol w:w="1667"/>
        <w:gridCol w:w="2919"/>
      </w:tblGrid>
      <w:tr w14:paraId="79CBCB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jc w:val="center"/>
        </w:trPr>
        <w:tc>
          <w:tcPr>
            <w:tcW w:w="1170" w:type="dxa"/>
            <w:vMerge w:val="restart"/>
            <w:noWrap w:val="0"/>
            <w:vAlign w:val="center"/>
          </w:tcPr>
          <w:p w14:paraId="6881CE6C">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标识</w:t>
            </w:r>
          </w:p>
        </w:tc>
        <w:tc>
          <w:tcPr>
            <w:tcW w:w="2950" w:type="dxa"/>
            <w:gridSpan w:val="3"/>
            <w:noWrap w:val="0"/>
            <w:vAlign w:val="top"/>
          </w:tcPr>
          <w:p w14:paraId="210A076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英文名：</w:t>
            </w:r>
            <w:r>
              <w:rPr>
                <w:rFonts w:ascii="Times New Roman" w:hAnsi="Times New Roman" w:eastAsia="宋体" w:cs="Times New Roman"/>
                <w:color w:val="000000"/>
                <w:sz w:val="21"/>
                <w:szCs w:val="22"/>
                <w:lang w:val="en-US" w:eastAsia="zh-CN" w:bidi="ar-SA"/>
              </w:rPr>
              <w:t>Sodium hydroxide</w:t>
            </w:r>
          </w:p>
        </w:tc>
        <w:tc>
          <w:tcPr>
            <w:tcW w:w="2217" w:type="dxa"/>
            <w:gridSpan w:val="2"/>
            <w:noWrap w:val="0"/>
            <w:vAlign w:val="top"/>
          </w:tcPr>
          <w:p w14:paraId="1F398E9D">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化学式：</w:t>
            </w:r>
            <w:r>
              <w:rPr>
                <w:rFonts w:ascii="Times New Roman" w:hAnsi="Times New Roman" w:eastAsia="宋体" w:cs="Times New Roman"/>
                <w:color w:val="000000"/>
                <w:sz w:val="21"/>
                <w:szCs w:val="22"/>
                <w:lang w:val="en-US" w:eastAsia="zh-CN" w:bidi="ar-SA"/>
              </w:rPr>
              <w:t>NaOH</w:t>
            </w:r>
          </w:p>
        </w:tc>
        <w:tc>
          <w:tcPr>
            <w:tcW w:w="2919" w:type="dxa"/>
            <w:noWrap w:val="0"/>
            <w:vAlign w:val="top"/>
          </w:tcPr>
          <w:p w14:paraId="397FF47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分子量：</w:t>
            </w:r>
            <w:r>
              <w:rPr>
                <w:rFonts w:ascii="Times New Roman" w:hAnsi="Times New Roman" w:eastAsia="宋体" w:cs="Times New Roman"/>
                <w:color w:val="000000"/>
                <w:sz w:val="21"/>
                <w:szCs w:val="22"/>
                <w:lang w:val="en-US" w:eastAsia="zh-CN" w:bidi="ar-SA"/>
              </w:rPr>
              <w:t>40.01</w:t>
            </w:r>
          </w:p>
        </w:tc>
      </w:tr>
      <w:tr w14:paraId="348DA6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170" w:type="dxa"/>
            <w:vMerge w:val="continue"/>
            <w:noWrap w:val="0"/>
            <w:vAlign w:val="top"/>
          </w:tcPr>
          <w:p w14:paraId="365E2DE5">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950" w:type="dxa"/>
            <w:gridSpan w:val="3"/>
            <w:noWrap w:val="0"/>
            <w:vAlign w:val="top"/>
          </w:tcPr>
          <w:p w14:paraId="54054D0E">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危险化学品分类：碱性腐蚀品</w:t>
            </w:r>
          </w:p>
        </w:tc>
        <w:tc>
          <w:tcPr>
            <w:tcW w:w="2217" w:type="dxa"/>
            <w:gridSpan w:val="2"/>
            <w:noWrap w:val="0"/>
            <w:vAlign w:val="top"/>
          </w:tcPr>
          <w:p w14:paraId="0948E33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危险货物编号：</w:t>
            </w:r>
            <w:r>
              <w:rPr>
                <w:rFonts w:ascii="Times New Roman" w:hAnsi="Times New Roman" w:eastAsia="宋体" w:cs="Times New Roman"/>
                <w:color w:val="000000"/>
                <w:sz w:val="21"/>
                <w:szCs w:val="22"/>
                <w:lang w:val="en-US" w:eastAsia="zh-CN" w:bidi="ar-SA"/>
              </w:rPr>
              <w:t>82001</w:t>
            </w:r>
          </w:p>
        </w:tc>
        <w:tc>
          <w:tcPr>
            <w:tcW w:w="2919" w:type="dxa"/>
            <w:noWrap w:val="0"/>
            <w:vAlign w:val="top"/>
          </w:tcPr>
          <w:p w14:paraId="0627F17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CAS</w:t>
            </w:r>
            <w:r>
              <w:rPr>
                <w:rFonts w:hint="eastAsia" w:ascii="Times New Roman" w:hAnsi="Times New Roman" w:eastAsia="宋体" w:cs="Times New Roman"/>
                <w:color w:val="000000"/>
                <w:sz w:val="21"/>
                <w:szCs w:val="22"/>
                <w:lang w:val="en-US" w:eastAsia="zh-CN" w:bidi="ar-SA"/>
              </w:rPr>
              <w:t>号：</w:t>
            </w:r>
            <w:r>
              <w:rPr>
                <w:rFonts w:ascii="Times New Roman" w:hAnsi="Times New Roman" w:eastAsia="宋体" w:cs="Times New Roman"/>
                <w:color w:val="000000"/>
                <w:sz w:val="21"/>
                <w:szCs w:val="22"/>
                <w:lang w:val="en-US" w:eastAsia="zh-CN" w:bidi="ar-SA"/>
              </w:rPr>
              <w:t>1310-73-2</w:t>
            </w:r>
          </w:p>
        </w:tc>
      </w:tr>
      <w:tr w14:paraId="504E99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top"/>
          </w:tcPr>
          <w:p w14:paraId="75A28756">
            <w:pPr>
              <w:spacing w:line="321" w:lineRule="exact"/>
              <w:ind w:right="115" w:firstLine="0"/>
              <w:jc w:val="center"/>
              <w:rPr>
                <w:rFonts w:ascii="Times New Roman" w:hAnsi="Times New Roman" w:eastAsia="宋体" w:cs="Times New Roman"/>
                <w:color w:val="000000"/>
                <w:sz w:val="21"/>
                <w:szCs w:val="22"/>
                <w:lang w:val="en-US" w:eastAsia="zh-CN" w:bidi="ar-SA"/>
              </w:rPr>
            </w:pPr>
          </w:p>
          <w:p w14:paraId="1EF33815">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理化性质</w:t>
            </w:r>
          </w:p>
        </w:tc>
        <w:tc>
          <w:tcPr>
            <w:tcW w:w="1317" w:type="dxa"/>
            <w:noWrap w:val="0"/>
            <w:vAlign w:val="top"/>
          </w:tcPr>
          <w:p w14:paraId="4646C0EA">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外观与性状</w:t>
            </w:r>
          </w:p>
        </w:tc>
        <w:tc>
          <w:tcPr>
            <w:tcW w:w="6769" w:type="dxa"/>
            <w:gridSpan w:val="5"/>
            <w:noWrap w:val="0"/>
            <w:vAlign w:val="top"/>
          </w:tcPr>
          <w:p w14:paraId="4874866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白色不透明固体，易潮解。</w:t>
            </w:r>
          </w:p>
        </w:tc>
      </w:tr>
      <w:tr w14:paraId="7AA057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continue"/>
            <w:noWrap w:val="0"/>
            <w:vAlign w:val="top"/>
          </w:tcPr>
          <w:p w14:paraId="044CCC2F">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8086" w:type="dxa"/>
            <w:gridSpan w:val="6"/>
            <w:noWrap w:val="0"/>
            <w:vAlign w:val="top"/>
          </w:tcPr>
          <w:p w14:paraId="347E9F19">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相对密度（水</w:t>
            </w:r>
            <w:r>
              <w:rPr>
                <w:rFonts w:ascii="Times New Roman" w:hAnsi="Times New Roman" w:eastAsia="宋体" w:cs="Times New Roman"/>
                <w:color w:val="000000"/>
                <w:sz w:val="21"/>
                <w:szCs w:val="22"/>
                <w:lang w:val="en-US" w:eastAsia="zh-CN" w:bidi="ar-SA"/>
              </w:rPr>
              <w:t>=1</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2.12</w:t>
            </w:r>
            <w:r>
              <w:rPr>
                <w:rFonts w:hint="eastAsia" w:ascii="Times New Roman" w:hAnsi="Times New Roman" w:eastAsia="宋体" w:cs="Times New Roman"/>
                <w:color w:val="000000"/>
                <w:sz w:val="21"/>
                <w:szCs w:val="22"/>
                <w:lang w:val="en-US" w:eastAsia="zh-CN" w:bidi="ar-SA"/>
              </w:rPr>
              <w:t>，熔点</w:t>
            </w:r>
            <w:r>
              <w:rPr>
                <w:rFonts w:ascii="Times New Roman" w:hAnsi="Times New Roman" w:eastAsia="宋体" w:cs="Times New Roman"/>
                <w:color w:val="000000"/>
                <w:sz w:val="21"/>
                <w:szCs w:val="22"/>
                <w:lang w:val="en-US" w:eastAsia="zh-CN" w:bidi="ar-SA"/>
              </w:rPr>
              <w:t>318</w:t>
            </w:r>
            <w:r>
              <w:rPr>
                <w:rFonts w:hint="eastAsia" w:ascii="Times New Roman" w:hAnsi="Times New Roman" w:eastAsia="宋体" w:cs="Times New Roman"/>
                <w:color w:val="000000"/>
                <w:sz w:val="21"/>
                <w:szCs w:val="22"/>
                <w:lang w:val="en-US" w:eastAsia="zh-CN" w:bidi="ar-SA"/>
              </w:rPr>
              <w:t>℃，沸点</w:t>
            </w:r>
            <w:r>
              <w:rPr>
                <w:rFonts w:ascii="Times New Roman" w:hAnsi="Times New Roman" w:eastAsia="宋体" w:cs="Times New Roman"/>
                <w:color w:val="000000"/>
                <w:sz w:val="21"/>
                <w:szCs w:val="22"/>
                <w:lang w:val="en-US" w:eastAsia="zh-CN" w:bidi="ar-SA"/>
              </w:rPr>
              <w:t>1390</w:t>
            </w:r>
            <w:r>
              <w:rPr>
                <w:rFonts w:hint="eastAsia" w:ascii="Times New Roman" w:hAnsi="Times New Roman" w:eastAsia="宋体" w:cs="Times New Roman"/>
                <w:color w:val="000000"/>
                <w:sz w:val="21"/>
                <w:szCs w:val="22"/>
                <w:lang w:val="en-US" w:eastAsia="zh-CN" w:bidi="ar-SA"/>
              </w:rPr>
              <w:t>℃，饱和蒸气压（</w:t>
            </w:r>
            <w:r>
              <w:rPr>
                <w:rFonts w:ascii="Times New Roman" w:hAnsi="Times New Roman" w:eastAsia="宋体" w:cs="Times New Roman"/>
                <w:color w:val="000000"/>
                <w:sz w:val="21"/>
                <w:szCs w:val="22"/>
                <w:lang w:val="en-US" w:eastAsia="zh-CN" w:bidi="ar-SA"/>
              </w:rPr>
              <w:t>kPa</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0.13</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739</w:t>
            </w:r>
            <w:r>
              <w:rPr>
                <w:rFonts w:hint="eastAsia" w:ascii="Times New Roman" w:hAnsi="Times New Roman" w:eastAsia="宋体" w:cs="Times New Roman"/>
                <w:color w:val="000000"/>
                <w:sz w:val="21"/>
                <w:szCs w:val="22"/>
                <w:lang w:val="en-US" w:eastAsia="zh-CN" w:bidi="ar-SA"/>
              </w:rPr>
              <w:t>℃）。</w:t>
            </w:r>
          </w:p>
        </w:tc>
      </w:tr>
      <w:tr w14:paraId="76666D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continue"/>
            <w:noWrap w:val="0"/>
            <w:vAlign w:val="top"/>
          </w:tcPr>
          <w:p w14:paraId="365167ED">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7" w:type="dxa"/>
            <w:noWrap w:val="0"/>
            <w:vAlign w:val="top"/>
          </w:tcPr>
          <w:p w14:paraId="1CDF06A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溶解性</w:t>
            </w:r>
          </w:p>
        </w:tc>
        <w:tc>
          <w:tcPr>
            <w:tcW w:w="6769" w:type="dxa"/>
            <w:gridSpan w:val="5"/>
            <w:noWrap w:val="0"/>
            <w:vAlign w:val="top"/>
          </w:tcPr>
          <w:p w14:paraId="0CD641D2">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易溶于水、乙醇、甘油，不溶于丙酮。</w:t>
            </w:r>
          </w:p>
        </w:tc>
      </w:tr>
      <w:tr w14:paraId="11C8C1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top"/>
          </w:tcPr>
          <w:p w14:paraId="3F4F0226">
            <w:pPr>
              <w:spacing w:line="321" w:lineRule="exact"/>
              <w:ind w:right="115" w:firstLine="0"/>
              <w:jc w:val="center"/>
              <w:rPr>
                <w:rFonts w:ascii="Times New Roman" w:hAnsi="Times New Roman" w:eastAsia="宋体" w:cs="Times New Roman"/>
                <w:color w:val="000000"/>
                <w:sz w:val="21"/>
                <w:szCs w:val="22"/>
                <w:lang w:val="en-US" w:eastAsia="zh-CN" w:bidi="ar-SA"/>
              </w:rPr>
            </w:pPr>
          </w:p>
          <w:p w14:paraId="0CC3165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毒理学资料</w:t>
            </w:r>
          </w:p>
        </w:tc>
        <w:tc>
          <w:tcPr>
            <w:tcW w:w="1317" w:type="dxa"/>
            <w:noWrap w:val="0"/>
            <w:vAlign w:val="top"/>
          </w:tcPr>
          <w:p w14:paraId="72748FE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接触限值</w:t>
            </w:r>
          </w:p>
        </w:tc>
        <w:tc>
          <w:tcPr>
            <w:tcW w:w="6769" w:type="dxa"/>
            <w:gridSpan w:val="5"/>
            <w:noWrap w:val="0"/>
            <w:vAlign w:val="top"/>
          </w:tcPr>
          <w:p w14:paraId="1399E436">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中国</w:t>
            </w:r>
            <w:r>
              <w:rPr>
                <w:rFonts w:ascii="Times New Roman" w:hAnsi="Times New Roman" w:eastAsia="宋体" w:cs="Times New Roman"/>
                <w:color w:val="000000"/>
                <w:sz w:val="21"/>
                <w:szCs w:val="22"/>
                <w:lang w:val="en-US" w:eastAsia="zh-CN" w:bidi="ar-SA"/>
              </w:rPr>
              <w:t>MAC</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2mg/m</w:t>
            </w:r>
            <w:r>
              <w:rPr>
                <w:rFonts w:hint="eastAsia" w:ascii="Times New Roman" w:hAnsi="Times New Roman" w:eastAsia="宋体" w:cs="Times New Roman"/>
                <w:color w:val="000000"/>
                <w:sz w:val="21"/>
                <w:szCs w:val="22"/>
                <w:lang w:val="en-US" w:eastAsia="zh-CN" w:bidi="ar-SA"/>
              </w:rPr>
              <w:t>³</w:t>
            </w:r>
          </w:p>
        </w:tc>
      </w:tr>
      <w:tr w14:paraId="4DCF7E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continue"/>
            <w:noWrap w:val="0"/>
            <w:vAlign w:val="top"/>
          </w:tcPr>
          <w:p w14:paraId="09078337">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7" w:type="dxa"/>
            <w:noWrap w:val="0"/>
            <w:vAlign w:val="top"/>
          </w:tcPr>
          <w:p w14:paraId="7D059820">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急性毒性</w:t>
            </w:r>
          </w:p>
        </w:tc>
        <w:tc>
          <w:tcPr>
            <w:tcW w:w="6769" w:type="dxa"/>
            <w:gridSpan w:val="5"/>
            <w:noWrap w:val="0"/>
            <w:vAlign w:val="top"/>
          </w:tcPr>
          <w:p w14:paraId="516E400D">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LD</w:t>
            </w:r>
            <w:r>
              <w:rPr>
                <w:rFonts w:ascii="Times New Roman" w:hAnsi="Times New Roman" w:eastAsia="宋体" w:cs="Times New Roman"/>
                <w:color w:val="000000"/>
                <w:sz w:val="21"/>
                <w:szCs w:val="22"/>
                <w:vertAlign w:val="subscript"/>
                <w:lang w:val="en-US" w:eastAsia="zh-CN" w:bidi="ar-SA"/>
              </w:rPr>
              <w:t>50</w:t>
            </w:r>
            <w:r>
              <w:rPr>
                <w:rFonts w:ascii="Times New Roman" w:hAnsi="Times New Roman" w:eastAsia="宋体" w:cs="Times New Roman"/>
                <w:color w:val="000000"/>
                <w:sz w:val="21"/>
                <w:szCs w:val="22"/>
                <w:lang w:val="en-US" w:eastAsia="zh-CN" w:bidi="ar-SA"/>
              </w:rPr>
              <w:t>500mg/kg</w:t>
            </w:r>
            <w:r>
              <w:rPr>
                <w:rFonts w:hint="eastAsia" w:ascii="Times New Roman" w:hAnsi="Times New Roman" w:eastAsia="宋体" w:cs="Times New Roman"/>
                <w:color w:val="000000"/>
                <w:sz w:val="21"/>
                <w:szCs w:val="22"/>
                <w:lang w:val="en-US" w:eastAsia="zh-CN" w:bidi="ar-SA"/>
              </w:rPr>
              <w:t>（兔经口）</w:t>
            </w:r>
          </w:p>
        </w:tc>
      </w:tr>
      <w:tr w14:paraId="3BA97E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1170" w:type="dxa"/>
            <w:vMerge w:val="continue"/>
            <w:noWrap w:val="0"/>
            <w:vAlign w:val="top"/>
          </w:tcPr>
          <w:p w14:paraId="6BB37FDA">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7" w:type="dxa"/>
            <w:noWrap w:val="0"/>
            <w:vAlign w:val="top"/>
          </w:tcPr>
          <w:p w14:paraId="21ED5233">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亚急性与慢</w:t>
            </w:r>
          </w:p>
          <w:p w14:paraId="4181CB92">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性毒性</w:t>
            </w:r>
          </w:p>
        </w:tc>
        <w:tc>
          <w:tcPr>
            <w:tcW w:w="6769" w:type="dxa"/>
            <w:gridSpan w:val="5"/>
            <w:noWrap w:val="0"/>
            <w:vAlign w:val="center"/>
          </w:tcPr>
          <w:p w14:paraId="2C496FBB">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w:t>
            </w:r>
          </w:p>
        </w:tc>
      </w:tr>
      <w:tr w14:paraId="6C8729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170" w:type="dxa"/>
            <w:vMerge w:val="restart"/>
            <w:noWrap w:val="0"/>
            <w:vAlign w:val="top"/>
          </w:tcPr>
          <w:p w14:paraId="012FBDDB">
            <w:pPr>
              <w:spacing w:line="321" w:lineRule="exact"/>
              <w:ind w:right="115" w:firstLine="0"/>
              <w:jc w:val="center"/>
              <w:rPr>
                <w:rFonts w:ascii="Times New Roman" w:hAnsi="Times New Roman" w:eastAsia="宋体" w:cs="Times New Roman"/>
                <w:color w:val="000000"/>
                <w:sz w:val="21"/>
                <w:szCs w:val="22"/>
                <w:lang w:val="en-US" w:eastAsia="zh-CN" w:bidi="ar-SA"/>
              </w:rPr>
            </w:pPr>
          </w:p>
          <w:p w14:paraId="42BDF0D6">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燃烧爆炸危险性</w:t>
            </w:r>
          </w:p>
        </w:tc>
        <w:tc>
          <w:tcPr>
            <w:tcW w:w="1317" w:type="dxa"/>
            <w:noWrap w:val="0"/>
            <w:vAlign w:val="top"/>
          </w:tcPr>
          <w:p w14:paraId="364B26B6">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火灾危险性</w:t>
            </w:r>
          </w:p>
        </w:tc>
        <w:tc>
          <w:tcPr>
            <w:tcW w:w="1133" w:type="dxa"/>
            <w:noWrap w:val="0"/>
            <w:vAlign w:val="top"/>
          </w:tcPr>
          <w:p w14:paraId="7A4E7B57">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不燃</w:t>
            </w:r>
          </w:p>
        </w:tc>
        <w:tc>
          <w:tcPr>
            <w:tcW w:w="1050" w:type="dxa"/>
            <w:gridSpan w:val="2"/>
            <w:noWrap w:val="0"/>
            <w:vAlign w:val="top"/>
          </w:tcPr>
          <w:p w14:paraId="4B064EAE">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禁忌物</w:t>
            </w:r>
          </w:p>
        </w:tc>
        <w:tc>
          <w:tcPr>
            <w:tcW w:w="4586" w:type="dxa"/>
            <w:gridSpan w:val="2"/>
            <w:noWrap w:val="0"/>
            <w:vAlign w:val="top"/>
          </w:tcPr>
          <w:p w14:paraId="1E33D774">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强酸、易燃或可燃物、二氧化碳、过氧化物、水</w:t>
            </w:r>
          </w:p>
        </w:tc>
      </w:tr>
      <w:tr w14:paraId="7294AB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92" w:hRule="atLeast"/>
          <w:jc w:val="center"/>
        </w:trPr>
        <w:tc>
          <w:tcPr>
            <w:tcW w:w="1170" w:type="dxa"/>
            <w:vMerge w:val="continue"/>
            <w:noWrap w:val="0"/>
            <w:vAlign w:val="top"/>
          </w:tcPr>
          <w:p w14:paraId="78FF7FEA">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1317" w:type="dxa"/>
            <w:noWrap w:val="0"/>
            <w:vAlign w:val="top"/>
          </w:tcPr>
          <w:p w14:paraId="7DF0082B">
            <w:pPr>
              <w:spacing w:line="321" w:lineRule="exact"/>
              <w:ind w:right="115" w:firstLine="0"/>
              <w:jc w:val="center"/>
              <w:rPr>
                <w:rFonts w:ascii="Times New Roman" w:hAnsi="Times New Roman" w:eastAsia="宋体" w:cs="Times New Roman"/>
                <w:color w:val="000000"/>
                <w:sz w:val="21"/>
                <w:szCs w:val="22"/>
                <w:lang w:val="en-US" w:eastAsia="zh-CN" w:bidi="ar-SA"/>
              </w:rPr>
            </w:pPr>
          </w:p>
          <w:p w14:paraId="4E664F48">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危险特性</w:t>
            </w:r>
          </w:p>
        </w:tc>
        <w:tc>
          <w:tcPr>
            <w:tcW w:w="6769" w:type="dxa"/>
            <w:gridSpan w:val="5"/>
            <w:noWrap w:val="0"/>
            <w:vAlign w:val="top"/>
          </w:tcPr>
          <w:p w14:paraId="36368B6A">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与酸发生中和反应并放热，遇潮时对铝、锌和锡有腐蚀性，并放出易燃易爆的氢气，本品不燃烧，遇水和水蒸气大量放热，形成腐蚀性溶液，</w:t>
            </w:r>
          </w:p>
          <w:p w14:paraId="14F6D68D">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具有强腐蚀性。</w:t>
            </w:r>
          </w:p>
        </w:tc>
      </w:tr>
    </w:tbl>
    <w:p w14:paraId="48A3448D">
      <w:pPr>
        <w:pStyle w:val="219"/>
        <w:spacing w:before="76"/>
        <w:ind w:left="4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表 </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1-1</w:t>
      </w:r>
      <w:r>
        <w:rPr>
          <w:rFonts w:hint="eastAsia" w:ascii="Times New Roman" w:hAnsi="Times New Roman" w:eastAsia="宋体" w:cs="Times New Roman"/>
          <w:b/>
          <w:bCs/>
          <w:sz w:val="24"/>
          <w:szCs w:val="24"/>
          <w:lang w:val="en-US" w:eastAsia="zh-CN"/>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聚乙烯醇</w:t>
      </w:r>
      <w:r>
        <w:rPr>
          <w:rFonts w:ascii="Times New Roman" w:hAnsi="Times New Roman" w:eastAsia="宋体" w:cs="Times New Roman"/>
          <w:b/>
          <w:bCs/>
          <w:sz w:val="24"/>
          <w:szCs w:val="24"/>
        </w:rPr>
        <w:t>理化性质一览表</w:t>
      </w:r>
    </w:p>
    <w:tbl>
      <w:tblPr>
        <w:tblStyle w:val="32"/>
        <w:tblW w:w="925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0"/>
        <w:gridCol w:w="2228"/>
        <w:gridCol w:w="1005"/>
        <w:gridCol w:w="1140"/>
        <w:gridCol w:w="390"/>
        <w:gridCol w:w="3323"/>
      </w:tblGrid>
      <w:tr w14:paraId="42A6A7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170" w:type="dxa"/>
            <w:vMerge w:val="restart"/>
            <w:noWrap w:val="0"/>
            <w:vAlign w:val="top"/>
          </w:tcPr>
          <w:p w14:paraId="0B8971C3">
            <w:pPr>
              <w:spacing w:line="321" w:lineRule="exact"/>
              <w:ind w:right="115" w:firstLine="0"/>
              <w:jc w:val="center"/>
              <w:rPr>
                <w:rFonts w:ascii="Times New Roman" w:hAnsi="Times New Roman" w:eastAsia="宋体" w:cs="Times New Roman"/>
                <w:color w:val="000000"/>
                <w:sz w:val="21"/>
                <w:szCs w:val="22"/>
                <w:lang w:val="en-US" w:eastAsia="zh-CN" w:bidi="ar-SA"/>
              </w:rPr>
            </w:pPr>
          </w:p>
          <w:p w14:paraId="717660F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标识</w:t>
            </w:r>
          </w:p>
        </w:tc>
        <w:tc>
          <w:tcPr>
            <w:tcW w:w="4373" w:type="dxa"/>
            <w:gridSpan w:val="3"/>
            <w:noWrap w:val="0"/>
            <w:vAlign w:val="top"/>
          </w:tcPr>
          <w:p w14:paraId="4034C81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英文名：</w:t>
            </w:r>
            <w:r>
              <w:rPr>
                <w:rFonts w:ascii="Times New Roman" w:hAnsi="Times New Roman" w:eastAsia="宋体" w:cs="Times New Roman"/>
                <w:color w:val="000000"/>
                <w:sz w:val="21"/>
                <w:szCs w:val="22"/>
                <w:lang w:val="en-US" w:eastAsia="zh-CN" w:bidi="ar-SA"/>
              </w:rPr>
              <w:t>polyvinyl alcohol</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viny)alcohol polymer</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poval</w:t>
            </w:r>
            <w:r>
              <w:rPr>
                <w:rFonts w:hint="eastAsia" w:ascii="Times New Roman" w:hAnsi="Times New Roman" w:eastAsia="宋体" w:cs="Times New Roman"/>
                <w:color w:val="000000"/>
                <w:sz w:val="21"/>
                <w:szCs w:val="22"/>
                <w:lang w:val="en-US" w:eastAsia="zh-CN" w:bidi="ar-SA"/>
              </w:rPr>
              <w:t>，简称</w:t>
            </w:r>
            <w:r>
              <w:rPr>
                <w:rFonts w:ascii="Times New Roman" w:hAnsi="Times New Roman" w:eastAsia="宋体" w:cs="Times New Roman"/>
                <w:color w:val="000000"/>
                <w:sz w:val="21"/>
                <w:szCs w:val="22"/>
                <w:lang w:val="en-US" w:eastAsia="zh-CN" w:bidi="ar-SA"/>
              </w:rPr>
              <w:t>PVA</w:t>
            </w:r>
          </w:p>
        </w:tc>
        <w:tc>
          <w:tcPr>
            <w:tcW w:w="3713" w:type="dxa"/>
            <w:gridSpan w:val="2"/>
            <w:noWrap w:val="0"/>
            <w:vAlign w:val="center"/>
          </w:tcPr>
          <w:p w14:paraId="2A4EDE7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化学式：</w:t>
            </w:r>
            <w:r>
              <w:rPr>
                <w:rFonts w:ascii="Times New Roman" w:hAnsi="Times New Roman" w:eastAsia="宋体" w:cs="Times New Roman"/>
                <w:color w:val="000000"/>
                <w:sz w:val="21"/>
                <w:szCs w:val="22"/>
                <w:lang w:val="en-US" w:eastAsia="zh-CN" w:bidi="ar-SA"/>
              </w:rPr>
              <w:t>[C</w:t>
            </w:r>
            <w:r>
              <w:rPr>
                <w:rFonts w:ascii="Times New Roman" w:hAnsi="Times New Roman" w:eastAsia="宋体" w:cs="Times New Roman"/>
                <w:color w:val="000000"/>
                <w:sz w:val="21"/>
                <w:szCs w:val="22"/>
                <w:vertAlign w:val="subscript"/>
                <w:lang w:val="en-US" w:eastAsia="zh-CN" w:bidi="ar-SA"/>
              </w:rPr>
              <w:t>2</w:t>
            </w:r>
            <w:r>
              <w:rPr>
                <w:rFonts w:ascii="Times New Roman" w:hAnsi="Times New Roman" w:eastAsia="宋体" w:cs="Times New Roman"/>
                <w:color w:val="000000"/>
                <w:sz w:val="21"/>
                <w:szCs w:val="22"/>
                <w:lang w:val="en-US" w:eastAsia="zh-CN" w:bidi="ar-SA"/>
              </w:rPr>
              <w:t>H</w:t>
            </w:r>
            <w:r>
              <w:rPr>
                <w:rFonts w:ascii="Times New Roman" w:hAnsi="Times New Roman" w:eastAsia="宋体" w:cs="Times New Roman"/>
                <w:color w:val="000000"/>
                <w:sz w:val="21"/>
                <w:szCs w:val="22"/>
                <w:vertAlign w:val="subscript"/>
                <w:lang w:val="en-US" w:eastAsia="zh-CN" w:bidi="ar-SA"/>
              </w:rPr>
              <w:t>4</w:t>
            </w:r>
            <w:r>
              <w:rPr>
                <w:rFonts w:ascii="Times New Roman" w:hAnsi="Times New Roman" w:eastAsia="宋体" w:cs="Times New Roman"/>
                <w:color w:val="000000"/>
                <w:sz w:val="21"/>
                <w:szCs w:val="22"/>
                <w:lang w:val="en-US" w:eastAsia="zh-CN" w:bidi="ar-SA"/>
              </w:rPr>
              <w:t>O]n</w:t>
            </w:r>
          </w:p>
        </w:tc>
      </w:tr>
      <w:tr w14:paraId="16040C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1170" w:type="dxa"/>
            <w:vMerge w:val="continue"/>
            <w:noWrap w:val="0"/>
            <w:vAlign w:val="top"/>
          </w:tcPr>
          <w:p w14:paraId="24C90C2F">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228" w:type="dxa"/>
            <w:noWrap w:val="0"/>
            <w:vAlign w:val="center"/>
          </w:tcPr>
          <w:p w14:paraId="1973D3D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危险化学品分类：</w:t>
            </w:r>
          </w:p>
        </w:tc>
        <w:tc>
          <w:tcPr>
            <w:tcW w:w="2145" w:type="dxa"/>
            <w:gridSpan w:val="2"/>
            <w:noWrap w:val="0"/>
            <w:vAlign w:val="center"/>
          </w:tcPr>
          <w:p w14:paraId="60A0D9E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危险货物编号：</w:t>
            </w:r>
          </w:p>
        </w:tc>
        <w:tc>
          <w:tcPr>
            <w:tcW w:w="3713" w:type="dxa"/>
            <w:gridSpan w:val="2"/>
            <w:noWrap w:val="0"/>
            <w:vAlign w:val="center"/>
          </w:tcPr>
          <w:p w14:paraId="19FFC0EF">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CAS</w:t>
            </w:r>
            <w:r>
              <w:rPr>
                <w:rFonts w:hint="eastAsia" w:ascii="Times New Roman" w:hAnsi="Times New Roman" w:eastAsia="宋体" w:cs="Times New Roman"/>
                <w:color w:val="000000"/>
                <w:sz w:val="21"/>
                <w:szCs w:val="22"/>
                <w:lang w:val="en-US" w:eastAsia="zh-CN" w:bidi="ar-SA"/>
              </w:rPr>
              <w:t>号：</w:t>
            </w:r>
            <w:r>
              <w:rPr>
                <w:rFonts w:ascii="Times New Roman" w:hAnsi="Times New Roman" w:eastAsia="宋体" w:cs="Times New Roman"/>
                <w:color w:val="000000"/>
                <w:sz w:val="21"/>
                <w:szCs w:val="22"/>
                <w:lang w:val="en-US" w:eastAsia="zh-CN" w:bidi="ar-SA"/>
              </w:rPr>
              <w:t>9002-89-5</w:t>
            </w:r>
          </w:p>
        </w:tc>
      </w:tr>
      <w:tr w14:paraId="0E26C5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center"/>
          </w:tcPr>
          <w:p w14:paraId="2DED4091">
            <w:pPr>
              <w:spacing w:line="321" w:lineRule="exact"/>
              <w:ind w:right="115" w:firstLine="0"/>
              <w:jc w:val="center"/>
              <w:rPr>
                <w:rFonts w:ascii="Times New Roman" w:hAnsi="Times New Roman" w:eastAsia="宋体" w:cs="Times New Roman"/>
                <w:color w:val="000000"/>
                <w:sz w:val="21"/>
                <w:szCs w:val="22"/>
                <w:lang w:val="en-US" w:eastAsia="zh-CN" w:bidi="ar-SA"/>
              </w:rPr>
            </w:pPr>
          </w:p>
          <w:p w14:paraId="50CBDE93">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理化性质</w:t>
            </w:r>
          </w:p>
        </w:tc>
        <w:tc>
          <w:tcPr>
            <w:tcW w:w="2228" w:type="dxa"/>
            <w:noWrap w:val="0"/>
            <w:vAlign w:val="center"/>
          </w:tcPr>
          <w:p w14:paraId="1E660CB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外观与性状</w:t>
            </w:r>
          </w:p>
        </w:tc>
        <w:tc>
          <w:tcPr>
            <w:tcW w:w="5858" w:type="dxa"/>
            <w:gridSpan w:val="4"/>
            <w:noWrap w:val="0"/>
            <w:vAlign w:val="center"/>
          </w:tcPr>
          <w:p w14:paraId="2CC63FC9">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乳白色粉末</w:t>
            </w:r>
          </w:p>
        </w:tc>
      </w:tr>
      <w:tr w14:paraId="4CE1BF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jc w:val="center"/>
        </w:trPr>
        <w:tc>
          <w:tcPr>
            <w:tcW w:w="1170" w:type="dxa"/>
            <w:vMerge w:val="continue"/>
            <w:noWrap w:val="0"/>
            <w:vAlign w:val="center"/>
          </w:tcPr>
          <w:p w14:paraId="74056DCC">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8086" w:type="dxa"/>
            <w:gridSpan w:val="5"/>
            <w:noWrap w:val="0"/>
            <w:vAlign w:val="center"/>
          </w:tcPr>
          <w:p w14:paraId="6D6AB28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相对密度（水</w:t>
            </w:r>
            <w:r>
              <w:rPr>
                <w:rFonts w:ascii="Times New Roman" w:hAnsi="Times New Roman" w:eastAsia="宋体" w:cs="Times New Roman"/>
                <w:color w:val="000000"/>
                <w:sz w:val="21"/>
                <w:szCs w:val="22"/>
                <w:lang w:val="en-US" w:eastAsia="zh-CN" w:bidi="ar-SA"/>
              </w:rPr>
              <w:t>=1</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1.31</w:t>
            </w:r>
            <w:r>
              <w:rPr>
                <w:rFonts w:hint="eastAsia" w:ascii="Times New Roman" w:hAnsi="Times New Roman" w:eastAsia="宋体" w:cs="Times New Roman"/>
                <w:color w:val="000000"/>
                <w:sz w:val="21"/>
                <w:szCs w:val="22"/>
                <w:lang w:val="en-US" w:eastAsia="zh-CN" w:bidi="ar-SA"/>
              </w:rPr>
              <w:t>，沸点</w:t>
            </w:r>
            <w:r>
              <w:rPr>
                <w:rFonts w:ascii="Times New Roman" w:hAnsi="Times New Roman" w:eastAsia="宋体" w:cs="Times New Roman"/>
                <w:color w:val="000000"/>
                <w:sz w:val="21"/>
                <w:szCs w:val="22"/>
                <w:lang w:val="en-US" w:eastAsia="zh-CN" w:bidi="ar-SA"/>
              </w:rPr>
              <w:t>200</w:t>
            </w:r>
            <w:r>
              <w:rPr>
                <w:rFonts w:hint="eastAsia" w:ascii="Times New Roman" w:hAnsi="Times New Roman" w:eastAsia="宋体" w:cs="Times New Roman"/>
                <w:color w:val="000000"/>
                <w:sz w:val="21"/>
                <w:szCs w:val="22"/>
                <w:lang w:val="en-US" w:eastAsia="zh-CN" w:bidi="ar-SA"/>
              </w:rPr>
              <w:t>℃，玻璃化温度</w:t>
            </w:r>
            <w:r>
              <w:rPr>
                <w:rFonts w:ascii="Times New Roman" w:hAnsi="Times New Roman" w:eastAsia="宋体" w:cs="Times New Roman"/>
                <w:color w:val="000000"/>
                <w:sz w:val="21"/>
                <w:szCs w:val="22"/>
                <w:lang w:val="en-US" w:eastAsia="zh-CN" w:bidi="ar-SA"/>
              </w:rPr>
              <w:t>75~85</w:t>
            </w:r>
            <w:r>
              <w:rPr>
                <w:rFonts w:hint="eastAsia" w:ascii="Times New Roman" w:hAnsi="Times New Roman" w:eastAsia="宋体" w:cs="Times New Roman"/>
                <w:color w:val="000000"/>
                <w:sz w:val="21"/>
                <w:szCs w:val="22"/>
                <w:lang w:val="en-US" w:eastAsia="zh-CN" w:bidi="ar-SA"/>
              </w:rPr>
              <w:t>℃，引燃温度</w:t>
            </w:r>
            <w:r>
              <w:rPr>
                <w:rFonts w:ascii="Times New Roman" w:hAnsi="Times New Roman" w:eastAsia="宋体" w:cs="Times New Roman"/>
                <w:color w:val="000000"/>
                <w:sz w:val="21"/>
                <w:szCs w:val="22"/>
                <w:lang w:val="en-US" w:eastAsia="zh-CN" w:bidi="ar-SA"/>
              </w:rPr>
              <w:t>410</w:t>
            </w:r>
            <w:r>
              <w:rPr>
                <w:rFonts w:hint="eastAsia" w:ascii="Times New Roman" w:hAnsi="Times New Roman" w:eastAsia="宋体" w:cs="Times New Roman"/>
                <w:color w:val="000000"/>
                <w:sz w:val="21"/>
                <w:szCs w:val="22"/>
                <w:lang w:val="en-US" w:eastAsia="zh-CN" w:bidi="ar-SA"/>
              </w:rPr>
              <w:t>℃（粉末）</w:t>
            </w:r>
          </w:p>
        </w:tc>
      </w:tr>
      <w:tr w14:paraId="08C5AC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1170" w:type="dxa"/>
            <w:vMerge w:val="continue"/>
            <w:noWrap w:val="0"/>
            <w:vAlign w:val="center"/>
          </w:tcPr>
          <w:p w14:paraId="3F7AD8B3">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228" w:type="dxa"/>
            <w:noWrap w:val="0"/>
            <w:vAlign w:val="center"/>
          </w:tcPr>
          <w:p w14:paraId="3A2AB19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溶解性</w:t>
            </w:r>
          </w:p>
        </w:tc>
        <w:tc>
          <w:tcPr>
            <w:tcW w:w="5858" w:type="dxa"/>
            <w:gridSpan w:val="4"/>
            <w:noWrap w:val="0"/>
            <w:vAlign w:val="center"/>
          </w:tcPr>
          <w:p w14:paraId="7FFCBA9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与水混溶，不溶于烃类，可混溶于醇。</w:t>
            </w:r>
          </w:p>
        </w:tc>
      </w:tr>
      <w:tr w14:paraId="5A5804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1170" w:type="dxa"/>
            <w:vMerge w:val="restart"/>
            <w:noWrap w:val="0"/>
            <w:vAlign w:val="center"/>
          </w:tcPr>
          <w:p w14:paraId="6D4DBD43">
            <w:pPr>
              <w:spacing w:line="321" w:lineRule="exact"/>
              <w:ind w:right="115" w:firstLine="0"/>
              <w:jc w:val="center"/>
              <w:rPr>
                <w:rFonts w:ascii="Times New Roman" w:hAnsi="Times New Roman" w:eastAsia="宋体" w:cs="Times New Roman"/>
                <w:color w:val="000000"/>
                <w:sz w:val="21"/>
                <w:szCs w:val="22"/>
                <w:lang w:val="en-US" w:eastAsia="zh-CN" w:bidi="ar-SA"/>
              </w:rPr>
            </w:pPr>
          </w:p>
          <w:p w14:paraId="757E946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毒理学资料</w:t>
            </w:r>
          </w:p>
        </w:tc>
        <w:tc>
          <w:tcPr>
            <w:tcW w:w="2228" w:type="dxa"/>
            <w:noWrap w:val="0"/>
            <w:vAlign w:val="center"/>
          </w:tcPr>
          <w:p w14:paraId="538DE582">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接触限值</w:t>
            </w:r>
          </w:p>
        </w:tc>
        <w:tc>
          <w:tcPr>
            <w:tcW w:w="5858" w:type="dxa"/>
            <w:gridSpan w:val="4"/>
            <w:noWrap w:val="0"/>
            <w:vAlign w:val="center"/>
          </w:tcPr>
          <w:p w14:paraId="65763150">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中国</w:t>
            </w:r>
            <w:r>
              <w:rPr>
                <w:rFonts w:ascii="Times New Roman" w:hAnsi="Times New Roman" w:eastAsia="宋体" w:cs="Times New Roman"/>
                <w:color w:val="000000"/>
                <w:sz w:val="21"/>
                <w:szCs w:val="22"/>
                <w:lang w:val="en-US" w:eastAsia="zh-CN" w:bidi="ar-SA"/>
              </w:rPr>
              <w:t>MAC</w:t>
            </w:r>
            <w:r>
              <w:rPr>
                <w:rFonts w:hint="eastAsia" w:ascii="Times New Roman" w:hAnsi="Times New Roman" w:eastAsia="宋体" w:cs="Times New Roman"/>
                <w:color w:val="000000"/>
                <w:sz w:val="21"/>
                <w:szCs w:val="22"/>
                <w:lang w:val="en-US" w:eastAsia="zh-CN" w:bidi="ar-SA"/>
              </w:rPr>
              <w:t>：</w:t>
            </w:r>
            <w:r>
              <w:rPr>
                <w:rFonts w:ascii="Times New Roman" w:hAnsi="Times New Roman" w:eastAsia="宋体" w:cs="Times New Roman"/>
                <w:color w:val="000000"/>
                <w:sz w:val="21"/>
                <w:szCs w:val="22"/>
                <w:lang w:val="en-US" w:eastAsia="zh-CN" w:bidi="ar-SA"/>
              </w:rPr>
              <w:t>10mg/m</w:t>
            </w:r>
            <w:r>
              <w:rPr>
                <w:rFonts w:hint="eastAsia" w:ascii="Times New Roman" w:hAnsi="Times New Roman" w:eastAsia="宋体" w:cs="Times New Roman"/>
                <w:color w:val="000000"/>
                <w:sz w:val="21"/>
                <w:szCs w:val="22"/>
                <w:vertAlign w:val="superscript"/>
                <w:lang w:val="en-US" w:eastAsia="zh-CN" w:bidi="ar-SA"/>
              </w:rPr>
              <w:t>3</w:t>
            </w:r>
          </w:p>
        </w:tc>
      </w:tr>
      <w:tr w14:paraId="4423B8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jc w:val="center"/>
        </w:trPr>
        <w:tc>
          <w:tcPr>
            <w:tcW w:w="1170" w:type="dxa"/>
            <w:vMerge w:val="continue"/>
            <w:noWrap w:val="0"/>
            <w:vAlign w:val="center"/>
          </w:tcPr>
          <w:p w14:paraId="4CEA1C57">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228" w:type="dxa"/>
            <w:noWrap w:val="0"/>
            <w:vAlign w:val="center"/>
          </w:tcPr>
          <w:p w14:paraId="31ABD86A">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急性毒性</w:t>
            </w:r>
          </w:p>
        </w:tc>
        <w:tc>
          <w:tcPr>
            <w:tcW w:w="5858" w:type="dxa"/>
            <w:gridSpan w:val="4"/>
            <w:noWrap w:val="0"/>
            <w:vAlign w:val="center"/>
          </w:tcPr>
          <w:p w14:paraId="226619C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w:t>
            </w:r>
          </w:p>
        </w:tc>
      </w:tr>
      <w:tr w14:paraId="65F71B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jc w:val="center"/>
        </w:trPr>
        <w:tc>
          <w:tcPr>
            <w:tcW w:w="1170" w:type="dxa"/>
            <w:vMerge w:val="continue"/>
            <w:noWrap w:val="0"/>
            <w:vAlign w:val="center"/>
          </w:tcPr>
          <w:p w14:paraId="38C45A71">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228" w:type="dxa"/>
            <w:noWrap w:val="0"/>
            <w:vAlign w:val="center"/>
          </w:tcPr>
          <w:p w14:paraId="55985009">
            <w:pPr>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亚急性与慢</w:t>
            </w:r>
          </w:p>
          <w:p w14:paraId="200AB571">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性毒性</w:t>
            </w:r>
          </w:p>
        </w:tc>
        <w:tc>
          <w:tcPr>
            <w:tcW w:w="5858" w:type="dxa"/>
            <w:gridSpan w:val="4"/>
            <w:noWrap w:val="0"/>
            <w:vAlign w:val="center"/>
          </w:tcPr>
          <w:p w14:paraId="0601B51C">
            <w:pPr>
              <w:spacing w:line="321" w:lineRule="exact"/>
              <w:ind w:right="115" w:firstLine="0"/>
              <w:jc w:val="center"/>
              <w:rPr>
                <w:rFonts w:ascii="Times New Roman" w:hAnsi="Times New Roman" w:eastAsia="宋体" w:cs="Times New Roman"/>
                <w:color w:val="000000"/>
                <w:sz w:val="21"/>
                <w:szCs w:val="22"/>
                <w:lang w:val="en-US" w:eastAsia="zh-CN" w:bidi="ar-SA"/>
              </w:rPr>
            </w:pPr>
          </w:p>
          <w:p w14:paraId="2D2A9A28">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ascii="Times New Roman" w:hAnsi="Times New Roman" w:eastAsia="宋体" w:cs="Times New Roman"/>
                <w:color w:val="000000"/>
                <w:sz w:val="21"/>
                <w:szCs w:val="22"/>
                <w:lang w:val="en-US" w:eastAsia="zh-CN" w:bidi="ar-SA"/>
              </w:rPr>
              <w:t>/</w:t>
            </w:r>
          </w:p>
        </w:tc>
      </w:tr>
      <w:tr w14:paraId="6246D1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jc w:val="center"/>
        </w:trPr>
        <w:tc>
          <w:tcPr>
            <w:tcW w:w="1170" w:type="dxa"/>
            <w:vMerge w:val="restart"/>
            <w:noWrap w:val="0"/>
            <w:vAlign w:val="center"/>
          </w:tcPr>
          <w:p w14:paraId="734C6903">
            <w:pPr>
              <w:spacing w:line="321" w:lineRule="exact"/>
              <w:ind w:right="115" w:firstLine="0"/>
              <w:jc w:val="center"/>
              <w:rPr>
                <w:rFonts w:ascii="Times New Roman" w:hAnsi="Times New Roman" w:eastAsia="宋体" w:cs="Times New Roman"/>
                <w:color w:val="000000"/>
                <w:sz w:val="21"/>
                <w:szCs w:val="22"/>
                <w:lang w:val="en-US" w:eastAsia="zh-CN" w:bidi="ar-SA"/>
              </w:rPr>
            </w:pPr>
          </w:p>
          <w:p w14:paraId="1DDD0847">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燃烧爆炸危险性</w:t>
            </w:r>
          </w:p>
        </w:tc>
        <w:tc>
          <w:tcPr>
            <w:tcW w:w="2228" w:type="dxa"/>
            <w:noWrap w:val="0"/>
            <w:vAlign w:val="center"/>
          </w:tcPr>
          <w:p w14:paraId="71D0D7E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火灾危险性</w:t>
            </w:r>
          </w:p>
        </w:tc>
        <w:tc>
          <w:tcPr>
            <w:tcW w:w="1005" w:type="dxa"/>
            <w:noWrap w:val="0"/>
            <w:vAlign w:val="center"/>
          </w:tcPr>
          <w:p w14:paraId="0D080E26">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可燃</w:t>
            </w:r>
          </w:p>
        </w:tc>
        <w:tc>
          <w:tcPr>
            <w:tcW w:w="1530" w:type="dxa"/>
            <w:gridSpan w:val="2"/>
            <w:noWrap w:val="0"/>
            <w:vAlign w:val="center"/>
          </w:tcPr>
          <w:p w14:paraId="0CFF502E">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禁忌物</w:t>
            </w:r>
          </w:p>
        </w:tc>
        <w:tc>
          <w:tcPr>
            <w:tcW w:w="3323" w:type="dxa"/>
            <w:noWrap w:val="0"/>
            <w:vAlign w:val="center"/>
          </w:tcPr>
          <w:p w14:paraId="36628875">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强氧化剂</w:t>
            </w:r>
          </w:p>
        </w:tc>
      </w:tr>
      <w:tr w14:paraId="725A0F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2" w:hRule="atLeast"/>
          <w:jc w:val="center"/>
        </w:trPr>
        <w:tc>
          <w:tcPr>
            <w:tcW w:w="1170" w:type="dxa"/>
            <w:vMerge w:val="continue"/>
            <w:noWrap w:val="0"/>
            <w:vAlign w:val="center"/>
          </w:tcPr>
          <w:p w14:paraId="6C6D4232">
            <w:pPr>
              <w:spacing w:line="321" w:lineRule="exact"/>
              <w:ind w:right="115" w:firstLine="0"/>
              <w:jc w:val="center"/>
              <w:rPr>
                <w:rFonts w:ascii="Times New Roman" w:hAnsi="Times New Roman" w:eastAsia="宋体" w:cs="Times New Roman"/>
                <w:color w:val="000000"/>
                <w:sz w:val="21"/>
                <w:szCs w:val="22"/>
                <w:lang w:val="en-US" w:eastAsia="zh-CN" w:bidi="ar-SA"/>
              </w:rPr>
            </w:pPr>
          </w:p>
        </w:tc>
        <w:tc>
          <w:tcPr>
            <w:tcW w:w="2228" w:type="dxa"/>
            <w:noWrap w:val="0"/>
            <w:vAlign w:val="center"/>
          </w:tcPr>
          <w:p w14:paraId="56D0979C">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危险特性</w:t>
            </w:r>
          </w:p>
        </w:tc>
        <w:tc>
          <w:tcPr>
            <w:tcW w:w="5858" w:type="dxa"/>
            <w:gridSpan w:val="4"/>
            <w:noWrap w:val="0"/>
            <w:vAlign w:val="center"/>
          </w:tcPr>
          <w:p w14:paraId="427F13E4">
            <w:pPr>
              <w:spacing w:line="321" w:lineRule="exact"/>
              <w:ind w:right="115" w:firstLine="0"/>
              <w:jc w:val="center"/>
              <w:rPr>
                <w:rFonts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bidi="ar-SA"/>
              </w:rPr>
              <w:t>粉体与空气可形成爆炸性混合物</w:t>
            </w:r>
            <w:r>
              <w:rPr>
                <w:rFonts w:ascii="Times New Roman" w:hAnsi="Times New Roman" w:eastAsia="宋体" w:cs="Times New Roman"/>
                <w:color w:val="000000"/>
                <w:sz w:val="21"/>
                <w:szCs w:val="22"/>
                <w:lang w:val="en-US" w:eastAsia="zh-CN" w:bidi="ar-SA"/>
              </w:rPr>
              <w:t xml:space="preserve">, </w:t>
            </w:r>
            <w:r>
              <w:rPr>
                <w:rFonts w:hint="eastAsia" w:ascii="Times New Roman" w:hAnsi="Times New Roman" w:eastAsia="宋体" w:cs="Times New Roman"/>
                <w:color w:val="000000"/>
                <w:sz w:val="21"/>
                <w:szCs w:val="22"/>
                <w:lang w:val="en-US" w:eastAsia="zh-CN" w:bidi="ar-SA"/>
              </w:rPr>
              <w:t>当达到一定浓度时</w:t>
            </w:r>
            <w:r>
              <w:rPr>
                <w:rFonts w:ascii="Times New Roman" w:hAnsi="Times New Roman" w:eastAsia="宋体" w:cs="Times New Roman"/>
                <w:color w:val="000000"/>
                <w:sz w:val="21"/>
                <w:szCs w:val="22"/>
                <w:lang w:val="en-US" w:eastAsia="zh-CN" w:bidi="ar-SA"/>
              </w:rPr>
              <w:t xml:space="preserve">, </w:t>
            </w:r>
            <w:r>
              <w:rPr>
                <w:rFonts w:hint="eastAsia" w:ascii="Times New Roman" w:hAnsi="Times New Roman" w:eastAsia="宋体" w:cs="Times New Roman"/>
                <w:color w:val="000000"/>
                <w:sz w:val="21"/>
                <w:szCs w:val="22"/>
                <w:lang w:val="en-US" w:eastAsia="zh-CN" w:bidi="ar-SA"/>
              </w:rPr>
              <w:t>遇火星会发生爆炸。加热分解产生易燃气体。</w:t>
            </w:r>
          </w:p>
        </w:tc>
      </w:tr>
    </w:tbl>
    <w:p w14:paraId="2FC6A1BB">
      <w:pPr>
        <w:pStyle w:val="219"/>
        <w:spacing w:before="76"/>
        <w:ind w:left="40"/>
        <w:jc w:val="center"/>
        <w:rPr>
          <w:rFonts w:ascii="Times New Roman" w:hAnsi="Times New Roman" w:cs="Times New Roman"/>
          <w:b/>
          <w:bCs/>
          <w:color w:val="000000"/>
          <w:szCs w:val="24"/>
          <w:lang w:val="en-US" w:eastAsia="zh-CN" w:bidi="ar"/>
        </w:rPr>
      </w:pPr>
      <w:r>
        <w:rPr>
          <w:rFonts w:ascii="Times New Roman" w:hAnsi="Times New Roman" w:eastAsia="宋体" w:cs="Times New Roman"/>
          <w:b/>
          <w:bCs/>
          <w:sz w:val="24"/>
          <w:szCs w:val="24"/>
        </w:rPr>
        <w:t xml:space="preserve">表 </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1-1</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聚乙烯醇</w:t>
      </w:r>
      <w:r>
        <w:rPr>
          <w:rFonts w:ascii="Times New Roman" w:hAnsi="Times New Roman" w:eastAsia="宋体" w:cs="Times New Roman"/>
          <w:b/>
          <w:bCs/>
          <w:sz w:val="24"/>
          <w:szCs w:val="24"/>
        </w:rPr>
        <w:t>理化性质一览表</w:t>
      </w:r>
    </w:p>
    <w:tbl>
      <w:tblPr>
        <w:tblStyle w:val="258"/>
        <w:tblW w:w="89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5"/>
        <w:gridCol w:w="4676"/>
        <w:gridCol w:w="1500"/>
        <w:gridCol w:w="1750"/>
      </w:tblGrid>
      <w:tr w14:paraId="3876B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5" w:type="dxa"/>
            <w:noWrap w:val="0"/>
            <w:vAlign w:val="center"/>
          </w:tcPr>
          <w:p w14:paraId="34031E28">
            <w:pPr>
              <w:widowControl w:val="0"/>
              <w:ind w:left="0" w:firstLine="0"/>
              <w:jc w:val="center"/>
              <w:rPr>
                <w:rFonts w:hint="eastAsia" w:ascii="宋体" w:hAnsi="宋体" w:cs="宋体"/>
                <w:b/>
                <w:bCs w:val="0"/>
                <w:color w:val="000000"/>
                <w:szCs w:val="24"/>
                <w:vertAlign w:val="baseline"/>
                <w:lang w:bidi="ar"/>
              </w:rPr>
            </w:pPr>
            <w:r>
              <w:rPr>
                <w:b/>
                <w:bCs w:val="0"/>
                <w:sz w:val="21"/>
              </w:rPr>
              <w:t>名称</w:t>
            </w:r>
          </w:p>
        </w:tc>
        <w:tc>
          <w:tcPr>
            <w:tcW w:w="4676" w:type="dxa"/>
            <w:noWrap w:val="0"/>
            <w:vAlign w:val="center"/>
          </w:tcPr>
          <w:p w14:paraId="0C3E9161">
            <w:pPr>
              <w:widowControl w:val="0"/>
              <w:ind w:firstLine="482"/>
              <w:jc w:val="center"/>
              <w:rPr>
                <w:rFonts w:ascii="宋体" w:hAnsi="宋体" w:eastAsia="宋体" w:cs="宋体"/>
                <w:b/>
                <w:bCs w:val="0"/>
                <w:color w:val="000000"/>
                <w:szCs w:val="24"/>
                <w:vertAlign w:val="baseline"/>
                <w:lang w:val="en-US" w:eastAsia="zh-CN" w:bidi="ar"/>
              </w:rPr>
            </w:pPr>
            <w:r>
              <w:rPr>
                <w:rFonts w:hint="eastAsia" w:ascii="宋体" w:hAnsi="宋体" w:eastAsia="宋体" w:cs="宋体"/>
                <w:b/>
                <w:bCs w:val="0"/>
                <w:color w:val="000000"/>
                <w:szCs w:val="24"/>
                <w:vertAlign w:val="baseline"/>
                <w:lang w:val="en-US" w:eastAsia="zh-CN" w:bidi="ar"/>
              </w:rPr>
              <w:t>理化特性</w:t>
            </w:r>
          </w:p>
        </w:tc>
        <w:tc>
          <w:tcPr>
            <w:tcW w:w="1500" w:type="dxa"/>
            <w:noWrap w:val="0"/>
            <w:vAlign w:val="center"/>
          </w:tcPr>
          <w:p w14:paraId="3D3C104F">
            <w:pPr>
              <w:widowControl w:val="0"/>
              <w:ind w:left="0" w:firstLine="0"/>
              <w:jc w:val="center"/>
              <w:rPr>
                <w:rFonts w:ascii="宋体" w:hAnsi="宋体" w:eastAsia="宋体" w:cs="宋体"/>
                <w:b/>
                <w:bCs w:val="0"/>
                <w:color w:val="000000"/>
                <w:szCs w:val="24"/>
                <w:vertAlign w:val="baseline"/>
                <w:lang w:val="en-US" w:eastAsia="zh-CN" w:bidi="ar"/>
              </w:rPr>
            </w:pPr>
            <w:r>
              <w:rPr>
                <w:rFonts w:hint="eastAsia" w:eastAsia="宋体"/>
                <w:b/>
                <w:bCs w:val="0"/>
                <w:sz w:val="21"/>
                <w:lang w:val="en-US" w:eastAsia="zh-CN"/>
              </w:rPr>
              <w:t>燃烧爆炸性</w:t>
            </w:r>
          </w:p>
        </w:tc>
        <w:tc>
          <w:tcPr>
            <w:tcW w:w="1750" w:type="dxa"/>
            <w:noWrap w:val="0"/>
            <w:vAlign w:val="center"/>
          </w:tcPr>
          <w:p w14:paraId="1C2DBBED">
            <w:pPr>
              <w:widowControl w:val="0"/>
              <w:ind w:left="0" w:firstLine="0"/>
              <w:jc w:val="center"/>
              <w:rPr>
                <w:rFonts w:hint="eastAsia" w:ascii="宋体" w:hAnsi="宋体" w:cs="宋体"/>
                <w:b/>
                <w:bCs w:val="0"/>
                <w:color w:val="000000"/>
                <w:szCs w:val="24"/>
                <w:vertAlign w:val="baseline"/>
                <w:lang w:bidi="ar"/>
              </w:rPr>
            </w:pPr>
            <w:r>
              <w:rPr>
                <w:rFonts w:hint="eastAsia" w:eastAsia="宋体"/>
                <w:b/>
                <w:bCs w:val="0"/>
                <w:sz w:val="21"/>
                <w:lang w:val="en-US" w:eastAsia="zh-CN"/>
              </w:rPr>
              <w:t>毒理特性</w:t>
            </w:r>
          </w:p>
        </w:tc>
      </w:tr>
      <w:tr w14:paraId="032CA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5" w:type="dxa"/>
            <w:noWrap w:val="0"/>
            <w:vAlign w:val="center"/>
          </w:tcPr>
          <w:p w14:paraId="5145786C">
            <w:pPr>
              <w:pStyle w:val="2"/>
              <w:widowControl w:val="0"/>
              <w:ind w:left="0" w:firstLine="0"/>
              <w:jc w:val="center"/>
              <w:rPr>
                <w:rFonts w:ascii="宋体" w:hAnsi="宋体" w:eastAsia="宋体" w:cs="宋体"/>
                <w:color w:val="000000"/>
                <w:szCs w:val="24"/>
                <w:vertAlign w:val="baseline"/>
                <w:lang w:val="en-US" w:eastAsia="zh-CN" w:bidi="ar"/>
              </w:rPr>
            </w:pPr>
            <w:r>
              <w:rPr>
                <w:rFonts w:hint="eastAsia" w:hAnsi="宋体" w:eastAsia="宋体" w:cs="宋体"/>
                <w:color w:val="000000"/>
                <w:szCs w:val="24"/>
                <w:vertAlign w:val="baseline"/>
                <w:lang w:val="en-US" w:eastAsia="zh-CN" w:bidi="ar"/>
              </w:rPr>
              <w:t>尿素</w:t>
            </w:r>
          </w:p>
        </w:tc>
        <w:tc>
          <w:tcPr>
            <w:tcW w:w="4676" w:type="dxa"/>
            <w:noWrap w:val="0"/>
            <w:vAlign w:val="center"/>
          </w:tcPr>
          <w:p w14:paraId="5E97E5D2">
            <w:pPr>
              <w:widowControl w:val="0"/>
              <w:spacing w:line="321" w:lineRule="exact"/>
              <w:ind w:right="115" w:firstLine="0"/>
              <w:jc w:val="center"/>
              <w:rPr>
                <w:rFonts w:ascii="宋体" w:hAnsi="宋体" w:eastAsia="宋体" w:cs="宋体"/>
                <w:color w:val="000000"/>
                <w:szCs w:val="24"/>
                <w:vertAlign w:val="baseline"/>
                <w:lang w:val="en-US" w:eastAsia="zh-CN" w:bidi="ar"/>
              </w:rPr>
            </w:pPr>
            <w:r>
              <w:rPr>
                <w:rFonts w:hint="eastAsia" w:ascii="Times New Roman" w:hAnsi="Times New Roman" w:eastAsia="宋体" w:cs="Times New Roman"/>
                <w:color w:val="000000"/>
                <w:sz w:val="21"/>
                <w:szCs w:val="22"/>
                <w:lang w:val="en-US" w:eastAsia="zh-CN" w:bidi="ar-SA"/>
              </w:rPr>
              <w:t>化学式：CO(NH</w:t>
            </w:r>
            <w:r>
              <w:rPr>
                <w:rFonts w:hint="eastAsia" w:ascii="Times New Roman" w:hAnsi="Times New Roman" w:eastAsia="宋体" w:cs="Times New Roman"/>
                <w:color w:val="000000"/>
                <w:sz w:val="21"/>
                <w:szCs w:val="22"/>
                <w:vertAlign w:val="subscript"/>
                <w:lang w:val="en-US" w:eastAsia="zh-CN" w:bidi="ar-SA"/>
              </w:rPr>
              <w:t>2</w:t>
            </w:r>
            <w:r>
              <w:rPr>
                <w:rFonts w:hint="eastAsia" w:ascii="Times New Roman" w:hAnsi="Times New Roman" w:eastAsia="宋体" w:cs="Times New Roman"/>
                <w:color w:val="000000"/>
                <w:sz w:val="21"/>
                <w:szCs w:val="22"/>
                <w:lang w:val="en-US" w:eastAsia="zh-CN" w:bidi="ar-SA"/>
              </w:rPr>
              <w:t>)</w:t>
            </w:r>
            <w:r>
              <w:rPr>
                <w:rFonts w:hint="eastAsia" w:ascii="Times New Roman" w:hAnsi="Times New Roman" w:eastAsia="宋体" w:cs="Times New Roman"/>
                <w:color w:val="000000"/>
                <w:sz w:val="21"/>
                <w:szCs w:val="22"/>
                <w:vertAlign w:val="subscript"/>
                <w:lang w:val="en-US" w:eastAsia="zh-CN" w:bidi="ar-SA"/>
              </w:rPr>
              <w:t>2</w:t>
            </w:r>
            <w:r>
              <w:rPr>
                <w:rFonts w:hint="eastAsia" w:ascii="Times New Roman" w:hAnsi="Times New Roman" w:eastAsia="宋体" w:cs="Times New Roman"/>
                <w:color w:val="000000"/>
                <w:sz w:val="21"/>
                <w:szCs w:val="22"/>
                <w:lang w:val="en-US" w:eastAsia="zh-CN" w:bidi="ar-SA"/>
              </w:rPr>
              <w:t>，相对分子质量 60.06，CO(NH2)2无色或白色针状或棒状结晶体，工业或农业品为白色略带微红色固体颗粒，无臭无味。含氮量约为 46.67%。密度 1.335g/cm</w:t>
            </w:r>
            <w:r>
              <w:rPr>
                <w:rFonts w:hint="eastAsia" w:ascii="Times New Roman" w:hAnsi="Times New Roman" w:eastAsia="宋体" w:cs="Times New Roman"/>
                <w:color w:val="000000"/>
                <w:sz w:val="21"/>
                <w:szCs w:val="22"/>
                <w:vertAlign w:val="superscript"/>
                <w:lang w:val="en-US" w:eastAsia="zh-CN" w:bidi="ar-SA"/>
              </w:rPr>
              <w:t>3</w:t>
            </w:r>
            <w:r>
              <w:rPr>
                <w:rFonts w:hint="eastAsia" w:ascii="Times New Roman" w:hAnsi="Times New Roman" w:eastAsia="宋体" w:cs="Times New Roman"/>
                <w:color w:val="000000"/>
                <w:sz w:val="21"/>
                <w:szCs w:val="22"/>
                <w:lang w:val="en-US" w:eastAsia="zh-CN" w:bidi="ar-SA"/>
              </w:rPr>
              <w:t xml:space="preserve"> 。熔点 132.7℃。溶于水、甲醛、液态氨和醇，难溶于乙醚、氯仿。呈弱碱性。对热不稳定，加热至 150~160℃将脱氨成缩二脲。</w:t>
            </w:r>
          </w:p>
        </w:tc>
        <w:tc>
          <w:tcPr>
            <w:tcW w:w="1500" w:type="dxa"/>
            <w:noWrap w:val="0"/>
            <w:vAlign w:val="center"/>
          </w:tcPr>
          <w:p w14:paraId="0DCB9E15">
            <w:pPr>
              <w:pStyle w:val="2"/>
              <w:widowControl w:val="0"/>
              <w:ind w:left="0" w:firstLine="0"/>
              <w:jc w:val="center"/>
              <w:rPr>
                <w:rFonts w:hint="eastAsia" w:ascii="宋体" w:hAnsi="宋体" w:eastAsia="宋体" w:cs="宋体"/>
                <w:color w:val="000000"/>
                <w:szCs w:val="24"/>
                <w:vertAlign w:val="baseline"/>
                <w:lang w:val="en-US" w:eastAsia="zh-CN" w:bidi="ar"/>
              </w:rPr>
            </w:pPr>
            <w:r>
              <w:rPr>
                <w:rFonts w:hint="eastAsia" w:hAnsi="宋体" w:eastAsia="宋体" w:cs="宋体"/>
                <w:color w:val="000000"/>
                <w:szCs w:val="24"/>
                <w:vertAlign w:val="baseline"/>
                <w:lang w:val="en-US" w:eastAsia="zh-CN" w:bidi="ar"/>
              </w:rPr>
              <w:t>/</w:t>
            </w:r>
          </w:p>
        </w:tc>
        <w:tc>
          <w:tcPr>
            <w:tcW w:w="1750" w:type="dxa"/>
            <w:noWrap w:val="0"/>
            <w:vAlign w:val="center"/>
          </w:tcPr>
          <w:p w14:paraId="21404254">
            <w:pPr>
              <w:pStyle w:val="2"/>
              <w:widowControl w:val="0"/>
              <w:ind w:left="0" w:firstLine="0"/>
              <w:jc w:val="center"/>
              <w:rPr>
                <w:rFonts w:hint="eastAsia" w:ascii="宋体" w:hAnsi="宋体" w:eastAsia="宋体" w:cs="宋体"/>
                <w:color w:val="000000"/>
                <w:szCs w:val="24"/>
                <w:vertAlign w:val="baseline"/>
                <w:lang w:val="en-US" w:eastAsia="zh-CN" w:bidi="ar"/>
              </w:rPr>
            </w:pPr>
            <w:r>
              <w:rPr>
                <w:rFonts w:hint="eastAsia" w:hAnsi="宋体" w:eastAsia="宋体" w:cs="宋体"/>
                <w:color w:val="000000"/>
                <w:szCs w:val="24"/>
                <w:vertAlign w:val="baseline"/>
                <w:lang w:val="en-US" w:eastAsia="zh-CN" w:bidi="ar"/>
              </w:rPr>
              <w:t>/</w:t>
            </w:r>
          </w:p>
        </w:tc>
      </w:tr>
    </w:tbl>
    <w:p w14:paraId="0CF17DDD">
      <w:pPr>
        <w:pStyle w:val="188"/>
        <w:rPr>
          <w:rFonts w:hint="eastAsia"/>
          <w:lang w:val="en-US" w:eastAsia="zh-CN"/>
        </w:rPr>
      </w:pPr>
      <w:r>
        <w:rPr>
          <w:rFonts w:hint="eastAsia"/>
          <w:lang w:val="en-US" w:eastAsia="zh-CN"/>
        </w:rPr>
        <w:t>4.1.8项目公用工程</w:t>
      </w:r>
    </w:p>
    <w:p w14:paraId="5227BDFD">
      <w:pPr>
        <w:pStyle w:val="282"/>
        <w:rPr>
          <w:rFonts w:hint="eastAsia" w:ascii="Times New Roman" w:hAnsi="Times New Roman"/>
          <w:b w:val="0"/>
          <w:bCs/>
        </w:rPr>
      </w:pPr>
      <w:r>
        <w:rPr>
          <w:rFonts w:hint="eastAsia"/>
          <w:b w:val="0"/>
          <w:bCs/>
          <w:lang w:val="en-US" w:eastAsia="zh-CN"/>
        </w:rPr>
        <w:t>4.1</w:t>
      </w:r>
      <w:r>
        <w:rPr>
          <w:rFonts w:hint="eastAsia" w:ascii="Times New Roman" w:hAnsi="Times New Roman"/>
          <w:b w:val="0"/>
          <w:bCs/>
          <w:lang w:val="en-US" w:eastAsia="zh-CN"/>
        </w:rPr>
        <w:t>.8.1</w:t>
      </w:r>
      <w:r>
        <w:rPr>
          <w:rFonts w:hint="eastAsia" w:ascii="Times New Roman" w:hAnsi="Times New Roman"/>
          <w:b w:val="0"/>
          <w:bCs/>
        </w:rPr>
        <w:t xml:space="preserve"> 供水</w:t>
      </w:r>
    </w:p>
    <w:p w14:paraId="0AA0027D">
      <w:pPr>
        <w:pStyle w:val="219"/>
        <w:ind w:firstLine="480"/>
        <w:rPr>
          <w:sz w:val="24"/>
        </w:rPr>
      </w:pPr>
      <w:r>
        <w:rPr>
          <w:sz w:val="24"/>
        </w:rPr>
        <w:t xml:space="preserve"> 项目</w:t>
      </w:r>
      <w:r>
        <w:rPr>
          <w:rFonts w:hint="eastAsia"/>
          <w:sz w:val="24"/>
        </w:rPr>
        <w:t>用水采用自来水，</w:t>
      </w:r>
      <w:r>
        <w:rPr>
          <w:rFonts w:hint="eastAsia"/>
          <w:sz w:val="24"/>
          <w:lang w:val="en-US" w:eastAsia="zh-CN"/>
        </w:rPr>
        <w:t>目前厂区</w:t>
      </w:r>
      <w:r>
        <w:rPr>
          <w:rFonts w:hint="eastAsia"/>
          <w:sz w:val="24"/>
        </w:rPr>
        <w:t>已经从附近</w:t>
      </w:r>
      <w:r>
        <w:rPr>
          <w:rFonts w:hint="eastAsia"/>
          <w:sz w:val="24"/>
          <w:lang w:val="en-US" w:eastAsia="zh-CN"/>
        </w:rPr>
        <w:t>西侧市政</w:t>
      </w:r>
      <w:r>
        <w:rPr>
          <w:rFonts w:hint="eastAsia"/>
          <w:sz w:val="24"/>
        </w:rPr>
        <w:t>供水管网接入，供厂区各个用水点，本项目依托现有的厂区供水设施，满足项目用水的需求。</w:t>
      </w:r>
      <w:r>
        <w:rPr>
          <w:sz w:val="24"/>
        </w:rPr>
        <w:t xml:space="preserve"> </w:t>
      </w:r>
    </w:p>
    <w:p w14:paraId="0FBDD521">
      <w:pPr>
        <w:pStyle w:val="282"/>
        <w:rPr>
          <w:rFonts w:hint="eastAsia" w:ascii="Times New Roman" w:hAnsi="Times New Roman"/>
          <w:b w:val="0"/>
          <w:bCs/>
        </w:rPr>
      </w:pPr>
      <w:r>
        <w:rPr>
          <w:rFonts w:hint="eastAsia"/>
          <w:b w:val="0"/>
          <w:bCs/>
          <w:lang w:val="en-US" w:eastAsia="zh-CN"/>
        </w:rPr>
        <w:t>4.1</w:t>
      </w:r>
      <w:r>
        <w:rPr>
          <w:rFonts w:hint="eastAsia" w:ascii="Times New Roman" w:hAnsi="Times New Roman"/>
          <w:b w:val="0"/>
          <w:bCs/>
          <w:lang w:val="en-US" w:eastAsia="zh-CN"/>
        </w:rPr>
        <w:t>.8.2</w:t>
      </w:r>
      <w:r>
        <w:rPr>
          <w:rFonts w:hint="eastAsia" w:ascii="Times New Roman" w:hAnsi="Times New Roman"/>
          <w:b w:val="0"/>
          <w:bCs/>
        </w:rPr>
        <w:t xml:space="preserve"> 排水</w:t>
      </w:r>
    </w:p>
    <w:p w14:paraId="218035ED">
      <w:pPr>
        <w:pStyle w:val="215"/>
        <w:rPr>
          <w:rFonts w:eastAsia="宋体"/>
          <w:lang w:val="en-US" w:eastAsia="zh-CN"/>
        </w:rPr>
      </w:pPr>
      <w:r>
        <w:rPr>
          <w:sz w:val="24"/>
        </w:rPr>
        <w:t xml:space="preserve"> 1、废水 </w:t>
      </w:r>
    </w:p>
    <w:p w14:paraId="40A357B7">
      <w:pPr>
        <w:pStyle w:val="219"/>
        <w:ind w:firstLine="480"/>
        <w:rPr>
          <w:sz w:val="24"/>
        </w:rPr>
      </w:pPr>
      <w:r>
        <w:rPr>
          <w:sz w:val="24"/>
        </w:rPr>
        <w:t xml:space="preserve">（1）生产废水 </w:t>
      </w:r>
    </w:p>
    <w:p w14:paraId="1F0E2FE6">
      <w:pPr>
        <w:pStyle w:val="219"/>
        <w:ind w:firstLine="720"/>
        <w:rPr>
          <w:rFonts w:eastAsia="宋体"/>
          <w:color w:val="000000"/>
          <w:sz w:val="24"/>
          <w:lang w:val="en-US" w:eastAsia="zh-CN"/>
        </w:rPr>
      </w:pPr>
      <w:r>
        <w:rPr>
          <w:color w:val="000000"/>
          <w:sz w:val="24"/>
        </w:rPr>
        <w:t>本项目</w:t>
      </w:r>
      <w:r>
        <w:rPr>
          <w:rFonts w:hint="eastAsia"/>
          <w:color w:val="000000"/>
          <w:sz w:val="24"/>
          <w:lang w:val="en-US" w:eastAsia="zh-CN"/>
        </w:rPr>
        <w:t>无</w:t>
      </w:r>
      <w:r>
        <w:rPr>
          <w:color w:val="000000"/>
          <w:sz w:val="24"/>
        </w:rPr>
        <w:t>生产废水</w:t>
      </w:r>
      <w:bookmarkStart w:id="102" w:name="_Hlk1209605"/>
      <w:r>
        <w:rPr>
          <w:rFonts w:hint="eastAsia"/>
          <w:color w:val="000000"/>
          <w:sz w:val="24"/>
          <w:lang w:eastAsia="zh-CN"/>
        </w:rPr>
        <w:t>，</w:t>
      </w:r>
      <w:r>
        <w:rPr>
          <w:rFonts w:hint="eastAsia"/>
          <w:color w:val="000000"/>
          <w:sz w:val="24"/>
          <w:lang w:val="en-US" w:eastAsia="zh-CN"/>
        </w:rPr>
        <w:t>只补不排。</w:t>
      </w:r>
    </w:p>
    <w:p w14:paraId="1EDE2AA8">
      <w:pPr>
        <w:pStyle w:val="219"/>
        <w:ind w:firstLine="480"/>
        <w:rPr>
          <w:color w:val="000000"/>
          <w:sz w:val="24"/>
        </w:rPr>
      </w:pPr>
      <w:r>
        <w:rPr>
          <w:color w:val="000000"/>
          <w:sz w:val="24"/>
        </w:rPr>
        <w:t xml:space="preserve">（2）生活污水 </w:t>
      </w:r>
    </w:p>
    <w:p w14:paraId="51495C76">
      <w:pPr>
        <w:pStyle w:val="219"/>
        <w:ind w:firstLine="480"/>
        <w:rPr>
          <w:rFonts w:hint="eastAsia"/>
          <w:color w:val="000000"/>
          <w:sz w:val="24"/>
          <w:lang w:val="en-US" w:eastAsia="zh-CN"/>
        </w:rPr>
      </w:pPr>
      <w:r>
        <w:rPr>
          <w:rFonts w:hint="eastAsia"/>
          <w:color w:val="000000"/>
          <w:sz w:val="24"/>
          <w:lang w:val="en-US" w:eastAsia="zh-CN"/>
        </w:rPr>
        <w:t>改扩建完成后，全厂共建设有6座化粪池，总容积为80m</w:t>
      </w:r>
      <w:r>
        <w:rPr>
          <w:rFonts w:hint="eastAsia"/>
          <w:color w:val="000000"/>
          <w:sz w:val="24"/>
          <w:vertAlign w:val="superscript"/>
          <w:lang w:val="en-US" w:eastAsia="zh-CN"/>
        </w:rPr>
        <w:t>3</w:t>
      </w:r>
      <w:r>
        <w:rPr>
          <w:rFonts w:hint="eastAsia"/>
          <w:color w:val="000000"/>
          <w:sz w:val="24"/>
          <w:lang w:val="en-US" w:eastAsia="zh-CN"/>
        </w:rPr>
        <w:t>，环评建议在食堂出水口增设1个隔油池进行预测后，同其他</w:t>
      </w:r>
      <w:r>
        <w:rPr>
          <w:rFonts w:hint="eastAsia"/>
          <w:color w:val="000000"/>
          <w:sz w:val="24"/>
        </w:rPr>
        <w:t>生活污水</w:t>
      </w:r>
      <w:r>
        <w:rPr>
          <w:color w:val="000000"/>
          <w:sz w:val="24"/>
        </w:rPr>
        <w:t>经</w:t>
      </w:r>
      <w:r>
        <w:rPr>
          <w:rFonts w:hint="eastAsia"/>
          <w:color w:val="000000"/>
          <w:sz w:val="24"/>
          <w:lang w:val="en-US" w:eastAsia="zh-CN"/>
        </w:rPr>
        <w:t>化粪池</w:t>
      </w:r>
      <w:r>
        <w:rPr>
          <w:color w:val="000000"/>
          <w:sz w:val="24"/>
        </w:rPr>
        <w:t>处理后</w:t>
      </w:r>
      <w:r>
        <w:rPr>
          <w:rFonts w:hint="eastAsia"/>
          <w:color w:val="000000"/>
          <w:sz w:val="24"/>
          <w:lang w:val="en-US" w:eastAsia="zh-CN"/>
        </w:rPr>
        <w:t>排入项目区西侧的市政管网，最终排入芒市污水处理厂集中处理。</w:t>
      </w:r>
    </w:p>
    <w:p w14:paraId="7414E989">
      <w:pPr>
        <w:pStyle w:val="219"/>
        <w:ind w:firstLine="480"/>
        <w:jc w:val="center"/>
        <w:rPr>
          <w:rFonts w:hint="eastAsia"/>
          <w:b/>
          <w:bCs/>
          <w:color w:val="000000"/>
          <w:sz w:val="24"/>
          <w:lang w:val="en-US" w:eastAsia="zh-CN"/>
        </w:rPr>
      </w:pPr>
      <w:r>
        <w:rPr>
          <w:rFonts w:hint="eastAsia"/>
          <w:b/>
          <w:bCs/>
          <w:color w:val="000000"/>
          <w:sz w:val="24"/>
          <w:lang w:val="en-US" w:eastAsia="zh-CN"/>
        </w:rPr>
        <w:t>表4.1-15化粪池的设置情况</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0"/>
        <w:gridCol w:w="2400"/>
        <w:gridCol w:w="1705"/>
        <w:gridCol w:w="1705"/>
        <w:gridCol w:w="810"/>
        <w:gridCol w:w="896"/>
      </w:tblGrid>
      <w:tr w14:paraId="007C8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noWrap w:val="0"/>
            <w:vAlign w:val="center"/>
          </w:tcPr>
          <w:p w14:paraId="637270A2">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序号</w:t>
            </w:r>
          </w:p>
        </w:tc>
        <w:tc>
          <w:tcPr>
            <w:tcW w:w="2400" w:type="dxa"/>
            <w:noWrap w:val="0"/>
            <w:vAlign w:val="center"/>
          </w:tcPr>
          <w:p w14:paraId="5CE86B8D">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化粪池位置</w:t>
            </w:r>
          </w:p>
        </w:tc>
        <w:tc>
          <w:tcPr>
            <w:tcW w:w="1705" w:type="dxa"/>
            <w:noWrap w:val="0"/>
            <w:vAlign w:val="center"/>
          </w:tcPr>
          <w:p w14:paraId="1889521F">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尺寸（长</w:t>
            </w:r>
            <w:r>
              <w:rPr>
                <w:color w:val="000000"/>
                <w:sz w:val="21"/>
                <w:szCs w:val="21"/>
                <w:lang w:val="en-US" w:eastAsia="zh-CN"/>
              </w:rPr>
              <w:t>×</w:t>
            </w:r>
            <w:r>
              <w:rPr>
                <w:rFonts w:hint="eastAsia"/>
                <w:color w:val="000000"/>
                <w:sz w:val="21"/>
                <w:szCs w:val="21"/>
                <w:lang w:val="en-US" w:eastAsia="zh-CN"/>
              </w:rPr>
              <w:t>宽</w:t>
            </w:r>
            <w:r>
              <w:rPr>
                <w:color w:val="000000"/>
                <w:sz w:val="21"/>
                <w:szCs w:val="21"/>
                <w:lang w:val="en-US" w:eastAsia="zh-CN"/>
              </w:rPr>
              <w:t>×</w:t>
            </w:r>
            <w:r>
              <w:rPr>
                <w:rFonts w:hint="eastAsia"/>
                <w:color w:val="000000"/>
                <w:sz w:val="21"/>
                <w:szCs w:val="21"/>
                <w:lang w:val="en-US" w:eastAsia="zh-CN"/>
              </w:rPr>
              <w:t>高）米</w:t>
            </w:r>
          </w:p>
        </w:tc>
        <w:tc>
          <w:tcPr>
            <w:tcW w:w="1705" w:type="dxa"/>
            <w:noWrap w:val="0"/>
            <w:vAlign w:val="center"/>
          </w:tcPr>
          <w:p w14:paraId="63A915BC">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数量</w:t>
            </w:r>
          </w:p>
        </w:tc>
        <w:tc>
          <w:tcPr>
            <w:tcW w:w="810" w:type="dxa"/>
            <w:noWrap w:val="0"/>
            <w:vAlign w:val="center"/>
          </w:tcPr>
          <w:p w14:paraId="78F936DE">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排放去向</w:t>
            </w:r>
          </w:p>
        </w:tc>
        <w:tc>
          <w:tcPr>
            <w:tcW w:w="896" w:type="dxa"/>
            <w:noWrap w:val="0"/>
            <w:vAlign w:val="center"/>
          </w:tcPr>
          <w:p w14:paraId="057F8E63">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生活污水量</w:t>
            </w:r>
          </w:p>
        </w:tc>
      </w:tr>
      <w:tr w14:paraId="3EAD8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noWrap w:val="0"/>
            <w:vAlign w:val="center"/>
          </w:tcPr>
          <w:p w14:paraId="25655A40">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1</w:t>
            </w:r>
          </w:p>
        </w:tc>
        <w:tc>
          <w:tcPr>
            <w:tcW w:w="2400" w:type="dxa"/>
            <w:noWrap w:val="0"/>
            <w:vAlign w:val="center"/>
          </w:tcPr>
          <w:p w14:paraId="54BD8E52">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员工宿舍厕所门口</w:t>
            </w:r>
          </w:p>
        </w:tc>
        <w:tc>
          <w:tcPr>
            <w:tcW w:w="1705" w:type="dxa"/>
            <w:noWrap w:val="0"/>
            <w:vAlign w:val="center"/>
          </w:tcPr>
          <w:p w14:paraId="3FD4A998">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2</w:t>
            </w:r>
            <w:r>
              <w:rPr>
                <w:color w:val="000000"/>
                <w:sz w:val="21"/>
                <w:szCs w:val="21"/>
                <w:lang w:val="en-US" w:eastAsia="zh-CN"/>
              </w:rPr>
              <w:t>×</w:t>
            </w:r>
            <w:r>
              <w:rPr>
                <w:rFonts w:hint="eastAsia"/>
                <w:color w:val="000000"/>
                <w:sz w:val="21"/>
                <w:szCs w:val="21"/>
                <w:lang w:val="en-US" w:eastAsia="zh-CN"/>
              </w:rPr>
              <w:t>3</w:t>
            </w:r>
            <w:r>
              <w:rPr>
                <w:color w:val="000000"/>
                <w:sz w:val="21"/>
                <w:szCs w:val="21"/>
                <w:lang w:val="en-US" w:eastAsia="zh-CN"/>
              </w:rPr>
              <w:t>×</w:t>
            </w:r>
            <w:r>
              <w:rPr>
                <w:rFonts w:hint="eastAsia"/>
                <w:color w:val="000000"/>
                <w:sz w:val="21"/>
                <w:szCs w:val="21"/>
                <w:lang w:val="en-US" w:eastAsia="zh-CN"/>
              </w:rPr>
              <w:t>2</w:t>
            </w:r>
          </w:p>
        </w:tc>
        <w:tc>
          <w:tcPr>
            <w:tcW w:w="1705" w:type="dxa"/>
            <w:noWrap w:val="0"/>
            <w:vAlign w:val="center"/>
          </w:tcPr>
          <w:p w14:paraId="5E7FB56E">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2</w:t>
            </w:r>
          </w:p>
        </w:tc>
        <w:tc>
          <w:tcPr>
            <w:tcW w:w="810" w:type="dxa"/>
            <w:vMerge w:val="restart"/>
            <w:noWrap w:val="0"/>
            <w:vAlign w:val="center"/>
          </w:tcPr>
          <w:p w14:paraId="1A88C6EA">
            <w:pPr>
              <w:pStyle w:val="219"/>
              <w:widowControl w:val="0"/>
              <w:ind w:left="0" w:firstLine="0"/>
              <w:jc w:val="center"/>
              <w:rPr>
                <w:color w:val="000000"/>
                <w:sz w:val="21"/>
                <w:szCs w:val="21"/>
                <w:vertAlign w:val="baseline"/>
                <w:lang w:val="en-US" w:eastAsia="zh-CN"/>
              </w:rPr>
            </w:pPr>
            <w:r>
              <w:rPr>
                <w:rFonts w:hint="eastAsia"/>
                <w:color w:val="000000"/>
                <w:sz w:val="21"/>
                <w:szCs w:val="21"/>
                <w:vertAlign w:val="baseline"/>
                <w:lang w:val="en-US" w:eastAsia="zh-CN"/>
              </w:rPr>
              <w:t>汇入市政污水管网</w:t>
            </w:r>
          </w:p>
        </w:tc>
        <w:tc>
          <w:tcPr>
            <w:tcW w:w="896" w:type="dxa"/>
            <w:vMerge w:val="restart"/>
            <w:noWrap w:val="0"/>
            <w:vAlign w:val="center"/>
          </w:tcPr>
          <w:p w14:paraId="44C3DB2B">
            <w:pPr>
              <w:pStyle w:val="219"/>
              <w:widowControl w:val="0"/>
              <w:ind w:left="0" w:firstLine="0"/>
              <w:jc w:val="center"/>
              <w:rPr>
                <w:color w:val="000000"/>
                <w:sz w:val="24"/>
                <w:vertAlign w:val="baseline"/>
                <w:lang w:val="en-US" w:eastAsia="zh-CN"/>
              </w:rPr>
            </w:pPr>
            <w:r>
              <w:rPr>
                <w:rFonts w:hint="eastAsia"/>
                <w:color w:val="000000"/>
                <w:sz w:val="21"/>
                <w:szCs w:val="21"/>
                <w:vertAlign w:val="baseline"/>
                <w:lang w:val="en-US" w:eastAsia="zh-CN"/>
              </w:rPr>
              <w:t>20.8m</w:t>
            </w:r>
            <w:r>
              <w:rPr>
                <w:rFonts w:hint="eastAsia"/>
                <w:color w:val="000000"/>
                <w:sz w:val="21"/>
                <w:szCs w:val="21"/>
                <w:vertAlign w:val="superscript"/>
                <w:lang w:val="en-US" w:eastAsia="zh-CN"/>
              </w:rPr>
              <w:t>3</w:t>
            </w:r>
            <w:r>
              <w:rPr>
                <w:rFonts w:hint="eastAsia"/>
                <w:color w:val="000000"/>
                <w:sz w:val="21"/>
                <w:szCs w:val="21"/>
                <w:vertAlign w:val="baseline"/>
                <w:lang w:val="en-US" w:eastAsia="zh-CN"/>
              </w:rPr>
              <w:t>/d</w:t>
            </w:r>
          </w:p>
        </w:tc>
      </w:tr>
      <w:tr w14:paraId="0A6A3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noWrap w:val="0"/>
            <w:vAlign w:val="center"/>
          </w:tcPr>
          <w:p w14:paraId="7749F7B8">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2</w:t>
            </w:r>
          </w:p>
        </w:tc>
        <w:tc>
          <w:tcPr>
            <w:tcW w:w="2400" w:type="dxa"/>
            <w:noWrap w:val="0"/>
            <w:vAlign w:val="center"/>
          </w:tcPr>
          <w:p w14:paraId="7402CEE2">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管理人员宿舍楼后</w:t>
            </w:r>
          </w:p>
        </w:tc>
        <w:tc>
          <w:tcPr>
            <w:tcW w:w="1705" w:type="dxa"/>
            <w:noWrap w:val="0"/>
            <w:vAlign w:val="center"/>
          </w:tcPr>
          <w:p w14:paraId="4BABDECB">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2</w:t>
            </w:r>
            <w:r>
              <w:rPr>
                <w:color w:val="000000"/>
                <w:sz w:val="21"/>
                <w:szCs w:val="21"/>
                <w:lang w:val="en-US" w:eastAsia="zh-CN"/>
              </w:rPr>
              <w:t>×</w:t>
            </w:r>
            <w:r>
              <w:rPr>
                <w:rFonts w:hint="eastAsia"/>
                <w:color w:val="000000"/>
                <w:sz w:val="21"/>
                <w:szCs w:val="21"/>
                <w:lang w:val="en-US" w:eastAsia="zh-CN"/>
              </w:rPr>
              <w:t>2</w:t>
            </w:r>
            <w:r>
              <w:rPr>
                <w:color w:val="000000"/>
                <w:sz w:val="21"/>
                <w:szCs w:val="21"/>
                <w:lang w:val="en-US" w:eastAsia="zh-CN"/>
              </w:rPr>
              <w:t>×</w:t>
            </w:r>
            <w:r>
              <w:rPr>
                <w:rFonts w:hint="eastAsia"/>
                <w:color w:val="000000"/>
                <w:sz w:val="21"/>
                <w:szCs w:val="21"/>
                <w:lang w:val="en-US" w:eastAsia="zh-CN"/>
              </w:rPr>
              <w:t>2</w:t>
            </w:r>
          </w:p>
        </w:tc>
        <w:tc>
          <w:tcPr>
            <w:tcW w:w="1705" w:type="dxa"/>
            <w:noWrap w:val="0"/>
            <w:vAlign w:val="center"/>
          </w:tcPr>
          <w:p w14:paraId="76201360">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1</w:t>
            </w:r>
          </w:p>
        </w:tc>
        <w:tc>
          <w:tcPr>
            <w:tcW w:w="810" w:type="dxa"/>
            <w:vMerge w:val="continue"/>
            <w:noWrap w:val="0"/>
            <w:vAlign w:val="top"/>
          </w:tcPr>
          <w:p w14:paraId="1FD96CA3">
            <w:pPr>
              <w:pStyle w:val="219"/>
              <w:widowControl w:val="0"/>
              <w:jc w:val="center"/>
              <w:rPr>
                <w:color w:val="FF0000"/>
                <w:sz w:val="21"/>
                <w:szCs w:val="21"/>
                <w:vertAlign w:val="baseline"/>
                <w:lang w:val="en-US" w:eastAsia="zh-CN"/>
              </w:rPr>
            </w:pPr>
          </w:p>
        </w:tc>
        <w:tc>
          <w:tcPr>
            <w:tcW w:w="896" w:type="dxa"/>
            <w:vMerge w:val="continue"/>
            <w:noWrap w:val="0"/>
            <w:vAlign w:val="top"/>
          </w:tcPr>
          <w:p w14:paraId="34E05C50">
            <w:pPr>
              <w:pStyle w:val="219"/>
              <w:widowControl w:val="0"/>
              <w:jc w:val="center"/>
              <w:rPr>
                <w:color w:val="FF0000"/>
                <w:sz w:val="24"/>
                <w:vertAlign w:val="baseline"/>
                <w:lang w:val="en-US" w:eastAsia="zh-CN"/>
              </w:rPr>
            </w:pPr>
          </w:p>
        </w:tc>
      </w:tr>
      <w:tr w14:paraId="000D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noWrap w:val="0"/>
            <w:vAlign w:val="center"/>
          </w:tcPr>
          <w:p w14:paraId="5EEF8EB3">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3</w:t>
            </w:r>
          </w:p>
        </w:tc>
        <w:tc>
          <w:tcPr>
            <w:tcW w:w="2400" w:type="dxa"/>
            <w:noWrap w:val="0"/>
            <w:vAlign w:val="center"/>
          </w:tcPr>
          <w:p w14:paraId="76D8B7CA">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车间厕所进口</w:t>
            </w:r>
          </w:p>
        </w:tc>
        <w:tc>
          <w:tcPr>
            <w:tcW w:w="1705" w:type="dxa"/>
            <w:noWrap w:val="0"/>
            <w:vAlign w:val="center"/>
          </w:tcPr>
          <w:p w14:paraId="59B1A7B3">
            <w:pPr>
              <w:widowControl w:val="0"/>
              <w:spacing w:line="276" w:lineRule="auto"/>
              <w:ind w:left="0" w:firstLine="0"/>
              <w:jc w:val="center"/>
              <w:rPr>
                <w:rFonts w:hint="eastAsia"/>
                <w:color w:val="000000"/>
                <w:sz w:val="21"/>
                <w:szCs w:val="21"/>
                <w:lang w:val="en-US" w:eastAsia="zh-CN"/>
              </w:rPr>
            </w:pPr>
            <w:r>
              <w:rPr>
                <w:rFonts w:hint="eastAsia"/>
                <w:color w:val="000000"/>
                <w:sz w:val="21"/>
                <w:szCs w:val="21"/>
                <w:lang w:val="en-US" w:eastAsia="zh-CN"/>
              </w:rPr>
              <w:t>3</w:t>
            </w:r>
            <w:r>
              <w:rPr>
                <w:color w:val="000000"/>
                <w:sz w:val="21"/>
                <w:szCs w:val="21"/>
                <w:lang w:val="en-US" w:eastAsia="zh-CN"/>
              </w:rPr>
              <w:t>×</w:t>
            </w:r>
            <w:r>
              <w:rPr>
                <w:rFonts w:hint="eastAsia"/>
                <w:color w:val="000000"/>
                <w:sz w:val="21"/>
                <w:szCs w:val="21"/>
                <w:lang w:val="en-US" w:eastAsia="zh-CN"/>
              </w:rPr>
              <w:t>4</w:t>
            </w:r>
            <w:r>
              <w:rPr>
                <w:color w:val="000000"/>
                <w:sz w:val="21"/>
                <w:szCs w:val="21"/>
                <w:lang w:val="en-US" w:eastAsia="zh-CN"/>
              </w:rPr>
              <w:t>×</w:t>
            </w:r>
            <w:r>
              <w:rPr>
                <w:rFonts w:hint="eastAsia"/>
                <w:color w:val="000000"/>
                <w:sz w:val="21"/>
                <w:szCs w:val="21"/>
                <w:lang w:val="en-US" w:eastAsia="zh-CN"/>
              </w:rPr>
              <w:t>2</w:t>
            </w:r>
          </w:p>
        </w:tc>
        <w:tc>
          <w:tcPr>
            <w:tcW w:w="1705" w:type="dxa"/>
            <w:noWrap w:val="0"/>
            <w:vAlign w:val="center"/>
          </w:tcPr>
          <w:p w14:paraId="69F4D617">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1</w:t>
            </w:r>
          </w:p>
        </w:tc>
        <w:tc>
          <w:tcPr>
            <w:tcW w:w="810" w:type="dxa"/>
            <w:vMerge w:val="continue"/>
            <w:noWrap w:val="0"/>
            <w:vAlign w:val="top"/>
          </w:tcPr>
          <w:p w14:paraId="392DEF64">
            <w:pPr>
              <w:pStyle w:val="219"/>
              <w:widowControl w:val="0"/>
              <w:jc w:val="center"/>
              <w:rPr>
                <w:color w:val="FF0000"/>
                <w:sz w:val="24"/>
                <w:vertAlign w:val="baseline"/>
                <w:lang w:val="en-US" w:eastAsia="zh-CN"/>
              </w:rPr>
            </w:pPr>
          </w:p>
        </w:tc>
        <w:tc>
          <w:tcPr>
            <w:tcW w:w="896" w:type="dxa"/>
            <w:vMerge w:val="continue"/>
            <w:noWrap w:val="0"/>
            <w:vAlign w:val="top"/>
          </w:tcPr>
          <w:p w14:paraId="6A0F082D">
            <w:pPr>
              <w:pStyle w:val="219"/>
              <w:widowControl w:val="0"/>
              <w:jc w:val="center"/>
              <w:rPr>
                <w:color w:val="FF0000"/>
                <w:sz w:val="24"/>
                <w:vertAlign w:val="baseline"/>
                <w:lang w:val="en-US" w:eastAsia="zh-CN"/>
              </w:rPr>
            </w:pPr>
          </w:p>
        </w:tc>
      </w:tr>
      <w:tr w14:paraId="4EFB2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noWrap w:val="0"/>
            <w:vAlign w:val="center"/>
          </w:tcPr>
          <w:p w14:paraId="6DB4A3D1">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4</w:t>
            </w:r>
          </w:p>
        </w:tc>
        <w:tc>
          <w:tcPr>
            <w:tcW w:w="2400" w:type="dxa"/>
            <w:noWrap w:val="0"/>
            <w:vAlign w:val="center"/>
          </w:tcPr>
          <w:p w14:paraId="26F3633D">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办公楼车库旁</w:t>
            </w:r>
          </w:p>
        </w:tc>
        <w:tc>
          <w:tcPr>
            <w:tcW w:w="1705" w:type="dxa"/>
            <w:noWrap w:val="0"/>
            <w:vAlign w:val="center"/>
          </w:tcPr>
          <w:p w14:paraId="566606B9">
            <w:pPr>
              <w:widowControl w:val="0"/>
              <w:spacing w:line="276" w:lineRule="auto"/>
              <w:ind w:left="0" w:firstLine="0"/>
              <w:jc w:val="center"/>
              <w:rPr>
                <w:rFonts w:hint="eastAsia"/>
                <w:color w:val="000000"/>
                <w:sz w:val="21"/>
                <w:szCs w:val="21"/>
                <w:lang w:val="en-US" w:eastAsia="zh-CN"/>
              </w:rPr>
            </w:pPr>
            <w:r>
              <w:rPr>
                <w:rFonts w:hint="eastAsia"/>
                <w:color w:val="000000"/>
                <w:sz w:val="21"/>
                <w:szCs w:val="21"/>
                <w:lang w:val="en-US" w:eastAsia="zh-CN"/>
              </w:rPr>
              <w:t>2</w:t>
            </w:r>
            <w:r>
              <w:rPr>
                <w:color w:val="000000"/>
                <w:sz w:val="21"/>
                <w:szCs w:val="21"/>
                <w:lang w:val="en-US" w:eastAsia="zh-CN"/>
              </w:rPr>
              <w:t>×</w:t>
            </w:r>
            <w:r>
              <w:rPr>
                <w:rFonts w:hint="eastAsia"/>
                <w:color w:val="000000"/>
                <w:sz w:val="21"/>
                <w:szCs w:val="21"/>
                <w:lang w:val="en-US" w:eastAsia="zh-CN"/>
              </w:rPr>
              <w:t>3</w:t>
            </w:r>
            <w:r>
              <w:rPr>
                <w:color w:val="000000"/>
                <w:sz w:val="21"/>
                <w:szCs w:val="21"/>
                <w:lang w:val="en-US" w:eastAsia="zh-CN"/>
              </w:rPr>
              <w:t>×</w:t>
            </w:r>
            <w:r>
              <w:rPr>
                <w:rFonts w:hint="eastAsia"/>
                <w:color w:val="000000"/>
                <w:sz w:val="21"/>
                <w:szCs w:val="21"/>
                <w:lang w:val="en-US" w:eastAsia="zh-CN"/>
              </w:rPr>
              <w:t>2</w:t>
            </w:r>
          </w:p>
        </w:tc>
        <w:tc>
          <w:tcPr>
            <w:tcW w:w="1705" w:type="dxa"/>
            <w:noWrap w:val="0"/>
            <w:vAlign w:val="center"/>
          </w:tcPr>
          <w:p w14:paraId="342041AD">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1</w:t>
            </w:r>
          </w:p>
        </w:tc>
        <w:tc>
          <w:tcPr>
            <w:tcW w:w="810" w:type="dxa"/>
            <w:vMerge w:val="continue"/>
            <w:noWrap w:val="0"/>
            <w:vAlign w:val="top"/>
          </w:tcPr>
          <w:p w14:paraId="0F65256A">
            <w:pPr>
              <w:pStyle w:val="219"/>
              <w:widowControl w:val="0"/>
              <w:jc w:val="center"/>
              <w:rPr>
                <w:color w:val="FF0000"/>
                <w:sz w:val="24"/>
                <w:vertAlign w:val="baseline"/>
                <w:lang w:val="en-US" w:eastAsia="zh-CN"/>
              </w:rPr>
            </w:pPr>
          </w:p>
        </w:tc>
        <w:tc>
          <w:tcPr>
            <w:tcW w:w="896" w:type="dxa"/>
            <w:vMerge w:val="continue"/>
            <w:noWrap w:val="0"/>
            <w:vAlign w:val="top"/>
          </w:tcPr>
          <w:p w14:paraId="1712DEB4">
            <w:pPr>
              <w:pStyle w:val="219"/>
              <w:widowControl w:val="0"/>
              <w:jc w:val="center"/>
              <w:rPr>
                <w:color w:val="FF0000"/>
                <w:sz w:val="24"/>
                <w:vertAlign w:val="baseline"/>
                <w:lang w:val="en-US" w:eastAsia="zh-CN"/>
              </w:rPr>
            </w:pPr>
          </w:p>
        </w:tc>
      </w:tr>
      <w:tr w14:paraId="4D2BE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noWrap w:val="0"/>
            <w:vAlign w:val="center"/>
          </w:tcPr>
          <w:p w14:paraId="09CAAAB4">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5</w:t>
            </w:r>
          </w:p>
        </w:tc>
        <w:tc>
          <w:tcPr>
            <w:tcW w:w="2400" w:type="dxa"/>
            <w:noWrap w:val="0"/>
            <w:vAlign w:val="center"/>
          </w:tcPr>
          <w:p w14:paraId="6416FB30">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磅秤房处</w:t>
            </w:r>
          </w:p>
        </w:tc>
        <w:tc>
          <w:tcPr>
            <w:tcW w:w="1705" w:type="dxa"/>
            <w:noWrap w:val="0"/>
            <w:vAlign w:val="center"/>
          </w:tcPr>
          <w:p w14:paraId="785179F9">
            <w:pPr>
              <w:widowControl w:val="0"/>
              <w:spacing w:line="276" w:lineRule="auto"/>
              <w:ind w:left="0" w:firstLine="0"/>
              <w:jc w:val="center"/>
              <w:rPr>
                <w:rFonts w:hint="eastAsia"/>
                <w:color w:val="000000"/>
                <w:sz w:val="21"/>
                <w:szCs w:val="21"/>
                <w:lang w:val="en-US" w:eastAsia="zh-CN"/>
              </w:rPr>
            </w:pPr>
            <w:r>
              <w:rPr>
                <w:rFonts w:hint="eastAsia"/>
                <w:color w:val="000000"/>
                <w:sz w:val="21"/>
                <w:szCs w:val="21"/>
                <w:lang w:val="en-US" w:eastAsia="zh-CN"/>
              </w:rPr>
              <w:t>3</w:t>
            </w:r>
            <w:r>
              <w:rPr>
                <w:color w:val="000000"/>
                <w:sz w:val="21"/>
                <w:szCs w:val="21"/>
                <w:lang w:val="en-US" w:eastAsia="zh-CN"/>
              </w:rPr>
              <w:t>×</w:t>
            </w:r>
            <w:r>
              <w:rPr>
                <w:rFonts w:hint="eastAsia"/>
                <w:color w:val="000000"/>
                <w:sz w:val="21"/>
                <w:szCs w:val="21"/>
                <w:lang w:val="en-US" w:eastAsia="zh-CN"/>
              </w:rPr>
              <w:t>4</w:t>
            </w:r>
            <w:r>
              <w:rPr>
                <w:color w:val="000000"/>
                <w:sz w:val="21"/>
                <w:szCs w:val="21"/>
                <w:lang w:val="en-US" w:eastAsia="zh-CN"/>
              </w:rPr>
              <w:t>×</w:t>
            </w:r>
            <w:r>
              <w:rPr>
                <w:rFonts w:hint="eastAsia"/>
                <w:color w:val="000000"/>
                <w:sz w:val="21"/>
                <w:szCs w:val="21"/>
                <w:lang w:val="en-US" w:eastAsia="zh-CN"/>
              </w:rPr>
              <w:t>2</w:t>
            </w:r>
          </w:p>
        </w:tc>
        <w:tc>
          <w:tcPr>
            <w:tcW w:w="1705" w:type="dxa"/>
            <w:noWrap w:val="0"/>
            <w:vAlign w:val="center"/>
          </w:tcPr>
          <w:p w14:paraId="56166E55">
            <w:pPr>
              <w:widowControl w:val="0"/>
              <w:spacing w:line="276" w:lineRule="auto"/>
              <w:ind w:left="0" w:firstLine="0"/>
              <w:jc w:val="center"/>
              <w:rPr>
                <w:color w:val="000000"/>
                <w:sz w:val="21"/>
                <w:szCs w:val="21"/>
                <w:lang w:val="en-US" w:eastAsia="zh-CN"/>
              </w:rPr>
            </w:pPr>
            <w:r>
              <w:rPr>
                <w:rFonts w:hint="eastAsia"/>
                <w:color w:val="000000"/>
                <w:sz w:val="21"/>
                <w:szCs w:val="21"/>
                <w:lang w:val="en-US" w:eastAsia="zh-CN"/>
              </w:rPr>
              <w:t>1</w:t>
            </w:r>
          </w:p>
        </w:tc>
        <w:tc>
          <w:tcPr>
            <w:tcW w:w="810" w:type="dxa"/>
            <w:vMerge w:val="continue"/>
            <w:noWrap w:val="0"/>
            <w:vAlign w:val="top"/>
          </w:tcPr>
          <w:p w14:paraId="760B8E5C">
            <w:pPr>
              <w:pStyle w:val="219"/>
              <w:widowControl w:val="0"/>
              <w:jc w:val="center"/>
              <w:rPr>
                <w:color w:val="FF0000"/>
                <w:sz w:val="24"/>
                <w:vertAlign w:val="baseline"/>
                <w:lang w:val="en-US" w:eastAsia="zh-CN"/>
              </w:rPr>
            </w:pPr>
          </w:p>
        </w:tc>
        <w:tc>
          <w:tcPr>
            <w:tcW w:w="896" w:type="dxa"/>
            <w:vMerge w:val="continue"/>
            <w:noWrap w:val="0"/>
            <w:vAlign w:val="top"/>
          </w:tcPr>
          <w:p w14:paraId="3C075B49">
            <w:pPr>
              <w:pStyle w:val="219"/>
              <w:widowControl w:val="0"/>
              <w:jc w:val="center"/>
              <w:rPr>
                <w:color w:val="FF0000"/>
                <w:sz w:val="24"/>
                <w:vertAlign w:val="baseline"/>
                <w:lang w:val="en-US" w:eastAsia="zh-CN"/>
              </w:rPr>
            </w:pPr>
          </w:p>
        </w:tc>
      </w:tr>
      <w:bookmarkEnd w:id="100"/>
    </w:tbl>
    <w:p w14:paraId="30CCECA7">
      <w:pPr>
        <w:pStyle w:val="219"/>
        <w:ind w:firstLine="480"/>
        <w:rPr>
          <w:color w:val="000000"/>
          <w:sz w:val="24"/>
        </w:rPr>
      </w:pPr>
      <w:r>
        <w:rPr>
          <w:color w:val="000000"/>
          <w:sz w:val="24"/>
        </w:rPr>
        <w:t xml:space="preserve">2、雨水 </w:t>
      </w:r>
    </w:p>
    <w:p w14:paraId="658FC4AE">
      <w:pPr>
        <w:pStyle w:val="219"/>
        <w:ind w:firstLine="480"/>
        <w:rPr>
          <w:color w:val="000000"/>
          <w:sz w:val="24"/>
        </w:rPr>
      </w:pPr>
      <w:r>
        <w:rPr>
          <w:color w:val="000000"/>
          <w:sz w:val="24"/>
        </w:rPr>
        <w:t>项目厂区建设雨污分流排水系统。项目厂区内构筑物屋顶、地坪雨水通过雨水沟（管）收集后排入</w:t>
      </w:r>
      <w:r>
        <w:rPr>
          <w:rFonts w:hint="eastAsia"/>
          <w:color w:val="000000"/>
          <w:sz w:val="24"/>
        </w:rPr>
        <w:t>项目区外的排水沟</w:t>
      </w:r>
      <w:r>
        <w:rPr>
          <w:color w:val="000000"/>
          <w:sz w:val="24"/>
        </w:rPr>
        <w:t>。</w:t>
      </w:r>
    </w:p>
    <w:p w14:paraId="01BEA558">
      <w:pPr>
        <w:pStyle w:val="282"/>
        <w:rPr>
          <w:rFonts w:hint="eastAsia" w:ascii="Times New Roman" w:hAnsi="Times New Roman"/>
          <w:b w:val="0"/>
          <w:bCs/>
        </w:rPr>
      </w:pPr>
      <w:r>
        <w:rPr>
          <w:rFonts w:hint="eastAsia"/>
          <w:b w:val="0"/>
          <w:bCs/>
          <w:lang w:val="en-US" w:eastAsia="zh-CN"/>
        </w:rPr>
        <w:t>4.1</w:t>
      </w:r>
      <w:r>
        <w:rPr>
          <w:rFonts w:hint="eastAsia" w:ascii="Times New Roman" w:hAnsi="Times New Roman"/>
          <w:b w:val="0"/>
          <w:bCs/>
          <w:lang w:val="en-US" w:eastAsia="zh-CN"/>
        </w:rPr>
        <w:t>.8.3</w:t>
      </w:r>
      <w:r>
        <w:rPr>
          <w:rFonts w:hint="eastAsia" w:ascii="Times New Roman" w:hAnsi="Times New Roman"/>
          <w:b w:val="0"/>
          <w:bCs/>
        </w:rPr>
        <w:t xml:space="preserve">供电 </w:t>
      </w:r>
    </w:p>
    <w:p w14:paraId="460F3D34">
      <w:pPr>
        <w:ind w:firstLine="480"/>
        <w:rPr>
          <w:rFonts w:hAnsi="宋体"/>
          <w:color w:val="FF0000"/>
          <w:sz w:val="24"/>
          <w:szCs w:val="24"/>
        </w:rPr>
      </w:pPr>
      <w:r>
        <w:rPr>
          <w:rFonts w:hint="eastAsia"/>
          <w:sz w:val="24"/>
          <w:szCs w:val="24"/>
          <w:lang w:val="en-US" w:eastAsia="zh-CN"/>
        </w:rPr>
        <w:t>改扩建完成后，全厂</w:t>
      </w:r>
      <w:r>
        <w:rPr>
          <w:sz w:val="24"/>
          <w:szCs w:val="24"/>
        </w:rPr>
        <w:t>用电</w:t>
      </w:r>
      <w:r>
        <w:rPr>
          <w:rFonts w:hint="eastAsia"/>
          <w:sz w:val="24"/>
          <w:szCs w:val="24"/>
          <w:lang w:val="en-US" w:eastAsia="zh-CN"/>
        </w:rPr>
        <w:t>量</w:t>
      </w:r>
      <w:r>
        <w:rPr>
          <w:rFonts w:hint="eastAsia" w:ascii="Times New Roman" w:hAnsi="Times New Roman" w:eastAsia="宋体" w:cs="Times New Roman"/>
          <w:sz w:val="24"/>
          <w:szCs w:val="24"/>
          <w:lang w:val="en-US" w:eastAsia="zh-CN"/>
        </w:rPr>
        <w:t>600</w:t>
      </w:r>
      <w:r>
        <w:rPr>
          <w:rFonts w:hint="eastAsia" w:ascii="Times New Roman" w:hAnsi="Times New Roman" w:eastAsia="宋体" w:cs="Times New Roman"/>
          <w:sz w:val="24"/>
          <w:szCs w:val="24"/>
        </w:rPr>
        <w:t>万</w:t>
      </w:r>
      <w:r>
        <w:rPr>
          <w:rFonts w:ascii="Times New Roman" w:hAnsi="Times New Roman" w:eastAsia="宋体" w:cs="Times New Roman"/>
          <w:sz w:val="24"/>
          <w:szCs w:val="24"/>
        </w:rPr>
        <w:t>kWh/a</w:t>
      </w:r>
      <w:r>
        <w:rPr>
          <w:sz w:val="24"/>
          <w:szCs w:val="24"/>
        </w:rPr>
        <w:t>，</w:t>
      </w:r>
      <w:r>
        <w:rPr>
          <w:rFonts w:hint="eastAsia"/>
          <w:sz w:val="24"/>
          <w:szCs w:val="24"/>
        </w:rPr>
        <w:t>目前</w:t>
      </w:r>
      <w:r>
        <w:rPr>
          <w:rFonts w:hint="eastAsia"/>
          <w:sz w:val="24"/>
          <w:szCs w:val="24"/>
          <w:lang w:val="en-US" w:eastAsia="zh-CN"/>
        </w:rPr>
        <w:t>厂区</w:t>
      </w:r>
      <w:r>
        <w:rPr>
          <w:rFonts w:hint="eastAsia"/>
          <w:sz w:val="24"/>
          <w:szCs w:val="24"/>
        </w:rPr>
        <w:t>供电已经</w:t>
      </w:r>
      <w:r>
        <w:rPr>
          <w:sz w:val="24"/>
          <w:szCs w:val="24"/>
        </w:rPr>
        <w:t xml:space="preserve">由 </w:t>
      </w:r>
      <w:r>
        <w:rPr>
          <w:rFonts w:hint="eastAsia"/>
          <w:sz w:val="24"/>
          <w:szCs w:val="24"/>
          <w:lang w:val="en-US" w:eastAsia="zh-CN"/>
        </w:rPr>
        <w:t>35</w:t>
      </w:r>
      <w:r>
        <w:rPr>
          <w:sz w:val="24"/>
          <w:szCs w:val="24"/>
        </w:rPr>
        <w:t>KV 市政电网接入，</w:t>
      </w:r>
      <w:r>
        <w:rPr>
          <w:rFonts w:hint="eastAsia"/>
          <w:sz w:val="24"/>
          <w:szCs w:val="24"/>
        </w:rPr>
        <w:t>依托现有</w:t>
      </w:r>
      <w:r>
        <w:rPr>
          <w:rFonts w:hint="eastAsia"/>
          <w:color w:val="000000"/>
          <w:sz w:val="24"/>
          <w:szCs w:val="24"/>
        </w:rPr>
        <w:t>的4台2900KVA变压器</w:t>
      </w:r>
      <w:r>
        <w:rPr>
          <w:rFonts w:hint="eastAsia"/>
          <w:color w:val="000000"/>
          <w:sz w:val="24"/>
          <w:szCs w:val="24"/>
          <w:lang w:val="en-US" w:eastAsia="zh-CN"/>
        </w:rPr>
        <w:t>配电后</w:t>
      </w:r>
      <w:r>
        <w:rPr>
          <w:rFonts w:hint="eastAsia"/>
          <w:color w:val="000000"/>
          <w:sz w:val="24"/>
          <w:szCs w:val="24"/>
        </w:rPr>
        <w:t>，</w:t>
      </w:r>
      <w:r>
        <w:rPr>
          <w:sz w:val="24"/>
          <w:szCs w:val="24"/>
        </w:rPr>
        <w:t>再分别送至厂区各用电单元。</w:t>
      </w:r>
      <w:r>
        <w:rPr>
          <w:rFonts w:hint="eastAsia" w:hAnsi="宋体"/>
          <w:sz w:val="24"/>
          <w:szCs w:val="24"/>
        </w:rPr>
        <w:t>设置</w:t>
      </w:r>
      <w:r>
        <w:rPr>
          <w:rFonts w:hint="eastAsia" w:hAnsi="宋体"/>
          <w:sz w:val="24"/>
          <w:szCs w:val="24"/>
          <w:lang w:val="en-US" w:eastAsia="zh-CN"/>
        </w:rPr>
        <w:t>1台</w:t>
      </w:r>
      <w:r>
        <w:rPr>
          <w:rFonts w:hint="eastAsia" w:hAnsi="宋体"/>
          <w:sz w:val="24"/>
          <w:szCs w:val="24"/>
        </w:rPr>
        <w:t>备用</w:t>
      </w:r>
      <w:r>
        <w:rPr>
          <w:rFonts w:hint="eastAsia" w:hAnsi="宋体"/>
          <w:sz w:val="24"/>
          <w:szCs w:val="24"/>
          <w:lang w:val="en-US" w:eastAsia="zh-CN"/>
        </w:rPr>
        <w:t>柴油发电机作为备用</w:t>
      </w:r>
      <w:r>
        <w:rPr>
          <w:rFonts w:hint="eastAsia" w:hAnsi="宋体"/>
          <w:sz w:val="24"/>
          <w:szCs w:val="24"/>
        </w:rPr>
        <w:t>能源，供电可靠，能够保证本项目的用电需求。</w:t>
      </w:r>
    </w:p>
    <w:p w14:paraId="69951F14">
      <w:pPr>
        <w:pStyle w:val="282"/>
        <w:rPr>
          <w:rFonts w:hint="eastAsia" w:ascii="Times New Roman" w:hAnsi="Times New Roman"/>
          <w:b w:val="0"/>
          <w:bCs/>
        </w:rPr>
      </w:pPr>
      <w:r>
        <w:rPr>
          <w:rFonts w:hint="eastAsia"/>
          <w:b w:val="0"/>
          <w:bCs/>
          <w:lang w:val="en-US" w:eastAsia="zh-CN"/>
        </w:rPr>
        <w:t>4.1</w:t>
      </w:r>
      <w:r>
        <w:rPr>
          <w:rFonts w:hint="eastAsia" w:ascii="Times New Roman" w:hAnsi="Times New Roman"/>
          <w:b w:val="0"/>
          <w:bCs/>
          <w:lang w:val="en-US" w:eastAsia="zh-CN"/>
        </w:rPr>
        <w:t>.8.4</w:t>
      </w:r>
      <w:r>
        <w:rPr>
          <w:rFonts w:hint="eastAsia" w:ascii="Times New Roman" w:hAnsi="Times New Roman"/>
          <w:b w:val="0"/>
          <w:bCs/>
        </w:rPr>
        <w:t xml:space="preserve"> 供热 </w:t>
      </w:r>
    </w:p>
    <w:p w14:paraId="49F8D7E3">
      <w:pPr>
        <w:pStyle w:val="219"/>
        <w:ind w:firstLine="480"/>
        <w:rPr>
          <w:color w:val="000000"/>
          <w:sz w:val="24"/>
        </w:rPr>
      </w:pPr>
      <w:r>
        <w:rPr>
          <w:rFonts w:hint="eastAsia" w:hAnsi="宋体"/>
          <w:color w:val="000000"/>
          <w:sz w:val="24"/>
        </w:rPr>
        <w:t>本项目不需要采暖，员工办公采用电、太阳能加热能供应热水。</w:t>
      </w:r>
      <w:r>
        <w:rPr>
          <w:color w:val="000000"/>
          <w:sz w:val="24"/>
        </w:rPr>
        <w:t>根据统计，</w:t>
      </w:r>
      <w:r>
        <w:rPr>
          <w:rFonts w:hint="eastAsia"/>
          <w:color w:val="000000"/>
          <w:sz w:val="24"/>
          <w:lang w:val="en-US" w:eastAsia="zh-CN"/>
        </w:rPr>
        <w:t>改扩建后</w:t>
      </w:r>
      <w:r>
        <w:rPr>
          <w:color w:val="000000"/>
          <w:sz w:val="24"/>
        </w:rPr>
        <w:t>生产期间用气量平均为</w:t>
      </w:r>
      <w:r>
        <w:rPr>
          <w:rFonts w:hint="eastAsia"/>
          <w:color w:val="000000"/>
          <w:sz w:val="24"/>
          <w:lang w:val="en-US" w:eastAsia="zh-CN"/>
        </w:rPr>
        <w:t>5</w:t>
      </w:r>
      <w:r>
        <w:rPr>
          <w:color w:val="000000"/>
          <w:sz w:val="24"/>
        </w:rPr>
        <w:t>t/h</w:t>
      </w:r>
      <w:r>
        <w:rPr>
          <w:rFonts w:hint="eastAsia"/>
          <w:color w:val="000000"/>
          <w:sz w:val="24"/>
        </w:rPr>
        <w:t>，</w:t>
      </w:r>
      <w:r>
        <w:rPr>
          <w:color w:val="000000"/>
          <w:sz w:val="24"/>
        </w:rPr>
        <w:t>项目内配备</w:t>
      </w:r>
      <w:r>
        <w:rPr>
          <w:rFonts w:hint="eastAsia"/>
          <w:color w:val="000000"/>
          <w:sz w:val="24"/>
        </w:rPr>
        <w:t>1</w:t>
      </w:r>
      <w:r>
        <w:rPr>
          <w:color w:val="000000"/>
          <w:sz w:val="24"/>
        </w:rPr>
        <w:t>台</w:t>
      </w:r>
      <w:r>
        <w:rPr>
          <w:rFonts w:hint="eastAsia"/>
          <w:color w:val="000000"/>
          <w:sz w:val="24"/>
          <w:lang w:val="en-US" w:eastAsia="zh-CN"/>
        </w:rPr>
        <w:t>6</w:t>
      </w:r>
      <w:r>
        <w:rPr>
          <w:color w:val="000000"/>
          <w:sz w:val="24"/>
        </w:rPr>
        <w:t>t/h 蒸汽锅炉</w:t>
      </w:r>
      <w:r>
        <w:rPr>
          <w:rFonts w:hint="eastAsia"/>
          <w:color w:val="000000"/>
          <w:sz w:val="24"/>
          <w:lang w:eastAsia="zh-CN"/>
        </w:rPr>
        <w:t>（</w:t>
      </w:r>
      <w:r>
        <w:rPr>
          <w:rFonts w:hint="eastAsia"/>
          <w:color w:val="000000"/>
          <w:sz w:val="24"/>
          <w:lang w:val="en-US" w:eastAsia="zh-CN"/>
        </w:rPr>
        <w:t>备用</w:t>
      </w:r>
      <w:r>
        <w:rPr>
          <w:rFonts w:hint="eastAsia"/>
          <w:color w:val="000000"/>
          <w:sz w:val="24"/>
          <w:lang w:eastAsia="zh-CN"/>
        </w:rPr>
        <w:t>）</w:t>
      </w:r>
      <w:r>
        <w:rPr>
          <w:rFonts w:hint="eastAsia"/>
          <w:color w:val="000000"/>
          <w:sz w:val="24"/>
          <w:lang w:val="en-US" w:eastAsia="zh-CN"/>
        </w:rPr>
        <w:t>和1台型号为</w:t>
      </w:r>
      <w:r>
        <w:rPr>
          <w:rFonts w:hint="eastAsia" w:ascii="Times New Roman" w:hAnsi="Times New Roman" w:eastAsia="宋体" w:cs="Times New Roman"/>
          <w:color w:val="000000"/>
          <w:sz w:val="21"/>
          <w:szCs w:val="22"/>
        </w:rPr>
        <w:t>YGL-12000</w:t>
      </w:r>
      <w:r>
        <w:rPr>
          <w:rFonts w:hint="eastAsia"/>
          <w:color w:val="000000"/>
          <w:sz w:val="24"/>
          <w:lang w:val="en-US" w:eastAsia="zh-CN"/>
        </w:rPr>
        <w:t>热载体炉作为热源</w:t>
      </w:r>
      <w:r>
        <w:rPr>
          <w:color w:val="000000"/>
          <w:sz w:val="24"/>
        </w:rPr>
        <w:t>。本项目锅炉燃料为</w:t>
      </w:r>
      <w:r>
        <w:rPr>
          <w:rFonts w:hint="eastAsia"/>
          <w:color w:val="000000"/>
          <w:sz w:val="24"/>
        </w:rPr>
        <w:t>生物质燃料</w:t>
      </w:r>
      <w:r>
        <w:rPr>
          <w:color w:val="000000"/>
          <w:sz w:val="24"/>
        </w:rPr>
        <w:t>，不使用燃煤。</w:t>
      </w:r>
    </w:p>
    <w:p w14:paraId="25A0FB26">
      <w:pPr>
        <w:pStyle w:val="282"/>
        <w:rPr>
          <w:rFonts w:hint="eastAsia" w:ascii="Times New Roman" w:hAnsi="Times New Roman"/>
          <w:b w:val="0"/>
          <w:bCs/>
        </w:rPr>
      </w:pPr>
      <w:r>
        <w:rPr>
          <w:rFonts w:hint="eastAsia"/>
          <w:b w:val="0"/>
          <w:bCs/>
          <w:lang w:val="en-US" w:eastAsia="zh-CN"/>
        </w:rPr>
        <w:t>4.1.</w:t>
      </w:r>
      <w:r>
        <w:rPr>
          <w:rFonts w:hint="eastAsia" w:ascii="Times New Roman" w:hAnsi="Times New Roman"/>
          <w:b w:val="0"/>
          <w:bCs/>
          <w:lang w:val="en-US" w:eastAsia="zh-CN"/>
        </w:rPr>
        <w:t>8.</w:t>
      </w:r>
      <w:r>
        <w:rPr>
          <w:rFonts w:hint="eastAsia" w:ascii="Times New Roman" w:hAnsi="Times New Roman"/>
          <w:b w:val="0"/>
          <w:bCs/>
        </w:rPr>
        <w:t>5消防系统</w:t>
      </w:r>
    </w:p>
    <w:p w14:paraId="783691A4">
      <w:pPr>
        <w:widowControl w:val="0"/>
        <w:ind w:firstLine="480"/>
        <w:rPr>
          <w:rFonts w:hint="eastAsia" w:ascii="黑体" w:hAnsi="黑体" w:eastAsia="黑体"/>
          <w:sz w:val="24"/>
          <w:szCs w:val="24"/>
        </w:rPr>
      </w:pPr>
      <w:r>
        <w:rPr>
          <w:rFonts w:hint="eastAsia" w:hAnsi="宋体"/>
          <w:sz w:val="24"/>
          <w:szCs w:val="24"/>
          <w:lang w:val="en-US" w:eastAsia="zh-CN"/>
        </w:rPr>
        <w:t>改扩建完成后，厂</w:t>
      </w:r>
      <w:r>
        <w:rPr>
          <w:rFonts w:hint="eastAsia" w:hAnsi="宋体"/>
          <w:color w:val="000000"/>
          <w:sz w:val="24"/>
          <w:szCs w:val="24"/>
          <w:lang w:val="en-US" w:eastAsia="zh-CN"/>
        </w:rPr>
        <w:t>区设置的1座</w:t>
      </w:r>
      <w:r>
        <w:rPr>
          <w:rFonts w:hint="eastAsia" w:hAnsi="宋体"/>
          <w:color w:val="000000"/>
          <w:sz w:val="24"/>
          <w:szCs w:val="24"/>
        </w:rPr>
        <w:t>消防水池（容积</w:t>
      </w:r>
      <w:r>
        <w:rPr>
          <w:rFonts w:hint="eastAsia" w:hAnsi="宋体"/>
          <w:color w:val="000000"/>
          <w:sz w:val="24"/>
          <w:szCs w:val="24"/>
          <w:lang w:val="en-US" w:eastAsia="zh-CN"/>
        </w:rPr>
        <w:t>600</w:t>
      </w:r>
      <w:r>
        <w:rPr>
          <w:rFonts w:hint="eastAsia" w:hAnsi="宋体"/>
          <w:color w:val="000000"/>
          <w:sz w:val="24"/>
          <w:szCs w:val="24"/>
        </w:rPr>
        <w:t>m</w:t>
      </w:r>
      <w:r>
        <w:rPr>
          <w:rFonts w:hint="eastAsia" w:hAnsi="宋体"/>
          <w:color w:val="000000"/>
          <w:sz w:val="24"/>
          <w:szCs w:val="24"/>
          <w:vertAlign w:val="superscript"/>
        </w:rPr>
        <w:t>3</w:t>
      </w:r>
      <w:r>
        <w:rPr>
          <w:rFonts w:hint="eastAsia" w:hAnsi="宋体"/>
          <w:color w:val="000000"/>
          <w:sz w:val="24"/>
          <w:szCs w:val="24"/>
        </w:rPr>
        <w:t>），</w:t>
      </w:r>
      <w:r>
        <w:rPr>
          <w:rFonts w:hint="eastAsia"/>
          <w:color w:val="000000"/>
          <w:sz w:val="24"/>
          <w:szCs w:val="24"/>
        </w:rPr>
        <w:t>并在各区域</w:t>
      </w:r>
      <w:r>
        <w:rPr>
          <w:color w:val="000000"/>
          <w:sz w:val="24"/>
          <w:szCs w:val="24"/>
        </w:rPr>
        <w:t>均配置</w:t>
      </w:r>
      <w:r>
        <w:rPr>
          <w:rFonts w:hint="eastAsia"/>
          <w:color w:val="000000"/>
          <w:sz w:val="24"/>
          <w:szCs w:val="24"/>
        </w:rPr>
        <w:t>手提式</w:t>
      </w:r>
      <w:r>
        <w:rPr>
          <w:color w:val="000000"/>
          <w:sz w:val="24"/>
          <w:szCs w:val="24"/>
        </w:rPr>
        <w:t>干粉灭火器，共设置</w:t>
      </w:r>
      <w:r>
        <w:rPr>
          <w:rFonts w:hint="eastAsia"/>
          <w:color w:val="000000"/>
          <w:sz w:val="24"/>
          <w:szCs w:val="24"/>
        </w:rPr>
        <w:t>250</w:t>
      </w:r>
      <w:r>
        <w:rPr>
          <w:color w:val="000000"/>
          <w:sz w:val="24"/>
          <w:szCs w:val="24"/>
        </w:rPr>
        <w:t>个</w:t>
      </w:r>
      <w:r>
        <w:rPr>
          <w:rFonts w:hint="eastAsia"/>
          <w:color w:val="000000"/>
          <w:sz w:val="24"/>
          <w:szCs w:val="24"/>
        </w:rPr>
        <w:t>，</w:t>
      </w:r>
      <w:r>
        <w:rPr>
          <w:color w:val="000000"/>
          <w:sz w:val="24"/>
          <w:szCs w:val="24"/>
        </w:rPr>
        <w:t>消防栓</w:t>
      </w:r>
      <w:r>
        <w:rPr>
          <w:rFonts w:hint="eastAsia"/>
          <w:color w:val="000000"/>
          <w:sz w:val="24"/>
          <w:szCs w:val="24"/>
        </w:rPr>
        <w:t>42个</w:t>
      </w:r>
      <w:r>
        <w:rPr>
          <w:color w:val="000000"/>
          <w:sz w:val="24"/>
          <w:szCs w:val="24"/>
        </w:rPr>
        <w:t>。</w:t>
      </w:r>
    </w:p>
    <w:p w14:paraId="56AD715A">
      <w:pPr>
        <w:pStyle w:val="282"/>
        <w:rPr>
          <w:rFonts w:hint="eastAsia" w:ascii="Times New Roman" w:hAnsi="Times New Roman"/>
          <w:b w:val="0"/>
          <w:bCs/>
        </w:rPr>
      </w:pPr>
      <w:r>
        <w:rPr>
          <w:rFonts w:hint="eastAsia"/>
          <w:b w:val="0"/>
          <w:bCs/>
          <w:lang w:val="en-US" w:eastAsia="zh-CN"/>
        </w:rPr>
        <w:t>4.1</w:t>
      </w:r>
      <w:r>
        <w:rPr>
          <w:rFonts w:hint="eastAsia" w:ascii="Times New Roman" w:hAnsi="Times New Roman"/>
          <w:b w:val="0"/>
          <w:bCs/>
          <w:lang w:val="en-US" w:eastAsia="zh-CN"/>
        </w:rPr>
        <w:t>.8.6</w:t>
      </w:r>
      <w:r>
        <w:rPr>
          <w:rFonts w:hint="eastAsia" w:ascii="Times New Roman" w:hAnsi="Times New Roman"/>
          <w:b w:val="0"/>
          <w:bCs/>
        </w:rPr>
        <w:t xml:space="preserve">运输 </w:t>
      </w:r>
    </w:p>
    <w:p w14:paraId="588C4F0E">
      <w:pPr>
        <w:pStyle w:val="219"/>
        <w:ind w:firstLine="480"/>
        <w:rPr>
          <w:rFonts w:hint="eastAsia"/>
          <w:bCs/>
          <w:spacing w:val="4"/>
          <w:sz w:val="24"/>
        </w:rPr>
      </w:pPr>
      <w:r>
        <w:rPr>
          <w:sz w:val="24"/>
        </w:rPr>
        <w:t>项目原料及产品厂外运输采用汽车运输，依靠社会运力解决。厂内运输主要为成品的转运和原料的转运，运输方式采用叉车和</w:t>
      </w:r>
      <w:r>
        <w:rPr>
          <w:rFonts w:hint="eastAsia"/>
          <w:sz w:val="24"/>
        </w:rPr>
        <w:t>装载机</w:t>
      </w:r>
      <w:r>
        <w:rPr>
          <w:sz w:val="24"/>
        </w:rPr>
        <w:t>运输。</w:t>
      </w:r>
    </w:p>
    <w:p w14:paraId="134573CF">
      <w:pPr>
        <w:pStyle w:val="188"/>
        <w:rPr>
          <w:rFonts w:hint="eastAsia"/>
          <w:lang w:val="en-US" w:eastAsia="zh-CN"/>
        </w:rPr>
      </w:pPr>
      <w:r>
        <w:rPr>
          <w:rFonts w:hint="eastAsia"/>
          <w:lang w:val="en-US" w:eastAsia="zh-CN"/>
        </w:rPr>
        <w:t>4.1.9员工及工作制度</w:t>
      </w:r>
    </w:p>
    <w:p w14:paraId="4340A653">
      <w:pPr>
        <w:pStyle w:val="219"/>
        <w:spacing w:after="0"/>
        <w:ind w:firstLine="496"/>
        <w:rPr>
          <w:rFonts w:eastAsia="宋体"/>
          <w:bCs/>
          <w:spacing w:val="4"/>
          <w:sz w:val="24"/>
          <w:lang w:val="en-US" w:eastAsia="zh-CN"/>
        </w:rPr>
      </w:pPr>
      <w:r>
        <w:rPr>
          <w:rFonts w:hint="eastAsia"/>
          <w:bCs/>
          <w:spacing w:val="4"/>
          <w:sz w:val="24"/>
        </w:rPr>
        <w:t>（1）劳动定员：</w:t>
      </w:r>
      <w:r>
        <w:rPr>
          <w:rFonts w:hint="eastAsia"/>
          <w:bCs/>
          <w:spacing w:val="4"/>
          <w:sz w:val="24"/>
          <w:lang w:val="en-US" w:eastAsia="zh-CN"/>
        </w:rPr>
        <w:t>改扩建完成后，全厂</w:t>
      </w:r>
      <w:r>
        <w:rPr>
          <w:bCs/>
          <w:spacing w:val="4"/>
          <w:sz w:val="24"/>
        </w:rPr>
        <w:t>定员为</w:t>
      </w:r>
      <w:r>
        <w:rPr>
          <w:rFonts w:hint="eastAsia"/>
          <w:bCs/>
          <w:spacing w:val="4"/>
          <w:sz w:val="24"/>
        </w:rPr>
        <w:t>300</w:t>
      </w:r>
      <w:r>
        <w:rPr>
          <w:bCs/>
          <w:spacing w:val="4"/>
          <w:sz w:val="24"/>
        </w:rPr>
        <w:t>人（其中管理人员和技术人员</w:t>
      </w:r>
      <w:r>
        <w:rPr>
          <w:rFonts w:hint="eastAsia"/>
          <w:bCs/>
          <w:spacing w:val="4"/>
          <w:sz w:val="24"/>
        </w:rPr>
        <w:t>40</w:t>
      </w:r>
      <w:r>
        <w:rPr>
          <w:bCs/>
          <w:spacing w:val="4"/>
          <w:sz w:val="24"/>
        </w:rPr>
        <w:t>人）</w:t>
      </w:r>
      <w:r>
        <w:rPr>
          <w:rFonts w:hint="eastAsia"/>
          <w:bCs/>
          <w:spacing w:val="4"/>
          <w:sz w:val="24"/>
        </w:rPr>
        <w:t>，</w:t>
      </w:r>
      <w:r>
        <w:rPr>
          <w:bCs/>
          <w:spacing w:val="4"/>
          <w:sz w:val="24"/>
        </w:rPr>
        <w:t>约</w:t>
      </w:r>
      <w:r>
        <w:rPr>
          <w:rFonts w:hint="eastAsia"/>
          <w:bCs/>
          <w:spacing w:val="4"/>
          <w:sz w:val="24"/>
        </w:rPr>
        <w:t>200</w:t>
      </w:r>
      <w:r>
        <w:rPr>
          <w:bCs/>
          <w:spacing w:val="4"/>
          <w:sz w:val="24"/>
        </w:rPr>
        <w:t>人在项目内食宿，其余</w:t>
      </w:r>
      <w:r>
        <w:rPr>
          <w:rFonts w:hint="eastAsia"/>
          <w:bCs/>
          <w:spacing w:val="4"/>
          <w:sz w:val="24"/>
        </w:rPr>
        <w:t>员工为附近村民，</w:t>
      </w:r>
      <w:r>
        <w:rPr>
          <w:bCs/>
          <w:spacing w:val="4"/>
          <w:sz w:val="24"/>
        </w:rPr>
        <w:t>不在项目内食宿。</w:t>
      </w:r>
    </w:p>
    <w:p w14:paraId="08D609A8">
      <w:pPr>
        <w:pStyle w:val="219"/>
        <w:spacing w:after="0"/>
        <w:ind w:firstLine="496"/>
        <w:rPr>
          <w:bCs/>
          <w:spacing w:val="4"/>
          <w:sz w:val="24"/>
        </w:rPr>
      </w:pPr>
      <w:r>
        <w:rPr>
          <w:rFonts w:hint="eastAsia"/>
          <w:bCs/>
          <w:spacing w:val="4"/>
          <w:sz w:val="24"/>
        </w:rPr>
        <w:t>（2）工作制度：</w:t>
      </w:r>
      <w:r>
        <w:rPr>
          <w:bCs/>
          <w:spacing w:val="4"/>
          <w:sz w:val="24"/>
        </w:rPr>
        <w:t>年工作</w:t>
      </w:r>
      <w:r>
        <w:rPr>
          <w:rFonts w:hint="eastAsia"/>
          <w:bCs/>
          <w:spacing w:val="4"/>
          <w:sz w:val="24"/>
        </w:rPr>
        <w:t>300</w:t>
      </w:r>
      <w:r>
        <w:rPr>
          <w:bCs/>
          <w:spacing w:val="4"/>
          <w:sz w:val="24"/>
        </w:rPr>
        <w:t>日，每日3班，每班8小时。</w:t>
      </w:r>
    </w:p>
    <w:p w14:paraId="1671BAC5">
      <w:pPr>
        <w:pStyle w:val="219"/>
        <w:spacing w:after="0"/>
        <w:ind w:firstLine="496"/>
        <w:rPr>
          <w:rFonts w:hint="eastAsia"/>
          <w:lang w:val="en-US" w:eastAsia="zh-CN"/>
        </w:rPr>
      </w:pPr>
      <w:r>
        <w:rPr>
          <w:rFonts w:hint="eastAsia"/>
          <w:bCs/>
          <w:spacing w:val="4"/>
          <w:sz w:val="24"/>
          <w:lang w:val="en-US" w:eastAsia="zh-CN"/>
        </w:rPr>
        <w:t>与原有项目相比劳动人员增加了100人，工作制度不变。</w:t>
      </w:r>
    </w:p>
    <w:p w14:paraId="210C4F1C">
      <w:pPr>
        <w:pStyle w:val="188"/>
        <w:rPr>
          <w:rFonts w:hint="eastAsia"/>
          <w:lang w:val="en-US" w:eastAsia="zh-CN"/>
        </w:rPr>
      </w:pPr>
      <w:r>
        <w:rPr>
          <w:rFonts w:hint="eastAsia"/>
          <w:lang w:val="en-US" w:eastAsia="zh-CN"/>
        </w:rPr>
        <w:t>4.1.10施工进度</w:t>
      </w:r>
    </w:p>
    <w:p w14:paraId="6342FE05">
      <w:pPr>
        <w:ind w:firstLine="480"/>
      </w:pPr>
      <w:bookmarkStart w:id="103" w:name="_Toc27475"/>
      <w:r>
        <w:rPr>
          <w:rFonts w:hint="eastAsia"/>
        </w:rPr>
        <w:t>项目已经改扩建完毕，仅需要对存在的</w:t>
      </w:r>
      <w:r>
        <w:rPr>
          <w:rFonts w:hint="eastAsia"/>
          <w:lang w:val="en-US" w:eastAsia="zh-CN"/>
        </w:rPr>
        <w:t>环境污染</w:t>
      </w:r>
      <w:r>
        <w:rPr>
          <w:rFonts w:hint="eastAsia"/>
        </w:rPr>
        <w:t>问题进行施工改造，预计2020年12月份改造完毕。</w:t>
      </w:r>
    </w:p>
    <w:p w14:paraId="49E7F5C6">
      <w:pPr>
        <w:pStyle w:val="188"/>
        <w:rPr>
          <w:rFonts w:hint="eastAsia"/>
          <w:lang w:val="en-US" w:eastAsia="zh-CN"/>
        </w:rPr>
      </w:pPr>
      <w:r>
        <w:rPr>
          <w:rFonts w:hint="eastAsia"/>
          <w:lang w:val="en-US" w:eastAsia="zh-CN"/>
        </w:rPr>
        <w:t>4.1.11主要经济技术指标</w:t>
      </w:r>
      <w:bookmarkEnd w:id="101"/>
    </w:p>
    <w:p w14:paraId="5D0C94EE">
      <w:pPr>
        <w:pStyle w:val="433"/>
        <w:spacing w:before="120" w:line="240" w:lineRule="auto"/>
        <w:ind w:firstLine="0"/>
        <w:jc w:val="center"/>
        <w:rPr>
          <w:b/>
          <w:szCs w:val="24"/>
        </w:rPr>
      </w:pPr>
      <w:r>
        <w:rPr>
          <w:b/>
          <w:szCs w:val="24"/>
        </w:rPr>
        <w:t>表</w:t>
      </w:r>
      <w:r>
        <w:rPr>
          <w:rFonts w:hint="eastAsia" w:eastAsia="宋体"/>
          <w:b/>
          <w:szCs w:val="24"/>
          <w:lang w:val="en-US" w:eastAsia="zh-CN"/>
        </w:rPr>
        <w:t>4.1-16</w:t>
      </w:r>
      <w:r>
        <w:rPr>
          <w:b/>
          <w:szCs w:val="24"/>
        </w:rPr>
        <w:t xml:space="preserve">   主要技术及经济指标一览表</w:t>
      </w:r>
    </w:p>
    <w:tbl>
      <w:tblPr>
        <w:tblStyle w:val="32"/>
        <w:tblW w:w="8748"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948"/>
        <w:gridCol w:w="2760"/>
        <w:gridCol w:w="1620"/>
        <w:gridCol w:w="1440"/>
        <w:gridCol w:w="1980"/>
      </w:tblGrid>
      <w:tr w14:paraId="2230D42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403CAE23">
            <w:pPr>
              <w:ind w:firstLine="0"/>
              <w:jc w:val="center"/>
              <w:rPr>
                <w:rFonts w:hAnsi="宋体"/>
                <w:b/>
                <w:bCs/>
                <w:sz w:val="21"/>
                <w:szCs w:val="21"/>
              </w:rPr>
            </w:pPr>
            <w:r>
              <w:rPr>
                <w:rFonts w:hAnsi="宋体"/>
                <w:b/>
                <w:bCs/>
                <w:sz w:val="21"/>
                <w:szCs w:val="21"/>
              </w:rPr>
              <w:t>序号</w:t>
            </w:r>
          </w:p>
        </w:tc>
        <w:tc>
          <w:tcPr>
            <w:tcW w:w="2760" w:type="dxa"/>
            <w:noWrap w:val="0"/>
            <w:vAlign w:val="center"/>
          </w:tcPr>
          <w:p w14:paraId="585B934F">
            <w:pPr>
              <w:ind w:firstLine="0"/>
              <w:jc w:val="center"/>
              <w:rPr>
                <w:rFonts w:hAnsi="宋体"/>
                <w:b/>
                <w:bCs/>
                <w:sz w:val="21"/>
                <w:szCs w:val="21"/>
              </w:rPr>
            </w:pPr>
            <w:r>
              <w:rPr>
                <w:rFonts w:hAnsi="宋体"/>
                <w:b/>
                <w:bCs/>
                <w:sz w:val="21"/>
                <w:szCs w:val="21"/>
              </w:rPr>
              <w:t>项目名称</w:t>
            </w:r>
          </w:p>
        </w:tc>
        <w:tc>
          <w:tcPr>
            <w:tcW w:w="1620" w:type="dxa"/>
            <w:noWrap w:val="0"/>
            <w:vAlign w:val="center"/>
          </w:tcPr>
          <w:p w14:paraId="4DD3C4D5">
            <w:pPr>
              <w:ind w:firstLine="0"/>
              <w:jc w:val="center"/>
              <w:rPr>
                <w:rFonts w:hAnsi="宋体"/>
                <w:b/>
                <w:bCs/>
                <w:sz w:val="21"/>
                <w:szCs w:val="21"/>
              </w:rPr>
            </w:pPr>
            <w:r>
              <w:rPr>
                <w:rFonts w:hAnsi="宋体"/>
                <w:b/>
                <w:bCs/>
                <w:sz w:val="21"/>
                <w:szCs w:val="21"/>
              </w:rPr>
              <w:t>单  位</w:t>
            </w:r>
          </w:p>
        </w:tc>
        <w:tc>
          <w:tcPr>
            <w:tcW w:w="1440" w:type="dxa"/>
            <w:noWrap w:val="0"/>
            <w:vAlign w:val="center"/>
          </w:tcPr>
          <w:p w14:paraId="5D0AF35C">
            <w:pPr>
              <w:ind w:firstLine="0"/>
              <w:jc w:val="center"/>
              <w:rPr>
                <w:rFonts w:hAnsi="宋体"/>
                <w:b/>
                <w:bCs/>
                <w:sz w:val="21"/>
                <w:szCs w:val="21"/>
              </w:rPr>
            </w:pPr>
            <w:r>
              <w:rPr>
                <w:rFonts w:hAnsi="宋体"/>
                <w:b/>
                <w:bCs/>
                <w:sz w:val="21"/>
                <w:szCs w:val="21"/>
              </w:rPr>
              <w:t>数量</w:t>
            </w:r>
          </w:p>
        </w:tc>
        <w:tc>
          <w:tcPr>
            <w:tcW w:w="1980" w:type="dxa"/>
            <w:noWrap w:val="0"/>
            <w:vAlign w:val="center"/>
          </w:tcPr>
          <w:p w14:paraId="6C13629A">
            <w:pPr>
              <w:ind w:firstLine="0"/>
              <w:jc w:val="center"/>
              <w:rPr>
                <w:b/>
                <w:bCs/>
                <w:sz w:val="21"/>
                <w:szCs w:val="21"/>
              </w:rPr>
            </w:pPr>
            <w:r>
              <w:rPr>
                <w:rFonts w:hAnsi="宋体"/>
                <w:b/>
                <w:bCs/>
                <w:sz w:val="21"/>
                <w:szCs w:val="21"/>
              </w:rPr>
              <w:t>备注</w:t>
            </w:r>
          </w:p>
        </w:tc>
      </w:tr>
      <w:tr w14:paraId="7DCF3C3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2805BCAA">
            <w:pPr>
              <w:ind w:firstLine="0"/>
              <w:jc w:val="center"/>
              <w:rPr>
                <w:rFonts w:hAnsi="宋体"/>
                <w:sz w:val="21"/>
                <w:szCs w:val="21"/>
              </w:rPr>
            </w:pPr>
            <w:r>
              <w:rPr>
                <w:rFonts w:hAnsi="宋体"/>
                <w:sz w:val="21"/>
                <w:szCs w:val="21"/>
              </w:rPr>
              <w:t>1</w:t>
            </w:r>
          </w:p>
        </w:tc>
        <w:tc>
          <w:tcPr>
            <w:tcW w:w="2760" w:type="dxa"/>
            <w:noWrap w:val="0"/>
            <w:vAlign w:val="center"/>
          </w:tcPr>
          <w:p w14:paraId="60131938">
            <w:pPr>
              <w:ind w:firstLine="0"/>
              <w:jc w:val="center"/>
              <w:rPr>
                <w:rFonts w:hAnsi="宋体"/>
                <w:sz w:val="21"/>
                <w:szCs w:val="21"/>
              </w:rPr>
            </w:pPr>
            <w:r>
              <w:rPr>
                <w:rFonts w:hAnsi="宋体"/>
                <w:sz w:val="21"/>
                <w:szCs w:val="21"/>
              </w:rPr>
              <w:t>生产规模</w:t>
            </w:r>
          </w:p>
        </w:tc>
        <w:tc>
          <w:tcPr>
            <w:tcW w:w="1620" w:type="dxa"/>
            <w:noWrap w:val="0"/>
            <w:vAlign w:val="center"/>
          </w:tcPr>
          <w:p w14:paraId="15D26A29">
            <w:pPr>
              <w:ind w:firstLine="0"/>
              <w:jc w:val="center"/>
              <w:rPr>
                <w:rFonts w:hAnsi="宋体"/>
                <w:sz w:val="21"/>
                <w:szCs w:val="21"/>
              </w:rPr>
            </w:pPr>
          </w:p>
        </w:tc>
        <w:tc>
          <w:tcPr>
            <w:tcW w:w="1440" w:type="dxa"/>
            <w:noWrap w:val="0"/>
            <w:vAlign w:val="center"/>
          </w:tcPr>
          <w:p w14:paraId="24D4168E">
            <w:pPr>
              <w:ind w:firstLine="0"/>
              <w:jc w:val="center"/>
              <w:rPr>
                <w:rFonts w:hAnsi="宋体"/>
                <w:sz w:val="21"/>
                <w:szCs w:val="21"/>
              </w:rPr>
            </w:pPr>
          </w:p>
        </w:tc>
        <w:tc>
          <w:tcPr>
            <w:tcW w:w="1980" w:type="dxa"/>
            <w:noWrap w:val="0"/>
            <w:vAlign w:val="center"/>
          </w:tcPr>
          <w:p w14:paraId="3C56D165">
            <w:pPr>
              <w:ind w:firstLine="420"/>
              <w:jc w:val="center"/>
              <w:rPr>
                <w:sz w:val="21"/>
                <w:szCs w:val="21"/>
              </w:rPr>
            </w:pPr>
          </w:p>
        </w:tc>
      </w:tr>
      <w:tr w14:paraId="3DD7731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08DC44D4">
            <w:pPr>
              <w:ind w:firstLine="0"/>
              <w:jc w:val="center"/>
              <w:rPr>
                <w:rFonts w:hAnsi="宋体"/>
                <w:sz w:val="21"/>
                <w:szCs w:val="21"/>
              </w:rPr>
            </w:pPr>
            <w:r>
              <w:rPr>
                <w:rFonts w:hAnsi="宋体"/>
                <w:sz w:val="21"/>
                <w:szCs w:val="21"/>
              </w:rPr>
              <w:t>1.</w:t>
            </w:r>
            <w:r>
              <w:rPr>
                <w:rFonts w:hint="eastAsia" w:hAnsi="宋体"/>
                <w:sz w:val="21"/>
                <w:szCs w:val="21"/>
              </w:rPr>
              <w:t>1</w:t>
            </w:r>
          </w:p>
        </w:tc>
        <w:tc>
          <w:tcPr>
            <w:tcW w:w="2760" w:type="dxa"/>
            <w:noWrap w:val="0"/>
            <w:vAlign w:val="center"/>
          </w:tcPr>
          <w:p w14:paraId="4FBB1986">
            <w:pPr>
              <w:pStyle w:val="219"/>
              <w:widowControl w:val="0"/>
              <w:ind w:firstLine="0"/>
              <w:jc w:val="center"/>
              <w:rPr>
                <w:rFonts w:hint="eastAsia" w:hAnsi="宋体"/>
                <w:sz w:val="21"/>
                <w:szCs w:val="21"/>
              </w:rPr>
            </w:pPr>
            <w:r>
              <w:rPr>
                <w:rFonts w:hint="eastAsia"/>
                <w:bCs/>
                <w:color w:val="000000"/>
                <w:spacing w:val="4"/>
                <w:szCs w:val="21"/>
              </w:rPr>
              <w:t>竹木复合地板</w:t>
            </w:r>
          </w:p>
        </w:tc>
        <w:tc>
          <w:tcPr>
            <w:tcW w:w="1620" w:type="dxa"/>
            <w:noWrap w:val="0"/>
            <w:vAlign w:val="center"/>
          </w:tcPr>
          <w:p w14:paraId="1962515F">
            <w:pPr>
              <w:ind w:firstLine="0"/>
              <w:jc w:val="center"/>
              <w:rPr>
                <w:rFonts w:hAnsi="宋体"/>
                <w:sz w:val="21"/>
                <w:szCs w:val="21"/>
              </w:rPr>
            </w:pPr>
            <w:r>
              <w:rPr>
                <w:rFonts w:hint="eastAsia" w:hAnsi="宋体"/>
                <w:sz w:val="21"/>
                <w:szCs w:val="21"/>
                <w:lang w:val="en-US" w:eastAsia="zh-CN"/>
              </w:rPr>
              <w:t>万立方米</w:t>
            </w:r>
            <w:r>
              <w:rPr>
                <w:rFonts w:hAnsi="宋体"/>
                <w:sz w:val="21"/>
                <w:szCs w:val="21"/>
              </w:rPr>
              <w:t>/a</w:t>
            </w:r>
          </w:p>
        </w:tc>
        <w:tc>
          <w:tcPr>
            <w:tcW w:w="1440" w:type="dxa"/>
            <w:noWrap w:val="0"/>
            <w:vAlign w:val="center"/>
          </w:tcPr>
          <w:p w14:paraId="1F52595D">
            <w:pPr>
              <w:ind w:firstLine="0"/>
              <w:jc w:val="center"/>
              <w:rPr>
                <w:rFonts w:hAnsi="宋体" w:eastAsia="宋体"/>
                <w:sz w:val="21"/>
                <w:szCs w:val="21"/>
                <w:lang w:val="en-US" w:eastAsia="zh-CN"/>
              </w:rPr>
            </w:pPr>
            <w:r>
              <w:rPr>
                <w:rFonts w:hint="eastAsia" w:hAnsi="宋体"/>
                <w:sz w:val="21"/>
                <w:szCs w:val="21"/>
                <w:lang w:val="en-US" w:eastAsia="zh-CN"/>
              </w:rPr>
              <w:t>3.0</w:t>
            </w:r>
          </w:p>
        </w:tc>
        <w:tc>
          <w:tcPr>
            <w:tcW w:w="1980" w:type="dxa"/>
            <w:noWrap w:val="0"/>
            <w:vAlign w:val="center"/>
          </w:tcPr>
          <w:p w14:paraId="3B7AAFC0">
            <w:pPr>
              <w:ind w:firstLine="420"/>
              <w:jc w:val="center"/>
              <w:rPr>
                <w:sz w:val="21"/>
                <w:szCs w:val="21"/>
              </w:rPr>
            </w:pPr>
          </w:p>
        </w:tc>
      </w:tr>
      <w:tr w14:paraId="369112F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3A49B8A5">
            <w:pPr>
              <w:ind w:firstLine="0"/>
              <w:jc w:val="center"/>
              <w:rPr>
                <w:rFonts w:hAnsi="宋体" w:eastAsia="宋体"/>
                <w:sz w:val="21"/>
                <w:szCs w:val="21"/>
                <w:lang w:val="en-US" w:eastAsia="zh-CN"/>
              </w:rPr>
            </w:pPr>
            <w:r>
              <w:rPr>
                <w:rFonts w:hint="eastAsia" w:hAnsi="宋体"/>
                <w:sz w:val="21"/>
                <w:szCs w:val="21"/>
                <w:lang w:val="en-US" w:eastAsia="zh-CN"/>
              </w:rPr>
              <w:t>1.2</w:t>
            </w:r>
          </w:p>
        </w:tc>
        <w:tc>
          <w:tcPr>
            <w:tcW w:w="2760" w:type="dxa"/>
            <w:noWrap w:val="0"/>
            <w:vAlign w:val="center"/>
          </w:tcPr>
          <w:p w14:paraId="4543D9BE">
            <w:pPr>
              <w:pStyle w:val="219"/>
              <w:widowControl w:val="0"/>
              <w:ind w:firstLine="0"/>
              <w:jc w:val="center"/>
              <w:rPr>
                <w:rFonts w:hint="eastAsia" w:hAnsi="宋体"/>
                <w:sz w:val="21"/>
                <w:szCs w:val="21"/>
              </w:rPr>
            </w:pPr>
            <w:r>
              <w:rPr>
                <w:rFonts w:hint="eastAsia"/>
                <w:bCs/>
                <w:color w:val="000000"/>
                <w:spacing w:val="4"/>
                <w:szCs w:val="21"/>
              </w:rPr>
              <w:t>全竹地板</w:t>
            </w:r>
          </w:p>
        </w:tc>
        <w:tc>
          <w:tcPr>
            <w:tcW w:w="1620" w:type="dxa"/>
            <w:noWrap w:val="0"/>
            <w:vAlign w:val="center"/>
          </w:tcPr>
          <w:p w14:paraId="3099676F">
            <w:pPr>
              <w:ind w:firstLine="0"/>
              <w:jc w:val="center"/>
              <w:rPr>
                <w:rFonts w:hAnsi="宋体" w:eastAsia="宋体"/>
                <w:sz w:val="21"/>
                <w:szCs w:val="21"/>
                <w:lang w:val="en-US" w:eastAsia="zh-CN"/>
              </w:rPr>
            </w:pPr>
            <w:r>
              <w:rPr>
                <w:rFonts w:hint="eastAsia" w:hAnsi="宋体"/>
                <w:sz w:val="21"/>
                <w:szCs w:val="21"/>
                <w:lang w:val="en-US" w:eastAsia="zh-CN"/>
              </w:rPr>
              <w:t>万立方米/a</w:t>
            </w:r>
          </w:p>
        </w:tc>
        <w:tc>
          <w:tcPr>
            <w:tcW w:w="1440" w:type="dxa"/>
            <w:noWrap w:val="0"/>
            <w:vAlign w:val="center"/>
          </w:tcPr>
          <w:p w14:paraId="342353A3">
            <w:pPr>
              <w:ind w:firstLine="0"/>
              <w:jc w:val="center"/>
              <w:rPr>
                <w:rFonts w:hAnsi="宋体" w:eastAsia="宋体"/>
                <w:sz w:val="21"/>
                <w:szCs w:val="21"/>
                <w:lang w:val="en-US" w:eastAsia="zh-CN"/>
              </w:rPr>
            </w:pPr>
            <w:r>
              <w:rPr>
                <w:rFonts w:hint="eastAsia" w:hAnsi="宋体"/>
                <w:sz w:val="21"/>
                <w:szCs w:val="21"/>
                <w:lang w:val="en-US" w:eastAsia="zh-CN"/>
              </w:rPr>
              <w:t>7.0</w:t>
            </w:r>
          </w:p>
        </w:tc>
        <w:tc>
          <w:tcPr>
            <w:tcW w:w="1980" w:type="dxa"/>
            <w:noWrap w:val="0"/>
            <w:vAlign w:val="center"/>
          </w:tcPr>
          <w:p w14:paraId="66A84A7A">
            <w:pPr>
              <w:ind w:firstLine="420"/>
              <w:jc w:val="center"/>
              <w:rPr>
                <w:sz w:val="21"/>
                <w:szCs w:val="21"/>
              </w:rPr>
            </w:pPr>
          </w:p>
        </w:tc>
      </w:tr>
      <w:tr w14:paraId="5B33044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4FA025D8">
            <w:pPr>
              <w:ind w:firstLine="0"/>
              <w:jc w:val="center"/>
              <w:rPr>
                <w:rFonts w:hAnsi="宋体" w:eastAsia="宋体"/>
                <w:sz w:val="21"/>
                <w:szCs w:val="21"/>
                <w:lang w:val="en-US" w:eastAsia="zh-CN"/>
              </w:rPr>
            </w:pPr>
            <w:r>
              <w:rPr>
                <w:rFonts w:hint="eastAsia" w:hAnsi="宋体"/>
                <w:sz w:val="21"/>
                <w:szCs w:val="21"/>
                <w:lang w:val="en-US" w:eastAsia="zh-CN"/>
              </w:rPr>
              <w:t>1.3</w:t>
            </w:r>
          </w:p>
        </w:tc>
        <w:tc>
          <w:tcPr>
            <w:tcW w:w="2760" w:type="dxa"/>
            <w:noWrap w:val="0"/>
            <w:vAlign w:val="center"/>
          </w:tcPr>
          <w:p w14:paraId="42BC29C2">
            <w:pPr>
              <w:pStyle w:val="219"/>
              <w:widowControl w:val="0"/>
              <w:ind w:firstLine="0"/>
              <w:jc w:val="center"/>
              <w:rPr>
                <w:rFonts w:hint="eastAsia" w:hAnsi="宋体"/>
                <w:sz w:val="21"/>
                <w:szCs w:val="21"/>
              </w:rPr>
            </w:pPr>
            <w:r>
              <w:rPr>
                <w:rFonts w:hint="eastAsia"/>
                <w:bCs/>
                <w:color w:val="000000"/>
                <w:spacing w:val="4"/>
                <w:szCs w:val="21"/>
              </w:rPr>
              <w:t>脲醛树脂胶</w:t>
            </w:r>
          </w:p>
        </w:tc>
        <w:tc>
          <w:tcPr>
            <w:tcW w:w="1620" w:type="dxa"/>
            <w:noWrap w:val="0"/>
            <w:vAlign w:val="center"/>
          </w:tcPr>
          <w:p w14:paraId="429CBB8E">
            <w:pPr>
              <w:pStyle w:val="219"/>
              <w:widowControl w:val="0"/>
              <w:ind w:firstLine="0"/>
              <w:jc w:val="center"/>
              <w:rPr>
                <w:rFonts w:hint="eastAsia" w:hAnsi="宋体"/>
                <w:sz w:val="21"/>
                <w:szCs w:val="21"/>
              </w:rPr>
            </w:pPr>
            <w:r>
              <w:rPr>
                <w:rFonts w:hint="eastAsia"/>
                <w:bCs/>
                <w:color w:val="000000"/>
                <w:spacing w:val="4"/>
                <w:szCs w:val="21"/>
              </w:rPr>
              <w:t>t/a</w:t>
            </w:r>
          </w:p>
        </w:tc>
        <w:tc>
          <w:tcPr>
            <w:tcW w:w="1440" w:type="dxa"/>
            <w:noWrap w:val="0"/>
            <w:vAlign w:val="center"/>
          </w:tcPr>
          <w:p w14:paraId="3300E580">
            <w:pPr>
              <w:pStyle w:val="219"/>
              <w:widowControl w:val="0"/>
              <w:ind w:firstLine="0"/>
              <w:jc w:val="center"/>
              <w:rPr>
                <w:rFonts w:hint="eastAsia" w:hAnsi="宋体"/>
                <w:sz w:val="21"/>
                <w:szCs w:val="21"/>
              </w:rPr>
            </w:pPr>
            <w:r>
              <w:rPr>
                <w:rFonts w:hint="eastAsia"/>
                <w:bCs/>
                <w:color w:val="000000"/>
                <w:spacing w:val="4"/>
                <w:szCs w:val="21"/>
              </w:rPr>
              <w:t>2500</w:t>
            </w:r>
          </w:p>
        </w:tc>
        <w:tc>
          <w:tcPr>
            <w:tcW w:w="1980" w:type="dxa"/>
            <w:noWrap w:val="0"/>
            <w:vAlign w:val="center"/>
          </w:tcPr>
          <w:p w14:paraId="74448A9C">
            <w:pPr>
              <w:ind w:firstLine="420"/>
              <w:jc w:val="center"/>
              <w:rPr>
                <w:sz w:val="21"/>
                <w:szCs w:val="21"/>
              </w:rPr>
            </w:pPr>
          </w:p>
        </w:tc>
      </w:tr>
      <w:tr w14:paraId="6BB6520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419A96E7">
            <w:pPr>
              <w:ind w:firstLine="0"/>
              <w:jc w:val="center"/>
              <w:rPr>
                <w:rFonts w:hAnsi="宋体"/>
                <w:sz w:val="21"/>
                <w:szCs w:val="21"/>
                <w:lang w:val="en-US" w:eastAsia="zh-CN"/>
              </w:rPr>
            </w:pPr>
            <w:r>
              <w:rPr>
                <w:rFonts w:hint="eastAsia" w:hAnsi="宋体"/>
                <w:sz w:val="21"/>
                <w:szCs w:val="21"/>
                <w:lang w:val="en-US" w:eastAsia="zh-CN"/>
              </w:rPr>
              <w:t>1.4</w:t>
            </w:r>
          </w:p>
        </w:tc>
        <w:tc>
          <w:tcPr>
            <w:tcW w:w="2760" w:type="dxa"/>
            <w:noWrap w:val="0"/>
            <w:vAlign w:val="center"/>
          </w:tcPr>
          <w:p w14:paraId="2A517154">
            <w:pPr>
              <w:pStyle w:val="219"/>
              <w:widowControl w:val="0"/>
              <w:ind w:firstLine="0"/>
              <w:jc w:val="center"/>
              <w:rPr>
                <w:rFonts w:hint="eastAsia" w:hAnsi="宋体"/>
                <w:sz w:val="21"/>
                <w:szCs w:val="21"/>
              </w:rPr>
            </w:pPr>
            <w:r>
              <w:rPr>
                <w:rFonts w:hint="eastAsia"/>
                <w:bCs/>
                <w:color w:val="000000"/>
                <w:spacing w:val="4"/>
                <w:szCs w:val="21"/>
              </w:rPr>
              <w:t>酚醛树脂胶</w:t>
            </w:r>
          </w:p>
        </w:tc>
        <w:tc>
          <w:tcPr>
            <w:tcW w:w="1620" w:type="dxa"/>
            <w:noWrap w:val="0"/>
            <w:vAlign w:val="center"/>
          </w:tcPr>
          <w:p w14:paraId="05E5D0C3">
            <w:pPr>
              <w:pStyle w:val="219"/>
              <w:widowControl w:val="0"/>
              <w:ind w:firstLine="0"/>
              <w:jc w:val="center"/>
              <w:rPr>
                <w:rFonts w:hint="eastAsia" w:hAnsi="宋体"/>
                <w:sz w:val="21"/>
                <w:szCs w:val="21"/>
              </w:rPr>
            </w:pPr>
            <w:r>
              <w:rPr>
                <w:rFonts w:hint="eastAsia"/>
                <w:bCs/>
                <w:color w:val="000000"/>
                <w:spacing w:val="4"/>
                <w:szCs w:val="21"/>
              </w:rPr>
              <w:t>t/a</w:t>
            </w:r>
          </w:p>
        </w:tc>
        <w:tc>
          <w:tcPr>
            <w:tcW w:w="1440" w:type="dxa"/>
            <w:noWrap w:val="0"/>
            <w:vAlign w:val="center"/>
          </w:tcPr>
          <w:p w14:paraId="64BADECE">
            <w:pPr>
              <w:pStyle w:val="219"/>
              <w:widowControl w:val="0"/>
              <w:ind w:firstLine="0"/>
              <w:jc w:val="center"/>
              <w:rPr>
                <w:rFonts w:hint="eastAsia" w:hAnsi="宋体"/>
                <w:sz w:val="21"/>
                <w:szCs w:val="21"/>
              </w:rPr>
            </w:pPr>
            <w:r>
              <w:rPr>
                <w:rFonts w:hint="eastAsia"/>
                <w:bCs/>
                <w:color w:val="000000"/>
                <w:spacing w:val="4"/>
                <w:szCs w:val="21"/>
              </w:rPr>
              <w:t>2500</w:t>
            </w:r>
          </w:p>
        </w:tc>
        <w:tc>
          <w:tcPr>
            <w:tcW w:w="1980" w:type="dxa"/>
            <w:noWrap w:val="0"/>
            <w:vAlign w:val="center"/>
          </w:tcPr>
          <w:p w14:paraId="499F6504">
            <w:pPr>
              <w:ind w:firstLine="420"/>
              <w:jc w:val="center"/>
              <w:rPr>
                <w:sz w:val="21"/>
                <w:szCs w:val="21"/>
              </w:rPr>
            </w:pPr>
          </w:p>
        </w:tc>
      </w:tr>
      <w:tr w14:paraId="01D0AFF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293ED46A">
            <w:pPr>
              <w:ind w:firstLine="0"/>
              <w:jc w:val="center"/>
              <w:rPr>
                <w:rFonts w:hint="eastAsia" w:hAnsi="宋体"/>
                <w:sz w:val="21"/>
                <w:szCs w:val="21"/>
              </w:rPr>
            </w:pPr>
            <w:r>
              <w:rPr>
                <w:rFonts w:hint="eastAsia" w:hAnsi="宋体"/>
                <w:sz w:val="21"/>
                <w:szCs w:val="21"/>
              </w:rPr>
              <w:t>2</w:t>
            </w:r>
          </w:p>
        </w:tc>
        <w:tc>
          <w:tcPr>
            <w:tcW w:w="2760" w:type="dxa"/>
            <w:noWrap w:val="0"/>
            <w:vAlign w:val="center"/>
          </w:tcPr>
          <w:p w14:paraId="04087186">
            <w:pPr>
              <w:ind w:firstLine="0"/>
              <w:jc w:val="center"/>
              <w:rPr>
                <w:rFonts w:hint="eastAsia" w:hAnsi="宋体"/>
                <w:sz w:val="21"/>
                <w:szCs w:val="21"/>
              </w:rPr>
            </w:pPr>
            <w:r>
              <w:rPr>
                <w:rFonts w:hint="eastAsia" w:hAnsi="宋体"/>
                <w:sz w:val="21"/>
                <w:szCs w:val="21"/>
              </w:rPr>
              <w:t>劳动定员及工作制度</w:t>
            </w:r>
          </w:p>
        </w:tc>
        <w:tc>
          <w:tcPr>
            <w:tcW w:w="1620" w:type="dxa"/>
            <w:noWrap w:val="0"/>
            <w:vAlign w:val="center"/>
          </w:tcPr>
          <w:p w14:paraId="2D6D474B">
            <w:pPr>
              <w:ind w:firstLine="0"/>
              <w:jc w:val="center"/>
              <w:rPr>
                <w:rFonts w:hint="eastAsia" w:hAnsi="宋体"/>
                <w:sz w:val="21"/>
                <w:szCs w:val="21"/>
              </w:rPr>
            </w:pPr>
          </w:p>
        </w:tc>
        <w:tc>
          <w:tcPr>
            <w:tcW w:w="1440" w:type="dxa"/>
            <w:noWrap w:val="0"/>
            <w:vAlign w:val="center"/>
          </w:tcPr>
          <w:p w14:paraId="601A6D06">
            <w:pPr>
              <w:ind w:firstLine="0"/>
              <w:jc w:val="center"/>
              <w:rPr>
                <w:rFonts w:hint="eastAsia" w:hAnsi="宋体"/>
                <w:sz w:val="21"/>
                <w:szCs w:val="21"/>
              </w:rPr>
            </w:pPr>
          </w:p>
        </w:tc>
        <w:tc>
          <w:tcPr>
            <w:tcW w:w="1980" w:type="dxa"/>
            <w:noWrap w:val="0"/>
            <w:vAlign w:val="center"/>
          </w:tcPr>
          <w:p w14:paraId="07FED5FA">
            <w:pPr>
              <w:ind w:firstLine="420"/>
              <w:jc w:val="center"/>
              <w:rPr>
                <w:sz w:val="21"/>
                <w:szCs w:val="21"/>
              </w:rPr>
            </w:pPr>
          </w:p>
        </w:tc>
      </w:tr>
      <w:tr w14:paraId="6C83F45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0E1D522B">
            <w:pPr>
              <w:ind w:firstLine="0"/>
              <w:jc w:val="center"/>
              <w:rPr>
                <w:rFonts w:hint="eastAsia" w:hAnsi="宋体"/>
                <w:sz w:val="21"/>
                <w:szCs w:val="21"/>
              </w:rPr>
            </w:pPr>
            <w:r>
              <w:rPr>
                <w:rFonts w:hint="eastAsia" w:hAnsi="宋体"/>
                <w:sz w:val="21"/>
                <w:szCs w:val="21"/>
              </w:rPr>
              <w:t>2.1</w:t>
            </w:r>
          </w:p>
        </w:tc>
        <w:tc>
          <w:tcPr>
            <w:tcW w:w="2760" w:type="dxa"/>
            <w:noWrap w:val="0"/>
            <w:vAlign w:val="center"/>
          </w:tcPr>
          <w:p w14:paraId="07BD9CDE">
            <w:pPr>
              <w:ind w:firstLine="0"/>
              <w:jc w:val="center"/>
              <w:rPr>
                <w:rFonts w:hint="eastAsia" w:hAnsi="宋体"/>
                <w:sz w:val="21"/>
                <w:szCs w:val="21"/>
              </w:rPr>
            </w:pPr>
            <w:r>
              <w:rPr>
                <w:rFonts w:hAnsi="宋体"/>
                <w:sz w:val="21"/>
                <w:szCs w:val="21"/>
              </w:rPr>
              <w:t>定员</w:t>
            </w:r>
          </w:p>
        </w:tc>
        <w:tc>
          <w:tcPr>
            <w:tcW w:w="1620" w:type="dxa"/>
            <w:noWrap w:val="0"/>
            <w:vAlign w:val="center"/>
          </w:tcPr>
          <w:p w14:paraId="1394A787">
            <w:pPr>
              <w:ind w:firstLine="0"/>
              <w:jc w:val="center"/>
              <w:rPr>
                <w:rFonts w:hint="eastAsia" w:hAnsi="宋体"/>
                <w:sz w:val="21"/>
                <w:szCs w:val="21"/>
              </w:rPr>
            </w:pPr>
            <w:r>
              <w:rPr>
                <w:rFonts w:hAnsi="宋体"/>
                <w:sz w:val="21"/>
                <w:szCs w:val="21"/>
              </w:rPr>
              <w:t>人</w:t>
            </w:r>
          </w:p>
        </w:tc>
        <w:tc>
          <w:tcPr>
            <w:tcW w:w="1440" w:type="dxa"/>
            <w:noWrap w:val="0"/>
            <w:vAlign w:val="center"/>
          </w:tcPr>
          <w:p w14:paraId="4E16E6A7">
            <w:pPr>
              <w:ind w:firstLine="0"/>
              <w:jc w:val="center"/>
              <w:rPr>
                <w:rFonts w:hAnsi="宋体" w:eastAsia="宋体"/>
                <w:sz w:val="21"/>
                <w:szCs w:val="21"/>
                <w:lang w:val="en-US" w:eastAsia="zh-CN"/>
              </w:rPr>
            </w:pPr>
            <w:r>
              <w:rPr>
                <w:rFonts w:hint="eastAsia" w:hAnsi="宋体"/>
                <w:sz w:val="21"/>
                <w:szCs w:val="21"/>
                <w:lang w:val="en-US" w:eastAsia="zh-CN"/>
              </w:rPr>
              <w:t>300</w:t>
            </w:r>
          </w:p>
        </w:tc>
        <w:tc>
          <w:tcPr>
            <w:tcW w:w="1980" w:type="dxa"/>
            <w:noWrap w:val="0"/>
            <w:vAlign w:val="center"/>
          </w:tcPr>
          <w:p w14:paraId="250553BC">
            <w:pPr>
              <w:ind w:firstLine="420"/>
              <w:jc w:val="center"/>
              <w:rPr>
                <w:sz w:val="21"/>
                <w:szCs w:val="21"/>
              </w:rPr>
            </w:pPr>
          </w:p>
        </w:tc>
      </w:tr>
      <w:tr w14:paraId="350B9D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1865A8E2">
            <w:pPr>
              <w:ind w:firstLine="0"/>
              <w:jc w:val="center"/>
              <w:rPr>
                <w:rFonts w:hint="eastAsia" w:hAnsi="宋体"/>
                <w:sz w:val="21"/>
                <w:szCs w:val="21"/>
              </w:rPr>
            </w:pPr>
            <w:r>
              <w:rPr>
                <w:rFonts w:hint="eastAsia" w:hAnsi="宋体"/>
                <w:sz w:val="21"/>
                <w:szCs w:val="21"/>
              </w:rPr>
              <w:t>2.2</w:t>
            </w:r>
          </w:p>
        </w:tc>
        <w:tc>
          <w:tcPr>
            <w:tcW w:w="2760" w:type="dxa"/>
            <w:noWrap w:val="0"/>
            <w:vAlign w:val="center"/>
          </w:tcPr>
          <w:p w14:paraId="407615EA">
            <w:pPr>
              <w:ind w:firstLine="0"/>
              <w:jc w:val="center"/>
              <w:rPr>
                <w:rFonts w:hAnsi="宋体"/>
                <w:sz w:val="21"/>
                <w:szCs w:val="21"/>
              </w:rPr>
            </w:pPr>
            <w:r>
              <w:rPr>
                <w:rFonts w:hAnsi="宋体"/>
                <w:sz w:val="21"/>
                <w:szCs w:val="21"/>
              </w:rPr>
              <w:t>年操作日</w:t>
            </w:r>
          </w:p>
        </w:tc>
        <w:tc>
          <w:tcPr>
            <w:tcW w:w="1620" w:type="dxa"/>
            <w:noWrap w:val="0"/>
            <w:vAlign w:val="center"/>
          </w:tcPr>
          <w:p w14:paraId="00200DC3">
            <w:pPr>
              <w:ind w:firstLine="0"/>
              <w:jc w:val="center"/>
              <w:rPr>
                <w:rFonts w:hAnsi="宋体"/>
                <w:sz w:val="21"/>
                <w:szCs w:val="21"/>
              </w:rPr>
            </w:pPr>
            <w:r>
              <w:rPr>
                <w:rFonts w:hAnsi="宋体"/>
                <w:sz w:val="21"/>
                <w:szCs w:val="21"/>
              </w:rPr>
              <w:t>天</w:t>
            </w:r>
          </w:p>
        </w:tc>
        <w:tc>
          <w:tcPr>
            <w:tcW w:w="1440" w:type="dxa"/>
            <w:noWrap w:val="0"/>
            <w:vAlign w:val="center"/>
          </w:tcPr>
          <w:p w14:paraId="22AB5AC2">
            <w:pPr>
              <w:ind w:firstLine="0"/>
              <w:jc w:val="center"/>
              <w:rPr>
                <w:rFonts w:hint="eastAsia" w:hAnsi="宋体"/>
                <w:sz w:val="21"/>
                <w:szCs w:val="21"/>
              </w:rPr>
            </w:pPr>
            <w:r>
              <w:rPr>
                <w:rFonts w:hint="eastAsia" w:hAnsi="宋体"/>
                <w:sz w:val="21"/>
                <w:szCs w:val="21"/>
              </w:rPr>
              <w:t>300</w:t>
            </w:r>
          </w:p>
        </w:tc>
        <w:tc>
          <w:tcPr>
            <w:tcW w:w="1980" w:type="dxa"/>
            <w:noWrap w:val="0"/>
            <w:vAlign w:val="center"/>
          </w:tcPr>
          <w:p w14:paraId="6E6F5AE4">
            <w:pPr>
              <w:ind w:firstLine="420"/>
              <w:jc w:val="center"/>
              <w:rPr>
                <w:sz w:val="21"/>
                <w:szCs w:val="21"/>
              </w:rPr>
            </w:pPr>
          </w:p>
        </w:tc>
      </w:tr>
      <w:tr w14:paraId="62A2E29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2B9455C7">
            <w:pPr>
              <w:ind w:firstLine="0"/>
              <w:jc w:val="center"/>
              <w:rPr>
                <w:rFonts w:hint="eastAsia" w:hAnsi="宋体"/>
                <w:sz w:val="21"/>
                <w:szCs w:val="21"/>
              </w:rPr>
            </w:pPr>
            <w:r>
              <w:rPr>
                <w:rFonts w:hint="eastAsia" w:hAnsi="宋体"/>
                <w:sz w:val="21"/>
                <w:szCs w:val="21"/>
              </w:rPr>
              <w:t>2.3</w:t>
            </w:r>
          </w:p>
        </w:tc>
        <w:tc>
          <w:tcPr>
            <w:tcW w:w="2760" w:type="dxa"/>
            <w:noWrap w:val="0"/>
            <w:vAlign w:val="center"/>
          </w:tcPr>
          <w:p w14:paraId="0CC368FA">
            <w:pPr>
              <w:ind w:firstLine="0"/>
              <w:jc w:val="center"/>
              <w:rPr>
                <w:rFonts w:hint="eastAsia" w:hAnsi="宋体"/>
                <w:sz w:val="21"/>
                <w:szCs w:val="21"/>
              </w:rPr>
            </w:pPr>
            <w:r>
              <w:rPr>
                <w:rFonts w:hint="eastAsia" w:hAnsi="宋体"/>
                <w:sz w:val="21"/>
                <w:szCs w:val="21"/>
              </w:rPr>
              <w:t>工作制度</w:t>
            </w:r>
          </w:p>
        </w:tc>
        <w:tc>
          <w:tcPr>
            <w:tcW w:w="1620" w:type="dxa"/>
            <w:noWrap w:val="0"/>
            <w:vAlign w:val="center"/>
          </w:tcPr>
          <w:p w14:paraId="0E429E8B">
            <w:pPr>
              <w:ind w:firstLine="0"/>
              <w:jc w:val="center"/>
              <w:rPr>
                <w:rFonts w:hint="eastAsia" w:hAnsi="宋体"/>
                <w:sz w:val="21"/>
                <w:szCs w:val="21"/>
              </w:rPr>
            </w:pPr>
            <w:r>
              <w:rPr>
                <w:rFonts w:hint="eastAsia" w:hAnsi="宋体"/>
                <w:sz w:val="21"/>
                <w:szCs w:val="21"/>
              </w:rPr>
              <w:t>班</w:t>
            </w:r>
          </w:p>
        </w:tc>
        <w:tc>
          <w:tcPr>
            <w:tcW w:w="1440" w:type="dxa"/>
            <w:noWrap w:val="0"/>
            <w:vAlign w:val="center"/>
          </w:tcPr>
          <w:p w14:paraId="27AB230A">
            <w:pPr>
              <w:ind w:firstLine="0"/>
              <w:jc w:val="center"/>
              <w:rPr>
                <w:rFonts w:hint="eastAsia" w:hAnsi="宋体"/>
                <w:sz w:val="21"/>
                <w:szCs w:val="21"/>
              </w:rPr>
            </w:pPr>
            <w:r>
              <w:rPr>
                <w:rFonts w:hint="eastAsia" w:hAnsi="宋体"/>
                <w:sz w:val="21"/>
                <w:szCs w:val="21"/>
              </w:rPr>
              <w:t>3</w:t>
            </w:r>
          </w:p>
        </w:tc>
        <w:tc>
          <w:tcPr>
            <w:tcW w:w="1980" w:type="dxa"/>
            <w:noWrap w:val="0"/>
            <w:vAlign w:val="center"/>
          </w:tcPr>
          <w:p w14:paraId="3A5FB0F7">
            <w:pPr>
              <w:ind w:firstLine="420"/>
              <w:jc w:val="center"/>
              <w:rPr>
                <w:sz w:val="21"/>
                <w:szCs w:val="21"/>
              </w:rPr>
            </w:pPr>
          </w:p>
        </w:tc>
      </w:tr>
      <w:tr w14:paraId="49C42ED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6C206826">
            <w:pPr>
              <w:ind w:firstLine="0"/>
              <w:jc w:val="center"/>
              <w:rPr>
                <w:rFonts w:hint="eastAsia" w:hAnsi="宋体"/>
                <w:sz w:val="21"/>
                <w:szCs w:val="21"/>
              </w:rPr>
            </w:pPr>
            <w:r>
              <w:rPr>
                <w:rFonts w:hint="eastAsia" w:hAnsi="宋体"/>
                <w:sz w:val="21"/>
                <w:szCs w:val="21"/>
              </w:rPr>
              <w:t>3</w:t>
            </w:r>
          </w:p>
        </w:tc>
        <w:tc>
          <w:tcPr>
            <w:tcW w:w="2760" w:type="dxa"/>
            <w:noWrap w:val="0"/>
            <w:vAlign w:val="center"/>
          </w:tcPr>
          <w:p w14:paraId="697C0EFD">
            <w:pPr>
              <w:ind w:firstLine="0"/>
              <w:jc w:val="center"/>
              <w:rPr>
                <w:rFonts w:hAnsi="宋体"/>
                <w:color w:val="000000"/>
                <w:sz w:val="21"/>
                <w:szCs w:val="21"/>
              </w:rPr>
            </w:pPr>
            <w:r>
              <w:rPr>
                <w:rFonts w:hAnsi="宋体"/>
                <w:color w:val="000000"/>
                <w:sz w:val="21"/>
                <w:szCs w:val="21"/>
              </w:rPr>
              <w:t>供水</w:t>
            </w:r>
          </w:p>
        </w:tc>
        <w:tc>
          <w:tcPr>
            <w:tcW w:w="1620" w:type="dxa"/>
            <w:noWrap w:val="0"/>
            <w:vAlign w:val="center"/>
          </w:tcPr>
          <w:p w14:paraId="5DEC54F0">
            <w:pPr>
              <w:ind w:firstLine="0"/>
              <w:jc w:val="center"/>
              <w:rPr>
                <w:rFonts w:hAnsi="宋体"/>
                <w:color w:val="000000"/>
                <w:sz w:val="21"/>
                <w:szCs w:val="21"/>
              </w:rPr>
            </w:pPr>
            <w:r>
              <w:rPr>
                <w:rFonts w:hAnsi="宋体"/>
                <w:color w:val="000000"/>
                <w:sz w:val="21"/>
                <w:szCs w:val="21"/>
              </w:rPr>
              <w:t>m</w:t>
            </w:r>
            <w:r>
              <w:rPr>
                <w:rFonts w:hAnsi="宋体"/>
                <w:color w:val="000000"/>
                <w:sz w:val="21"/>
                <w:szCs w:val="21"/>
                <w:vertAlign w:val="superscript"/>
              </w:rPr>
              <w:t>3</w:t>
            </w:r>
            <w:r>
              <w:rPr>
                <w:rFonts w:hAnsi="宋体"/>
                <w:color w:val="000000"/>
                <w:sz w:val="21"/>
                <w:szCs w:val="21"/>
              </w:rPr>
              <w:t>/d</w:t>
            </w:r>
          </w:p>
        </w:tc>
        <w:tc>
          <w:tcPr>
            <w:tcW w:w="1440" w:type="dxa"/>
            <w:noWrap w:val="0"/>
            <w:vAlign w:val="center"/>
          </w:tcPr>
          <w:p w14:paraId="037C259E">
            <w:pPr>
              <w:ind w:firstLine="0"/>
              <w:jc w:val="center"/>
              <w:rPr>
                <w:rFonts w:hAnsi="宋体" w:eastAsia="Calibri"/>
                <w:color w:val="000000"/>
                <w:sz w:val="21"/>
                <w:szCs w:val="21"/>
                <w:lang w:val="en-US" w:eastAsia="zh-CN"/>
              </w:rPr>
            </w:pPr>
            <w:r>
              <w:rPr>
                <w:rFonts w:hint="eastAsia" w:ascii="Times New Roman" w:hAnsi="Times New Roman" w:cs="Times New Roman"/>
                <w:color w:val="000000"/>
                <w:sz w:val="21"/>
                <w:szCs w:val="21"/>
                <w:lang w:val="en-US" w:eastAsia="zh-CN"/>
              </w:rPr>
              <w:t>55582.12</w:t>
            </w:r>
          </w:p>
        </w:tc>
        <w:tc>
          <w:tcPr>
            <w:tcW w:w="1980" w:type="dxa"/>
            <w:noWrap w:val="0"/>
            <w:vAlign w:val="center"/>
          </w:tcPr>
          <w:p w14:paraId="600608C7">
            <w:pPr>
              <w:ind w:firstLine="420"/>
              <w:jc w:val="center"/>
              <w:rPr>
                <w:sz w:val="21"/>
                <w:szCs w:val="21"/>
              </w:rPr>
            </w:pPr>
          </w:p>
        </w:tc>
      </w:tr>
      <w:tr w14:paraId="6FDF711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4C3F8D9C">
            <w:pPr>
              <w:ind w:firstLine="0"/>
              <w:jc w:val="center"/>
              <w:rPr>
                <w:rFonts w:hint="eastAsia" w:hAnsi="宋体"/>
                <w:sz w:val="21"/>
                <w:szCs w:val="21"/>
              </w:rPr>
            </w:pPr>
            <w:r>
              <w:rPr>
                <w:rFonts w:hint="eastAsia" w:hAnsi="宋体"/>
                <w:sz w:val="21"/>
                <w:szCs w:val="21"/>
              </w:rPr>
              <w:t>4</w:t>
            </w:r>
          </w:p>
        </w:tc>
        <w:tc>
          <w:tcPr>
            <w:tcW w:w="2760" w:type="dxa"/>
            <w:noWrap w:val="0"/>
            <w:vAlign w:val="center"/>
          </w:tcPr>
          <w:p w14:paraId="5FE5E249">
            <w:pPr>
              <w:ind w:firstLine="0"/>
              <w:jc w:val="center"/>
              <w:rPr>
                <w:rFonts w:hAnsi="宋体"/>
                <w:color w:val="000000"/>
                <w:sz w:val="21"/>
                <w:szCs w:val="21"/>
              </w:rPr>
            </w:pPr>
            <w:r>
              <w:rPr>
                <w:rFonts w:hAnsi="宋体"/>
                <w:color w:val="000000"/>
                <w:sz w:val="21"/>
                <w:szCs w:val="21"/>
              </w:rPr>
              <w:t>供电</w:t>
            </w:r>
          </w:p>
        </w:tc>
        <w:tc>
          <w:tcPr>
            <w:tcW w:w="1620" w:type="dxa"/>
            <w:noWrap w:val="0"/>
            <w:vAlign w:val="center"/>
          </w:tcPr>
          <w:p w14:paraId="7D894225">
            <w:pPr>
              <w:ind w:firstLine="0"/>
              <w:jc w:val="center"/>
              <w:rPr>
                <w:rFonts w:hAnsi="宋体"/>
                <w:color w:val="000000"/>
                <w:sz w:val="21"/>
                <w:szCs w:val="21"/>
              </w:rPr>
            </w:pPr>
            <w:r>
              <w:rPr>
                <w:rFonts w:hint="eastAsia" w:hAnsi="宋体"/>
                <w:color w:val="000000"/>
                <w:sz w:val="21"/>
                <w:szCs w:val="21"/>
              </w:rPr>
              <w:t>万kW.h/a</w:t>
            </w:r>
          </w:p>
        </w:tc>
        <w:tc>
          <w:tcPr>
            <w:tcW w:w="1440" w:type="dxa"/>
            <w:noWrap w:val="0"/>
            <w:vAlign w:val="center"/>
          </w:tcPr>
          <w:p w14:paraId="2A0D9CAF">
            <w:pPr>
              <w:ind w:firstLine="0"/>
              <w:jc w:val="center"/>
              <w:rPr>
                <w:rFonts w:hAnsi="宋体" w:eastAsia="宋体"/>
                <w:color w:val="000000"/>
                <w:sz w:val="21"/>
                <w:szCs w:val="21"/>
                <w:lang w:val="en-US" w:eastAsia="zh-CN"/>
              </w:rPr>
            </w:pPr>
            <w:r>
              <w:rPr>
                <w:rFonts w:hint="eastAsia" w:hAnsi="宋体"/>
                <w:color w:val="000000"/>
                <w:sz w:val="21"/>
                <w:szCs w:val="21"/>
                <w:lang w:val="en-US" w:eastAsia="zh-CN"/>
              </w:rPr>
              <w:t>600</w:t>
            </w:r>
          </w:p>
        </w:tc>
        <w:tc>
          <w:tcPr>
            <w:tcW w:w="1980" w:type="dxa"/>
            <w:noWrap w:val="0"/>
            <w:vAlign w:val="center"/>
          </w:tcPr>
          <w:p w14:paraId="021F242C">
            <w:pPr>
              <w:ind w:firstLine="420"/>
              <w:jc w:val="center"/>
              <w:rPr>
                <w:sz w:val="21"/>
                <w:szCs w:val="21"/>
              </w:rPr>
            </w:pPr>
          </w:p>
        </w:tc>
      </w:tr>
      <w:tr w14:paraId="5A4253A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21A5BAA4">
            <w:pPr>
              <w:ind w:firstLine="0"/>
              <w:jc w:val="center"/>
              <w:rPr>
                <w:rFonts w:hint="eastAsia" w:hAnsi="宋体"/>
                <w:sz w:val="21"/>
                <w:szCs w:val="21"/>
              </w:rPr>
            </w:pPr>
            <w:r>
              <w:rPr>
                <w:rFonts w:hint="eastAsia" w:hAnsi="宋体"/>
                <w:sz w:val="21"/>
                <w:szCs w:val="21"/>
              </w:rPr>
              <w:t>5</w:t>
            </w:r>
          </w:p>
        </w:tc>
        <w:tc>
          <w:tcPr>
            <w:tcW w:w="2760" w:type="dxa"/>
            <w:noWrap w:val="0"/>
            <w:vAlign w:val="center"/>
          </w:tcPr>
          <w:p w14:paraId="1B1949AF">
            <w:pPr>
              <w:ind w:firstLine="0"/>
              <w:jc w:val="center"/>
              <w:rPr>
                <w:rFonts w:hAnsi="宋体"/>
                <w:color w:val="000000"/>
                <w:sz w:val="21"/>
                <w:szCs w:val="21"/>
              </w:rPr>
            </w:pPr>
            <w:r>
              <w:rPr>
                <w:rFonts w:hAnsi="宋体"/>
                <w:color w:val="000000"/>
                <w:sz w:val="21"/>
                <w:szCs w:val="21"/>
              </w:rPr>
              <w:t>废水排放量</w:t>
            </w:r>
          </w:p>
        </w:tc>
        <w:tc>
          <w:tcPr>
            <w:tcW w:w="1620" w:type="dxa"/>
            <w:noWrap w:val="0"/>
            <w:vAlign w:val="center"/>
          </w:tcPr>
          <w:p w14:paraId="09672F85">
            <w:pPr>
              <w:ind w:firstLine="0"/>
              <w:jc w:val="center"/>
              <w:rPr>
                <w:rFonts w:hAnsi="宋体"/>
                <w:color w:val="000000"/>
                <w:sz w:val="21"/>
                <w:szCs w:val="21"/>
              </w:rPr>
            </w:pPr>
            <w:r>
              <w:rPr>
                <w:rFonts w:hAnsi="宋体"/>
                <w:color w:val="000000"/>
                <w:sz w:val="21"/>
                <w:szCs w:val="21"/>
              </w:rPr>
              <w:t>m</w:t>
            </w:r>
            <w:r>
              <w:rPr>
                <w:rFonts w:hAnsi="宋体"/>
                <w:color w:val="000000"/>
                <w:sz w:val="21"/>
                <w:szCs w:val="21"/>
                <w:vertAlign w:val="superscript"/>
              </w:rPr>
              <w:t>3</w:t>
            </w:r>
            <w:r>
              <w:rPr>
                <w:rFonts w:hAnsi="宋体"/>
                <w:color w:val="000000"/>
                <w:sz w:val="21"/>
                <w:szCs w:val="21"/>
              </w:rPr>
              <w:t>/a</w:t>
            </w:r>
          </w:p>
        </w:tc>
        <w:tc>
          <w:tcPr>
            <w:tcW w:w="1440" w:type="dxa"/>
            <w:noWrap w:val="0"/>
            <w:vAlign w:val="center"/>
          </w:tcPr>
          <w:p w14:paraId="6B964F8A">
            <w:pPr>
              <w:ind w:firstLine="0"/>
              <w:jc w:val="center"/>
              <w:rPr>
                <w:rFonts w:hAnsi="宋体" w:eastAsia="宋体"/>
                <w:color w:val="000000"/>
                <w:sz w:val="21"/>
                <w:szCs w:val="21"/>
                <w:lang w:val="en-US" w:eastAsia="zh-CN"/>
              </w:rPr>
            </w:pPr>
            <w:r>
              <w:rPr>
                <w:rFonts w:hint="eastAsia" w:hAnsi="宋体"/>
                <w:color w:val="000000"/>
                <w:sz w:val="21"/>
                <w:szCs w:val="21"/>
                <w:lang w:val="en-US" w:eastAsia="zh-CN"/>
              </w:rPr>
              <w:t>6240</w:t>
            </w:r>
          </w:p>
        </w:tc>
        <w:tc>
          <w:tcPr>
            <w:tcW w:w="1980" w:type="dxa"/>
            <w:noWrap w:val="0"/>
            <w:vAlign w:val="center"/>
          </w:tcPr>
          <w:p w14:paraId="1304F6F8">
            <w:pPr>
              <w:ind w:firstLine="420"/>
              <w:jc w:val="center"/>
              <w:rPr>
                <w:sz w:val="21"/>
                <w:szCs w:val="21"/>
              </w:rPr>
            </w:pPr>
          </w:p>
        </w:tc>
      </w:tr>
      <w:tr w14:paraId="33CF137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57FA5D2B">
            <w:pPr>
              <w:ind w:firstLine="0"/>
              <w:jc w:val="center"/>
              <w:rPr>
                <w:rFonts w:hint="eastAsia" w:hAnsi="宋体"/>
                <w:sz w:val="21"/>
                <w:szCs w:val="21"/>
              </w:rPr>
            </w:pPr>
            <w:r>
              <w:rPr>
                <w:rFonts w:hint="eastAsia" w:hAnsi="宋体"/>
                <w:sz w:val="21"/>
                <w:szCs w:val="21"/>
              </w:rPr>
              <w:t>6</w:t>
            </w:r>
          </w:p>
        </w:tc>
        <w:tc>
          <w:tcPr>
            <w:tcW w:w="2760" w:type="dxa"/>
            <w:noWrap w:val="0"/>
            <w:vAlign w:val="center"/>
          </w:tcPr>
          <w:p w14:paraId="7268D2C2">
            <w:pPr>
              <w:ind w:firstLine="0"/>
              <w:jc w:val="center"/>
              <w:rPr>
                <w:rFonts w:hAnsi="宋体"/>
                <w:sz w:val="21"/>
                <w:szCs w:val="21"/>
              </w:rPr>
            </w:pPr>
            <w:r>
              <w:rPr>
                <w:rFonts w:hAnsi="宋体"/>
                <w:sz w:val="21"/>
                <w:szCs w:val="21"/>
              </w:rPr>
              <w:t>占地面积</w:t>
            </w:r>
          </w:p>
        </w:tc>
        <w:tc>
          <w:tcPr>
            <w:tcW w:w="1620" w:type="dxa"/>
            <w:noWrap w:val="0"/>
            <w:vAlign w:val="center"/>
          </w:tcPr>
          <w:p w14:paraId="004F3B1C">
            <w:pPr>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356C87F4">
            <w:pPr>
              <w:ind w:firstLine="0"/>
              <w:jc w:val="center"/>
              <w:rPr>
                <w:rFonts w:hAnsi="宋体" w:eastAsia="宋体"/>
                <w:sz w:val="21"/>
                <w:szCs w:val="21"/>
                <w:lang w:val="en-US" w:eastAsia="zh-CN"/>
              </w:rPr>
            </w:pPr>
            <w:r>
              <w:rPr>
                <w:rFonts w:hint="eastAsia"/>
                <w:bCs/>
                <w:spacing w:val="4"/>
                <w:sz w:val="21"/>
                <w:szCs w:val="21"/>
                <w:lang w:val="en-US" w:eastAsia="zh-CN"/>
              </w:rPr>
              <w:t>77042.6</w:t>
            </w:r>
          </w:p>
        </w:tc>
        <w:tc>
          <w:tcPr>
            <w:tcW w:w="1980" w:type="dxa"/>
            <w:noWrap w:val="0"/>
            <w:vAlign w:val="center"/>
          </w:tcPr>
          <w:p w14:paraId="66DC1587">
            <w:pPr>
              <w:ind w:firstLine="420"/>
              <w:jc w:val="center"/>
              <w:rPr>
                <w:sz w:val="21"/>
                <w:szCs w:val="21"/>
              </w:rPr>
            </w:pPr>
          </w:p>
        </w:tc>
      </w:tr>
      <w:tr w14:paraId="017D3A6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1D1797CD">
            <w:pPr>
              <w:ind w:firstLine="0"/>
              <w:jc w:val="center"/>
              <w:rPr>
                <w:rFonts w:hint="eastAsia" w:hAnsi="宋体"/>
                <w:sz w:val="21"/>
                <w:szCs w:val="21"/>
              </w:rPr>
            </w:pPr>
            <w:r>
              <w:rPr>
                <w:rFonts w:hint="eastAsia" w:hAnsi="宋体"/>
                <w:sz w:val="21"/>
                <w:szCs w:val="21"/>
              </w:rPr>
              <w:t>6.1</w:t>
            </w:r>
          </w:p>
        </w:tc>
        <w:tc>
          <w:tcPr>
            <w:tcW w:w="2760" w:type="dxa"/>
            <w:noWrap w:val="0"/>
            <w:vAlign w:val="center"/>
          </w:tcPr>
          <w:p w14:paraId="23CE70A7">
            <w:pPr>
              <w:spacing w:line="276" w:lineRule="auto"/>
              <w:ind w:firstLine="0"/>
              <w:jc w:val="center"/>
              <w:rPr>
                <w:rFonts w:hAnsi="宋体"/>
                <w:sz w:val="21"/>
                <w:szCs w:val="21"/>
              </w:rPr>
            </w:pPr>
            <w:r>
              <w:rPr>
                <w:rFonts w:hint="eastAsia"/>
                <w:sz w:val="21"/>
                <w:szCs w:val="21"/>
              </w:rPr>
              <w:t>建筑占地面积</w:t>
            </w:r>
          </w:p>
        </w:tc>
        <w:tc>
          <w:tcPr>
            <w:tcW w:w="1620" w:type="dxa"/>
            <w:noWrap w:val="0"/>
            <w:vAlign w:val="center"/>
          </w:tcPr>
          <w:p w14:paraId="0256BF3F">
            <w:pPr>
              <w:spacing w:line="276" w:lineRule="auto"/>
              <w:ind w:firstLine="0"/>
              <w:jc w:val="center"/>
              <w:rPr>
                <w:rFonts w:hAnsi="宋体"/>
                <w:sz w:val="21"/>
                <w:szCs w:val="21"/>
              </w:rPr>
            </w:pPr>
            <w:r>
              <w:rPr>
                <w:rFonts w:hint="eastAsia"/>
                <w:sz w:val="21"/>
                <w:szCs w:val="21"/>
              </w:rPr>
              <w:t>m</w:t>
            </w:r>
            <w:r>
              <w:rPr>
                <w:rFonts w:hint="eastAsia"/>
                <w:sz w:val="21"/>
                <w:szCs w:val="21"/>
                <w:vertAlign w:val="superscript"/>
              </w:rPr>
              <w:t>2</w:t>
            </w:r>
          </w:p>
        </w:tc>
        <w:tc>
          <w:tcPr>
            <w:tcW w:w="1440" w:type="dxa"/>
            <w:noWrap w:val="0"/>
            <w:vAlign w:val="center"/>
          </w:tcPr>
          <w:p w14:paraId="6AF5381F">
            <w:pPr>
              <w:spacing w:line="276" w:lineRule="auto"/>
              <w:ind w:firstLine="0"/>
              <w:jc w:val="center"/>
              <w:rPr>
                <w:rFonts w:hAnsi="宋体" w:eastAsia="宋体"/>
                <w:sz w:val="21"/>
                <w:szCs w:val="21"/>
                <w:lang w:val="en-US" w:eastAsia="zh-CN"/>
              </w:rPr>
            </w:pPr>
            <w:r>
              <w:rPr>
                <w:rFonts w:hint="eastAsia" w:hAnsi="宋体"/>
                <w:sz w:val="21"/>
                <w:szCs w:val="21"/>
                <w:lang w:val="en-US" w:eastAsia="zh-CN"/>
              </w:rPr>
              <w:t>39430.62</w:t>
            </w:r>
          </w:p>
        </w:tc>
        <w:tc>
          <w:tcPr>
            <w:tcW w:w="1980" w:type="dxa"/>
            <w:noWrap w:val="0"/>
            <w:vAlign w:val="center"/>
          </w:tcPr>
          <w:p w14:paraId="674D5977">
            <w:pPr>
              <w:ind w:firstLine="420"/>
              <w:jc w:val="center"/>
              <w:rPr>
                <w:sz w:val="21"/>
                <w:szCs w:val="21"/>
              </w:rPr>
            </w:pPr>
          </w:p>
        </w:tc>
      </w:tr>
      <w:tr w14:paraId="4317A26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774C1A72">
            <w:pPr>
              <w:ind w:firstLine="0"/>
              <w:jc w:val="center"/>
              <w:rPr>
                <w:rFonts w:hint="eastAsia" w:hAnsi="宋体"/>
                <w:sz w:val="21"/>
                <w:szCs w:val="21"/>
              </w:rPr>
            </w:pPr>
            <w:r>
              <w:rPr>
                <w:rFonts w:hint="eastAsia" w:hAnsi="宋体"/>
                <w:sz w:val="21"/>
                <w:szCs w:val="21"/>
              </w:rPr>
              <w:t>6.2</w:t>
            </w:r>
          </w:p>
        </w:tc>
        <w:tc>
          <w:tcPr>
            <w:tcW w:w="2760" w:type="dxa"/>
            <w:noWrap w:val="0"/>
            <w:vAlign w:val="center"/>
          </w:tcPr>
          <w:p w14:paraId="5E664407">
            <w:pPr>
              <w:spacing w:line="276" w:lineRule="auto"/>
              <w:ind w:firstLine="0"/>
              <w:jc w:val="center"/>
              <w:rPr>
                <w:rFonts w:hAnsi="宋体"/>
                <w:sz w:val="21"/>
                <w:szCs w:val="21"/>
              </w:rPr>
            </w:pPr>
            <w:r>
              <w:rPr>
                <w:rFonts w:hint="eastAsia"/>
                <w:sz w:val="21"/>
                <w:szCs w:val="21"/>
              </w:rPr>
              <w:t>绿化面积</w:t>
            </w:r>
          </w:p>
        </w:tc>
        <w:tc>
          <w:tcPr>
            <w:tcW w:w="1620" w:type="dxa"/>
            <w:noWrap w:val="0"/>
            <w:vAlign w:val="center"/>
          </w:tcPr>
          <w:p w14:paraId="34B20A2B">
            <w:pPr>
              <w:spacing w:line="276" w:lineRule="auto"/>
              <w:ind w:firstLine="0"/>
              <w:jc w:val="center"/>
              <w:rPr>
                <w:rFonts w:hAnsi="宋体"/>
                <w:sz w:val="21"/>
                <w:szCs w:val="21"/>
              </w:rPr>
            </w:pPr>
            <w:r>
              <w:rPr>
                <w:rFonts w:hint="eastAsia"/>
                <w:sz w:val="21"/>
                <w:szCs w:val="21"/>
              </w:rPr>
              <w:t>m</w:t>
            </w:r>
            <w:r>
              <w:rPr>
                <w:rFonts w:hint="eastAsia"/>
                <w:sz w:val="21"/>
                <w:szCs w:val="21"/>
                <w:vertAlign w:val="superscript"/>
              </w:rPr>
              <w:t>2</w:t>
            </w:r>
          </w:p>
        </w:tc>
        <w:tc>
          <w:tcPr>
            <w:tcW w:w="1440" w:type="dxa"/>
            <w:noWrap w:val="0"/>
            <w:vAlign w:val="center"/>
          </w:tcPr>
          <w:p w14:paraId="2A82711D">
            <w:pPr>
              <w:spacing w:line="276" w:lineRule="auto"/>
              <w:ind w:firstLine="0"/>
              <w:jc w:val="center"/>
              <w:rPr>
                <w:rFonts w:hAnsi="宋体" w:eastAsia="宋体"/>
                <w:sz w:val="21"/>
                <w:szCs w:val="21"/>
                <w:lang w:val="en-US" w:eastAsia="zh-CN"/>
              </w:rPr>
            </w:pPr>
            <w:r>
              <w:rPr>
                <w:rFonts w:hint="eastAsia"/>
                <w:sz w:val="21"/>
                <w:szCs w:val="21"/>
                <w:lang w:val="en-US" w:eastAsia="zh-CN"/>
              </w:rPr>
              <w:t>1000</w:t>
            </w:r>
          </w:p>
        </w:tc>
        <w:tc>
          <w:tcPr>
            <w:tcW w:w="1980" w:type="dxa"/>
            <w:noWrap w:val="0"/>
            <w:vAlign w:val="center"/>
          </w:tcPr>
          <w:p w14:paraId="55AAE057">
            <w:pPr>
              <w:ind w:firstLine="420"/>
              <w:jc w:val="center"/>
              <w:rPr>
                <w:sz w:val="21"/>
                <w:szCs w:val="21"/>
              </w:rPr>
            </w:pPr>
          </w:p>
        </w:tc>
      </w:tr>
      <w:tr w14:paraId="20239AF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7485A0C9">
            <w:pPr>
              <w:ind w:firstLine="0"/>
              <w:jc w:val="center"/>
              <w:rPr>
                <w:rFonts w:hint="eastAsia" w:hAnsi="宋体"/>
                <w:sz w:val="21"/>
                <w:szCs w:val="21"/>
              </w:rPr>
            </w:pPr>
            <w:r>
              <w:rPr>
                <w:rFonts w:hint="eastAsia" w:hAnsi="宋体"/>
                <w:sz w:val="21"/>
                <w:szCs w:val="21"/>
              </w:rPr>
              <w:t>6.3</w:t>
            </w:r>
          </w:p>
        </w:tc>
        <w:tc>
          <w:tcPr>
            <w:tcW w:w="2760" w:type="dxa"/>
            <w:noWrap w:val="0"/>
            <w:vAlign w:val="center"/>
          </w:tcPr>
          <w:p w14:paraId="7D51CEE8">
            <w:pPr>
              <w:spacing w:line="276" w:lineRule="auto"/>
              <w:ind w:firstLine="0"/>
              <w:jc w:val="center"/>
              <w:rPr>
                <w:rFonts w:hAnsi="宋体"/>
                <w:sz w:val="21"/>
                <w:szCs w:val="21"/>
              </w:rPr>
            </w:pPr>
            <w:r>
              <w:rPr>
                <w:rFonts w:hint="eastAsia"/>
                <w:sz w:val="21"/>
                <w:szCs w:val="21"/>
              </w:rPr>
              <w:t>其他</w:t>
            </w:r>
          </w:p>
        </w:tc>
        <w:tc>
          <w:tcPr>
            <w:tcW w:w="1620" w:type="dxa"/>
            <w:noWrap w:val="0"/>
            <w:vAlign w:val="center"/>
          </w:tcPr>
          <w:p w14:paraId="3CF04AF9">
            <w:pPr>
              <w:spacing w:line="276" w:lineRule="auto"/>
              <w:ind w:firstLine="0"/>
              <w:jc w:val="center"/>
              <w:rPr>
                <w:rFonts w:hAnsi="宋体"/>
                <w:sz w:val="21"/>
                <w:szCs w:val="21"/>
              </w:rPr>
            </w:pPr>
            <w:r>
              <w:rPr>
                <w:rFonts w:hint="eastAsia"/>
                <w:sz w:val="21"/>
                <w:szCs w:val="21"/>
              </w:rPr>
              <w:t>m</w:t>
            </w:r>
            <w:r>
              <w:rPr>
                <w:rFonts w:hint="eastAsia"/>
                <w:sz w:val="21"/>
                <w:szCs w:val="21"/>
                <w:vertAlign w:val="superscript"/>
              </w:rPr>
              <w:t>2</w:t>
            </w:r>
          </w:p>
        </w:tc>
        <w:tc>
          <w:tcPr>
            <w:tcW w:w="1440" w:type="dxa"/>
            <w:noWrap w:val="0"/>
            <w:vAlign w:val="center"/>
          </w:tcPr>
          <w:p w14:paraId="118B9C5C">
            <w:pPr>
              <w:spacing w:line="276" w:lineRule="auto"/>
              <w:ind w:firstLine="0"/>
              <w:jc w:val="center"/>
              <w:rPr>
                <w:rFonts w:hAnsi="宋体" w:eastAsia="宋体"/>
                <w:sz w:val="21"/>
                <w:szCs w:val="21"/>
                <w:lang w:val="en-US" w:eastAsia="zh-CN"/>
              </w:rPr>
            </w:pPr>
            <w:r>
              <w:rPr>
                <w:rFonts w:hint="eastAsia" w:hAnsi="宋体"/>
                <w:sz w:val="21"/>
                <w:szCs w:val="21"/>
                <w:lang w:val="en-US" w:eastAsia="zh-CN"/>
              </w:rPr>
              <w:t>36611.98</w:t>
            </w:r>
          </w:p>
        </w:tc>
        <w:tc>
          <w:tcPr>
            <w:tcW w:w="1980" w:type="dxa"/>
            <w:noWrap w:val="0"/>
            <w:vAlign w:val="center"/>
          </w:tcPr>
          <w:p w14:paraId="05A97097">
            <w:pPr>
              <w:ind w:firstLine="420"/>
              <w:jc w:val="center"/>
              <w:rPr>
                <w:sz w:val="21"/>
                <w:szCs w:val="21"/>
              </w:rPr>
            </w:pPr>
          </w:p>
        </w:tc>
      </w:tr>
      <w:tr w14:paraId="12AC8B9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636A9500">
            <w:pPr>
              <w:ind w:firstLine="0"/>
              <w:jc w:val="center"/>
              <w:rPr>
                <w:rFonts w:hint="eastAsia" w:hAnsi="宋体"/>
                <w:sz w:val="21"/>
                <w:szCs w:val="21"/>
              </w:rPr>
            </w:pPr>
            <w:r>
              <w:rPr>
                <w:rFonts w:hint="eastAsia" w:hAnsi="宋体"/>
                <w:sz w:val="21"/>
                <w:szCs w:val="21"/>
              </w:rPr>
              <w:t>7</w:t>
            </w:r>
          </w:p>
        </w:tc>
        <w:tc>
          <w:tcPr>
            <w:tcW w:w="2760" w:type="dxa"/>
            <w:noWrap w:val="0"/>
            <w:vAlign w:val="center"/>
          </w:tcPr>
          <w:p w14:paraId="56E03F47">
            <w:pPr>
              <w:ind w:firstLine="0"/>
              <w:jc w:val="center"/>
              <w:rPr>
                <w:rFonts w:hAnsi="宋体"/>
                <w:sz w:val="21"/>
                <w:szCs w:val="21"/>
              </w:rPr>
            </w:pPr>
            <w:r>
              <w:rPr>
                <w:rFonts w:hint="eastAsia" w:hAnsi="宋体"/>
                <w:sz w:val="21"/>
                <w:szCs w:val="21"/>
              </w:rPr>
              <w:t>建筑面积</w:t>
            </w:r>
          </w:p>
        </w:tc>
        <w:tc>
          <w:tcPr>
            <w:tcW w:w="1620" w:type="dxa"/>
            <w:noWrap w:val="0"/>
            <w:vAlign w:val="center"/>
          </w:tcPr>
          <w:p w14:paraId="540FF054">
            <w:pPr>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19E972C3">
            <w:pPr>
              <w:ind w:firstLine="0"/>
              <w:jc w:val="center"/>
              <w:rPr>
                <w:rFonts w:hAnsi="宋体" w:eastAsia="宋体"/>
                <w:sz w:val="21"/>
                <w:szCs w:val="21"/>
                <w:lang w:val="en-US" w:eastAsia="zh-CN"/>
              </w:rPr>
            </w:pPr>
            <w:r>
              <w:rPr>
                <w:rFonts w:hint="eastAsia" w:hAnsi="宋体"/>
                <w:sz w:val="21"/>
                <w:szCs w:val="21"/>
                <w:lang w:val="en-US" w:eastAsia="zh-CN"/>
              </w:rPr>
              <w:t>42472.24</w:t>
            </w:r>
          </w:p>
        </w:tc>
        <w:tc>
          <w:tcPr>
            <w:tcW w:w="1980" w:type="dxa"/>
            <w:noWrap w:val="0"/>
            <w:vAlign w:val="center"/>
          </w:tcPr>
          <w:p w14:paraId="3B59B9E5">
            <w:pPr>
              <w:ind w:firstLine="420"/>
              <w:jc w:val="center"/>
              <w:rPr>
                <w:sz w:val="21"/>
                <w:szCs w:val="21"/>
              </w:rPr>
            </w:pPr>
          </w:p>
        </w:tc>
      </w:tr>
      <w:tr w14:paraId="2979E56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74" w:hRule="exact"/>
          <w:jc w:val="center"/>
        </w:trPr>
        <w:tc>
          <w:tcPr>
            <w:tcW w:w="948" w:type="dxa"/>
            <w:noWrap w:val="0"/>
            <w:vAlign w:val="center"/>
          </w:tcPr>
          <w:p w14:paraId="244DE907">
            <w:pPr>
              <w:ind w:firstLine="0"/>
              <w:jc w:val="center"/>
              <w:rPr>
                <w:rFonts w:hint="eastAsia" w:hAnsi="宋体"/>
                <w:sz w:val="21"/>
                <w:szCs w:val="21"/>
              </w:rPr>
            </w:pPr>
            <w:r>
              <w:rPr>
                <w:rFonts w:hint="eastAsia" w:hAnsi="宋体"/>
                <w:sz w:val="21"/>
                <w:szCs w:val="21"/>
              </w:rPr>
              <w:t>7.1</w:t>
            </w:r>
          </w:p>
        </w:tc>
        <w:tc>
          <w:tcPr>
            <w:tcW w:w="2760" w:type="dxa"/>
            <w:noWrap w:val="0"/>
            <w:vAlign w:val="center"/>
          </w:tcPr>
          <w:p w14:paraId="432918A5">
            <w:pPr>
              <w:spacing w:line="276" w:lineRule="auto"/>
              <w:ind w:firstLine="0"/>
              <w:jc w:val="center"/>
              <w:rPr>
                <w:rFonts w:hAnsi="宋体" w:eastAsia="宋体"/>
                <w:sz w:val="21"/>
                <w:szCs w:val="21"/>
                <w:lang w:val="en-US" w:eastAsia="zh-CN"/>
              </w:rPr>
            </w:pPr>
            <w:r>
              <w:rPr>
                <w:rFonts w:hint="eastAsia" w:hAnsi="宋体"/>
                <w:sz w:val="21"/>
                <w:szCs w:val="21"/>
                <w:lang w:val="en-US" w:eastAsia="zh-CN"/>
              </w:rPr>
              <w:t>板材生产车间</w:t>
            </w:r>
          </w:p>
        </w:tc>
        <w:tc>
          <w:tcPr>
            <w:tcW w:w="1620" w:type="dxa"/>
            <w:noWrap w:val="0"/>
            <w:vAlign w:val="center"/>
          </w:tcPr>
          <w:p w14:paraId="4EFB484D">
            <w:pPr>
              <w:spacing w:line="276" w:lineRule="auto"/>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104B39D0">
            <w:pPr>
              <w:spacing w:line="276" w:lineRule="auto"/>
              <w:ind w:firstLine="0"/>
              <w:jc w:val="center"/>
              <w:rPr>
                <w:rFonts w:hAnsi="宋体" w:eastAsia="宋体"/>
                <w:sz w:val="21"/>
                <w:szCs w:val="21"/>
                <w:lang w:val="en-US" w:eastAsia="zh-CN"/>
              </w:rPr>
            </w:pPr>
            <w:r>
              <w:rPr>
                <w:rFonts w:hint="eastAsia"/>
                <w:sz w:val="21"/>
                <w:szCs w:val="21"/>
                <w:lang w:val="en-US" w:eastAsia="zh-CN"/>
              </w:rPr>
              <w:t>25800</w:t>
            </w:r>
          </w:p>
        </w:tc>
        <w:tc>
          <w:tcPr>
            <w:tcW w:w="1980" w:type="dxa"/>
            <w:noWrap w:val="0"/>
            <w:vAlign w:val="center"/>
          </w:tcPr>
          <w:p w14:paraId="00527F6A">
            <w:pPr>
              <w:ind w:firstLine="420"/>
              <w:jc w:val="center"/>
              <w:rPr>
                <w:sz w:val="21"/>
                <w:szCs w:val="21"/>
              </w:rPr>
            </w:pPr>
          </w:p>
        </w:tc>
      </w:tr>
      <w:tr w14:paraId="6EFFA0E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5CC0614D">
            <w:pPr>
              <w:ind w:firstLine="0"/>
              <w:jc w:val="center"/>
              <w:rPr>
                <w:rFonts w:hint="eastAsia" w:hAnsi="宋体"/>
                <w:sz w:val="21"/>
                <w:szCs w:val="21"/>
              </w:rPr>
            </w:pPr>
            <w:r>
              <w:rPr>
                <w:rFonts w:hint="eastAsia" w:hAnsi="宋体"/>
                <w:sz w:val="21"/>
                <w:szCs w:val="21"/>
              </w:rPr>
              <w:t>7.2</w:t>
            </w:r>
          </w:p>
        </w:tc>
        <w:tc>
          <w:tcPr>
            <w:tcW w:w="2760" w:type="dxa"/>
            <w:noWrap w:val="0"/>
            <w:vAlign w:val="center"/>
          </w:tcPr>
          <w:p w14:paraId="592FC9BB">
            <w:pPr>
              <w:spacing w:line="276" w:lineRule="auto"/>
              <w:ind w:firstLine="0"/>
              <w:jc w:val="center"/>
              <w:rPr>
                <w:rFonts w:hAnsi="宋体" w:eastAsia="宋体"/>
                <w:sz w:val="21"/>
                <w:szCs w:val="21"/>
                <w:lang w:val="en-US" w:eastAsia="zh-CN"/>
              </w:rPr>
            </w:pPr>
            <w:r>
              <w:rPr>
                <w:rFonts w:hint="eastAsia" w:hAnsi="宋体"/>
                <w:sz w:val="21"/>
                <w:szCs w:val="21"/>
                <w:lang w:val="en-US" w:eastAsia="zh-CN"/>
              </w:rPr>
              <w:t>制胶车间</w:t>
            </w:r>
          </w:p>
        </w:tc>
        <w:tc>
          <w:tcPr>
            <w:tcW w:w="1620" w:type="dxa"/>
            <w:noWrap w:val="0"/>
            <w:vAlign w:val="center"/>
          </w:tcPr>
          <w:p w14:paraId="028BDC2B">
            <w:pPr>
              <w:spacing w:line="276" w:lineRule="auto"/>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7F7E4757">
            <w:pPr>
              <w:spacing w:line="276" w:lineRule="auto"/>
              <w:ind w:firstLine="0"/>
              <w:jc w:val="center"/>
              <w:rPr>
                <w:rFonts w:hAnsi="宋体" w:eastAsia="宋体"/>
                <w:sz w:val="21"/>
                <w:szCs w:val="21"/>
                <w:lang w:val="en-US" w:eastAsia="zh-CN"/>
              </w:rPr>
            </w:pPr>
            <w:r>
              <w:rPr>
                <w:rFonts w:hint="eastAsia"/>
                <w:sz w:val="21"/>
                <w:szCs w:val="21"/>
                <w:lang w:val="en-US" w:eastAsia="zh-CN"/>
              </w:rPr>
              <w:t>1520</w:t>
            </w:r>
          </w:p>
        </w:tc>
        <w:tc>
          <w:tcPr>
            <w:tcW w:w="1980" w:type="dxa"/>
            <w:noWrap w:val="0"/>
            <w:vAlign w:val="center"/>
          </w:tcPr>
          <w:p w14:paraId="7D01AC5C">
            <w:pPr>
              <w:ind w:firstLine="420"/>
              <w:jc w:val="center"/>
              <w:rPr>
                <w:sz w:val="21"/>
                <w:szCs w:val="21"/>
              </w:rPr>
            </w:pPr>
          </w:p>
        </w:tc>
      </w:tr>
      <w:tr w14:paraId="3A299B9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2CE55E86">
            <w:pPr>
              <w:ind w:firstLine="0"/>
              <w:jc w:val="center"/>
              <w:rPr>
                <w:rFonts w:hint="eastAsia" w:hAnsi="宋体"/>
                <w:sz w:val="21"/>
                <w:szCs w:val="21"/>
              </w:rPr>
            </w:pPr>
            <w:r>
              <w:rPr>
                <w:rFonts w:hint="eastAsia" w:hAnsi="宋体"/>
                <w:sz w:val="21"/>
                <w:szCs w:val="21"/>
              </w:rPr>
              <w:t>7.</w:t>
            </w:r>
            <w:r>
              <w:rPr>
                <w:rFonts w:hAnsi="宋体"/>
                <w:sz w:val="21"/>
                <w:szCs w:val="21"/>
              </w:rPr>
              <w:t>3</w:t>
            </w:r>
          </w:p>
        </w:tc>
        <w:tc>
          <w:tcPr>
            <w:tcW w:w="2760" w:type="dxa"/>
            <w:noWrap w:val="0"/>
            <w:vAlign w:val="center"/>
          </w:tcPr>
          <w:p w14:paraId="2D121D8C">
            <w:pPr>
              <w:spacing w:line="276" w:lineRule="auto"/>
              <w:ind w:firstLine="0"/>
              <w:jc w:val="center"/>
              <w:rPr>
                <w:rFonts w:hAnsi="宋体" w:eastAsia="宋体"/>
                <w:sz w:val="21"/>
                <w:szCs w:val="21"/>
                <w:lang w:val="en-US" w:eastAsia="zh-CN"/>
              </w:rPr>
            </w:pPr>
            <w:r>
              <w:rPr>
                <w:rFonts w:hint="eastAsia" w:hAnsi="宋体"/>
                <w:sz w:val="21"/>
                <w:szCs w:val="21"/>
                <w:lang w:val="en-US" w:eastAsia="zh-CN"/>
              </w:rPr>
              <w:t>断竹区</w:t>
            </w:r>
          </w:p>
        </w:tc>
        <w:tc>
          <w:tcPr>
            <w:tcW w:w="1620" w:type="dxa"/>
            <w:noWrap w:val="0"/>
            <w:vAlign w:val="center"/>
          </w:tcPr>
          <w:p w14:paraId="4913F178">
            <w:pPr>
              <w:spacing w:line="276" w:lineRule="auto"/>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00C64F72">
            <w:pPr>
              <w:spacing w:line="276" w:lineRule="auto"/>
              <w:ind w:firstLine="0"/>
              <w:jc w:val="center"/>
              <w:rPr>
                <w:rFonts w:hAnsi="宋体" w:eastAsia="宋体"/>
                <w:sz w:val="21"/>
                <w:szCs w:val="21"/>
                <w:lang w:val="en-US" w:eastAsia="zh-CN"/>
              </w:rPr>
            </w:pPr>
            <w:r>
              <w:rPr>
                <w:rFonts w:hint="eastAsia"/>
                <w:sz w:val="21"/>
                <w:szCs w:val="21"/>
                <w:lang w:val="en-US" w:eastAsia="zh-CN"/>
              </w:rPr>
              <w:t>792</w:t>
            </w:r>
          </w:p>
        </w:tc>
        <w:tc>
          <w:tcPr>
            <w:tcW w:w="1980" w:type="dxa"/>
            <w:noWrap w:val="0"/>
            <w:vAlign w:val="center"/>
          </w:tcPr>
          <w:p w14:paraId="737B3604">
            <w:pPr>
              <w:ind w:firstLine="420"/>
              <w:jc w:val="center"/>
              <w:rPr>
                <w:sz w:val="21"/>
                <w:szCs w:val="21"/>
              </w:rPr>
            </w:pPr>
          </w:p>
        </w:tc>
      </w:tr>
      <w:tr w14:paraId="12502FC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31125509">
            <w:pPr>
              <w:ind w:firstLine="0"/>
              <w:jc w:val="center"/>
              <w:rPr>
                <w:rFonts w:hint="eastAsia" w:hAnsi="宋体"/>
                <w:sz w:val="21"/>
                <w:szCs w:val="21"/>
              </w:rPr>
            </w:pPr>
            <w:r>
              <w:rPr>
                <w:rFonts w:hint="eastAsia" w:hAnsi="宋体"/>
                <w:sz w:val="21"/>
                <w:szCs w:val="21"/>
              </w:rPr>
              <w:t>7.4</w:t>
            </w:r>
          </w:p>
        </w:tc>
        <w:tc>
          <w:tcPr>
            <w:tcW w:w="2760" w:type="dxa"/>
            <w:noWrap w:val="0"/>
            <w:vAlign w:val="center"/>
          </w:tcPr>
          <w:p w14:paraId="361CBC07">
            <w:pPr>
              <w:spacing w:line="276" w:lineRule="auto"/>
              <w:ind w:firstLine="0"/>
              <w:jc w:val="center"/>
              <w:rPr>
                <w:rFonts w:hAnsi="宋体" w:eastAsia="宋体"/>
                <w:sz w:val="21"/>
                <w:szCs w:val="21"/>
                <w:lang w:val="en-US" w:eastAsia="zh-CN"/>
              </w:rPr>
            </w:pPr>
            <w:r>
              <w:rPr>
                <w:rFonts w:hint="eastAsia" w:hAnsi="宋体"/>
                <w:sz w:val="21"/>
                <w:szCs w:val="21"/>
                <w:lang w:val="en-US" w:eastAsia="zh-CN"/>
              </w:rPr>
              <w:t>刨片仓库</w:t>
            </w:r>
          </w:p>
        </w:tc>
        <w:tc>
          <w:tcPr>
            <w:tcW w:w="1620" w:type="dxa"/>
            <w:noWrap w:val="0"/>
            <w:vAlign w:val="center"/>
          </w:tcPr>
          <w:p w14:paraId="4266A0B6">
            <w:pPr>
              <w:spacing w:line="276" w:lineRule="auto"/>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5879C0C0">
            <w:pPr>
              <w:spacing w:line="276" w:lineRule="auto"/>
              <w:ind w:firstLine="0"/>
              <w:jc w:val="center"/>
              <w:rPr>
                <w:rFonts w:hAnsi="宋体" w:eastAsia="宋体"/>
                <w:sz w:val="21"/>
                <w:szCs w:val="21"/>
                <w:lang w:val="en-US" w:eastAsia="zh-CN"/>
              </w:rPr>
            </w:pPr>
            <w:r>
              <w:rPr>
                <w:rFonts w:hint="eastAsia"/>
                <w:sz w:val="21"/>
                <w:szCs w:val="21"/>
                <w:lang w:val="en-US" w:eastAsia="zh-CN"/>
              </w:rPr>
              <w:t>1701</w:t>
            </w:r>
          </w:p>
        </w:tc>
        <w:tc>
          <w:tcPr>
            <w:tcW w:w="1980" w:type="dxa"/>
            <w:noWrap w:val="0"/>
            <w:vAlign w:val="center"/>
          </w:tcPr>
          <w:p w14:paraId="5CDAA6DC">
            <w:pPr>
              <w:ind w:firstLine="420"/>
              <w:jc w:val="center"/>
              <w:rPr>
                <w:sz w:val="21"/>
                <w:szCs w:val="21"/>
              </w:rPr>
            </w:pPr>
          </w:p>
        </w:tc>
      </w:tr>
      <w:tr w14:paraId="7BC6A1E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7ACC85F1">
            <w:pPr>
              <w:ind w:firstLine="0"/>
              <w:jc w:val="center"/>
              <w:rPr>
                <w:rFonts w:hint="eastAsia" w:hAnsi="宋体"/>
                <w:sz w:val="21"/>
                <w:szCs w:val="21"/>
              </w:rPr>
            </w:pPr>
            <w:r>
              <w:rPr>
                <w:rFonts w:hint="eastAsia" w:hAnsi="宋体"/>
                <w:sz w:val="21"/>
                <w:szCs w:val="21"/>
              </w:rPr>
              <w:t>7.5</w:t>
            </w:r>
          </w:p>
        </w:tc>
        <w:tc>
          <w:tcPr>
            <w:tcW w:w="2760" w:type="dxa"/>
            <w:noWrap w:val="0"/>
            <w:vAlign w:val="center"/>
          </w:tcPr>
          <w:p w14:paraId="43EF503C">
            <w:pPr>
              <w:spacing w:line="276" w:lineRule="auto"/>
              <w:ind w:firstLine="0"/>
              <w:jc w:val="center"/>
              <w:rPr>
                <w:rFonts w:hAnsi="宋体" w:eastAsia="宋体"/>
                <w:sz w:val="21"/>
                <w:szCs w:val="21"/>
                <w:lang w:val="en-US" w:eastAsia="zh-CN"/>
              </w:rPr>
            </w:pPr>
            <w:r>
              <w:rPr>
                <w:rFonts w:hint="eastAsia" w:hAnsi="宋体"/>
                <w:sz w:val="21"/>
                <w:szCs w:val="21"/>
                <w:lang w:val="en-US" w:eastAsia="zh-CN"/>
              </w:rPr>
              <w:t>成品仓库</w:t>
            </w:r>
          </w:p>
        </w:tc>
        <w:tc>
          <w:tcPr>
            <w:tcW w:w="1620" w:type="dxa"/>
            <w:noWrap w:val="0"/>
            <w:vAlign w:val="center"/>
          </w:tcPr>
          <w:p w14:paraId="424A6924">
            <w:pPr>
              <w:spacing w:line="276" w:lineRule="auto"/>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0A056926">
            <w:pPr>
              <w:pStyle w:val="2"/>
              <w:ind w:firstLine="420"/>
              <w:jc w:val="both"/>
              <w:rPr>
                <w:rFonts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2880</w:t>
            </w:r>
          </w:p>
        </w:tc>
        <w:tc>
          <w:tcPr>
            <w:tcW w:w="1980" w:type="dxa"/>
            <w:noWrap w:val="0"/>
            <w:vAlign w:val="center"/>
          </w:tcPr>
          <w:p w14:paraId="6E73A809">
            <w:pPr>
              <w:ind w:firstLine="420"/>
              <w:jc w:val="center"/>
              <w:rPr>
                <w:sz w:val="21"/>
                <w:szCs w:val="21"/>
              </w:rPr>
            </w:pPr>
          </w:p>
        </w:tc>
      </w:tr>
      <w:tr w14:paraId="5DFFDB7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6D72D2AC">
            <w:pPr>
              <w:ind w:firstLine="0"/>
              <w:jc w:val="center"/>
              <w:rPr>
                <w:rFonts w:hint="eastAsia" w:hAnsi="宋体"/>
                <w:sz w:val="21"/>
                <w:szCs w:val="21"/>
              </w:rPr>
            </w:pPr>
            <w:r>
              <w:rPr>
                <w:rFonts w:hAnsi="宋体"/>
                <w:sz w:val="21"/>
                <w:szCs w:val="21"/>
              </w:rPr>
              <w:t>7.6</w:t>
            </w:r>
          </w:p>
        </w:tc>
        <w:tc>
          <w:tcPr>
            <w:tcW w:w="2760" w:type="dxa"/>
            <w:noWrap w:val="0"/>
            <w:vAlign w:val="center"/>
          </w:tcPr>
          <w:p w14:paraId="40DD36E4">
            <w:pPr>
              <w:spacing w:line="276" w:lineRule="auto"/>
              <w:ind w:firstLine="0"/>
              <w:jc w:val="center"/>
              <w:rPr>
                <w:rFonts w:eastAsia="宋体"/>
                <w:sz w:val="21"/>
                <w:szCs w:val="21"/>
                <w:lang w:val="en-US" w:eastAsia="zh-CN"/>
              </w:rPr>
            </w:pPr>
            <w:r>
              <w:rPr>
                <w:rFonts w:hint="eastAsia"/>
                <w:sz w:val="21"/>
                <w:szCs w:val="21"/>
                <w:lang w:val="en-US" w:eastAsia="zh-CN"/>
              </w:rPr>
              <w:t>办公楼</w:t>
            </w:r>
          </w:p>
        </w:tc>
        <w:tc>
          <w:tcPr>
            <w:tcW w:w="1620" w:type="dxa"/>
            <w:noWrap w:val="0"/>
            <w:vAlign w:val="center"/>
          </w:tcPr>
          <w:p w14:paraId="5C771BC2">
            <w:pPr>
              <w:spacing w:line="276" w:lineRule="auto"/>
              <w:ind w:firstLine="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0022969D">
            <w:pPr>
              <w:spacing w:line="276" w:lineRule="auto"/>
              <w:ind w:firstLine="0"/>
              <w:jc w:val="center"/>
              <w:rPr>
                <w:sz w:val="21"/>
                <w:szCs w:val="21"/>
                <w:lang w:val="en-US" w:eastAsia="zh-CN"/>
              </w:rPr>
            </w:pPr>
            <w:r>
              <w:rPr>
                <w:rFonts w:hint="eastAsia"/>
                <w:sz w:val="21"/>
                <w:szCs w:val="21"/>
                <w:lang w:val="en-US" w:eastAsia="zh-CN"/>
              </w:rPr>
              <w:t>1211.22</w:t>
            </w:r>
          </w:p>
        </w:tc>
        <w:tc>
          <w:tcPr>
            <w:tcW w:w="1980" w:type="dxa"/>
            <w:noWrap w:val="0"/>
            <w:vAlign w:val="center"/>
          </w:tcPr>
          <w:p w14:paraId="53D306E7">
            <w:pPr>
              <w:ind w:firstLine="420"/>
              <w:jc w:val="center"/>
              <w:rPr>
                <w:sz w:val="21"/>
                <w:szCs w:val="21"/>
              </w:rPr>
            </w:pPr>
          </w:p>
        </w:tc>
      </w:tr>
      <w:tr w14:paraId="4FDC865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3A0FAD11">
            <w:pPr>
              <w:ind w:firstLine="0"/>
              <w:jc w:val="center"/>
              <w:rPr>
                <w:rFonts w:hAnsi="宋体" w:eastAsia="宋体"/>
                <w:sz w:val="21"/>
                <w:szCs w:val="21"/>
                <w:lang w:val="en-US" w:eastAsia="zh-CN"/>
              </w:rPr>
            </w:pPr>
            <w:r>
              <w:rPr>
                <w:rFonts w:hint="eastAsia" w:hAnsi="宋体"/>
                <w:sz w:val="21"/>
                <w:szCs w:val="21"/>
                <w:lang w:val="en-US" w:eastAsia="zh-CN"/>
              </w:rPr>
              <w:t>7.7</w:t>
            </w:r>
          </w:p>
        </w:tc>
        <w:tc>
          <w:tcPr>
            <w:tcW w:w="2760" w:type="dxa"/>
            <w:noWrap w:val="0"/>
            <w:vAlign w:val="center"/>
          </w:tcPr>
          <w:p w14:paraId="44DE08B4">
            <w:pPr>
              <w:spacing w:line="276" w:lineRule="auto"/>
              <w:ind w:firstLine="0"/>
              <w:jc w:val="center"/>
              <w:rPr>
                <w:rFonts w:eastAsia="宋体"/>
                <w:sz w:val="21"/>
                <w:szCs w:val="21"/>
                <w:lang w:val="en-US" w:eastAsia="zh-CN"/>
              </w:rPr>
            </w:pPr>
            <w:r>
              <w:rPr>
                <w:rFonts w:hint="eastAsia"/>
                <w:sz w:val="21"/>
                <w:szCs w:val="21"/>
                <w:lang w:val="en-US" w:eastAsia="zh-CN"/>
              </w:rPr>
              <w:t>职工宿舍</w:t>
            </w:r>
          </w:p>
        </w:tc>
        <w:tc>
          <w:tcPr>
            <w:tcW w:w="1620" w:type="dxa"/>
            <w:noWrap w:val="0"/>
            <w:vAlign w:val="center"/>
          </w:tcPr>
          <w:p w14:paraId="5F9B4A65">
            <w:pPr>
              <w:spacing w:line="276" w:lineRule="auto"/>
              <w:ind w:firstLine="42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598272FB">
            <w:pPr>
              <w:pStyle w:val="2"/>
              <w:ind w:firstLine="420"/>
              <w:jc w:val="both"/>
              <w:rPr>
                <w:rFonts w:eastAsia="宋体"/>
                <w:lang w:val="en-US" w:eastAsia="zh-CN"/>
              </w:rPr>
            </w:pPr>
            <w:r>
              <w:rPr>
                <w:rFonts w:hint="eastAsia" w:ascii="Times New Roman" w:hAnsi="Times New Roman" w:cs="Times New Roman"/>
                <w:sz w:val="21"/>
                <w:szCs w:val="21"/>
                <w:lang w:val="en-US" w:eastAsia="zh-CN" w:bidi="ar-SA"/>
              </w:rPr>
              <w:t>3168</w:t>
            </w:r>
          </w:p>
        </w:tc>
        <w:tc>
          <w:tcPr>
            <w:tcW w:w="1980" w:type="dxa"/>
            <w:noWrap w:val="0"/>
            <w:vAlign w:val="center"/>
          </w:tcPr>
          <w:p w14:paraId="7B61C56A">
            <w:pPr>
              <w:ind w:firstLine="420"/>
              <w:jc w:val="center"/>
              <w:rPr>
                <w:sz w:val="21"/>
                <w:szCs w:val="21"/>
              </w:rPr>
            </w:pPr>
          </w:p>
        </w:tc>
      </w:tr>
      <w:tr w14:paraId="6051C4B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6912C9FC">
            <w:pPr>
              <w:ind w:firstLine="0"/>
              <w:jc w:val="center"/>
              <w:rPr>
                <w:rFonts w:hAnsi="宋体" w:eastAsia="宋体"/>
                <w:sz w:val="21"/>
                <w:szCs w:val="21"/>
                <w:lang w:val="en-US" w:eastAsia="zh-CN"/>
              </w:rPr>
            </w:pPr>
            <w:r>
              <w:rPr>
                <w:rFonts w:hint="eastAsia" w:hAnsi="宋体"/>
                <w:sz w:val="21"/>
                <w:szCs w:val="21"/>
                <w:lang w:val="en-US" w:eastAsia="zh-CN"/>
              </w:rPr>
              <w:t>7.8</w:t>
            </w:r>
          </w:p>
        </w:tc>
        <w:tc>
          <w:tcPr>
            <w:tcW w:w="2760" w:type="dxa"/>
            <w:noWrap w:val="0"/>
            <w:vAlign w:val="center"/>
          </w:tcPr>
          <w:p w14:paraId="15472320">
            <w:pPr>
              <w:spacing w:line="276" w:lineRule="auto"/>
              <w:ind w:firstLine="0"/>
              <w:jc w:val="center"/>
              <w:rPr>
                <w:rFonts w:eastAsia="宋体"/>
                <w:sz w:val="21"/>
                <w:szCs w:val="21"/>
                <w:lang w:val="en-US" w:eastAsia="zh-CN"/>
              </w:rPr>
            </w:pPr>
            <w:r>
              <w:rPr>
                <w:rFonts w:hint="eastAsia"/>
                <w:sz w:val="21"/>
                <w:szCs w:val="21"/>
                <w:lang w:val="en-US" w:eastAsia="zh-CN"/>
              </w:rPr>
              <w:t>管理人员宿舍楼</w:t>
            </w:r>
          </w:p>
        </w:tc>
        <w:tc>
          <w:tcPr>
            <w:tcW w:w="1620" w:type="dxa"/>
            <w:noWrap w:val="0"/>
            <w:vAlign w:val="center"/>
          </w:tcPr>
          <w:p w14:paraId="33D67064">
            <w:pPr>
              <w:spacing w:line="276" w:lineRule="auto"/>
              <w:ind w:firstLine="42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030434C1">
            <w:pPr>
              <w:pStyle w:val="2"/>
              <w:ind w:firstLine="420"/>
              <w:jc w:val="both"/>
              <w:rPr>
                <w:rFonts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683</w:t>
            </w:r>
          </w:p>
        </w:tc>
        <w:tc>
          <w:tcPr>
            <w:tcW w:w="1980" w:type="dxa"/>
            <w:noWrap w:val="0"/>
            <w:vAlign w:val="center"/>
          </w:tcPr>
          <w:p w14:paraId="67DDAEF0">
            <w:pPr>
              <w:ind w:firstLine="420"/>
              <w:jc w:val="center"/>
              <w:rPr>
                <w:sz w:val="21"/>
                <w:szCs w:val="21"/>
              </w:rPr>
            </w:pPr>
          </w:p>
        </w:tc>
      </w:tr>
      <w:tr w14:paraId="5B10DDA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571F003C">
            <w:pPr>
              <w:ind w:firstLine="0"/>
              <w:jc w:val="center"/>
              <w:rPr>
                <w:rFonts w:hAnsi="宋体" w:eastAsia="宋体"/>
                <w:sz w:val="21"/>
                <w:szCs w:val="21"/>
                <w:lang w:val="en-US" w:eastAsia="zh-CN"/>
              </w:rPr>
            </w:pPr>
            <w:r>
              <w:rPr>
                <w:rFonts w:hint="eastAsia" w:hAnsi="宋体"/>
                <w:sz w:val="21"/>
                <w:szCs w:val="21"/>
                <w:lang w:val="en-US" w:eastAsia="zh-CN"/>
              </w:rPr>
              <w:t>7.9</w:t>
            </w:r>
          </w:p>
        </w:tc>
        <w:tc>
          <w:tcPr>
            <w:tcW w:w="2760" w:type="dxa"/>
            <w:noWrap w:val="0"/>
            <w:vAlign w:val="center"/>
          </w:tcPr>
          <w:p w14:paraId="7D710A55">
            <w:pPr>
              <w:spacing w:line="276" w:lineRule="auto"/>
              <w:ind w:firstLine="0"/>
              <w:jc w:val="center"/>
              <w:rPr>
                <w:rFonts w:eastAsia="宋体"/>
                <w:sz w:val="21"/>
                <w:szCs w:val="21"/>
                <w:lang w:val="en-US" w:eastAsia="zh-CN"/>
              </w:rPr>
            </w:pPr>
            <w:r>
              <w:rPr>
                <w:rFonts w:hint="eastAsia"/>
                <w:sz w:val="21"/>
                <w:szCs w:val="21"/>
                <w:lang w:val="en-US" w:eastAsia="zh-CN"/>
              </w:rPr>
              <w:t>其他附属设施构筑物</w:t>
            </w:r>
          </w:p>
        </w:tc>
        <w:tc>
          <w:tcPr>
            <w:tcW w:w="1620" w:type="dxa"/>
            <w:noWrap w:val="0"/>
            <w:vAlign w:val="center"/>
          </w:tcPr>
          <w:p w14:paraId="2E091CBD">
            <w:pPr>
              <w:spacing w:line="276" w:lineRule="auto"/>
              <w:ind w:firstLine="420"/>
              <w:jc w:val="center"/>
              <w:rPr>
                <w:rFonts w:hAnsi="宋体"/>
                <w:sz w:val="21"/>
                <w:szCs w:val="21"/>
              </w:rPr>
            </w:pPr>
            <w:r>
              <w:rPr>
                <w:rFonts w:hAnsi="宋体"/>
                <w:sz w:val="21"/>
                <w:szCs w:val="21"/>
              </w:rPr>
              <w:t>m</w:t>
            </w:r>
            <w:r>
              <w:rPr>
                <w:rFonts w:hAnsi="宋体"/>
                <w:sz w:val="21"/>
                <w:szCs w:val="21"/>
                <w:vertAlign w:val="superscript"/>
              </w:rPr>
              <w:t>2</w:t>
            </w:r>
          </w:p>
        </w:tc>
        <w:tc>
          <w:tcPr>
            <w:tcW w:w="1440" w:type="dxa"/>
            <w:noWrap w:val="0"/>
            <w:vAlign w:val="center"/>
          </w:tcPr>
          <w:p w14:paraId="243A2CB8">
            <w:pPr>
              <w:pStyle w:val="2"/>
              <w:ind w:left="0" w:firstLine="210"/>
              <w:jc w:val="both"/>
              <w:rPr>
                <w:rFonts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4717.02</w:t>
            </w:r>
          </w:p>
        </w:tc>
        <w:tc>
          <w:tcPr>
            <w:tcW w:w="1980" w:type="dxa"/>
            <w:noWrap w:val="0"/>
            <w:vAlign w:val="center"/>
          </w:tcPr>
          <w:p w14:paraId="160C6BA8">
            <w:pPr>
              <w:ind w:firstLine="420"/>
              <w:jc w:val="center"/>
              <w:rPr>
                <w:sz w:val="21"/>
                <w:szCs w:val="21"/>
              </w:rPr>
            </w:pPr>
          </w:p>
        </w:tc>
      </w:tr>
      <w:tr w14:paraId="4FA8013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78" w:hRule="exact"/>
          <w:jc w:val="center"/>
        </w:trPr>
        <w:tc>
          <w:tcPr>
            <w:tcW w:w="948" w:type="dxa"/>
            <w:noWrap w:val="0"/>
            <w:vAlign w:val="center"/>
          </w:tcPr>
          <w:p w14:paraId="197DB1F6">
            <w:pPr>
              <w:ind w:firstLine="0"/>
              <w:jc w:val="center"/>
              <w:rPr>
                <w:rFonts w:hint="eastAsia" w:hAnsi="宋体"/>
                <w:sz w:val="21"/>
                <w:szCs w:val="21"/>
              </w:rPr>
            </w:pPr>
            <w:r>
              <w:rPr>
                <w:rFonts w:hint="eastAsia" w:hAnsi="宋体"/>
                <w:sz w:val="21"/>
                <w:szCs w:val="21"/>
              </w:rPr>
              <w:t>8</w:t>
            </w:r>
          </w:p>
        </w:tc>
        <w:tc>
          <w:tcPr>
            <w:tcW w:w="2760" w:type="dxa"/>
            <w:noWrap w:val="0"/>
            <w:vAlign w:val="center"/>
          </w:tcPr>
          <w:p w14:paraId="5721E50C">
            <w:pPr>
              <w:ind w:firstLine="0"/>
              <w:jc w:val="center"/>
              <w:rPr>
                <w:rFonts w:hAnsi="宋体"/>
                <w:sz w:val="21"/>
                <w:szCs w:val="21"/>
              </w:rPr>
            </w:pPr>
            <w:r>
              <w:rPr>
                <w:rFonts w:hAnsi="宋体"/>
                <w:sz w:val="21"/>
                <w:szCs w:val="21"/>
              </w:rPr>
              <w:t>建筑密度</w:t>
            </w:r>
          </w:p>
        </w:tc>
        <w:tc>
          <w:tcPr>
            <w:tcW w:w="1620" w:type="dxa"/>
            <w:noWrap w:val="0"/>
            <w:vAlign w:val="center"/>
          </w:tcPr>
          <w:p w14:paraId="00B58DF4">
            <w:pPr>
              <w:ind w:firstLine="0"/>
              <w:jc w:val="center"/>
              <w:rPr>
                <w:rFonts w:hAnsi="宋体"/>
                <w:sz w:val="21"/>
                <w:szCs w:val="21"/>
              </w:rPr>
            </w:pPr>
            <w:r>
              <w:rPr>
                <w:rFonts w:hAnsi="宋体"/>
                <w:sz w:val="21"/>
                <w:szCs w:val="21"/>
              </w:rPr>
              <w:t>%</w:t>
            </w:r>
          </w:p>
        </w:tc>
        <w:tc>
          <w:tcPr>
            <w:tcW w:w="1440" w:type="dxa"/>
            <w:noWrap w:val="0"/>
            <w:vAlign w:val="center"/>
          </w:tcPr>
          <w:p w14:paraId="31B26469">
            <w:pPr>
              <w:ind w:firstLine="0"/>
              <w:jc w:val="center"/>
              <w:rPr>
                <w:rFonts w:hAnsi="宋体" w:eastAsia="宋体"/>
                <w:sz w:val="21"/>
                <w:szCs w:val="21"/>
                <w:lang w:val="en-US" w:eastAsia="zh-CN"/>
              </w:rPr>
            </w:pPr>
            <w:r>
              <w:rPr>
                <w:rFonts w:hint="eastAsia" w:hAnsi="宋体"/>
                <w:sz w:val="21"/>
                <w:szCs w:val="21"/>
                <w:lang w:val="en-US" w:eastAsia="zh-CN"/>
              </w:rPr>
              <w:t>51.2</w:t>
            </w:r>
          </w:p>
        </w:tc>
        <w:tc>
          <w:tcPr>
            <w:tcW w:w="1980" w:type="dxa"/>
            <w:noWrap w:val="0"/>
            <w:vAlign w:val="center"/>
          </w:tcPr>
          <w:p w14:paraId="1F0D0E5C">
            <w:pPr>
              <w:ind w:firstLine="420"/>
              <w:jc w:val="center"/>
              <w:rPr>
                <w:sz w:val="21"/>
                <w:szCs w:val="21"/>
              </w:rPr>
            </w:pPr>
          </w:p>
        </w:tc>
      </w:tr>
      <w:tr w14:paraId="5E4BE0E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54CB0605">
            <w:pPr>
              <w:ind w:firstLine="0"/>
              <w:jc w:val="center"/>
              <w:rPr>
                <w:rFonts w:hint="eastAsia" w:hAnsi="宋体"/>
                <w:sz w:val="21"/>
                <w:szCs w:val="21"/>
              </w:rPr>
            </w:pPr>
            <w:r>
              <w:rPr>
                <w:rFonts w:hint="eastAsia" w:hAnsi="宋体"/>
                <w:sz w:val="21"/>
                <w:szCs w:val="21"/>
              </w:rPr>
              <w:t>9</w:t>
            </w:r>
          </w:p>
        </w:tc>
        <w:tc>
          <w:tcPr>
            <w:tcW w:w="2760" w:type="dxa"/>
            <w:noWrap w:val="0"/>
            <w:vAlign w:val="center"/>
          </w:tcPr>
          <w:p w14:paraId="0EA050CE">
            <w:pPr>
              <w:ind w:firstLine="0"/>
              <w:jc w:val="center"/>
              <w:rPr>
                <w:rFonts w:hAnsi="宋体"/>
                <w:sz w:val="21"/>
                <w:szCs w:val="21"/>
              </w:rPr>
            </w:pPr>
            <w:r>
              <w:rPr>
                <w:rFonts w:hAnsi="宋体"/>
                <w:sz w:val="21"/>
                <w:szCs w:val="21"/>
              </w:rPr>
              <w:t>容积率</w:t>
            </w:r>
          </w:p>
        </w:tc>
        <w:tc>
          <w:tcPr>
            <w:tcW w:w="1620" w:type="dxa"/>
            <w:noWrap w:val="0"/>
            <w:vAlign w:val="center"/>
          </w:tcPr>
          <w:p w14:paraId="024B8C25">
            <w:pPr>
              <w:ind w:firstLine="0"/>
              <w:jc w:val="center"/>
              <w:rPr>
                <w:rFonts w:hAnsi="宋体"/>
                <w:sz w:val="21"/>
                <w:szCs w:val="21"/>
              </w:rPr>
            </w:pPr>
            <w:r>
              <w:rPr>
                <w:rFonts w:hAnsi="宋体"/>
                <w:sz w:val="21"/>
                <w:szCs w:val="21"/>
              </w:rPr>
              <w:t>/</w:t>
            </w:r>
          </w:p>
        </w:tc>
        <w:tc>
          <w:tcPr>
            <w:tcW w:w="1440" w:type="dxa"/>
            <w:noWrap w:val="0"/>
            <w:vAlign w:val="center"/>
          </w:tcPr>
          <w:p w14:paraId="167351CF">
            <w:pPr>
              <w:ind w:firstLine="0"/>
              <w:jc w:val="center"/>
              <w:rPr>
                <w:rFonts w:hAnsi="宋体" w:eastAsia="宋体"/>
                <w:sz w:val="21"/>
                <w:szCs w:val="21"/>
                <w:lang w:val="en-US" w:eastAsia="zh-CN"/>
              </w:rPr>
            </w:pPr>
            <w:r>
              <w:rPr>
                <w:rFonts w:hint="eastAsia" w:hAnsi="宋体"/>
                <w:sz w:val="21"/>
                <w:szCs w:val="21"/>
                <w:lang w:val="en-US" w:eastAsia="zh-CN"/>
              </w:rPr>
              <w:t>0.55</w:t>
            </w:r>
          </w:p>
        </w:tc>
        <w:tc>
          <w:tcPr>
            <w:tcW w:w="1980" w:type="dxa"/>
            <w:noWrap w:val="0"/>
            <w:vAlign w:val="center"/>
          </w:tcPr>
          <w:p w14:paraId="5F1C737B">
            <w:pPr>
              <w:ind w:firstLine="420"/>
              <w:jc w:val="center"/>
              <w:rPr>
                <w:sz w:val="21"/>
                <w:szCs w:val="21"/>
              </w:rPr>
            </w:pPr>
          </w:p>
        </w:tc>
      </w:tr>
      <w:tr w14:paraId="70EF14C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948" w:type="dxa"/>
            <w:noWrap w:val="0"/>
            <w:vAlign w:val="center"/>
          </w:tcPr>
          <w:p w14:paraId="3F3F5BCC">
            <w:pPr>
              <w:ind w:firstLine="0"/>
              <w:jc w:val="center"/>
              <w:rPr>
                <w:rFonts w:hint="eastAsia" w:hAnsi="宋体"/>
                <w:sz w:val="21"/>
                <w:szCs w:val="21"/>
              </w:rPr>
            </w:pPr>
            <w:r>
              <w:rPr>
                <w:rFonts w:hint="eastAsia" w:hAnsi="宋体"/>
                <w:sz w:val="21"/>
                <w:szCs w:val="21"/>
              </w:rPr>
              <w:t>10</w:t>
            </w:r>
          </w:p>
        </w:tc>
        <w:tc>
          <w:tcPr>
            <w:tcW w:w="2760" w:type="dxa"/>
            <w:noWrap w:val="0"/>
            <w:vAlign w:val="center"/>
          </w:tcPr>
          <w:p w14:paraId="4C5C857D">
            <w:pPr>
              <w:ind w:firstLine="0"/>
              <w:jc w:val="center"/>
              <w:rPr>
                <w:rFonts w:hAnsi="宋体"/>
                <w:sz w:val="21"/>
                <w:szCs w:val="21"/>
              </w:rPr>
            </w:pPr>
            <w:r>
              <w:rPr>
                <w:rFonts w:hAnsi="宋体"/>
                <w:sz w:val="21"/>
                <w:szCs w:val="21"/>
              </w:rPr>
              <w:t>绿化率</w:t>
            </w:r>
          </w:p>
        </w:tc>
        <w:tc>
          <w:tcPr>
            <w:tcW w:w="1620" w:type="dxa"/>
            <w:noWrap w:val="0"/>
            <w:vAlign w:val="center"/>
          </w:tcPr>
          <w:p w14:paraId="1A4BB3BE">
            <w:pPr>
              <w:ind w:firstLine="0"/>
              <w:jc w:val="center"/>
              <w:rPr>
                <w:rFonts w:hAnsi="宋体"/>
                <w:sz w:val="21"/>
                <w:szCs w:val="21"/>
              </w:rPr>
            </w:pPr>
            <w:r>
              <w:rPr>
                <w:rFonts w:hAnsi="宋体"/>
                <w:sz w:val="21"/>
                <w:szCs w:val="21"/>
              </w:rPr>
              <w:t>%</w:t>
            </w:r>
          </w:p>
        </w:tc>
        <w:tc>
          <w:tcPr>
            <w:tcW w:w="1440" w:type="dxa"/>
            <w:noWrap w:val="0"/>
            <w:vAlign w:val="center"/>
          </w:tcPr>
          <w:p w14:paraId="5304FF4C">
            <w:pPr>
              <w:ind w:firstLine="0"/>
              <w:jc w:val="center"/>
              <w:rPr>
                <w:rFonts w:hAnsi="宋体" w:eastAsia="宋体"/>
                <w:sz w:val="21"/>
                <w:szCs w:val="21"/>
                <w:lang w:val="en-US" w:eastAsia="zh-CN"/>
              </w:rPr>
            </w:pPr>
            <w:r>
              <w:rPr>
                <w:rFonts w:hint="eastAsia" w:hAnsi="宋体"/>
                <w:sz w:val="21"/>
                <w:szCs w:val="21"/>
                <w:lang w:val="en-US" w:eastAsia="zh-CN"/>
              </w:rPr>
              <w:t>1.3</w:t>
            </w:r>
          </w:p>
        </w:tc>
        <w:tc>
          <w:tcPr>
            <w:tcW w:w="1980" w:type="dxa"/>
            <w:noWrap w:val="0"/>
            <w:vAlign w:val="center"/>
          </w:tcPr>
          <w:p w14:paraId="0231E845">
            <w:pPr>
              <w:ind w:firstLine="420"/>
              <w:jc w:val="center"/>
              <w:rPr>
                <w:sz w:val="21"/>
                <w:szCs w:val="21"/>
              </w:rPr>
            </w:pPr>
          </w:p>
        </w:tc>
      </w:tr>
      <w:tr w14:paraId="3D72C76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52" w:hRule="exact"/>
          <w:jc w:val="center"/>
        </w:trPr>
        <w:tc>
          <w:tcPr>
            <w:tcW w:w="948" w:type="dxa"/>
            <w:noWrap w:val="0"/>
            <w:vAlign w:val="center"/>
          </w:tcPr>
          <w:p w14:paraId="0C073DC7">
            <w:pPr>
              <w:ind w:firstLine="0"/>
              <w:jc w:val="center"/>
              <w:rPr>
                <w:rFonts w:hint="eastAsia" w:hAnsi="宋体"/>
                <w:sz w:val="21"/>
                <w:szCs w:val="21"/>
              </w:rPr>
            </w:pPr>
            <w:r>
              <w:rPr>
                <w:rFonts w:hint="eastAsia" w:hAnsi="宋体"/>
                <w:sz w:val="21"/>
                <w:szCs w:val="21"/>
              </w:rPr>
              <w:t>11</w:t>
            </w:r>
          </w:p>
        </w:tc>
        <w:tc>
          <w:tcPr>
            <w:tcW w:w="2760" w:type="dxa"/>
            <w:noWrap w:val="0"/>
            <w:vAlign w:val="center"/>
          </w:tcPr>
          <w:p w14:paraId="7B95BE42">
            <w:pPr>
              <w:ind w:firstLine="0"/>
              <w:jc w:val="center"/>
              <w:rPr>
                <w:rFonts w:hint="eastAsia" w:hAnsi="宋体"/>
                <w:sz w:val="21"/>
                <w:szCs w:val="21"/>
              </w:rPr>
            </w:pPr>
            <w:r>
              <w:rPr>
                <w:rFonts w:hint="eastAsia" w:hAnsi="宋体"/>
                <w:sz w:val="21"/>
                <w:szCs w:val="21"/>
              </w:rPr>
              <w:t>项目总投资</w:t>
            </w:r>
          </w:p>
        </w:tc>
        <w:tc>
          <w:tcPr>
            <w:tcW w:w="1620" w:type="dxa"/>
            <w:noWrap w:val="0"/>
            <w:vAlign w:val="center"/>
          </w:tcPr>
          <w:p w14:paraId="71462316">
            <w:pPr>
              <w:ind w:firstLine="0"/>
              <w:jc w:val="center"/>
              <w:rPr>
                <w:rFonts w:hint="eastAsia" w:hAnsi="宋体"/>
                <w:sz w:val="21"/>
                <w:szCs w:val="21"/>
              </w:rPr>
            </w:pPr>
            <w:r>
              <w:rPr>
                <w:rFonts w:hint="eastAsia" w:hAnsi="宋体"/>
                <w:sz w:val="21"/>
                <w:szCs w:val="21"/>
              </w:rPr>
              <w:t>万元</w:t>
            </w:r>
          </w:p>
        </w:tc>
        <w:tc>
          <w:tcPr>
            <w:tcW w:w="1440" w:type="dxa"/>
            <w:noWrap w:val="0"/>
            <w:vAlign w:val="center"/>
          </w:tcPr>
          <w:p w14:paraId="1B07FFE6">
            <w:pPr>
              <w:ind w:firstLine="0"/>
              <w:jc w:val="center"/>
              <w:rPr>
                <w:rFonts w:hAnsi="宋体" w:eastAsia="宋体"/>
                <w:sz w:val="21"/>
                <w:szCs w:val="21"/>
                <w:lang w:val="en-US" w:eastAsia="zh-CN"/>
              </w:rPr>
            </w:pPr>
            <w:r>
              <w:rPr>
                <w:rFonts w:hint="eastAsia" w:hAnsi="宋体"/>
                <w:sz w:val="21"/>
                <w:szCs w:val="21"/>
                <w:lang w:val="en-US" w:eastAsia="zh-CN"/>
              </w:rPr>
              <w:t>100</w:t>
            </w:r>
          </w:p>
        </w:tc>
        <w:tc>
          <w:tcPr>
            <w:tcW w:w="1980" w:type="dxa"/>
            <w:noWrap w:val="0"/>
            <w:vAlign w:val="center"/>
          </w:tcPr>
          <w:p w14:paraId="4EE8C134">
            <w:pPr>
              <w:ind w:firstLine="420"/>
              <w:jc w:val="center"/>
              <w:rPr>
                <w:sz w:val="21"/>
                <w:szCs w:val="21"/>
              </w:rPr>
            </w:pPr>
          </w:p>
        </w:tc>
      </w:tr>
      <w:bookmarkEnd w:id="102"/>
      <w:bookmarkEnd w:id="103"/>
    </w:tbl>
    <w:p w14:paraId="20CE6422">
      <w:pPr>
        <w:pStyle w:val="187"/>
        <w:rPr>
          <w:rFonts w:ascii="Times New Roman" w:hAnsi="Times New Roman"/>
        </w:rPr>
      </w:pPr>
      <w:bookmarkStart w:id="104" w:name="_Toc20315"/>
      <w:r>
        <w:rPr>
          <w:rFonts w:hint="eastAsia" w:ascii="Times New Roman" w:hAnsi="Times New Roman"/>
          <w:lang w:val="en-US" w:eastAsia="zh-CN"/>
        </w:rPr>
        <w:t>4.2</w:t>
      </w:r>
      <w:r>
        <w:rPr>
          <w:rFonts w:hint="eastAsia" w:ascii="Times New Roman" w:hAnsi="Times New Roman"/>
        </w:rPr>
        <w:t>工程环境污染分析及工艺流程</w:t>
      </w:r>
      <w:bookmarkEnd w:id="104"/>
    </w:p>
    <w:p w14:paraId="7EFA2A46">
      <w:pPr>
        <w:pStyle w:val="188"/>
      </w:pPr>
      <w:r>
        <w:rPr>
          <w:rFonts w:hint="eastAsia"/>
          <w:lang w:val="en-US" w:eastAsia="zh-CN"/>
        </w:rPr>
        <w:t>4.2.1</w:t>
      </w:r>
      <w:r>
        <w:rPr>
          <w:rFonts w:hint="eastAsia"/>
        </w:rPr>
        <w:t>项目工艺流程</w:t>
      </w:r>
    </w:p>
    <w:p w14:paraId="3705920A">
      <w:pPr>
        <w:pStyle w:val="282"/>
      </w:pPr>
      <w:r>
        <w:rPr>
          <w:rFonts w:hint="eastAsia"/>
          <w:lang w:val="en-US" w:eastAsia="zh-CN"/>
        </w:rPr>
        <w:t>4.2</w:t>
      </w:r>
      <w:r>
        <w:t>.</w:t>
      </w:r>
      <w:r>
        <w:rPr>
          <w:rFonts w:hint="eastAsia"/>
          <w:lang w:val="en-US" w:eastAsia="zh-CN"/>
        </w:rPr>
        <w:t>1</w:t>
      </w:r>
      <w:r>
        <w:t>.1</w:t>
      </w:r>
      <w:r>
        <w:rPr>
          <w:rFonts w:hint="eastAsia"/>
        </w:rPr>
        <w:t>项目施工工艺流程</w:t>
      </w:r>
    </w:p>
    <w:p w14:paraId="008A7C8C">
      <w:pPr>
        <w:rPr>
          <w:lang w:val="en-US" w:eastAsia="zh-CN"/>
        </w:rPr>
      </w:pPr>
      <w:r>
        <w:rPr>
          <w:lang w:val="en-US" w:eastAsia="zh-CN"/>
        </w:rPr>
        <w:t>经过现场踏勘，</w:t>
      </w:r>
      <w:r>
        <w:rPr>
          <w:rFonts w:hint="eastAsia"/>
          <w:lang w:val="en-US" w:eastAsia="zh-CN"/>
        </w:rPr>
        <w:t>项目已经改扩建完毕，仅</w:t>
      </w:r>
      <w:r>
        <w:rPr>
          <w:lang w:val="en-US" w:eastAsia="zh-CN"/>
        </w:rPr>
        <w:t>需要对</w:t>
      </w:r>
      <w:r>
        <w:rPr>
          <w:rFonts w:hint="eastAsia"/>
          <w:lang w:val="en-US" w:eastAsia="zh-CN"/>
        </w:rPr>
        <w:t>新增</w:t>
      </w:r>
      <w:r>
        <w:rPr>
          <w:lang w:val="en-US" w:eastAsia="zh-CN"/>
        </w:rPr>
        <w:t>环保措施进行施工建设，主要是</w:t>
      </w:r>
      <w:r>
        <w:rPr>
          <w:rFonts w:hint="eastAsia"/>
          <w:lang w:val="en-US" w:eastAsia="zh-CN"/>
        </w:rPr>
        <w:t>锅炉</w:t>
      </w:r>
      <w:r>
        <w:rPr>
          <w:lang w:val="en-US" w:eastAsia="zh-CN"/>
        </w:rPr>
        <w:t>烟气治理设备安装及其他环保工程，由于项目施工工序比较简单，不再进行大型的土石方开挖及大型施工设备，基础开挖量较小，仅产生少量的噪声、扬尘、建筑垃圾等。因此本次评价对项目主要对环保措施改造过程中产生的污染源进行核算。</w:t>
      </w:r>
    </w:p>
    <w:p w14:paraId="6E8E7181">
      <w:pPr>
        <w:widowControl w:val="0"/>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施工期工艺流程图见图</w:t>
      </w:r>
      <w:r>
        <w:rPr>
          <w:rFonts w:hint="eastAsia" w:ascii="Times New Roman" w:hAnsi="Times New Roman" w:eastAsia="宋体" w:cs="Times New Roman"/>
          <w:color w:val="000000"/>
          <w:sz w:val="24"/>
          <w:szCs w:val="24"/>
          <w:lang w:val="en-US" w:eastAsia="zh-CN"/>
        </w:rPr>
        <w:t>4.2-</w:t>
      </w:r>
      <w:r>
        <w:rPr>
          <w:rFonts w:ascii="Times New Roman" w:hAnsi="Times New Roman" w:eastAsia="宋体" w:cs="Times New Roman"/>
          <w:color w:val="000000"/>
          <w:sz w:val="24"/>
          <w:szCs w:val="24"/>
        </w:rPr>
        <w:t>1。</w:t>
      </w:r>
    </w:p>
    <w:p w14:paraId="727E00FB">
      <w:pPr>
        <w:widowControl w:val="0"/>
        <w:spacing w:line="240" w:lineRule="atLeast"/>
        <w:jc w:val="both"/>
        <w:rPr>
          <w:rFonts w:ascii="Times New Roman" w:hAnsi="Times New Roman" w:eastAsia="宋体" w:cs="Times New Roman"/>
          <w:color w:val="000000"/>
          <w:sz w:val="28"/>
          <w:lang w:val="en-US" w:eastAsia="zh-CN" w:bidi="ar-SA"/>
        </w:rPr>
      </w:pP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1652270</wp:posOffset>
                </wp:positionH>
                <wp:positionV relativeFrom="paragraph">
                  <wp:posOffset>101600</wp:posOffset>
                </wp:positionV>
                <wp:extent cx="951230" cy="292100"/>
                <wp:effectExtent l="0" t="0" r="0" b="0"/>
                <wp:wrapNone/>
                <wp:docPr id="11" name="_x0000_s2051"/>
                <wp:cNvGraphicFramePr/>
                <a:graphic xmlns:a="http://schemas.openxmlformats.org/drawingml/2006/main">
                  <a:graphicData uri="http://schemas.microsoft.com/office/word/2010/wordprocessingShape">
                    <wps:wsp>
                      <wps:cNvSpPr txBox="1"/>
                      <wps:spPr bwMode="auto">
                        <a:xfrm>
                          <a:off x="0" y="0"/>
                          <a:ext cx="951230" cy="292100"/>
                        </a:xfrm>
                        <a:prstGeom prst="rect">
                          <a:avLst/>
                        </a:prstGeom>
                        <a:noFill/>
                        <a:ln>
                          <a:noFill/>
                        </a:ln>
                      </wps:spPr>
                      <wps:txbx>
                        <w:txbxContent>
                          <w:p w14:paraId="469D5FF4">
                            <w:pPr>
                              <w:widowControl w:val="0"/>
                              <w:spacing w:line="240" w:lineRule="auto"/>
                              <w:ind w:firstLine="0"/>
                              <w:rPr>
                                <w:rFonts w:hint="eastAsia" w:ascii="Times New Roman" w:hAnsi="Times New Roman" w:eastAsia="宋体" w:cs="Times New Roman"/>
                                <w:sz w:val="21"/>
                              </w:rPr>
                            </w:pPr>
                          </w:p>
                          <w:p w14:paraId="0AC849A1"/>
                        </w:txbxContent>
                      </wps:txbx>
                      <wps:bodyPr wrap="square" upright="1"/>
                    </wps:wsp>
                  </a:graphicData>
                </a:graphic>
              </wp:anchor>
            </w:drawing>
          </mc:Choice>
          <mc:Fallback>
            <w:pict>
              <v:shape id="_x0000_s2051" o:spid="_x0000_s1026" o:spt="202" type="#_x0000_t202" style="position:absolute;left:0pt;margin-left:130.1pt;margin-top:8pt;height:23pt;width:74.9pt;z-index:251660288;mso-width-relative:page;mso-height-relative:page;" filled="f" stroked="f" coordsize="21600,21600" o:gfxdata="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EB&#10;RGrVAAAACQEAAA8AAAAAAAAAAQAgAAAAIgAAAGRycy9kb3ducmV2LnhtbFBLAQIUABQAAAAIAIdO&#10;4kDHfYaJtAEAAGsDAAAOAAAAAAAAAAEAIAAAACQBAABkcnMvZTJvRG9jLnhtbFBLBQYAAAAABgAG&#10;AFkBAABKBQAAAAA=&#10;">
                <v:fill on="f" focussize="0,0"/>
                <v:stroke on="f"/>
                <v:imagedata o:title=""/>
                <o:lock v:ext="edit" aspectratio="f"/>
                <v:textbox>
                  <w:txbxContent>
                    <w:p w14:paraId="469D5FF4">
                      <w:pPr>
                        <w:widowControl w:val="0"/>
                        <w:spacing w:line="240" w:lineRule="auto"/>
                        <w:ind w:firstLine="0"/>
                        <w:rPr>
                          <w:rFonts w:hint="eastAsia" w:ascii="Times New Roman" w:hAnsi="Times New Roman" w:eastAsia="宋体" w:cs="Times New Roman"/>
                          <w:sz w:val="21"/>
                        </w:rPr>
                      </w:pPr>
                    </w:p>
                    <w:p w14:paraId="0AC849A1"/>
                  </w:txbxContent>
                </v:textbox>
              </v:shape>
            </w:pict>
          </mc:Fallback>
        </mc:AlternateContent>
      </w: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3154045</wp:posOffset>
                </wp:positionH>
                <wp:positionV relativeFrom="paragraph">
                  <wp:posOffset>131445</wp:posOffset>
                </wp:positionV>
                <wp:extent cx="817880" cy="292100"/>
                <wp:effectExtent l="0" t="0" r="0" b="0"/>
                <wp:wrapNone/>
                <wp:docPr id="12" name="_x0000_s2052"/>
                <wp:cNvGraphicFramePr/>
                <a:graphic xmlns:a="http://schemas.openxmlformats.org/drawingml/2006/main">
                  <a:graphicData uri="http://schemas.microsoft.com/office/word/2010/wordprocessingShape">
                    <wps:wsp>
                      <wps:cNvSpPr txBox="1"/>
                      <wps:spPr bwMode="auto">
                        <a:xfrm>
                          <a:off x="0" y="0"/>
                          <a:ext cx="817880" cy="292100"/>
                        </a:xfrm>
                        <a:prstGeom prst="rect">
                          <a:avLst/>
                        </a:prstGeom>
                        <a:noFill/>
                        <a:ln>
                          <a:noFill/>
                        </a:ln>
                      </wps:spPr>
                      <wps:txbx>
                        <w:txbxContent>
                          <w:p w14:paraId="59DEC737">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建筑垃圾</w:t>
                            </w:r>
                          </w:p>
                          <w:p w14:paraId="674F4E02"/>
                        </w:txbxContent>
                      </wps:txbx>
                      <wps:bodyPr wrap="square" upright="1"/>
                    </wps:wsp>
                  </a:graphicData>
                </a:graphic>
              </wp:anchor>
            </w:drawing>
          </mc:Choice>
          <mc:Fallback>
            <w:pict>
              <v:shape id="_x0000_s2052" o:spid="_x0000_s1026" o:spt="202" type="#_x0000_t202" style="position:absolute;left:0pt;margin-left:248.35pt;margin-top:10.35pt;height:23pt;width:64.4pt;z-index:251660288;mso-width-relative:page;mso-height-relative:page;" filled="f" stroked="f" coordsize="21600,21600" o:gfxdata="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Hl&#10;saPWAAAACQEAAA8AAAAAAAAAAQAgAAAAIgAAAGRycy9kb3ducmV2LnhtbFBLAQIUABQAAAAIAIdO&#10;4kAHmq8AswEAAGsDAAAOAAAAAAAAAAEAIAAAACUBAABkcnMvZTJvRG9jLnhtbFBLBQYAAAAABgAG&#10;AFkBAABKBQAAAAA=&#10;">
                <v:fill on="f" focussize="0,0"/>
                <v:stroke on="f"/>
                <v:imagedata o:title=""/>
                <o:lock v:ext="edit" aspectratio="f"/>
                <v:textbox>
                  <w:txbxContent>
                    <w:p w14:paraId="59DEC737">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建筑垃圾</w:t>
                      </w:r>
                    </w:p>
                    <w:p w14:paraId="674F4E02"/>
                  </w:txbxContent>
                </v:textbox>
              </v:shape>
            </w:pict>
          </mc:Fallback>
        </mc:AlternateContent>
      </w: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1639570</wp:posOffset>
                </wp:positionH>
                <wp:positionV relativeFrom="paragraph">
                  <wp:posOffset>97790</wp:posOffset>
                </wp:positionV>
                <wp:extent cx="951230" cy="292100"/>
                <wp:effectExtent l="0" t="0" r="0" b="0"/>
                <wp:wrapNone/>
                <wp:docPr id="13" name="_x0000_s2050"/>
                <wp:cNvGraphicFramePr/>
                <a:graphic xmlns:a="http://schemas.openxmlformats.org/drawingml/2006/main">
                  <a:graphicData uri="http://schemas.microsoft.com/office/word/2010/wordprocessingShape">
                    <wps:wsp>
                      <wps:cNvSpPr txBox="1"/>
                      <wps:spPr bwMode="auto">
                        <a:xfrm>
                          <a:off x="0" y="0"/>
                          <a:ext cx="951230" cy="292100"/>
                        </a:xfrm>
                        <a:prstGeom prst="rect">
                          <a:avLst/>
                        </a:prstGeom>
                        <a:noFill/>
                        <a:ln>
                          <a:noFill/>
                        </a:ln>
                      </wps:spPr>
                      <wps:txbx>
                        <w:txbxContent>
                          <w:p w14:paraId="1E93F5D1">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粉尘、噪声</w:t>
                            </w:r>
                          </w:p>
                          <w:p w14:paraId="50150734"/>
                        </w:txbxContent>
                      </wps:txbx>
                      <wps:bodyPr wrap="square" upright="1"/>
                    </wps:wsp>
                  </a:graphicData>
                </a:graphic>
              </wp:anchor>
            </w:drawing>
          </mc:Choice>
          <mc:Fallback>
            <w:pict>
              <v:shape id="_x0000_s2050" o:spid="_x0000_s1026" o:spt="202" type="#_x0000_t202" style="position:absolute;left:0pt;margin-left:129.1pt;margin-top:7.7pt;height:23pt;width:74.9pt;z-index:251660288;mso-width-relative:page;mso-height-relative:page;" filled="f" stroked="f" coordsize="21600,21600" o:gfxdata="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Dq&#10;oLzWAAAACQEAAA8AAAAAAAAAAQAgAAAAIgAAAGRycy9kb3ducmV2LnhtbFBLAQIUABQAAAAIAIdO&#10;4kBSFCaoswEAAGsDAAAOAAAAAAAAAAEAIAAAACUBAABkcnMvZTJvRG9jLnhtbFBLBQYAAAAABgAG&#10;AFkBAABKBQAAAAA=&#10;">
                <v:fill on="f" focussize="0,0"/>
                <v:stroke on="f"/>
                <v:imagedata o:title=""/>
                <o:lock v:ext="edit" aspectratio="f"/>
                <v:textbox>
                  <w:txbxContent>
                    <w:p w14:paraId="1E93F5D1">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粉尘、噪声</w:t>
                      </w:r>
                    </w:p>
                    <w:p w14:paraId="50150734"/>
                  </w:txbxContent>
                </v:textbox>
              </v:shape>
            </w:pict>
          </mc:Fallback>
        </mc:AlternateContent>
      </w:r>
    </w:p>
    <w:p w14:paraId="183ADE15">
      <w:pPr>
        <w:widowControl w:val="0"/>
        <w:spacing w:line="240" w:lineRule="atLeast"/>
        <w:jc w:val="both"/>
        <w:rPr>
          <w:rFonts w:ascii="Times New Roman" w:hAnsi="Times New Roman" w:eastAsia="宋体" w:cs="Times New Roman"/>
          <w:color w:val="000000"/>
          <w:sz w:val="28"/>
          <w:lang w:val="en-US" w:eastAsia="zh-CN" w:bidi="ar-SA"/>
        </w:rPr>
      </w:pP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3128010</wp:posOffset>
                </wp:positionH>
                <wp:positionV relativeFrom="paragraph">
                  <wp:posOffset>182880</wp:posOffset>
                </wp:positionV>
                <wp:extent cx="158750" cy="184150"/>
                <wp:effectExtent l="0" t="0" r="0" b="0"/>
                <wp:wrapNone/>
                <wp:docPr id="14" name="_x0000_s2054"/>
                <wp:cNvGraphicFramePr/>
                <a:graphic xmlns:a="http://schemas.openxmlformats.org/drawingml/2006/main">
                  <a:graphicData uri="http://schemas.microsoft.com/office/word/2010/wordprocessingShape">
                    <wps:wsp>
                      <wps:cNvCnPr/>
                      <wps:spPr bwMode="auto">
                        <a:xfrm flipV="1">
                          <a:off x="0" y="0"/>
                          <a:ext cx="158750" cy="184150"/>
                        </a:xfrm>
                        <a:prstGeom prst="line">
                          <a:avLst/>
                        </a:prstGeom>
                        <a:noFill/>
                        <a:ln>
                          <a:solidFill>
                            <a:srgbClr val="000000"/>
                          </a:solidFill>
                          <a:prstDash val="dash"/>
                          <a:tailEnd type="triangle"/>
                        </a:ln>
                      </wps:spPr>
                      <wps:bodyPr rot="0">
                        <a:noAutofit/>
                      </wps:bodyPr>
                    </wps:wsp>
                  </a:graphicData>
                </a:graphic>
              </wp:anchor>
            </w:drawing>
          </mc:Choice>
          <mc:Fallback>
            <w:pict>
              <v:line id="_x0000_s2054" o:spid="_x0000_s1026" o:spt="20" style="position:absolute;left:0pt;flip:y;margin-left:246.3pt;margin-top:14.4pt;height:14.5pt;width:12.5pt;z-index:251660288;mso-width-relative:page;mso-height-relative:page;" filled="f" stroked="t" coordsize="21600,21600" o:gfxdata="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AK2DTXAAAACQEAAA8A&#10;AAAAAAAAAQAgAAAAIgAAAGRycy9kb3ducmV2LnhtbFBLAQIUABQAAAAIAIdO4kBUsnUD3wEAAMUD&#10;AAAOAAAAAAAAAAEAIAAAACYBAABkcnMvZTJvRG9jLnhtbFBLBQYAAAAABgAGAFkBAAB3BQAAAAA=&#10;">
                <v:fill on="f" focussize="0,0"/>
                <v:stroke color="#000000" joinstyle="round" dashstyle="dash" endarrow="block"/>
                <v:imagedata o:title=""/>
                <o:lock v:ext="edit" aspectratio="f"/>
              </v:line>
            </w:pict>
          </mc:Fallback>
        </mc:AlternateContent>
      </w: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1541145</wp:posOffset>
                </wp:positionH>
                <wp:positionV relativeFrom="paragraph">
                  <wp:posOffset>142875</wp:posOffset>
                </wp:positionV>
                <wp:extent cx="167640" cy="222250"/>
                <wp:effectExtent l="0" t="0" r="0" b="0"/>
                <wp:wrapNone/>
                <wp:docPr id="15" name="_x0000_s2053"/>
                <wp:cNvGraphicFramePr/>
                <a:graphic xmlns:a="http://schemas.openxmlformats.org/drawingml/2006/main">
                  <a:graphicData uri="http://schemas.microsoft.com/office/word/2010/wordprocessingShape">
                    <wps:wsp>
                      <wps:cNvCnPr/>
                      <wps:spPr bwMode="auto">
                        <a:xfrm flipV="1">
                          <a:off x="0" y="0"/>
                          <a:ext cx="167640" cy="222250"/>
                        </a:xfrm>
                        <a:prstGeom prst="line">
                          <a:avLst/>
                        </a:prstGeom>
                        <a:noFill/>
                        <a:ln>
                          <a:solidFill>
                            <a:srgbClr val="000000"/>
                          </a:solidFill>
                          <a:prstDash val="dash"/>
                          <a:tailEnd type="triangle"/>
                        </a:ln>
                      </wps:spPr>
                      <wps:bodyPr rot="0">
                        <a:noAutofit/>
                      </wps:bodyPr>
                    </wps:wsp>
                  </a:graphicData>
                </a:graphic>
              </wp:anchor>
            </w:drawing>
          </mc:Choice>
          <mc:Fallback>
            <w:pict>
              <v:line id="_x0000_s2053" o:spid="_x0000_s1026" o:spt="20" style="position:absolute;left:0pt;flip:y;margin-left:121.35pt;margin-top:11.25pt;height:17.5pt;width:13.2pt;z-index:251660288;mso-width-relative:page;mso-height-relative:page;" filled="f" stroked="t" coordsize="21600,21600" o:gfxdata="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4EudDYAAAACQEAAA8A&#10;AAAAAAAAAQAgAAAAIgAAAGRycy9kb3ducmV2LnhtbFBLAQIUABQAAAAIAIdO4kCQ55px3gEAAMUD&#10;AAAOAAAAAAAAAAEAIAAAACcBAABkcnMvZTJvRG9jLnhtbFBLBQYAAAAABgAGAFkBAAB3BQAAAAA=&#10;">
                <v:fill on="f" focussize="0,0"/>
                <v:stroke color="#000000" joinstyle="round" dashstyle="dash" endarrow="block"/>
                <v:imagedata o:title=""/>
                <o:lock v:ext="edit" aspectratio="f"/>
              </v:line>
            </w:pict>
          </mc:Fallback>
        </mc:AlternateContent>
      </w:r>
    </w:p>
    <w:p w14:paraId="67391C1A">
      <w:pPr>
        <w:widowControl w:val="0"/>
        <w:spacing w:line="240" w:lineRule="atLeast"/>
        <w:jc w:val="both"/>
        <w:rPr>
          <w:rFonts w:ascii="Times New Roman" w:hAnsi="Times New Roman" w:eastAsia="宋体" w:cs="Times New Roman"/>
          <w:color w:val="000000"/>
          <w:sz w:val="28"/>
          <w:lang w:val="en-US" w:eastAsia="zh-CN" w:bidi="ar-SA"/>
        </w:rPr>
      </w:pP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3823970</wp:posOffset>
                </wp:positionH>
                <wp:positionV relativeFrom="paragraph">
                  <wp:posOffset>203835</wp:posOffset>
                </wp:positionV>
                <wp:extent cx="822325" cy="292100"/>
                <wp:effectExtent l="0" t="0" r="0" b="0"/>
                <wp:wrapNone/>
                <wp:docPr id="16" name="_x0000_s2056"/>
                <wp:cNvGraphicFramePr/>
                <a:graphic xmlns:a="http://schemas.openxmlformats.org/drawingml/2006/main">
                  <a:graphicData uri="http://schemas.microsoft.com/office/word/2010/wordprocessingShape">
                    <wps:wsp>
                      <wps:cNvSpPr txBox="1"/>
                      <wps:spPr bwMode="auto">
                        <a:xfrm>
                          <a:off x="0" y="0"/>
                          <a:ext cx="822325" cy="292100"/>
                        </a:xfrm>
                        <a:prstGeom prst="rect">
                          <a:avLst/>
                        </a:prstGeom>
                        <a:solidFill>
                          <a:srgbClr val="FFFFFF"/>
                        </a:solidFill>
                        <a:ln>
                          <a:solidFill>
                            <a:srgbClr val="000000"/>
                          </a:solidFill>
                        </a:ln>
                      </wps:spPr>
                      <wps:txbx>
                        <w:txbxContent>
                          <w:p w14:paraId="6D9E0F97">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竣工验收</w:t>
                            </w:r>
                          </w:p>
                          <w:p w14:paraId="72EFD5BB"/>
                        </w:txbxContent>
                      </wps:txbx>
                      <wps:bodyPr wrap="square" upright="1"/>
                    </wps:wsp>
                  </a:graphicData>
                </a:graphic>
              </wp:anchor>
            </w:drawing>
          </mc:Choice>
          <mc:Fallback>
            <w:pict>
              <v:shape id="_x0000_s2056" o:spid="_x0000_s1026" o:spt="202" type="#_x0000_t202" style="position:absolute;left:0pt;margin-left:301.1pt;margin-top:16.05pt;height:23pt;width:64.75pt;z-index:251660288;mso-width-relative:page;mso-height-relative:page;" fillcolor="#FFFFFF" filled="t" stroked="t" coordsize="21600,21600" o:gfxdata="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603KzYAAAACQEAAA8AAAAAAAAAAQAgAAAAIgAA&#10;AGRycy9kb3ducmV2LnhtbFBLAQIUABQAAAAIAIdO4kDbAivmzwEAAL0DAAAOAAAAAAAAAAEAIAAA&#10;ACcBAABkcnMvZTJvRG9jLnhtbFBLBQYAAAAABgAGAFkBAABoBQAAAAA=&#10;">
                <v:fill on="t" focussize="0,0"/>
                <v:stroke color="#000000" joinstyle="round"/>
                <v:imagedata o:title=""/>
                <o:lock v:ext="edit" aspectratio="f"/>
                <v:textbox>
                  <w:txbxContent>
                    <w:p w14:paraId="6D9E0F97">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竣工验收</w:t>
                      </w:r>
                    </w:p>
                    <w:p w14:paraId="72EFD5BB"/>
                  </w:txbxContent>
                </v:textbox>
              </v:shape>
            </w:pict>
          </mc:Fallback>
        </mc:AlternateContent>
      </w: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2661920</wp:posOffset>
                </wp:positionH>
                <wp:positionV relativeFrom="paragraph">
                  <wp:posOffset>203835</wp:posOffset>
                </wp:positionV>
                <wp:extent cx="812165" cy="292100"/>
                <wp:effectExtent l="0" t="0" r="0" b="0"/>
                <wp:wrapNone/>
                <wp:docPr id="17" name="_x0000_s2057"/>
                <wp:cNvGraphicFramePr/>
                <a:graphic xmlns:a="http://schemas.openxmlformats.org/drawingml/2006/main">
                  <a:graphicData uri="http://schemas.microsoft.com/office/word/2010/wordprocessingShape">
                    <wps:wsp>
                      <wps:cNvSpPr txBox="1"/>
                      <wps:spPr bwMode="auto">
                        <a:xfrm>
                          <a:off x="0" y="0"/>
                          <a:ext cx="812165" cy="292100"/>
                        </a:xfrm>
                        <a:prstGeom prst="rect">
                          <a:avLst/>
                        </a:prstGeom>
                        <a:solidFill>
                          <a:srgbClr val="FFFFFF"/>
                        </a:solidFill>
                        <a:ln>
                          <a:solidFill>
                            <a:srgbClr val="000000"/>
                          </a:solidFill>
                        </a:ln>
                      </wps:spPr>
                      <wps:txbx>
                        <w:txbxContent>
                          <w:p w14:paraId="44C2BD5A">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场地清理</w:t>
                            </w:r>
                          </w:p>
                          <w:p w14:paraId="441FD36C"/>
                        </w:txbxContent>
                      </wps:txbx>
                      <wps:bodyPr wrap="square" upright="1"/>
                    </wps:wsp>
                  </a:graphicData>
                </a:graphic>
              </wp:anchor>
            </w:drawing>
          </mc:Choice>
          <mc:Fallback>
            <w:pict>
              <v:shape id="_x0000_s2057" o:spid="_x0000_s1026" o:spt="202" type="#_x0000_t202" style="position:absolute;left:0pt;margin-left:209.6pt;margin-top:16.05pt;height:23pt;width:63.95pt;z-index:251660288;mso-width-relative:page;mso-height-relative:page;" fillcolor="#FFFFFF" filled="t" stroked="t" coordsize="21600,21600" o:gfxdata="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YqIEdkAAAAJAQAADwAAAAAAAAABACAAAAAi&#10;AAAAZHJzL2Rvd25yZXYueG1sUEsBAhQAFAAAAAgAh07iQHzkmMHQAQAAvQMAAA4AAAAAAAAAAQAg&#10;AAAAKAEAAGRycy9lMm9Eb2MueG1sUEsFBgAAAAAGAAYAWQEAAGoFAAAAAA==&#10;">
                <v:fill on="t" focussize="0,0"/>
                <v:stroke color="#000000" joinstyle="round"/>
                <v:imagedata o:title=""/>
                <o:lock v:ext="edit" aspectratio="f"/>
                <v:textbox>
                  <w:txbxContent>
                    <w:p w14:paraId="44C2BD5A">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场地清理</w:t>
                      </w:r>
                    </w:p>
                    <w:p w14:paraId="441FD36C"/>
                  </w:txbxContent>
                </v:textbox>
              </v:shape>
            </w:pict>
          </mc:Fallback>
        </mc:AlternateContent>
      </w:r>
      <w:r>
        <w:rPr>
          <w:rFonts w:ascii="Times New Roman" w:hAnsi="Times New Roman" w:eastAsia="宋体" w:cs="Times New Roman"/>
          <w:color w:val="000000"/>
          <w:sz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641350</wp:posOffset>
                </wp:positionH>
                <wp:positionV relativeFrom="paragraph">
                  <wp:posOffset>180340</wp:posOffset>
                </wp:positionV>
                <wp:extent cx="1445260" cy="287655"/>
                <wp:effectExtent l="0" t="0" r="0" b="0"/>
                <wp:wrapNone/>
                <wp:docPr id="18" name="_x0000_s2055"/>
                <wp:cNvGraphicFramePr/>
                <a:graphic xmlns:a="http://schemas.openxmlformats.org/drawingml/2006/main">
                  <a:graphicData uri="http://schemas.microsoft.com/office/word/2010/wordprocessingShape">
                    <wps:wsp>
                      <wps:cNvSpPr txBox="1"/>
                      <wps:spPr bwMode="auto">
                        <a:xfrm>
                          <a:off x="0" y="0"/>
                          <a:ext cx="1445260" cy="287655"/>
                        </a:xfrm>
                        <a:prstGeom prst="rect">
                          <a:avLst/>
                        </a:prstGeom>
                        <a:solidFill>
                          <a:srgbClr val="FFFFFF"/>
                        </a:solidFill>
                        <a:ln>
                          <a:solidFill>
                            <a:srgbClr val="000000"/>
                          </a:solidFill>
                        </a:ln>
                      </wps:spPr>
                      <wps:txbx>
                        <w:txbxContent>
                          <w:p w14:paraId="34A40A73">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 xml:space="preserve">  新增环保设备安装</w:t>
                            </w:r>
                          </w:p>
                          <w:p w14:paraId="5F2967B7"/>
                        </w:txbxContent>
                      </wps:txbx>
                      <wps:bodyPr wrap="square" upright="1"/>
                    </wps:wsp>
                  </a:graphicData>
                </a:graphic>
              </wp:anchor>
            </w:drawing>
          </mc:Choice>
          <mc:Fallback>
            <w:pict>
              <v:shape id="_x0000_s2055" o:spid="_x0000_s1026" o:spt="202" type="#_x0000_t202" style="position:absolute;left:0pt;margin-left:50.5pt;margin-top:14.2pt;height:22.65pt;width:113.8pt;z-index:251660288;mso-width-relative:page;mso-height-relative:page;" fillcolor="#FFFFFF" filled="t" stroked="t" coordsize="21600,21600" o:gfxdata="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7N6e9gAAAAJAQAADwAAAAAAAAABACAAAAAiAAAA&#10;ZHJzL2Rvd25yZXYueG1sUEsBAhQAFAAAAAgAh07iQABvAfrOAQAAvgMAAA4AAAAAAAAAAQAgAAAA&#10;JwEAAGRycy9lMm9Eb2MueG1sUEsFBgAAAAAGAAYAWQEAAGcFAAAAAA==&#10;">
                <v:fill on="t" focussize="0,0"/>
                <v:stroke color="#000000" joinstyle="round"/>
                <v:imagedata o:title=""/>
                <o:lock v:ext="edit" aspectratio="f"/>
                <v:textbox>
                  <w:txbxContent>
                    <w:p w14:paraId="34A40A73">
                      <w:pPr>
                        <w:widowControl w:val="0"/>
                        <w:spacing w:line="240" w:lineRule="auto"/>
                        <w:ind w:firstLine="0"/>
                        <w:rPr>
                          <w:rFonts w:hint="eastAsia" w:ascii="Times New Roman" w:hAnsi="Times New Roman" w:eastAsia="宋体" w:cs="Times New Roman"/>
                          <w:sz w:val="21"/>
                        </w:rPr>
                      </w:pPr>
                      <w:r>
                        <w:rPr>
                          <w:rFonts w:hint="eastAsia" w:ascii="Times New Roman" w:hAnsi="Times New Roman" w:eastAsia="宋体" w:cs="Times New Roman"/>
                          <w:sz w:val="21"/>
                        </w:rPr>
                        <w:t xml:space="preserve">  新增环保设备安装</w:t>
                      </w:r>
                    </w:p>
                    <w:p w14:paraId="5F2967B7"/>
                  </w:txbxContent>
                </v:textbox>
              </v:shape>
            </w:pict>
          </mc:Fallback>
        </mc:AlternateContent>
      </w:r>
    </w:p>
    <w:p w14:paraId="4388FBAE">
      <w:pPr>
        <w:widowControl w:val="0"/>
        <w:spacing w:line="360" w:lineRule="auto"/>
        <w:ind w:firstLine="0"/>
        <w:jc w:val="center"/>
        <w:rPr>
          <w:rFonts w:ascii="Times New Roman" w:hAnsi="Times New Roman" w:eastAsia="宋体" w:cs="Times New Roman"/>
          <w:b/>
          <w:bCs/>
          <w:color w:val="000000"/>
          <w:sz w:val="24"/>
          <w:szCs w:val="24"/>
        </w:rPr>
      </w:pPr>
      <w:r>
        <w:rPr>
          <w:rFonts w:ascii="Times New Roman" w:hAnsi="Times New Roman" w:eastAsia="宋体" w:cs="Times New Roman"/>
          <w:color w:val="000000"/>
          <w:sz w:val="21"/>
        </w:rPr>
        <mc:AlternateContent>
          <mc:Choice Requires="wps">
            <w:drawing>
              <wp:anchor distT="0" distB="0" distL="114300" distR="114300" simplePos="0" relativeHeight="251660288" behindDoc="0" locked="0" layoutInCell="1" allowOverlap="1">
                <wp:simplePos x="0" y="0"/>
                <wp:positionH relativeFrom="column">
                  <wp:posOffset>3537585</wp:posOffset>
                </wp:positionH>
                <wp:positionV relativeFrom="paragraph">
                  <wp:posOffset>139065</wp:posOffset>
                </wp:positionV>
                <wp:extent cx="292100" cy="635"/>
                <wp:effectExtent l="0" t="0" r="0" b="0"/>
                <wp:wrapNone/>
                <wp:docPr id="19" name="_x0000_s2059"/>
                <wp:cNvGraphicFramePr/>
                <a:graphic xmlns:a="http://schemas.openxmlformats.org/drawingml/2006/main">
                  <a:graphicData uri="http://schemas.microsoft.com/office/word/2010/wordprocessingShape">
                    <wps:wsp>
                      <wps:cNvCnPr/>
                      <wps:spPr bwMode="auto">
                        <a:xfrm>
                          <a:off x="0" y="0"/>
                          <a:ext cx="292100" cy="635"/>
                        </a:xfrm>
                        <a:prstGeom prst="line">
                          <a:avLst/>
                        </a:prstGeom>
                        <a:noFill/>
                        <a:ln>
                          <a:solidFill>
                            <a:srgbClr val="000000"/>
                          </a:solidFill>
                          <a:headEnd w="sm"/>
                          <a:tailEnd type="triangle"/>
                        </a:ln>
                      </wps:spPr>
                      <wps:bodyPr rot="0">
                        <a:noAutofit/>
                      </wps:bodyPr>
                    </wps:wsp>
                  </a:graphicData>
                </a:graphic>
              </wp:anchor>
            </w:drawing>
          </mc:Choice>
          <mc:Fallback>
            <w:pict>
              <v:line id="_x0000_s2059" o:spid="_x0000_s1026" o:spt="20" style="position:absolute;left:0pt;margin-left:278.55pt;margin-top:10.95pt;height:0.05pt;width:23pt;z-index:251660288;mso-width-relative:page;mso-height-relative:page;" filled="f" stroked="t" coordsize="21600,21600" o:gfxdata="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anyzWAAAACQEAAA8AAAAAAAAAAQAgAAAA&#10;IgAAAGRycy9kb3ducmV2LnhtbFBLAQIUABQAAAAIAIdO4kBk6DiQ1AEAALMDAAAOAAAAAAAAAAEA&#10;IAAAACUBAABkcnMvZTJvRG9jLnhtbFBLBQYAAAAABgAGAFkBAABrBQAAAAA=&#10;">
                <v:fill on="f" focussize="0,0"/>
                <v:stroke color="#000000" joinstyle="round" startarrowwidth="narrow" endarrow="block"/>
                <v:imagedata o:title=""/>
                <o:lock v:ext="edit" aspectratio="f"/>
              </v:line>
            </w:pict>
          </mc:Fallback>
        </mc:AlternateContent>
      </w:r>
      <w:r>
        <w:rPr>
          <w:rFonts w:ascii="Times New Roman" w:hAnsi="Times New Roman" w:eastAsia="宋体" w:cs="Times New Roman"/>
          <w:color w:val="000000"/>
          <w:sz w:val="21"/>
        </w:rPr>
        <mc:AlternateContent>
          <mc:Choice Requires="wps">
            <w:drawing>
              <wp:anchor distT="0" distB="0" distL="114300" distR="114300" simplePos="0" relativeHeight="251660288" behindDoc="0" locked="0" layoutInCell="1" allowOverlap="1">
                <wp:simplePos x="0" y="0"/>
                <wp:positionH relativeFrom="column">
                  <wp:posOffset>2119630</wp:posOffset>
                </wp:positionH>
                <wp:positionV relativeFrom="paragraph">
                  <wp:posOffset>121920</wp:posOffset>
                </wp:positionV>
                <wp:extent cx="466090" cy="1270"/>
                <wp:effectExtent l="0" t="0" r="0" b="0"/>
                <wp:wrapNone/>
                <wp:docPr id="20" name="_x0000_s2058"/>
                <wp:cNvGraphicFramePr/>
                <a:graphic xmlns:a="http://schemas.openxmlformats.org/drawingml/2006/main">
                  <a:graphicData uri="http://schemas.microsoft.com/office/word/2010/wordprocessingShape">
                    <wps:wsp>
                      <wps:cNvSpPr/>
                      <wps:spPr bwMode="auto">
                        <a:xfrm>
                          <a:off x="0" y="0"/>
                          <a:ext cx="466090" cy="1270"/>
                        </a:xfrm>
                        <a:custGeom>
                          <a:avLst/>
                          <a:gdLst>
                            <a:gd name="gd0" fmla="val 65536"/>
                            <a:gd name="gd1" fmla="val 0"/>
                            <a:gd name="gd2" fmla="val 0"/>
                            <a:gd name="gd3" fmla="val 21600"/>
                            <a:gd name="gd4" fmla="val 21600"/>
                          </a:gdLst>
                          <a:ahLst/>
                          <a:cxnLst/>
                          <a:rect l="0" t="0" r="r" b="b"/>
                          <a:pathLst>
                            <a:path w="21600" h="21600" extrusionOk="0">
                              <a:moveTo>
                                <a:pt x="gd1" y="gd2"/>
                              </a:moveTo>
                              <a:lnTo>
                                <a:pt x="gd3" y="gd4"/>
                              </a:lnTo>
                            </a:path>
                          </a:pathLst>
                        </a:custGeom>
                        <a:noFill/>
                        <a:ln w="3175">
                          <a:solidFill>
                            <a:srgbClr val="000000"/>
                          </a:solidFill>
                          <a:tailEnd type="triangle"/>
                        </a:ln>
                      </wps:spPr>
                      <wps:bodyPr rot="0">
                        <a:noAutofit/>
                      </wps:bodyPr>
                    </wps:wsp>
                  </a:graphicData>
                </a:graphic>
              </wp:anchor>
            </w:drawing>
          </mc:Choice>
          <mc:Fallback>
            <w:pict>
              <v:shape id="_x0000_s2058" o:spid="_x0000_s1026" o:spt="100" style="position:absolute;left:0pt;margin-left:166.9pt;margin-top:9.6pt;height:0.1pt;width:36.7pt;z-index:251660288;mso-width-relative:page;mso-height-relative:page;" filled="f" stroked="t" coordsize="21600,21600" o:gfxdata="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EnkA2AAAAAkB&#10;AAAPAAAAAAAAAAEAIAAAACIAAABkcnMvZG93bnJldi54bWxQSwECFAAUAAAACACHTuJA8MvlDlQC&#10;AAAuBQAADgAAAAAAAAABACAAAAAnAQAAZHJzL2Uyb0RvYy54bWxQSwUGAAAAAAYABgBZAQAA7QUA&#10;AAAA&#10;" path="m0,0l21600,21600e">
                <v:fill on="f" focussize="0,0"/>
                <v:stroke weight="0.25pt" color="#000000" joinstyle="round" endarrow="block"/>
                <v:imagedata o:title=""/>
                <o:lock v:ext="edit" aspectratio="f"/>
              </v:shape>
            </w:pict>
          </mc:Fallback>
        </mc:AlternateContent>
      </w:r>
    </w:p>
    <w:p w14:paraId="144B851F">
      <w:pPr>
        <w:widowControl w:val="0"/>
        <w:spacing w:line="360" w:lineRule="auto"/>
        <w:ind w:firstLine="0"/>
        <w:jc w:val="both"/>
        <w:rPr>
          <w:rFonts w:ascii="Times New Roman" w:hAnsi="Times New Roman" w:eastAsia="宋体" w:cs="Times New Roman"/>
          <w:b/>
          <w:bCs/>
          <w:color w:val="000000"/>
          <w:sz w:val="24"/>
          <w:szCs w:val="24"/>
        </w:rPr>
      </w:pPr>
    </w:p>
    <w:p w14:paraId="5AF38504">
      <w:pPr>
        <w:widowControl w:val="0"/>
        <w:spacing w:line="360" w:lineRule="auto"/>
        <w:ind w:firstLine="0"/>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图</w:t>
      </w:r>
      <w:r>
        <w:rPr>
          <w:rFonts w:hint="eastAsia" w:ascii="Times New Roman" w:hAnsi="Times New Roman" w:eastAsia="宋体" w:cs="Times New Roman"/>
          <w:b/>
          <w:bCs/>
          <w:color w:val="000000"/>
          <w:sz w:val="24"/>
          <w:szCs w:val="24"/>
          <w:lang w:val="en-US" w:eastAsia="zh-CN"/>
        </w:rPr>
        <w:t>4.2</w:t>
      </w:r>
      <w:r>
        <w:rPr>
          <w:rFonts w:ascii="Times New Roman" w:hAnsi="Times New Roman" w:eastAsia="宋体" w:cs="Times New Roman"/>
          <w:b/>
          <w:bCs/>
          <w:color w:val="000000"/>
          <w:sz w:val="24"/>
          <w:szCs w:val="24"/>
        </w:rPr>
        <w:t>-1  施工期工艺流程及产污环节图</w:t>
      </w:r>
    </w:p>
    <w:p w14:paraId="1D3B143B">
      <w:pPr>
        <w:pStyle w:val="282"/>
      </w:pPr>
      <w:r>
        <w:rPr>
          <w:rFonts w:hint="eastAsia"/>
          <w:lang w:val="en-US" w:eastAsia="zh-CN"/>
        </w:rPr>
        <w:t>4.2.1</w:t>
      </w:r>
      <w:r>
        <w:t>.</w:t>
      </w:r>
      <w:r>
        <w:rPr>
          <w:rFonts w:hint="eastAsia"/>
        </w:rPr>
        <w:t>2项目运营期工艺流程</w:t>
      </w:r>
    </w:p>
    <w:p w14:paraId="5AF4F49A">
      <w:pPr>
        <w:pStyle w:val="452"/>
        <w:ind w:firstLine="0"/>
        <w:rPr>
          <w:rFonts w:hint="eastAsia" w:ascii="宋体" w:hAnsi="宋体" w:cs="宋体"/>
          <w:b/>
          <w:bCs/>
          <w:szCs w:val="24"/>
        </w:rPr>
      </w:pPr>
      <w:bookmarkStart w:id="105" w:name="_Toc25472"/>
      <w:r>
        <w:rPr>
          <w:rFonts w:hint="eastAsia" w:ascii="宋体" w:hAnsi="宋体" w:cs="宋体"/>
          <w:b/>
          <w:bCs/>
          <w:szCs w:val="24"/>
          <w:lang w:val="en-US" w:eastAsia="zh-CN"/>
        </w:rPr>
        <w:t>(一）能源工厂</w:t>
      </w:r>
      <w:r>
        <w:rPr>
          <w:rFonts w:hint="eastAsia" w:ascii="宋体" w:hAnsi="宋体" w:cs="宋体"/>
          <w:b/>
          <w:bCs/>
          <w:szCs w:val="24"/>
        </w:rPr>
        <w:t>工作原理</w:t>
      </w:r>
      <w:bookmarkEnd w:id="105"/>
    </w:p>
    <w:p w14:paraId="3D8AA429">
      <w:pPr>
        <w:spacing w:line="360" w:lineRule="auto"/>
        <w:ind w:firstLine="480"/>
        <w:rPr>
          <w:rFonts w:hint="eastAsia"/>
          <w:color w:val="000000"/>
          <w:sz w:val="24"/>
          <w:szCs w:val="22"/>
        </w:rPr>
      </w:pPr>
      <w:r>
        <w:rPr>
          <w:rFonts w:hint="eastAsia"/>
          <w:color w:val="000000"/>
          <w:sz w:val="24"/>
          <w:szCs w:val="22"/>
          <w:lang w:val="en-US" w:eastAsia="zh-CN"/>
        </w:rPr>
        <w:t>能源工厂内设置1台</w:t>
      </w:r>
      <w:r>
        <w:rPr>
          <w:rFonts w:hint="eastAsia"/>
          <w:color w:val="000000"/>
          <w:sz w:val="24"/>
          <w:szCs w:val="22"/>
        </w:rPr>
        <w:t>YGL-12000</w:t>
      </w:r>
      <w:r>
        <w:rPr>
          <w:rFonts w:hint="eastAsia"/>
          <w:color w:val="000000"/>
          <w:sz w:val="24"/>
          <w:szCs w:val="22"/>
          <w:lang w:val="en-US" w:eastAsia="zh-CN"/>
        </w:rPr>
        <w:t>型</w:t>
      </w:r>
      <w:r>
        <w:rPr>
          <w:rFonts w:hint="eastAsia"/>
          <w:color w:val="000000"/>
          <w:sz w:val="24"/>
          <w:szCs w:val="22"/>
        </w:rPr>
        <w:t>有机热载体炉，为一体化设备，是导热油炉的常用名，俗称导热油锅炉，官方名称为热油炉。</w:t>
      </w:r>
      <w:r>
        <w:rPr>
          <w:rFonts w:hint="eastAsia"/>
          <w:color w:val="000000"/>
          <w:sz w:val="24"/>
          <w:szCs w:val="22"/>
          <w:lang w:val="en-US" w:eastAsia="zh-CN"/>
        </w:rPr>
        <w:t>本项目使用的热载体炉采用木材废边角料</w:t>
      </w:r>
      <w:r>
        <w:rPr>
          <w:rFonts w:hint="eastAsia"/>
          <w:color w:val="000000"/>
          <w:sz w:val="24"/>
          <w:szCs w:val="22"/>
        </w:rPr>
        <w:t>为燃料，以导热油为循环介质供热的新型热能设备，采用高温循环泵强制导热油进行闭路循环，在将热能供用热设备后重新返回锅炉中加热的工艺流程。由于它具有高温(320℃以上)低压(0.3-0.5MPa)的优点，且其供热温度可精确控制，因此可取代原蒸汽锅炉供热。同时该设备不需要水处理设备并且无蒸汽锅炉的跑、冒、滴、漏等热损失，所以其一次性投资省，运行费用低，是一种安全、高效、节能的供热设备。</w:t>
      </w:r>
    </w:p>
    <w:p w14:paraId="2F7D4880">
      <w:pPr>
        <w:spacing w:line="360" w:lineRule="auto"/>
        <w:ind w:firstLine="480"/>
        <w:rPr>
          <w:rFonts w:hint="eastAsia"/>
          <w:color w:val="000000"/>
          <w:sz w:val="24"/>
          <w:szCs w:val="22"/>
          <w:lang w:val="en-US" w:eastAsia="zh-CN"/>
        </w:rPr>
      </w:pPr>
      <w:r>
        <w:rPr>
          <w:rFonts w:hint="eastAsia"/>
          <w:color w:val="000000"/>
          <w:sz w:val="24"/>
          <w:szCs w:val="22"/>
          <w:lang w:val="en-US" w:eastAsia="zh-CN"/>
        </w:rPr>
        <w:t>本项目采用的热载体炉主要以导热油为介质，对制胶生产线、板材生产线中的干燥、热压提供导热油间接加热，同时</w:t>
      </w:r>
      <w:r>
        <w:rPr>
          <w:rFonts w:hint="eastAsia"/>
          <w:color w:val="000000"/>
          <w:sz w:val="24"/>
          <w:szCs w:val="22"/>
        </w:rPr>
        <w:t>小部分导热油通过给水泵将水给入蒸发器产生蒸汽，蒸汽的压力可以通过蒸发器的导热油流量来控制。</w:t>
      </w:r>
      <w:r>
        <w:rPr>
          <w:rFonts w:hint="eastAsia"/>
          <w:color w:val="000000"/>
          <w:sz w:val="24"/>
          <w:szCs w:val="22"/>
          <w:lang w:val="en-US" w:eastAsia="zh-CN"/>
        </w:rPr>
        <w:t>产生的蒸汽则又供应给板材生产线中的贴面工序及制胶生产线提供热源；同时将原有的1台6t/h蒸汽锅炉作为贴面工序及制胶生产线的备用热源。</w:t>
      </w:r>
    </w:p>
    <w:p w14:paraId="5BA4F6AC">
      <w:pPr>
        <w:pStyle w:val="2"/>
        <w:ind w:left="0" w:firstLine="0"/>
        <w:jc w:val="both"/>
        <w:rPr>
          <w:rFonts w:hint="eastAsia"/>
          <w:color w:val="000000"/>
          <w:sz w:val="24"/>
          <w:szCs w:val="22"/>
          <w:lang w:val="en-US" w:eastAsia="zh-CN"/>
        </w:rPr>
      </w:pPr>
      <w:r>
        <w:rPr>
          <w:rFonts w:hint="eastAsia"/>
          <w:color w:val="000000"/>
          <w:sz w:val="24"/>
          <w:szCs w:val="22"/>
          <w:lang w:val="en-US" w:eastAsia="zh-CN"/>
        </w:rPr>
        <w:object>
          <v:shape id="_x0000_i1027" o:spt="75" type="#_x0000_t75" style="height:104pt;width:406.5pt;" o:ole="t" filled="f" o:preferrelative="t" stroked="f" coordsize="21600,21600">
            <v:path/>
            <v:fill on="f" focussize="0,0"/>
            <v:stroke on="f" joinstyle="miter"/>
            <v:imagedata r:id="rId30" o:title=""/>
            <o:lock v:ext="edit" rotation="t" aspectratio="t"/>
            <w10:wrap type="none"/>
            <w10:anchorlock/>
          </v:shape>
          <o:OLEObject Type="Embed" ProgID="Visio.Drawing.11" ShapeID="_x0000_i1027" DrawAspect="Content" ObjectID="_1468075727" r:id="rId29">
            <o:LockedField>false</o:LockedField>
          </o:OLEObject>
        </w:object>
      </w:r>
    </w:p>
    <w:p w14:paraId="4BF4C12F">
      <w:pPr>
        <w:pStyle w:val="2"/>
        <w:jc w:val="center"/>
        <w:rPr>
          <w:color w:val="000000"/>
          <w:sz w:val="24"/>
          <w:szCs w:val="22"/>
          <w:lang w:val="en-US" w:eastAsia="zh-CN"/>
        </w:rPr>
      </w:pPr>
      <w:r>
        <w:rPr>
          <w:rFonts w:hint="eastAsia"/>
          <w:b/>
          <w:bCs/>
          <w:color w:val="000000"/>
          <w:sz w:val="24"/>
          <w:lang w:val="en-US" w:eastAsia="zh-CN"/>
        </w:rPr>
        <w:t xml:space="preserve"> </w:t>
      </w:r>
      <w:r>
        <w:rPr>
          <w:rFonts w:ascii="Times New Roman" w:hAnsi="Times New Roman" w:eastAsia="宋体" w:cs="Times New Roman"/>
          <w:b/>
          <w:bCs/>
          <w:color w:val="000000"/>
          <w:sz w:val="24"/>
        </w:rPr>
        <w:t>图</w:t>
      </w:r>
      <w:r>
        <w:rPr>
          <w:rFonts w:ascii="Times New Roman" w:hAnsi="Times New Roman" w:eastAsia="宋体" w:cs="Times New Roman"/>
          <w:b/>
          <w:bCs/>
          <w:color w:val="000000"/>
          <w:sz w:val="24"/>
          <w:lang w:val="en-US" w:eastAsia="zh-CN"/>
        </w:rPr>
        <w:t>4.2</w:t>
      </w:r>
      <w:r>
        <w:rPr>
          <w:rFonts w:ascii="Times New Roman" w:hAnsi="Times New Roman" w:eastAsia="宋体" w:cs="Times New Roman"/>
          <w:b/>
          <w:bCs/>
          <w:color w:val="000000"/>
          <w:sz w:val="24"/>
        </w:rPr>
        <w:t>-</w:t>
      </w:r>
      <w:r>
        <w:rPr>
          <w:rFonts w:ascii="Times New Roman" w:hAnsi="Times New Roman" w:eastAsia="宋体" w:cs="Times New Roman"/>
          <w:b/>
          <w:bCs/>
          <w:color w:val="000000"/>
          <w:sz w:val="24"/>
          <w:lang w:val="en-US" w:eastAsia="zh-CN"/>
        </w:rPr>
        <w:t>2</w:t>
      </w:r>
      <w:r>
        <w:rPr>
          <w:rFonts w:ascii="Times New Roman" w:hAnsi="Times New Roman" w:eastAsia="宋体" w:cs="Times New Roman"/>
          <w:b/>
          <w:bCs/>
          <w:color w:val="000000"/>
          <w:sz w:val="24"/>
        </w:rPr>
        <w:t xml:space="preserve"> </w:t>
      </w:r>
      <w:r>
        <w:rPr>
          <w:rFonts w:ascii="Times New Roman" w:hAnsi="Times New Roman" w:eastAsia="宋体" w:cs="Times New Roman"/>
          <w:b/>
          <w:bCs/>
          <w:color w:val="000000"/>
          <w:sz w:val="24"/>
          <w:lang w:val="en-US" w:eastAsia="zh-CN"/>
        </w:rPr>
        <w:t>能源工厂的热源</w:t>
      </w:r>
      <w:r>
        <w:rPr>
          <w:rFonts w:ascii="Times New Roman" w:hAnsi="Times New Roman" w:eastAsia="宋体" w:cs="Times New Roman"/>
          <w:b/>
          <w:bCs/>
          <w:color w:val="000000"/>
          <w:sz w:val="24"/>
        </w:rPr>
        <w:t>流向图</w:t>
      </w:r>
    </w:p>
    <w:p w14:paraId="74815442">
      <w:pPr>
        <w:pStyle w:val="452"/>
        <w:numPr>
          <w:ilvl w:val="0"/>
          <w:numId w:val="6"/>
        </w:numPr>
        <w:ind w:firstLine="0"/>
        <w:rPr>
          <w:rFonts w:ascii="宋体" w:hAnsi="宋体" w:cs="宋体"/>
          <w:b/>
          <w:bCs/>
          <w:szCs w:val="24"/>
        </w:rPr>
      </w:pPr>
      <w:r>
        <w:rPr>
          <w:rFonts w:hint="eastAsia" w:ascii="宋体" w:hAnsi="宋体" w:cs="宋体"/>
          <w:b/>
          <w:bCs/>
          <w:szCs w:val="24"/>
          <w:lang w:val="en-US" w:eastAsia="zh-CN"/>
        </w:rPr>
        <w:t>板材生</w:t>
      </w:r>
      <w:r>
        <w:rPr>
          <w:rFonts w:hint="eastAsia" w:ascii="宋体" w:hAnsi="宋体" w:cs="宋体"/>
          <w:b/>
          <w:bCs/>
          <w:szCs w:val="24"/>
        </w:rPr>
        <w:t>产工艺</w:t>
      </w:r>
      <w:r>
        <w:rPr>
          <w:rFonts w:ascii="宋体" w:hAnsi="宋体" w:cs="宋体"/>
          <w:b/>
          <w:bCs/>
          <w:szCs w:val="24"/>
        </w:rPr>
        <w:t xml:space="preserve"> </w:t>
      </w:r>
    </w:p>
    <w:p w14:paraId="6E3034A5">
      <w:pPr>
        <w:pStyle w:val="452"/>
        <w:ind w:firstLine="482"/>
        <w:rPr>
          <w:rFonts w:hAnsi="宋体" w:eastAsia="宋体"/>
          <w:b/>
          <w:lang w:val="en-US" w:eastAsia="zh-CN"/>
        </w:rPr>
      </w:pPr>
      <w:r>
        <w:rPr>
          <w:rFonts w:hint="eastAsia" w:hAnsi="宋体"/>
          <w:b/>
          <w:lang w:val="en-US" w:eastAsia="zh-CN"/>
        </w:rPr>
        <w:t>本项目板材生产的产品主要为竹木复合地板、全竹地板两种，其中区别在于竹木复合板比全竹地板在定厚砂光工序后多了一道加层贴面工序。</w:t>
      </w:r>
    </w:p>
    <w:p w14:paraId="39AFB5FE">
      <w:pPr>
        <w:ind w:firstLine="480"/>
        <w:rPr>
          <w:rFonts w:hint="eastAsia" w:ascii="宋体" w:hAnsi="宋体" w:cs="宋体"/>
          <w:szCs w:val="24"/>
        </w:rPr>
      </w:pPr>
      <w:r>
        <w:rPr>
          <w:rFonts w:hint="eastAsia" w:ascii="宋体" w:hAnsi="宋体" w:cs="宋体"/>
          <w:szCs w:val="24"/>
        </w:rPr>
        <w:t>1、竹子采购</w:t>
      </w:r>
    </w:p>
    <w:p w14:paraId="2F9DA85B">
      <w:pPr>
        <w:ind w:firstLine="480"/>
        <w:rPr>
          <w:rFonts w:ascii="Times New Roman" w:hAnsi="Times New Roman" w:cs="Times New Roman"/>
          <w:szCs w:val="24"/>
        </w:rPr>
      </w:pPr>
      <w:r>
        <w:rPr>
          <w:rFonts w:ascii="Times New Roman" w:hAnsi="Times New Roman" w:cs="Times New Roman"/>
          <w:szCs w:val="24"/>
          <w:lang w:val="en-US" w:eastAsia="zh-CN"/>
        </w:rPr>
        <w:t>本项目板材生产</w:t>
      </w:r>
      <w:r>
        <w:rPr>
          <w:rFonts w:ascii="Times New Roman" w:hAnsi="Times New Roman" w:cs="Times New Roman"/>
          <w:szCs w:val="24"/>
        </w:rPr>
        <w:t>主要原材料采用当地的竹子，如龙竹、埋桑竹、黑竹等，收购要求：竹龄为3年以上，无虫眼，无腐烂，无干裂，最小头直径不小于6cm，竹长不低于2米。</w:t>
      </w:r>
    </w:p>
    <w:p w14:paraId="72436DA7">
      <w:pPr>
        <w:ind w:firstLine="480"/>
        <w:rPr>
          <w:rFonts w:ascii="Times New Roman" w:hAnsi="Times New Roman" w:cs="Times New Roman"/>
          <w:szCs w:val="24"/>
        </w:rPr>
      </w:pPr>
      <w:r>
        <w:rPr>
          <w:rFonts w:ascii="Times New Roman" w:hAnsi="Times New Roman" w:cs="Times New Roman"/>
          <w:szCs w:val="24"/>
        </w:rPr>
        <w:t>2、青竹堆放</w:t>
      </w:r>
    </w:p>
    <w:p w14:paraId="2BD82307">
      <w:pPr>
        <w:ind w:firstLine="480"/>
        <w:rPr>
          <w:rFonts w:ascii="Times New Roman" w:hAnsi="Times New Roman" w:cs="Times New Roman"/>
          <w:szCs w:val="24"/>
        </w:rPr>
      </w:pPr>
      <w:r>
        <w:rPr>
          <w:rFonts w:ascii="Times New Roman" w:hAnsi="Times New Roman" w:cs="Times New Roman"/>
          <w:szCs w:val="24"/>
        </w:rPr>
        <w:t>青竹进厂后按区域堆放，生产领用按先进先出的原则，为保证出材率，原则上竹子存放时间不能超过3个月。</w:t>
      </w:r>
    </w:p>
    <w:p w14:paraId="01FA5070">
      <w:pPr>
        <w:ind w:firstLine="480"/>
        <w:rPr>
          <w:rFonts w:ascii="Times New Roman" w:hAnsi="Times New Roman" w:cs="Times New Roman"/>
          <w:szCs w:val="24"/>
        </w:rPr>
      </w:pPr>
      <w:r>
        <w:rPr>
          <w:rFonts w:ascii="Times New Roman" w:hAnsi="Times New Roman" w:cs="Times New Roman"/>
          <w:szCs w:val="24"/>
        </w:rPr>
        <w:t>3、断竹</w:t>
      </w:r>
    </w:p>
    <w:p w14:paraId="74C4BB00">
      <w:pPr>
        <w:ind w:firstLine="480"/>
        <w:rPr>
          <w:rFonts w:ascii="Times New Roman" w:hAnsi="Times New Roman" w:cs="Times New Roman"/>
          <w:szCs w:val="24"/>
        </w:rPr>
      </w:pPr>
      <w:r>
        <w:rPr>
          <w:rFonts w:ascii="Times New Roman" w:hAnsi="Times New Roman" w:cs="Times New Roman"/>
          <w:szCs w:val="24"/>
        </w:rPr>
        <w:t>生产首个工序是把领出的竹子进行锯断，锯断后竹筒的长度为15cm。锯竹采用自动进竹、锯断机，设定有固定的长度定位板，人工把竹子放入自动推竹辊下，推竹辊自动将竹子送入锯竹机内进行锯断，锯断后的竹筒通过运输皮带送到刨片区。</w:t>
      </w:r>
    </w:p>
    <w:p w14:paraId="698B0F8B">
      <w:pPr>
        <w:pStyle w:val="2"/>
        <w:numPr>
          <w:ilvl w:val="0"/>
          <w:numId w:val="7"/>
        </w:numPr>
        <w:ind w:firstLine="480"/>
        <w:rPr>
          <w:rFonts w:ascii="Times New Roman" w:hAnsi="Times New Roman" w:cs="Times New Roman"/>
          <w:sz w:val="24"/>
          <w:szCs w:val="24"/>
        </w:rPr>
      </w:pPr>
      <w:r>
        <w:rPr>
          <w:rFonts w:ascii="Times New Roman" w:hAnsi="Times New Roman" w:cs="Times New Roman"/>
          <w:sz w:val="24"/>
          <w:szCs w:val="24"/>
        </w:rPr>
        <w:t>刨片</w:t>
      </w:r>
    </w:p>
    <w:p w14:paraId="1369EC04">
      <w:pPr>
        <w:pStyle w:val="2"/>
        <w:ind w:firstLine="0"/>
        <w:rPr>
          <w:rFonts w:ascii="Times New Roman" w:hAnsi="Times New Roman" w:cs="Times New Roman"/>
          <w:sz w:val="24"/>
          <w:szCs w:val="24"/>
        </w:rPr>
      </w:pPr>
      <w:r>
        <w:rPr>
          <w:rFonts w:ascii="Times New Roman" w:hAnsi="Times New Roman" w:cs="Times New Roman"/>
          <w:sz w:val="24"/>
          <w:szCs w:val="24"/>
        </w:rPr>
        <w:t xml:space="preserve">   刨片采用盘式刨片机，刨刀装置在刀盘上，刀口大小可以调整，刀口的大小决定刨片的厚度，每台机3个进料口。启动电源、刀盘、气缸，将竹筒放入进料口，按下气缸推杆，在气缸退单推杆下端的压板紧压在竹筒上，竹筒在刀盘高速刨削下产生竹刨片，竹片在长度约15cm，自然宽，厚度约0.5~0.8mm，刨片机在刨片过程中将竹青分离到设置的料斗中。</w:t>
      </w:r>
    </w:p>
    <w:p w14:paraId="05D3C0E1">
      <w:pPr>
        <w:pStyle w:val="452"/>
        <w:numPr>
          <w:ilvl w:val="0"/>
          <w:numId w:val="7"/>
        </w:numPr>
        <w:ind w:firstLine="480"/>
        <w:rPr>
          <w:rFonts w:ascii="Times New Roman" w:hAnsi="Times New Roman" w:cs="Times New Roman"/>
          <w:bCs/>
        </w:rPr>
      </w:pPr>
      <w:r>
        <w:rPr>
          <w:rFonts w:ascii="Times New Roman" w:hAnsi="Times New Roman" w:cs="Times New Roman"/>
          <w:bCs/>
        </w:rPr>
        <w:t>干燥</w:t>
      </w:r>
    </w:p>
    <w:p w14:paraId="44BC53EC">
      <w:pPr>
        <w:pStyle w:val="452"/>
        <w:ind w:firstLine="480"/>
        <w:rPr>
          <w:rFonts w:ascii="Times New Roman" w:hAnsi="Times New Roman" w:cs="Times New Roman"/>
          <w:bCs/>
        </w:rPr>
      </w:pPr>
      <w:r>
        <w:rPr>
          <w:rFonts w:ascii="Times New Roman" w:hAnsi="Times New Roman" w:cs="Times New Roman"/>
          <w:bCs/>
        </w:rPr>
        <w:t>鲜竹生产的竹刨片水分能达到40~50%，根据工艺要求竹片的水分须干燥至5%，竹片经螺旋、皮带至湿料仓，再通过输送皮带进入滚筒干燥机，干燥机</w:t>
      </w:r>
      <w:r>
        <w:rPr>
          <w:rFonts w:ascii="Times New Roman" w:hAnsi="Times New Roman" w:cs="Times New Roman"/>
          <w:bCs/>
          <w:lang w:val="en-US" w:eastAsia="zh-CN"/>
        </w:rPr>
        <w:t>采用1台热载体炉提供导热油间接加热，</w:t>
      </w:r>
      <w:r>
        <w:rPr>
          <w:rFonts w:ascii="Times New Roman" w:hAnsi="Times New Roman" w:cs="Times New Roman"/>
          <w:bCs/>
        </w:rPr>
        <w:t>在温度控制在200℃左右，干燥时可以通过调节速度及温度来达到要求水分。</w:t>
      </w:r>
    </w:p>
    <w:p w14:paraId="4456BB93">
      <w:pPr>
        <w:pStyle w:val="452"/>
        <w:numPr>
          <w:ilvl w:val="0"/>
          <w:numId w:val="7"/>
        </w:numPr>
        <w:ind w:firstLine="480"/>
        <w:rPr>
          <w:rFonts w:ascii="Times New Roman" w:hAnsi="Times New Roman" w:cs="Times New Roman"/>
          <w:bCs/>
        </w:rPr>
      </w:pPr>
      <w:r>
        <w:rPr>
          <w:rFonts w:ascii="Times New Roman" w:hAnsi="Times New Roman" w:cs="Times New Roman"/>
          <w:bCs/>
        </w:rPr>
        <w:t>筛选</w:t>
      </w:r>
    </w:p>
    <w:p w14:paraId="4F29284C">
      <w:pPr>
        <w:pStyle w:val="452"/>
        <w:ind w:firstLine="480"/>
        <w:rPr>
          <w:rFonts w:ascii="Times New Roman" w:hAnsi="Times New Roman" w:cs="Times New Roman"/>
          <w:bCs/>
        </w:rPr>
      </w:pPr>
      <w:r>
        <w:rPr>
          <w:rFonts w:ascii="Times New Roman" w:hAnsi="Times New Roman" w:cs="Times New Roman"/>
          <w:bCs/>
        </w:rPr>
        <w:t>干燥后的竹片通过输送皮带进入筛选机，筛选机将竹片中的细渣子、锯末等筛选出来，合格的竹片通过皮带进入干料仓。</w:t>
      </w:r>
    </w:p>
    <w:p w14:paraId="2C08731A">
      <w:pPr>
        <w:pStyle w:val="452"/>
        <w:ind w:left="480" w:firstLine="0"/>
        <w:rPr>
          <w:rFonts w:ascii="Times New Roman" w:hAnsi="Times New Roman" w:cs="Times New Roman"/>
          <w:bCs/>
          <w:szCs w:val="22"/>
        </w:rPr>
      </w:pPr>
      <w:r>
        <w:rPr>
          <w:rFonts w:ascii="Times New Roman" w:hAnsi="Times New Roman" w:cs="Times New Roman"/>
          <w:bCs/>
          <w:szCs w:val="22"/>
        </w:rPr>
        <w:t>7、施胶（自制胶车间）</w:t>
      </w:r>
    </w:p>
    <w:p w14:paraId="00710A05">
      <w:pPr>
        <w:pStyle w:val="452"/>
        <w:ind w:firstLine="480"/>
        <w:rPr>
          <w:rFonts w:ascii="Times New Roman" w:hAnsi="Times New Roman" w:cs="Times New Roman"/>
          <w:bCs/>
          <w:szCs w:val="22"/>
        </w:rPr>
      </w:pPr>
      <w:r>
        <w:rPr>
          <w:rFonts w:ascii="Times New Roman" w:hAnsi="Times New Roman" w:cs="Times New Roman"/>
          <w:bCs/>
          <w:szCs w:val="22"/>
        </w:rPr>
        <w:t>干料仓的料位达到生产要求，启动下料器，竹片经</w:t>
      </w:r>
      <w:r>
        <w:rPr>
          <w:rFonts w:hint="eastAsia" w:ascii="Times New Roman" w:hAnsi="Times New Roman" w:cs="Times New Roman"/>
          <w:bCs/>
          <w:szCs w:val="22"/>
          <w:lang w:eastAsia="zh-CN"/>
        </w:rPr>
        <w:t>电子秤</w:t>
      </w:r>
      <w:r>
        <w:rPr>
          <w:rFonts w:ascii="Times New Roman" w:hAnsi="Times New Roman" w:cs="Times New Roman"/>
          <w:bCs/>
          <w:szCs w:val="22"/>
        </w:rPr>
        <w:t>进入滚筒拌胶罐，拌胶罐内装置有数个喷头，胶水通过螺杆泵、质量流量计输送至拌胶罐喷头，竹片、胶水用量配比设定后通过电脑计算并控制，以至达到稳定的质量。</w:t>
      </w:r>
    </w:p>
    <w:p w14:paraId="49932950">
      <w:pPr>
        <w:pStyle w:val="452"/>
        <w:ind w:left="480" w:firstLine="0"/>
        <w:rPr>
          <w:rFonts w:ascii="Times New Roman" w:hAnsi="Times New Roman" w:cs="Times New Roman"/>
          <w:bCs/>
        </w:rPr>
      </w:pPr>
      <w:r>
        <w:rPr>
          <w:rFonts w:ascii="Times New Roman" w:hAnsi="Times New Roman" w:cs="Times New Roman"/>
          <w:bCs/>
        </w:rPr>
        <w:t>8、铺装</w:t>
      </w:r>
    </w:p>
    <w:p w14:paraId="7844EBC2">
      <w:pPr>
        <w:pStyle w:val="452"/>
        <w:ind w:firstLine="480"/>
        <w:rPr>
          <w:rFonts w:ascii="Times New Roman" w:hAnsi="Times New Roman" w:cs="Times New Roman"/>
          <w:bCs/>
          <w:szCs w:val="22"/>
        </w:rPr>
      </w:pPr>
      <w:r>
        <w:rPr>
          <w:rFonts w:ascii="Times New Roman" w:hAnsi="Times New Roman" w:cs="Times New Roman"/>
          <w:bCs/>
          <w:szCs w:val="22"/>
        </w:rPr>
        <w:t>喷胶后的竹片通过皮带输送至铺装料仓，料仓竹片再均匀分布到铺装头进行五层定向铺装，上下两层进行细料铺装，铺装后的板坯经板坯称、齐边锯、预压机、横切锯，锯成不同规格长度板坯。</w:t>
      </w:r>
    </w:p>
    <w:p w14:paraId="19031DF6">
      <w:pPr>
        <w:pStyle w:val="452"/>
        <w:ind w:left="480" w:firstLine="0"/>
        <w:rPr>
          <w:rFonts w:ascii="Times New Roman" w:hAnsi="Times New Roman" w:cs="Times New Roman"/>
          <w:bCs/>
        </w:rPr>
      </w:pPr>
      <w:r>
        <w:rPr>
          <w:rFonts w:ascii="Times New Roman" w:hAnsi="Times New Roman" w:cs="Times New Roman"/>
          <w:bCs/>
        </w:rPr>
        <w:t>9、热压</w:t>
      </w:r>
    </w:p>
    <w:p w14:paraId="28FC29B8">
      <w:pPr>
        <w:pStyle w:val="452"/>
        <w:ind w:firstLine="480"/>
        <w:rPr>
          <w:rFonts w:ascii="Times New Roman" w:hAnsi="Times New Roman" w:cs="Times New Roman"/>
          <w:b/>
        </w:rPr>
      </w:pPr>
      <w:r>
        <w:rPr>
          <w:rFonts w:ascii="Times New Roman" w:hAnsi="Times New Roman" w:cs="Times New Roman"/>
          <w:bCs/>
          <w:szCs w:val="22"/>
        </w:rPr>
        <w:t>板坯经分板小车进入压机装板机，装板机将板坯送入压机，板坯在设定的时间、温度、压力下热压成型。卸板机将压制成型的毛坯板输送到分板小车，进入素板先进行重量、厚度检测，合格板堆垛进行养生。</w:t>
      </w:r>
    </w:p>
    <w:p w14:paraId="7F117927">
      <w:pPr>
        <w:pStyle w:val="452"/>
        <w:numPr>
          <w:ilvl w:val="0"/>
          <w:numId w:val="8"/>
        </w:numPr>
        <w:ind w:firstLine="480"/>
        <w:rPr>
          <w:rFonts w:ascii="Times New Roman" w:hAnsi="Times New Roman" w:cs="Times New Roman"/>
          <w:bCs/>
        </w:rPr>
      </w:pPr>
      <w:r>
        <w:rPr>
          <w:rFonts w:ascii="Times New Roman" w:hAnsi="Times New Roman" w:cs="Times New Roman"/>
          <w:bCs/>
        </w:rPr>
        <w:t>定厚砂</w:t>
      </w:r>
      <w:r>
        <w:rPr>
          <w:rFonts w:ascii="Times New Roman" w:hAnsi="Times New Roman" w:cs="Times New Roman"/>
          <w:bCs/>
          <w:lang w:val="en-US" w:eastAsia="zh-CN"/>
        </w:rPr>
        <w:t>光</w:t>
      </w:r>
    </w:p>
    <w:p w14:paraId="26BFF00F">
      <w:pPr>
        <w:pStyle w:val="452"/>
        <w:ind w:firstLine="480"/>
        <w:rPr>
          <w:rFonts w:ascii="Times New Roman" w:hAnsi="Times New Roman" w:cs="Times New Roman"/>
          <w:bCs/>
          <w:szCs w:val="22"/>
        </w:rPr>
      </w:pPr>
      <w:r>
        <w:rPr>
          <w:rFonts w:ascii="Times New Roman" w:hAnsi="Times New Roman" w:cs="Times New Roman"/>
          <w:bCs/>
          <w:szCs w:val="22"/>
        </w:rPr>
        <w:t>根据客户要求的厚度，坯板要进行两面定厚砂光，且两面100%砂到位，砂光后表面平整、无漏砂、无凹凸现象，厚度公差小于0.6mm。操作步骤：启动除尘引风机，启动压缩空气机，设定砂光机厚度，开启输送皮带并调到合适的进板速度，启动压辊、砂辊，进板前测量板的厚度，以确定板速度。</w:t>
      </w:r>
    </w:p>
    <w:p w14:paraId="47469C9C">
      <w:pPr>
        <w:pStyle w:val="452"/>
        <w:numPr>
          <w:ilvl w:val="0"/>
          <w:numId w:val="8"/>
        </w:numPr>
        <w:ind w:left="0" w:firstLine="480"/>
        <w:rPr>
          <w:rFonts w:ascii="Times New Roman" w:hAnsi="Times New Roman" w:cs="Times New Roman"/>
          <w:bCs/>
          <w:szCs w:val="22"/>
          <w:lang w:val="en-US" w:eastAsia="zh-CN"/>
        </w:rPr>
      </w:pPr>
      <w:r>
        <w:rPr>
          <w:rFonts w:ascii="Times New Roman" w:hAnsi="Times New Roman" w:cs="Times New Roman"/>
          <w:bCs/>
          <w:szCs w:val="22"/>
          <w:lang w:val="en-US" w:eastAsia="zh-CN"/>
        </w:rPr>
        <w:t>加层贴面（热压）</w:t>
      </w:r>
    </w:p>
    <w:p w14:paraId="507D2966">
      <w:pPr>
        <w:pStyle w:val="452"/>
        <w:numPr>
          <w:ilvl w:val="0"/>
          <w:numId w:val="0"/>
        </w:numPr>
        <w:ind w:firstLine="480"/>
        <w:rPr>
          <w:rFonts w:ascii="Times New Roman" w:hAnsi="Times New Roman" w:cs="Times New Roman"/>
          <w:bCs/>
          <w:szCs w:val="22"/>
          <w:lang w:val="en-US"/>
        </w:rPr>
      </w:pPr>
      <w:r>
        <w:rPr>
          <w:rFonts w:ascii="Times New Roman" w:hAnsi="Times New Roman" w:cs="Times New Roman"/>
          <w:bCs/>
          <w:szCs w:val="22"/>
          <w:lang w:val="en-US" w:eastAsia="zh-CN"/>
        </w:rPr>
        <w:t>坯板表层可以多加几层木单板，需要对自制的胶水加入一定量的面粉进行调制，然后涂于坯板表面，进行木单板的叠加，通过一道冷压工序后再计入热压机，设定热压时间、温度，压力贴合在基板表面。</w:t>
      </w:r>
    </w:p>
    <w:p w14:paraId="2008B456">
      <w:pPr>
        <w:pStyle w:val="452"/>
        <w:numPr>
          <w:ilvl w:val="0"/>
          <w:numId w:val="8"/>
        </w:numPr>
        <w:ind w:firstLine="480"/>
        <w:rPr>
          <w:rFonts w:ascii="Times New Roman" w:hAnsi="Times New Roman" w:cs="Times New Roman"/>
          <w:bCs/>
          <w:szCs w:val="22"/>
        </w:rPr>
      </w:pPr>
      <w:r>
        <w:rPr>
          <w:rFonts w:ascii="Times New Roman" w:hAnsi="Times New Roman" w:cs="Times New Roman"/>
          <w:bCs/>
          <w:szCs w:val="22"/>
        </w:rPr>
        <w:t>锯边</w:t>
      </w:r>
    </w:p>
    <w:p w14:paraId="00C07F74">
      <w:pPr>
        <w:pStyle w:val="452"/>
        <w:ind w:firstLine="480"/>
        <w:rPr>
          <w:rFonts w:ascii="Times New Roman" w:hAnsi="Times New Roman" w:cs="Times New Roman"/>
          <w:bCs/>
          <w:szCs w:val="22"/>
        </w:rPr>
      </w:pPr>
      <w:r>
        <w:rPr>
          <w:rFonts w:ascii="Times New Roman" w:hAnsi="Times New Roman" w:cs="Times New Roman"/>
          <w:bCs/>
          <w:szCs w:val="22"/>
        </w:rPr>
        <w:t>根据客户要求的尺寸，砂光后板再进行长、宽方向锯边，锯后基板长、宽0-1mm，对角线≤2mm，边缘不直度≤0.5mm。操作步骤:调好长、宽方向锯边尺寸；启动除尘引风机，启动压缩空气机，启动锯片、启动进板滚筒，均无异常后开始进板锯边。</w:t>
      </w:r>
    </w:p>
    <w:p w14:paraId="2A24F7EF">
      <w:pPr>
        <w:pStyle w:val="452"/>
        <w:ind w:firstLine="480"/>
        <w:rPr>
          <w:rFonts w:ascii="Times New Roman" w:hAnsi="Times New Roman" w:cs="Times New Roman"/>
          <w:bCs/>
          <w:szCs w:val="22"/>
          <w:highlight w:val="none"/>
        </w:rPr>
      </w:pPr>
      <w:r>
        <w:rPr>
          <w:rFonts w:ascii="Times New Roman" w:hAnsi="Times New Roman" w:cs="Times New Roman"/>
          <w:bCs/>
          <w:szCs w:val="22"/>
          <w:highlight w:val="none"/>
          <w:lang w:val="en-US" w:eastAsia="zh-CN"/>
        </w:rPr>
        <w:t>13</w:t>
      </w:r>
      <w:r>
        <w:rPr>
          <w:rFonts w:ascii="Times New Roman" w:hAnsi="Times New Roman" w:cs="Times New Roman"/>
          <w:bCs/>
          <w:szCs w:val="22"/>
          <w:highlight w:val="none"/>
        </w:rPr>
        <w:t>、贴面</w:t>
      </w:r>
    </w:p>
    <w:p w14:paraId="79E7EF8E">
      <w:pPr>
        <w:pStyle w:val="452"/>
        <w:ind w:firstLine="480"/>
        <w:rPr>
          <w:rFonts w:ascii="Times New Roman" w:hAnsi="Times New Roman" w:eastAsia="宋体" w:cs="Times New Roman"/>
          <w:bCs/>
          <w:szCs w:val="22"/>
          <w:highlight w:val="none"/>
          <w:lang w:val="en-US" w:eastAsia="zh-CN"/>
        </w:rPr>
      </w:pPr>
      <w:r>
        <w:rPr>
          <w:rFonts w:ascii="Times New Roman" w:hAnsi="Times New Roman" w:cs="Times New Roman"/>
          <w:bCs/>
          <w:szCs w:val="22"/>
          <w:highlight w:val="none"/>
        </w:rPr>
        <w:t>在锯边后基板表面贴一张防水、耐磨膜纸，采用热压工艺加工，膜纸在设定热压时间、温度、贴合在基板表面</w:t>
      </w:r>
      <w:r>
        <w:rPr>
          <w:rFonts w:ascii="Times New Roman" w:hAnsi="Times New Roman" w:cs="Times New Roman"/>
          <w:bCs/>
          <w:szCs w:val="22"/>
          <w:highlight w:val="none"/>
          <w:lang w:eastAsia="zh-CN"/>
        </w:rPr>
        <w:t>，</w:t>
      </w:r>
      <w:r>
        <w:rPr>
          <w:rFonts w:ascii="Times New Roman" w:hAnsi="Times New Roman" w:cs="Times New Roman"/>
          <w:bCs/>
          <w:szCs w:val="22"/>
          <w:highlight w:val="none"/>
          <w:lang w:val="en-US" w:eastAsia="zh-CN"/>
        </w:rPr>
        <w:t>热压贴面采用热载体炉提供的蒸汽作为热源，在热载体炉停运时将启动6t/h蒸汽锅炉作为备用热源。</w:t>
      </w:r>
    </w:p>
    <w:p w14:paraId="76FF8504">
      <w:pPr>
        <w:pStyle w:val="452"/>
        <w:numPr>
          <w:ilvl w:val="0"/>
          <w:numId w:val="0"/>
        </w:numPr>
        <w:ind w:firstLine="480"/>
        <w:rPr>
          <w:rFonts w:ascii="Times New Roman" w:hAnsi="Times New Roman" w:cs="Times New Roman"/>
          <w:bCs/>
          <w:szCs w:val="22"/>
        </w:rPr>
      </w:pPr>
      <w:r>
        <w:rPr>
          <w:rFonts w:ascii="Times New Roman" w:hAnsi="Times New Roman" w:cs="Times New Roman"/>
          <w:bCs/>
          <w:szCs w:val="22"/>
          <w:lang w:val="en-US" w:eastAsia="zh-CN"/>
        </w:rPr>
        <w:t>14、</w:t>
      </w:r>
      <w:r>
        <w:rPr>
          <w:rFonts w:ascii="Times New Roman" w:hAnsi="Times New Roman" w:cs="Times New Roman"/>
          <w:bCs/>
          <w:szCs w:val="22"/>
        </w:rPr>
        <w:t>开槽</w:t>
      </w:r>
    </w:p>
    <w:p w14:paraId="06AB0B33">
      <w:pPr>
        <w:pStyle w:val="452"/>
        <w:ind w:left="480" w:firstLine="0"/>
        <w:rPr>
          <w:rFonts w:ascii="Times New Roman" w:hAnsi="Times New Roman" w:cs="Times New Roman"/>
          <w:bCs/>
          <w:szCs w:val="22"/>
        </w:rPr>
      </w:pPr>
      <w:r>
        <w:rPr>
          <w:rFonts w:ascii="Times New Roman" w:hAnsi="Times New Roman" w:cs="Times New Roman"/>
          <w:bCs/>
          <w:szCs w:val="22"/>
        </w:rPr>
        <w:t>根据客户图纸要求，在板的背面进行纵向开槽、倒角加工。</w:t>
      </w:r>
    </w:p>
    <w:p w14:paraId="15D87720">
      <w:pPr>
        <w:pStyle w:val="452"/>
        <w:numPr>
          <w:ilvl w:val="0"/>
          <w:numId w:val="0"/>
        </w:numPr>
        <w:ind w:firstLine="480"/>
        <w:rPr>
          <w:rFonts w:ascii="Times New Roman" w:hAnsi="Times New Roman" w:cs="Times New Roman"/>
          <w:bCs/>
          <w:szCs w:val="22"/>
        </w:rPr>
      </w:pPr>
      <w:r>
        <w:rPr>
          <w:rFonts w:ascii="Times New Roman" w:hAnsi="Times New Roman" w:cs="Times New Roman"/>
          <w:bCs/>
          <w:szCs w:val="22"/>
          <w:lang w:val="en-US" w:eastAsia="zh-CN"/>
        </w:rPr>
        <w:t>15、</w:t>
      </w:r>
      <w:r>
        <w:rPr>
          <w:rFonts w:ascii="Times New Roman" w:hAnsi="Times New Roman" w:cs="Times New Roman"/>
          <w:bCs/>
          <w:szCs w:val="22"/>
        </w:rPr>
        <w:t>包装</w:t>
      </w:r>
    </w:p>
    <w:p w14:paraId="12AF1FC8">
      <w:pPr>
        <w:pStyle w:val="452"/>
        <w:numPr>
          <w:ilvl w:val="0"/>
          <w:numId w:val="0"/>
        </w:numPr>
        <w:ind w:firstLine="480"/>
        <w:rPr>
          <w:rFonts w:ascii="Times New Roman" w:hAnsi="Times New Roman" w:eastAsia="宋体" w:cs="Times New Roman"/>
          <w:b/>
          <w:bCs/>
          <w:szCs w:val="24"/>
          <w:lang w:val="en-US" w:eastAsia="zh-CN"/>
        </w:rPr>
      </w:pPr>
      <w:r>
        <w:rPr>
          <w:rFonts w:ascii="Times New Roman" w:hAnsi="Times New Roman" w:cs="Times New Roman"/>
          <w:bCs/>
          <w:szCs w:val="22"/>
        </w:rPr>
        <w:t>成品板在包装前要进行质量分选，合格品进行包装，不合格品进行隔离并做返工处理。</w:t>
      </w:r>
    </w:p>
    <w:p w14:paraId="37250FDE">
      <w:pPr>
        <w:pStyle w:val="452"/>
        <w:ind w:firstLine="482"/>
        <w:jc w:val="center"/>
        <w:rPr>
          <w:rFonts w:hint="eastAsia" w:hAnsi="宋体"/>
          <w:b/>
        </w:rPr>
      </w:pPr>
      <w:r>
        <w:rPr>
          <w:rFonts w:hint="eastAsia" w:hAnsi="宋体"/>
          <w:b w:val="0"/>
          <w:bCs/>
        </w:rPr>
        <w:object>
          <v:shape id="_x0000_i1028" o:spt="75" type="#_x0000_t75" style="height:656.15pt;width:378.35pt;" o:ole="t" filled="f" o:preferrelative="t" stroked="f" coordsize="21600,21600">
            <v:path/>
            <v:fill on="f" focussize="0,0"/>
            <v:stroke on="f" joinstyle="miter"/>
            <v:imagedata r:id="rId32" o:title=""/>
            <o:lock v:ext="edit" rotation="t" aspectratio="t"/>
            <w10:wrap type="none"/>
            <w10:anchorlock/>
          </v:shape>
          <o:OLEObject Type="Embed" ProgID="Visio.Drawing.11" ShapeID="_x0000_i1028" DrawAspect="Content" ObjectID="_1468075728" r:id="rId31">
            <o:LockedField>false</o:LockedField>
          </o:OLEObject>
        </w:object>
      </w:r>
    </w:p>
    <w:p w14:paraId="23C7A4F4">
      <w:pPr>
        <w:pStyle w:val="452"/>
        <w:ind w:firstLine="482"/>
        <w:jc w:val="center"/>
        <w:rPr>
          <w:rFonts w:hAnsi="宋体" w:eastAsia="宋体"/>
          <w:b/>
          <w:lang w:val="en-US" w:eastAsia="zh-CN"/>
        </w:rPr>
      </w:pPr>
      <w:r>
        <w:rPr>
          <w:rFonts w:hint="eastAsia" w:hAnsi="宋体"/>
          <w:b/>
          <w:lang w:val="en-US" w:eastAsia="zh-CN"/>
        </w:rPr>
        <w:t>图4.2-3  板材生产工艺及产污节点图</w:t>
      </w:r>
    </w:p>
    <w:p w14:paraId="43A4CAFA">
      <w:pPr>
        <w:tabs>
          <w:tab w:val="left" w:pos="1350"/>
        </w:tabs>
        <w:ind w:firstLine="482"/>
        <w:rPr>
          <w:rFonts w:hint="eastAsia" w:ascii="宋体" w:hAnsi="宋体" w:cs="宋体"/>
          <w:b/>
          <w:szCs w:val="24"/>
        </w:rPr>
      </w:pPr>
    </w:p>
    <w:p w14:paraId="222FE65E">
      <w:pPr>
        <w:pStyle w:val="452"/>
        <w:ind w:firstLine="0"/>
        <w:rPr>
          <w:rFonts w:ascii="宋体" w:hAnsi="宋体" w:cs="宋体"/>
          <w:b/>
          <w:bCs/>
          <w:szCs w:val="24"/>
          <w:lang w:val="en-US" w:eastAsia="zh-CN"/>
        </w:rPr>
      </w:pPr>
      <w:r>
        <w:rPr>
          <w:rFonts w:hint="eastAsia" w:ascii="宋体" w:hAnsi="宋体" w:cs="宋体"/>
          <w:b/>
          <w:bCs/>
          <w:szCs w:val="24"/>
          <w:lang w:eastAsia="zh-CN"/>
        </w:rPr>
        <w:t>（</w:t>
      </w:r>
      <w:r>
        <w:rPr>
          <w:rFonts w:hint="eastAsia" w:ascii="宋体" w:hAnsi="宋体" w:cs="宋体"/>
          <w:b/>
          <w:bCs/>
          <w:szCs w:val="24"/>
          <w:lang w:val="en-US" w:eastAsia="zh-CN"/>
        </w:rPr>
        <w:t>三</w:t>
      </w:r>
      <w:r>
        <w:rPr>
          <w:rFonts w:hint="eastAsia" w:ascii="宋体" w:hAnsi="宋体" w:cs="宋体"/>
          <w:b/>
          <w:bCs/>
          <w:szCs w:val="24"/>
          <w:lang w:eastAsia="zh-CN"/>
        </w:rPr>
        <w:t>）</w:t>
      </w:r>
      <w:r>
        <w:rPr>
          <w:rFonts w:hint="eastAsia" w:ascii="宋体" w:hAnsi="宋体" w:cs="宋体"/>
          <w:b/>
          <w:bCs/>
          <w:szCs w:val="24"/>
          <w:lang w:val="en-US" w:eastAsia="zh-CN"/>
        </w:rPr>
        <w:t>脲醛树脂胶生产工艺</w:t>
      </w:r>
    </w:p>
    <w:p w14:paraId="08C34416">
      <w:pPr>
        <w:keepNext w:val="0"/>
        <w:keepLines w:val="0"/>
        <w:widowControl/>
        <w:suppressLineNumbers w:val="0"/>
        <w:jc w:val="left"/>
      </w:pPr>
      <w:r>
        <w:rPr>
          <w:rFonts w:hint="eastAsia" w:eastAsia="宋体"/>
          <w:color w:val="000000"/>
          <w:sz w:val="24"/>
          <w:lang w:val="en-US" w:eastAsia="zh-CN"/>
        </w:rPr>
        <w:t>1、</w:t>
      </w:r>
      <w:r>
        <w:rPr>
          <w:color w:val="000000"/>
          <w:sz w:val="24"/>
        </w:rPr>
        <w:t>计量：外购尿素、</w:t>
      </w:r>
      <w:r>
        <w:rPr>
          <w:rFonts w:hint="eastAsia" w:eastAsia="宋体"/>
          <w:color w:val="000000"/>
          <w:sz w:val="24"/>
          <w:lang w:val="en-US" w:eastAsia="zh-CN"/>
        </w:rPr>
        <w:t>氢氧化钠</w:t>
      </w:r>
      <w:r>
        <w:rPr>
          <w:color w:val="000000"/>
          <w:sz w:val="24"/>
        </w:rPr>
        <w:t>、甲醛</w:t>
      </w:r>
      <w:r>
        <w:rPr>
          <w:rFonts w:hint="eastAsia"/>
          <w:color w:val="000000"/>
          <w:sz w:val="24"/>
          <w:lang w:eastAsia="zh-CN"/>
        </w:rPr>
        <w:t>、</w:t>
      </w:r>
      <w:r>
        <w:rPr>
          <w:rFonts w:hint="eastAsia"/>
          <w:color w:val="000000"/>
          <w:sz w:val="24"/>
          <w:lang w:val="en-US" w:eastAsia="zh-CN"/>
        </w:rPr>
        <w:t>聚乙烯醇、甲酸、三聚氰胺粉</w:t>
      </w:r>
      <w:r>
        <w:rPr>
          <w:color w:val="000000"/>
          <w:sz w:val="24"/>
        </w:rPr>
        <w:t>由汽车运至</w:t>
      </w:r>
      <w:r>
        <w:rPr>
          <w:rFonts w:hint="eastAsia"/>
          <w:color w:val="000000"/>
          <w:sz w:val="24"/>
          <w:lang w:val="en-US" w:eastAsia="zh-CN"/>
        </w:rPr>
        <w:t>制胶车间的</w:t>
      </w:r>
      <w:r>
        <w:rPr>
          <w:color w:val="000000"/>
          <w:sz w:val="24"/>
        </w:rPr>
        <w:t>原料</w:t>
      </w:r>
      <w:r>
        <w:rPr>
          <w:rFonts w:hint="eastAsia"/>
          <w:color w:val="000000"/>
          <w:sz w:val="24"/>
          <w:lang w:val="en-US" w:eastAsia="zh-CN"/>
        </w:rPr>
        <w:t>区</w:t>
      </w:r>
      <w:r>
        <w:rPr>
          <w:color w:val="000000"/>
          <w:sz w:val="24"/>
        </w:rPr>
        <w:t>，</w:t>
      </w:r>
      <w:r>
        <w:rPr>
          <w:rFonts w:hint="eastAsia" w:eastAsia="宋体"/>
          <w:color w:val="000000"/>
          <w:sz w:val="24"/>
          <w:lang w:val="en-US" w:eastAsia="zh-CN"/>
        </w:rPr>
        <w:t>氢氧化钠</w:t>
      </w:r>
      <w:r>
        <w:rPr>
          <w:color w:val="000000"/>
          <w:sz w:val="24"/>
        </w:rPr>
        <w:t>、烧碱</w:t>
      </w:r>
      <w:r>
        <w:rPr>
          <w:rFonts w:hint="eastAsia"/>
          <w:color w:val="000000"/>
          <w:sz w:val="24"/>
          <w:lang w:eastAsia="zh-CN"/>
        </w:rPr>
        <w:t>、</w:t>
      </w:r>
      <w:r>
        <w:rPr>
          <w:rFonts w:hint="eastAsia"/>
          <w:color w:val="000000"/>
          <w:sz w:val="24"/>
          <w:lang w:val="en-US" w:eastAsia="zh-CN"/>
        </w:rPr>
        <w:t>聚乙烯醇、三聚氰胺粉为袋装，</w:t>
      </w:r>
      <w:r>
        <w:rPr>
          <w:color w:val="000000"/>
          <w:sz w:val="24"/>
        </w:rPr>
        <w:t>用叉车人工或手推车卸料，整齐堆放到</w:t>
      </w:r>
      <w:r>
        <w:rPr>
          <w:rFonts w:hint="eastAsia"/>
          <w:color w:val="000000"/>
          <w:sz w:val="24"/>
          <w:lang w:val="en-US" w:eastAsia="zh-CN"/>
        </w:rPr>
        <w:t>制胶车间内</w:t>
      </w:r>
      <w:r>
        <w:rPr>
          <w:color w:val="000000"/>
          <w:sz w:val="24"/>
        </w:rPr>
        <w:t>指定位置</w:t>
      </w:r>
      <w:r>
        <w:rPr>
          <w:rFonts w:hint="eastAsia"/>
          <w:color w:val="000000"/>
          <w:sz w:val="24"/>
          <w:lang w:eastAsia="zh-CN"/>
        </w:rPr>
        <w:t>，</w:t>
      </w:r>
      <w:r>
        <w:rPr>
          <w:color w:val="000000"/>
          <w:sz w:val="24"/>
        </w:rPr>
        <w:t>小批量的待用品在车间投料处存放，</w:t>
      </w:r>
      <w:r>
        <w:rPr>
          <w:rFonts w:hint="eastAsia"/>
          <w:color w:val="000000"/>
          <w:sz w:val="24"/>
          <w:lang w:val="en-US" w:eastAsia="zh-CN"/>
        </w:rPr>
        <w:t>可</w:t>
      </w:r>
      <w:r>
        <w:rPr>
          <w:color w:val="000000"/>
          <w:sz w:val="24"/>
        </w:rPr>
        <w:t>直接通过投料斗投入反应釜内。外购的甲醛为37%浓度的水溶液，由专用槽车运到厂区后，经吸料罐吸入甲醛</w:t>
      </w:r>
      <w:r>
        <w:rPr>
          <w:rFonts w:hint="eastAsia"/>
          <w:color w:val="000000"/>
          <w:sz w:val="24"/>
          <w:lang w:val="en-US" w:eastAsia="zh-CN"/>
        </w:rPr>
        <w:t>储</w:t>
      </w:r>
      <w:r>
        <w:rPr>
          <w:color w:val="000000"/>
          <w:sz w:val="24"/>
        </w:rPr>
        <w:t>罐待用。当生产车间需要时，经</w:t>
      </w:r>
      <w:r>
        <w:rPr>
          <w:rFonts w:hint="eastAsia"/>
          <w:color w:val="000000"/>
          <w:sz w:val="24"/>
          <w:lang w:eastAsia="zh-CN"/>
        </w:rPr>
        <w:t>电子秤</w:t>
      </w:r>
      <w:r>
        <w:rPr>
          <w:color w:val="000000"/>
          <w:sz w:val="24"/>
        </w:rPr>
        <w:t>称重后打入制胶车间反应釜，当达到设定值时，电子计量秤发出信号停泵和关闭阀门。</w:t>
      </w:r>
      <w:r>
        <w:rPr>
          <w:rFonts w:hint="eastAsia"/>
          <w:color w:val="000000"/>
          <w:sz w:val="24"/>
          <w:lang w:val="en-US" w:eastAsia="zh-CN"/>
        </w:rPr>
        <w:t>首先加入一定量的甲醛，再加入聚乙烯醇，增加其粘度，调pH值为8.5-9.0。</w:t>
      </w:r>
    </w:p>
    <w:p w14:paraId="0117934A">
      <w:pPr>
        <w:spacing w:line="360" w:lineRule="auto"/>
        <w:ind w:firstLine="480"/>
        <w:rPr>
          <w:color w:val="000000"/>
          <w:sz w:val="24"/>
        </w:rPr>
      </w:pPr>
      <w:r>
        <w:rPr>
          <w:rFonts w:hint="eastAsia" w:eastAsia="宋体"/>
          <w:color w:val="000000"/>
          <w:sz w:val="24"/>
          <w:lang w:val="en-US" w:eastAsia="zh-CN"/>
        </w:rPr>
        <w:t>2、</w:t>
      </w:r>
      <w:r>
        <w:rPr>
          <w:color w:val="000000"/>
          <w:sz w:val="24"/>
        </w:rPr>
        <w:t>升温：在反应釜中打开搅拌器，加入</w:t>
      </w:r>
      <w:r>
        <w:rPr>
          <w:rFonts w:hint="eastAsia"/>
          <w:color w:val="000000"/>
          <w:sz w:val="24"/>
          <w:lang w:val="en-US" w:eastAsia="zh-CN"/>
        </w:rPr>
        <w:t>固体</w:t>
      </w:r>
      <w:r>
        <w:rPr>
          <w:color w:val="000000"/>
          <w:sz w:val="24"/>
        </w:rPr>
        <w:t>氢氧化钠</w:t>
      </w:r>
      <w:r>
        <w:rPr>
          <w:rFonts w:hint="eastAsia"/>
          <w:color w:val="000000"/>
          <w:sz w:val="24"/>
          <w:lang w:val="en-US" w:eastAsia="zh-CN"/>
        </w:rPr>
        <w:t>调整</w:t>
      </w:r>
      <w:r>
        <w:rPr>
          <w:color w:val="000000"/>
          <w:sz w:val="24"/>
        </w:rPr>
        <w:t>甲醛溶液的</w:t>
      </w:r>
      <w:r>
        <w:rPr>
          <w:rFonts w:hint="eastAsia"/>
          <w:color w:val="000000"/>
          <w:sz w:val="24"/>
          <w:lang w:val="en-US" w:eastAsia="zh-CN"/>
        </w:rPr>
        <w:t>调节</w:t>
      </w:r>
      <w:r>
        <w:rPr>
          <w:rFonts w:ascii="TimesNewRomanPSMT" w:hAnsi="TimesNewRomanPSMT" w:eastAsia="TimesNewRomanPSMT" w:cs="TimesNewRomanPSMT"/>
          <w:color w:val="000000"/>
          <w:sz w:val="24"/>
          <w:szCs w:val="24"/>
          <w:lang w:val="en-US" w:eastAsia="zh-CN" w:bidi="ar"/>
        </w:rPr>
        <w:t>pH</w:t>
      </w:r>
      <w:r>
        <w:rPr>
          <w:rFonts w:hint="eastAsia" w:ascii="TimesNewRomanPSMT" w:hAnsi="TimesNewRomanPSMT" w:eastAsia="TimesNewRomanPSMT" w:cs="TimesNewRomanPSMT"/>
          <w:color w:val="000000"/>
          <w:sz w:val="24"/>
          <w:szCs w:val="24"/>
          <w:lang w:val="en-US" w:eastAsia="zh-CN" w:bidi="ar"/>
        </w:rPr>
        <w:t>值</w:t>
      </w:r>
      <w:r>
        <w:rPr>
          <w:rFonts w:hint="eastAsia" w:ascii="宋体" w:hAnsi="宋体" w:eastAsia="宋体" w:cs="宋体"/>
          <w:color w:val="000000"/>
          <w:sz w:val="24"/>
          <w:szCs w:val="24"/>
          <w:lang w:val="en-US" w:eastAsia="zh-CN" w:bidi="ar"/>
        </w:rPr>
        <w:t xml:space="preserve">至 </w:t>
      </w:r>
      <w:r>
        <w:rPr>
          <w:rFonts w:ascii="TimesNewRomanPSMT" w:hAnsi="TimesNewRomanPSMT" w:eastAsia="TimesNewRomanPSMT" w:cs="TimesNewRomanPSMT"/>
          <w:color w:val="000000"/>
          <w:sz w:val="24"/>
          <w:szCs w:val="24"/>
          <w:lang w:val="en-US" w:eastAsia="zh-CN" w:bidi="ar"/>
        </w:rPr>
        <w:t>7.5</w:t>
      </w:r>
      <w:r>
        <w:rPr>
          <w:rFonts w:hint="eastAsia" w:ascii="宋体" w:hAnsi="宋体" w:eastAsia="宋体" w:cs="宋体"/>
          <w:color w:val="000000"/>
          <w:sz w:val="24"/>
          <w:szCs w:val="24"/>
          <w:lang w:val="en-US" w:eastAsia="zh-CN" w:bidi="ar"/>
        </w:rPr>
        <w:t>～</w:t>
      </w:r>
      <w:r>
        <w:rPr>
          <w:rFonts w:ascii="TimesNewRomanPSMT" w:hAnsi="TimesNewRomanPSMT" w:eastAsia="TimesNewRomanPSMT" w:cs="TimesNewRomanPSMT"/>
          <w:color w:val="000000"/>
          <w:sz w:val="24"/>
          <w:szCs w:val="24"/>
          <w:lang w:val="en-US" w:eastAsia="zh-CN" w:bidi="ar"/>
        </w:rPr>
        <w:t>8.0</w:t>
      </w:r>
      <w:r>
        <w:rPr>
          <w:color w:val="000000"/>
          <w:sz w:val="24"/>
        </w:rPr>
        <w:t>，并且投入第一批</w:t>
      </w:r>
      <w:r>
        <w:rPr>
          <w:rFonts w:hint="eastAsia"/>
          <w:color w:val="000000"/>
          <w:sz w:val="24"/>
          <w:u w:val="single"/>
          <w:lang w:val="en-US" w:eastAsia="zh-CN"/>
        </w:rPr>
        <w:t>尿素</w:t>
      </w:r>
      <w:r>
        <w:rPr>
          <w:color w:val="000000"/>
          <w:sz w:val="24"/>
        </w:rPr>
        <w:t>，</w:t>
      </w:r>
      <w:r>
        <w:rPr>
          <w:rFonts w:hint="eastAsia"/>
          <w:color w:val="000000"/>
          <w:sz w:val="24"/>
          <w:lang w:val="en-US" w:eastAsia="zh-CN"/>
        </w:rPr>
        <w:t>将pH调整为8.5，</w:t>
      </w:r>
      <w:r>
        <w:rPr>
          <w:rFonts w:hint="eastAsia" w:ascii="宋体" w:hAnsi="宋体" w:eastAsia="宋体" w:cs="宋体"/>
          <w:color w:val="000000"/>
          <w:sz w:val="24"/>
          <w:szCs w:val="24"/>
          <w:lang w:val="en-US" w:eastAsia="zh-CN" w:bidi="ar"/>
        </w:rPr>
        <w:t>通过夹套通入蒸汽</w:t>
      </w:r>
      <w:r>
        <w:rPr>
          <w:color w:val="000000"/>
          <w:sz w:val="24"/>
        </w:rPr>
        <w:t>将反应釜升温至</w:t>
      </w:r>
      <w:r>
        <w:rPr>
          <w:rFonts w:hint="eastAsia"/>
          <w:color w:val="000000"/>
          <w:sz w:val="24"/>
          <w:lang w:val="en-US" w:eastAsia="zh-CN"/>
        </w:rPr>
        <w:t>50</w:t>
      </w:r>
      <w:r>
        <w:rPr>
          <w:rFonts w:hint="eastAsia" w:ascii="宋体" w:hAnsi="宋体" w:eastAsia="宋体" w:cs="宋体"/>
          <w:color w:val="000000"/>
          <w:sz w:val="24"/>
          <w:lang w:val="en-US" w:eastAsia="zh-CN"/>
        </w:rPr>
        <w:t>℃</w:t>
      </w:r>
      <w:r>
        <w:rPr>
          <w:color w:val="000000"/>
          <w:sz w:val="24"/>
        </w:rPr>
        <w:t>，</w:t>
      </w:r>
      <w:r>
        <w:rPr>
          <w:rFonts w:hint="eastAsia"/>
          <w:color w:val="000000"/>
          <w:sz w:val="24"/>
          <w:lang w:val="en-US" w:eastAsia="zh-CN"/>
        </w:rPr>
        <w:t>可以关气，</w:t>
      </w:r>
      <w:r>
        <w:rPr>
          <w:color w:val="000000"/>
          <w:sz w:val="24"/>
        </w:rPr>
        <w:t>靠反应自身放热升温至90</w:t>
      </w:r>
      <w:r>
        <w:rPr>
          <w:rFonts w:hint="eastAsia" w:ascii="宋体" w:hAnsi="宋体" w:eastAsia="宋体" w:cs="宋体"/>
          <w:color w:val="000000"/>
          <w:sz w:val="24"/>
          <w:lang w:val="en-US" w:eastAsia="zh-CN"/>
        </w:rPr>
        <w:t>℃</w:t>
      </w:r>
      <w:r>
        <w:rPr>
          <w:color w:val="000000"/>
          <w:sz w:val="24"/>
        </w:rPr>
        <w:t>左右</w:t>
      </w:r>
      <w:r>
        <w:rPr>
          <w:rFonts w:hint="eastAsia"/>
          <w:color w:val="000000"/>
          <w:sz w:val="24"/>
          <w:lang w:eastAsia="zh-CN"/>
        </w:rPr>
        <w:t>（</w:t>
      </w:r>
      <w:r>
        <w:rPr>
          <w:rFonts w:hint="eastAsia"/>
          <w:color w:val="000000"/>
          <w:sz w:val="24"/>
          <w:lang w:val="en-US" w:eastAsia="zh-CN"/>
        </w:rPr>
        <w:t>升温大约40-50分钟</w:t>
      </w:r>
      <w:r>
        <w:rPr>
          <w:rFonts w:hint="eastAsia"/>
          <w:color w:val="000000"/>
          <w:sz w:val="24"/>
          <w:lang w:eastAsia="zh-CN"/>
        </w:rPr>
        <w:t>）</w:t>
      </w:r>
      <w:r>
        <w:rPr>
          <w:color w:val="000000"/>
          <w:sz w:val="24"/>
        </w:rPr>
        <w:t>。升温时采用来自</w:t>
      </w:r>
      <w:r>
        <w:rPr>
          <w:rFonts w:hint="eastAsia"/>
          <w:color w:val="000000"/>
          <w:sz w:val="24"/>
          <w:lang w:val="en-US" w:eastAsia="zh-CN"/>
        </w:rPr>
        <w:t>热载体炉</w:t>
      </w:r>
      <w:r>
        <w:rPr>
          <w:color w:val="000000"/>
          <w:sz w:val="24"/>
        </w:rPr>
        <w:t>的</w:t>
      </w:r>
      <w:r>
        <w:rPr>
          <w:rFonts w:hint="eastAsia"/>
          <w:color w:val="000000"/>
          <w:sz w:val="24"/>
          <w:lang w:val="en-US" w:eastAsia="zh-CN"/>
        </w:rPr>
        <w:t>导热油</w:t>
      </w:r>
      <w:r>
        <w:rPr>
          <w:color w:val="000000"/>
          <w:sz w:val="24"/>
        </w:rPr>
        <w:t>对其间接加热。</w:t>
      </w:r>
    </w:p>
    <w:p w14:paraId="63C29D94">
      <w:pPr>
        <w:spacing w:line="360" w:lineRule="auto"/>
        <w:ind w:firstLine="480"/>
        <w:rPr>
          <w:color w:val="000000"/>
          <w:sz w:val="24"/>
          <w:szCs w:val="22"/>
          <w:lang w:val="en-US" w:eastAsia="zh-CN"/>
        </w:rPr>
      </w:pPr>
      <w:r>
        <w:rPr>
          <w:rFonts w:hint="eastAsia" w:eastAsia="宋体"/>
          <w:color w:val="000000"/>
          <w:sz w:val="24"/>
          <w:szCs w:val="22"/>
          <w:lang w:val="en-US" w:eastAsia="zh-CN"/>
        </w:rPr>
        <w:t>3、</w:t>
      </w:r>
      <w:r>
        <w:rPr>
          <w:color w:val="000000"/>
          <w:sz w:val="24"/>
          <w:szCs w:val="22"/>
        </w:rPr>
        <w:t>pH值呈弱酸性：</w:t>
      </w:r>
      <w:r>
        <w:rPr>
          <w:rFonts w:hint="eastAsia"/>
          <w:color w:val="000000"/>
          <w:sz w:val="24"/>
          <w:szCs w:val="22"/>
          <w:lang w:val="en-US" w:eastAsia="zh-CN"/>
        </w:rPr>
        <w:t>再</w:t>
      </w:r>
      <w:r>
        <w:rPr>
          <w:color w:val="000000"/>
          <w:sz w:val="24"/>
          <w:szCs w:val="22"/>
        </w:rPr>
        <w:t>加入</w:t>
      </w:r>
      <w:r>
        <w:rPr>
          <w:rFonts w:hint="eastAsia"/>
          <w:color w:val="000000"/>
          <w:sz w:val="24"/>
          <w:szCs w:val="22"/>
          <w:lang w:val="en-US" w:eastAsia="zh-CN"/>
        </w:rPr>
        <w:t>甲酸溶液调节</w:t>
      </w:r>
      <w:r>
        <w:rPr>
          <w:color w:val="000000"/>
          <w:sz w:val="24"/>
          <w:szCs w:val="22"/>
        </w:rPr>
        <w:t>反应液pH值呈弱酸性</w:t>
      </w:r>
      <w:r>
        <w:rPr>
          <w:rFonts w:hint="eastAsia"/>
          <w:color w:val="000000"/>
          <w:sz w:val="24"/>
          <w:szCs w:val="22"/>
          <w:lang w:eastAsia="zh-CN"/>
        </w:rPr>
        <w:t>，</w:t>
      </w:r>
      <w:r>
        <w:rPr>
          <w:rFonts w:hint="eastAsia"/>
          <w:color w:val="000000"/>
          <w:sz w:val="24"/>
          <w:szCs w:val="22"/>
          <w:lang w:val="en-US" w:eastAsia="zh-CN"/>
        </w:rPr>
        <w:t>每隔5分钟调一次，一直调至pH值为4.5-5.0。</w:t>
      </w:r>
    </w:p>
    <w:p w14:paraId="70F32595">
      <w:pPr>
        <w:spacing w:line="360" w:lineRule="auto"/>
        <w:ind w:firstLine="480"/>
        <w:rPr>
          <w:rFonts w:hint="eastAsia"/>
          <w:color w:val="000000"/>
          <w:sz w:val="24"/>
          <w:szCs w:val="22"/>
          <w:lang w:eastAsia="zh-CN"/>
        </w:rPr>
      </w:pPr>
      <w:r>
        <w:rPr>
          <w:rFonts w:hint="eastAsia" w:eastAsia="宋体"/>
          <w:color w:val="000000"/>
          <w:sz w:val="24"/>
          <w:szCs w:val="22"/>
          <w:lang w:val="en-US" w:eastAsia="zh-CN"/>
        </w:rPr>
        <w:t>4、</w:t>
      </w:r>
      <w:r>
        <w:rPr>
          <w:color w:val="000000"/>
          <w:sz w:val="24"/>
          <w:szCs w:val="22"/>
        </w:rPr>
        <w:t>保温：反应一定时间后，需对反应釜进行保温一段时间</w:t>
      </w:r>
      <w:r>
        <w:rPr>
          <w:rFonts w:hint="eastAsia"/>
          <w:color w:val="000000"/>
          <w:sz w:val="24"/>
          <w:szCs w:val="22"/>
          <w:lang w:eastAsia="zh-CN"/>
        </w:rPr>
        <w:t>（</w:t>
      </w:r>
      <w:r>
        <w:rPr>
          <w:rFonts w:hint="eastAsia"/>
          <w:color w:val="000000"/>
          <w:sz w:val="24"/>
          <w:szCs w:val="22"/>
          <w:lang w:val="en-US" w:eastAsia="zh-CN"/>
        </w:rPr>
        <w:t>30-40min</w:t>
      </w:r>
      <w:r>
        <w:rPr>
          <w:rFonts w:hint="eastAsia"/>
          <w:color w:val="000000"/>
          <w:sz w:val="24"/>
          <w:szCs w:val="22"/>
          <w:lang w:eastAsia="zh-CN"/>
        </w:rPr>
        <w:t>），</w:t>
      </w:r>
      <w:r>
        <w:rPr>
          <w:rFonts w:hint="eastAsia"/>
          <w:color w:val="000000"/>
          <w:sz w:val="24"/>
          <w:szCs w:val="22"/>
          <w:lang w:val="en-US" w:eastAsia="zh-CN"/>
        </w:rPr>
        <w:t>温度控制在94-96℃</w:t>
      </w:r>
      <w:r>
        <w:rPr>
          <w:rFonts w:hint="eastAsia"/>
          <w:color w:val="000000"/>
          <w:sz w:val="24"/>
          <w:szCs w:val="22"/>
          <w:lang w:eastAsia="zh-CN"/>
        </w:rPr>
        <w:t>，</w:t>
      </w:r>
      <w:r>
        <w:rPr>
          <w:rFonts w:hint="eastAsia"/>
          <w:color w:val="000000"/>
          <w:sz w:val="24"/>
          <w:szCs w:val="22"/>
          <w:lang w:val="en-US" w:eastAsia="zh-CN"/>
        </w:rPr>
        <w:t>进一步进行聚合反应生产脲醛树脂，第一次成胶结束。</w:t>
      </w:r>
      <w:r>
        <w:rPr>
          <w:color w:val="000000"/>
          <w:sz w:val="24"/>
          <w:szCs w:val="22"/>
        </w:rPr>
        <w:t>保温的热能来自热油炉的导热油对其间接加热</w:t>
      </w:r>
      <w:r>
        <w:rPr>
          <w:rFonts w:hint="eastAsia"/>
          <w:color w:val="000000"/>
          <w:sz w:val="24"/>
          <w:szCs w:val="22"/>
          <w:lang w:eastAsia="zh-CN"/>
        </w:rPr>
        <w:t>。</w:t>
      </w:r>
    </w:p>
    <w:p w14:paraId="621A43C4">
      <w:pPr>
        <w:spacing w:line="360" w:lineRule="auto"/>
        <w:ind w:firstLine="480"/>
        <w:rPr>
          <w:rFonts w:hint="eastAsia"/>
          <w:color w:val="000000"/>
          <w:sz w:val="24"/>
          <w:szCs w:val="22"/>
          <w:lang w:val="en-US" w:eastAsia="zh-CN"/>
        </w:rPr>
      </w:pPr>
      <w:r>
        <w:rPr>
          <w:rFonts w:hint="eastAsia" w:eastAsia="宋体"/>
          <w:color w:val="000000"/>
          <w:sz w:val="24"/>
          <w:szCs w:val="22"/>
          <w:lang w:val="en-US" w:eastAsia="zh-CN"/>
        </w:rPr>
        <w:t>5、</w:t>
      </w:r>
      <w:r>
        <w:rPr>
          <w:color w:val="000000"/>
          <w:sz w:val="24"/>
          <w:szCs w:val="22"/>
        </w:rPr>
        <w:t>pH值呈弱碱性：</w:t>
      </w:r>
      <w:r>
        <w:rPr>
          <w:rFonts w:hint="eastAsia"/>
          <w:color w:val="000000"/>
          <w:sz w:val="24"/>
          <w:szCs w:val="22"/>
          <w:lang w:val="en-US" w:eastAsia="zh-CN"/>
        </w:rPr>
        <w:t>温度控制在92℃，</w:t>
      </w:r>
      <w:r>
        <w:rPr>
          <w:color w:val="000000"/>
          <w:sz w:val="24"/>
          <w:szCs w:val="22"/>
        </w:rPr>
        <w:t>投入三聚氰胺和第二批尿素，继续反应</w:t>
      </w:r>
      <w:r>
        <w:rPr>
          <w:rFonts w:hint="eastAsia"/>
          <w:color w:val="000000"/>
          <w:sz w:val="24"/>
          <w:szCs w:val="22"/>
          <w:lang w:val="en-US" w:eastAsia="zh-CN"/>
        </w:rPr>
        <w:t>1个小时候，降温至80℃。此时第二次尿素与剩余的甲醛继续生成一羟甲基脲及二羟甲基脲单体，并进一步聚合反应生成脲醛树脂。</w:t>
      </w:r>
    </w:p>
    <w:p w14:paraId="2643B916">
      <w:pPr>
        <w:spacing w:line="360" w:lineRule="auto"/>
        <w:ind w:firstLine="480"/>
        <w:rPr>
          <w:rFonts w:hint="eastAsia" w:eastAsia="宋体"/>
          <w:color w:val="000000"/>
          <w:sz w:val="24"/>
          <w:szCs w:val="22"/>
          <w:lang w:eastAsia="zh-CN"/>
        </w:rPr>
      </w:pPr>
      <w:r>
        <w:rPr>
          <w:rFonts w:hint="eastAsia" w:eastAsia="宋体"/>
          <w:color w:val="000000"/>
          <w:sz w:val="24"/>
          <w:szCs w:val="22"/>
          <w:lang w:val="en-US" w:eastAsia="zh-CN"/>
        </w:rPr>
        <w:t>6、</w:t>
      </w:r>
      <w:r>
        <w:rPr>
          <w:color w:val="000000"/>
          <w:sz w:val="24"/>
          <w:szCs w:val="22"/>
        </w:rPr>
        <w:t>恒温：再投入第三批尿素，进行恒温一段时间</w:t>
      </w:r>
      <w:r>
        <w:rPr>
          <w:rFonts w:hint="eastAsia"/>
          <w:color w:val="000000"/>
          <w:sz w:val="24"/>
          <w:szCs w:val="22"/>
          <w:lang w:eastAsia="zh-CN"/>
        </w:rPr>
        <w:t>。</w:t>
      </w:r>
    </w:p>
    <w:p w14:paraId="7B5EFE62">
      <w:pPr>
        <w:spacing w:line="360" w:lineRule="auto"/>
        <w:ind w:firstLine="480"/>
        <w:rPr>
          <w:color w:val="000000"/>
          <w:sz w:val="24"/>
          <w:szCs w:val="22"/>
        </w:rPr>
      </w:pPr>
      <w:r>
        <w:rPr>
          <w:rFonts w:hint="eastAsia" w:eastAsia="宋体"/>
          <w:color w:val="000000"/>
          <w:sz w:val="24"/>
          <w:szCs w:val="22"/>
          <w:lang w:val="en-US" w:eastAsia="zh-CN"/>
        </w:rPr>
        <w:t>7、</w:t>
      </w:r>
      <w:r>
        <w:rPr>
          <w:color w:val="000000"/>
          <w:sz w:val="24"/>
          <w:szCs w:val="22"/>
        </w:rPr>
        <w:t>真空脱水：恒温一段时间后，用循环冷却水降温反应液至65—70</w:t>
      </w:r>
      <w:r>
        <w:rPr>
          <w:rFonts w:hint="eastAsia"/>
          <w:color w:val="000000"/>
          <w:sz w:val="24"/>
          <w:szCs w:val="22"/>
          <w:lang w:val="en-US" w:eastAsia="zh-CN"/>
        </w:rPr>
        <w:t>℃</w:t>
      </w:r>
      <w:r>
        <w:rPr>
          <w:color w:val="000000"/>
          <w:sz w:val="24"/>
          <w:szCs w:val="22"/>
        </w:rPr>
        <w:t>，密闭反应釜系统，用水循环真空泵进行真空脱水，取样检验，达到要求后停止脱水，降温。脱水过程中产生的含游离甲醛的废水排至</w:t>
      </w:r>
      <w:r>
        <w:rPr>
          <w:rFonts w:hint="eastAsia"/>
          <w:color w:val="000000"/>
          <w:sz w:val="24"/>
          <w:szCs w:val="22"/>
          <w:lang w:val="en-US" w:eastAsia="zh-CN"/>
        </w:rPr>
        <w:t>脱水罐</w:t>
      </w:r>
      <w:r>
        <w:rPr>
          <w:color w:val="000000"/>
          <w:sz w:val="24"/>
          <w:szCs w:val="22"/>
        </w:rPr>
        <w:t>内进行收集。</w:t>
      </w:r>
    </w:p>
    <w:p w14:paraId="0E0F6ABB">
      <w:pPr>
        <w:spacing w:line="360" w:lineRule="auto"/>
        <w:ind w:firstLine="480"/>
        <w:rPr>
          <w:color w:val="000000"/>
          <w:sz w:val="24"/>
          <w:szCs w:val="22"/>
        </w:rPr>
      </w:pPr>
      <w:r>
        <w:rPr>
          <w:rFonts w:hint="eastAsia" w:eastAsia="宋体"/>
          <w:color w:val="000000"/>
          <w:sz w:val="24"/>
          <w:szCs w:val="22"/>
          <w:lang w:val="en-US" w:eastAsia="zh-CN"/>
        </w:rPr>
        <w:t>8、</w:t>
      </w:r>
      <w:r>
        <w:rPr>
          <w:color w:val="000000"/>
          <w:sz w:val="24"/>
          <w:szCs w:val="22"/>
        </w:rPr>
        <w:t>检测：对达到要求的树脂胶进行取样检验，检验合格后的产品用管道放入指定的容器中。偶尔产生少量不合格的树脂胶，单独贮存小比例加入合格产品中一同使用。</w:t>
      </w:r>
    </w:p>
    <w:p w14:paraId="57D29735">
      <w:pPr>
        <w:spacing w:line="360" w:lineRule="auto"/>
        <w:ind w:firstLine="480"/>
        <w:rPr>
          <w:color w:val="000000"/>
          <w:sz w:val="24"/>
          <w:szCs w:val="22"/>
          <w:lang w:val="en-US" w:eastAsia="zh-CN"/>
        </w:rPr>
      </w:pPr>
      <w:r>
        <w:rPr>
          <w:rFonts w:hint="eastAsia"/>
          <w:color w:val="000000"/>
          <w:sz w:val="24"/>
          <w:szCs w:val="22"/>
          <w:lang w:val="en-US" w:eastAsia="zh-CN"/>
        </w:rPr>
        <w:t>整个反应在常压下进行，且为放热反应，此时第一次尿素与甲醛生成各种羟甲基脲的混合物，即一羟甲基脲及二羟甲基脲单体。</w:t>
      </w:r>
    </w:p>
    <w:p w14:paraId="58857DB6">
      <w:pPr>
        <w:pStyle w:val="2"/>
        <w:rPr>
          <w:rFonts w:hint="eastAsia"/>
          <w:color w:val="000000"/>
          <w:sz w:val="24"/>
          <w:lang w:val="en-US" w:eastAsia="zh-CN"/>
        </w:rPr>
      </w:pPr>
      <w:r>
        <w:rPr>
          <w:rFonts w:hint="eastAsia"/>
          <w:color w:val="000000"/>
          <w:sz w:val="24"/>
          <w:lang w:val="en-US" w:eastAsia="zh-CN"/>
        </w:rPr>
        <w:t>第一步加成反应主要反应方程式为：</w:t>
      </w:r>
    </w:p>
    <w:p w14:paraId="68A509D6">
      <w:pPr>
        <w:pStyle w:val="2"/>
        <w:rPr>
          <w:rFonts w:hint="eastAsia" w:hAnsi="宋体" w:eastAsia="宋体" w:cs="宋体"/>
          <w:color w:val="000000"/>
          <w:sz w:val="24"/>
          <w:lang w:val="en-US" w:eastAsia="zh-CN"/>
        </w:rPr>
      </w:pPr>
      <w:r>
        <w:rPr>
          <w:rFonts w:ascii="宋体" w:hAnsi="宋体" w:eastAsia="宋体" w:cs="宋体"/>
          <w:sz w:val="24"/>
          <w:szCs w:val="24"/>
          <w:lang w:val="en-US" w:eastAsia="zh-CN" w:bidi="ar"/>
        </w:rPr>
        <w:drawing>
          <wp:inline distT="0" distB="0" distL="0" distR="0">
            <wp:extent cx="4077335" cy="1153795"/>
            <wp:effectExtent l="0" t="0" r="0" b="0"/>
            <wp:docPr id="23" name="_x0000_i3105"/>
            <wp:cNvGraphicFramePr/>
            <a:graphic xmlns:a="http://schemas.openxmlformats.org/drawingml/2006/main">
              <a:graphicData uri="http://schemas.openxmlformats.org/drawingml/2006/picture">
                <pic:pic xmlns:pic="http://schemas.openxmlformats.org/drawingml/2006/picture">
                  <pic:nvPicPr>
                    <pic:cNvPr id="23" name="_x0000_i3105"/>
                    <pic:cNvPicPr/>
                  </pic:nvPicPr>
                  <pic:blipFill>
                    <a:blip r:embed="rId33"/>
                    <a:stretch>
                      <a:fillRect/>
                    </a:stretch>
                  </pic:blipFill>
                  <pic:spPr>
                    <a:xfrm>
                      <a:off x="0" y="0"/>
                      <a:ext cx="4077449" cy="1154252"/>
                    </a:xfrm>
                    <a:prstGeom prst="rect">
                      <a:avLst/>
                    </a:prstGeom>
                    <a:noFill/>
                    <a:ln>
                      <a:noFill/>
                    </a:ln>
                  </pic:spPr>
                </pic:pic>
              </a:graphicData>
            </a:graphic>
          </wp:inline>
        </w:drawing>
      </w:r>
    </w:p>
    <w:p w14:paraId="4813FA7E">
      <w:pPr>
        <w:pStyle w:val="2"/>
        <w:rPr>
          <w:lang w:val="en-US" w:eastAsia="zh-CN"/>
        </w:rPr>
      </w:pPr>
      <w:r>
        <w:rPr>
          <w:rFonts w:hint="eastAsia" w:hAnsi="宋体" w:eastAsia="宋体" w:cs="宋体"/>
          <w:color w:val="000000"/>
          <w:sz w:val="24"/>
          <w:lang w:val="en-US" w:eastAsia="zh-CN"/>
        </w:rPr>
        <w:t>第二步是缩合反应，在酸性条件下亚氨基与羟甲基间发生脱水缩合：</w:t>
      </w:r>
    </w:p>
    <w:p w14:paraId="58B775CD">
      <w:pPr>
        <w:pStyle w:val="2"/>
        <w:rPr>
          <w:rFonts w:hint="eastAsia" w:ascii="宋体" w:hAnsi="宋体" w:eastAsia="宋体" w:cs="宋体"/>
          <w:color w:val="000000"/>
          <w:sz w:val="24"/>
          <w:lang w:val="en-US" w:eastAsia="zh-CN"/>
        </w:rPr>
      </w:pPr>
    </w:p>
    <w:p w14:paraId="41282809">
      <w:pPr>
        <w:keepNext w:val="0"/>
        <w:keepLines w:val="0"/>
        <w:widowControl/>
        <w:suppressLineNumbers w:val="0"/>
        <w:jc w:val="left"/>
      </w:pPr>
      <w:r>
        <w:rPr>
          <w:rFonts w:ascii="宋体" w:hAnsi="宋体" w:eastAsia="宋体" w:cs="宋体"/>
          <w:sz w:val="24"/>
          <w:szCs w:val="24"/>
          <w:lang w:val="en-US" w:eastAsia="zh-CN" w:bidi="ar"/>
        </w:rPr>
        <w:drawing>
          <wp:inline distT="0" distB="0" distL="0" distR="0">
            <wp:extent cx="4801235" cy="1088390"/>
            <wp:effectExtent l="0" t="0" r="0" b="0"/>
            <wp:docPr id="24" name="_x0000_i3106"/>
            <wp:cNvGraphicFramePr/>
            <a:graphic xmlns:a="http://schemas.openxmlformats.org/drawingml/2006/main">
              <a:graphicData uri="http://schemas.openxmlformats.org/drawingml/2006/picture">
                <pic:pic xmlns:pic="http://schemas.openxmlformats.org/drawingml/2006/picture">
                  <pic:nvPicPr>
                    <pic:cNvPr id="24" name="_x0000_i3106"/>
                    <pic:cNvPicPr/>
                  </pic:nvPicPr>
                  <pic:blipFill>
                    <a:blip r:embed="rId34"/>
                    <a:stretch>
                      <a:fillRect/>
                    </a:stretch>
                  </pic:blipFill>
                  <pic:spPr>
                    <a:xfrm>
                      <a:off x="0" y="0"/>
                      <a:ext cx="4801286" cy="1088803"/>
                    </a:xfrm>
                    <a:prstGeom prst="rect">
                      <a:avLst/>
                    </a:prstGeom>
                    <a:noFill/>
                    <a:ln>
                      <a:noFill/>
                    </a:ln>
                  </pic:spPr>
                </pic:pic>
              </a:graphicData>
            </a:graphic>
          </wp:inline>
        </w:drawing>
      </w:r>
    </w:p>
    <w:p w14:paraId="21CAB5D8">
      <w:pPr>
        <w:keepNext w:val="0"/>
        <w:keepLines w:val="0"/>
        <w:widowControl/>
        <w:suppressLineNumbers w:val="0"/>
        <w:jc w:val="left"/>
      </w:pPr>
    </w:p>
    <w:p w14:paraId="3A84E31F">
      <w:pPr>
        <w:pStyle w:val="2"/>
        <w:rPr>
          <w:rFonts w:ascii="宋体" w:hAnsi="宋体" w:eastAsia="宋体" w:cs="宋体"/>
          <w:color w:val="000000"/>
          <w:sz w:val="24"/>
          <w:lang w:val="en-US" w:eastAsia="zh-CN"/>
        </w:rPr>
      </w:pPr>
      <w:r>
        <w:rPr>
          <w:rFonts w:hint="eastAsia" w:hAnsi="宋体" w:eastAsia="宋体" w:cs="宋体"/>
          <w:color w:val="000000"/>
          <w:sz w:val="24"/>
          <w:lang w:val="en-US" w:eastAsia="zh-CN"/>
        </w:rPr>
        <w:t>这样继续下去，得到线型缩聚物，是各种相对分子质量的混合物，平均分子质量在700左右，低聚物可溶于水。脲醛树脂的结构尚未完全确定，可认为其分子主链上有以下的结构：</w:t>
      </w:r>
    </w:p>
    <w:p w14:paraId="201824D5">
      <w:pPr>
        <w:spacing w:line="360" w:lineRule="auto"/>
        <w:jc w:val="center"/>
        <w:rPr>
          <w:rFonts w:ascii="宋体" w:hAnsi="宋体" w:eastAsia="宋体" w:cs="宋体"/>
          <w:sz w:val="24"/>
          <w:szCs w:val="24"/>
          <w:lang w:val="en-US" w:eastAsia="zh-CN" w:bidi="ar"/>
        </w:rPr>
      </w:pPr>
      <w:r>
        <w:rPr>
          <w:rFonts w:ascii="宋体" w:hAnsi="宋体" w:eastAsia="宋体" w:cs="宋体"/>
          <w:sz w:val="24"/>
          <w:szCs w:val="24"/>
          <w:lang w:val="en-US" w:eastAsia="zh-CN" w:bidi="ar"/>
        </w:rPr>
        <w:drawing>
          <wp:inline distT="0" distB="0" distL="0" distR="0">
            <wp:extent cx="4858385" cy="1471295"/>
            <wp:effectExtent l="0" t="0" r="0" b="0"/>
            <wp:docPr id="25" name="_x0000_i3107"/>
            <wp:cNvGraphicFramePr/>
            <a:graphic xmlns:a="http://schemas.openxmlformats.org/drawingml/2006/main">
              <a:graphicData uri="http://schemas.openxmlformats.org/drawingml/2006/picture">
                <pic:pic xmlns:pic="http://schemas.openxmlformats.org/drawingml/2006/picture">
                  <pic:nvPicPr>
                    <pic:cNvPr id="25" name="_x0000_i3107"/>
                    <pic:cNvPicPr/>
                  </pic:nvPicPr>
                  <pic:blipFill>
                    <a:blip r:embed="rId35"/>
                    <a:stretch>
                      <a:fillRect/>
                    </a:stretch>
                  </pic:blipFill>
                  <pic:spPr>
                    <a:xfrm>
                      <a:off x="0" y="0"/>
                      <a:ext cx="4858436" cy="1471816"/>
                    </a:xfrm>
                    <a:prstGeom prst="rect">
                      <a:avLst/>
                    </a:prstGeom>
                    <a:noFill/>
                    <a:ln>
                      <a:noFill/>
                    </a:ln>
                  </pic:spPr>
                </pic:pic>
              </a:graphicData>
            </a:graphic>
          </wp:inline>
        </w:drawing>
      </w:r>
    </w:p>
    <w:p w14:paraId="5E37962A">
      <w:pPr>
        <w:spacing w:line="360" w:lineRule="auto"/>
        <w:ind w:firstLine="480"/>
        <w:rPr>
          <w:color w:val="000000"/>
          <w:sz w:val="24"/>
        </w:rPr>
      </w:pPr>
      <w:r>
        <w:rPr>
          <w:color w:val="000000"/>
          <w:sz w:val="24"/>
        </w:rPr>
        <w:t>反应釜加热时</w:t>
      </w:r>
      <w:r>
        <w:rPr>
          <w:rFonts w:hint="eastAsia"/>
          <w:color w:val="000000"/>
          <w:sz w:val="24"/>
          <w:lang w:eastAsia="zh-CN"/>
        </w:rPr>
        <w:t>，</w:t>
      </w:r>
      <w:r>
        <w:rPr>
          <w:color w:val="000000"/>
          <w:sz w:val="24"/>
        </w:rPr>
        <w:t>关闭储存罐前端的阀门，打开冷凝回流器的回流阀门。挥发出的甲醛和</w:t>
      </w:r>
      <w:r>
        <w:rPr>
          <w:rFonts w:hint="eastAsia"/>
          <w:color w:val="000000"/>
          <w:sz w:val="24"/>
          <w:lang w:eastAsia="zh-CN"/>
        </w:rPr>
        <w:t>水蒸气</w:t>
      </w:r>
      <w:r>
        <w:rPr>
          <w:color w:val="000000"/>
          <w:sz w:val="24"/>
        </w:rPr>
        <w:t>，通过回流冷凝器冷凝后回流入反应釜。不凝缩气体通过抽风机抽至室外高空排放、扩散。</w:t>
      </w:r>
    </w:p>
    <w:p w14:paraId="6CB9F0D5">
      <w:pPr>
        <w:spacing w:line="360" w:lineRule="auto"/>
        <w:ind w:firstLine="480"/>
        <w:rPr>
          <w:color w:val="000000"/>
          <w:sz w:val="24"/>
        </w:rPr>
      </w:pPr>
      <w:r>
        <w:rPr>
          <w:color w:val="000000"/>
          <w:sz w:val="24"/>
        </w:rPr>
        <w:t>甲醛打入反应釜用电子秤自动计量。电子秤采用设定重量，启动甲醛上料泵，到达设定值时发出信号停泵和关闭电动阀。</w:t>
      </w:r>
      <w:r>
        <w:rPr>
          <w:rFonts w:hint="eastAsia"/>
          <w:color w:val="000000"/>
          <w:sz w:val="24"/>
          <w:lang w:eastAsia="zh-CN"/>
        </w:rPr>
        <w:t>电子秤</w:t>
      </w:r>
      <w:r>
        <w:rPr>
          <w:color w:val="000000"/>
          <w:sz w:val="24"/>
        </w:rPr>
        <w:t>亦可累计、打印，亦可显示每锅胶产量。</w:t>
      </w:r>
    </w:p>
    <w:p w14:paraId="714820A5">
      <w:pPr>
        <w:spacing w:line="360" w:lineRule="auto"/>
        <w:ind w:firstLine="480"/>
        <w:rPr>
          <w:color w:val="000000"/>
          <w:sz w:val="24"/>
        </w:rPr>
      </w:pPr>
      <w:r>
        <w:rPr>
          <w:color w:val="000000"/>
          <w:sz w:val="24"/>
        </w:rPr>
        <w:t>反应时，恒温反应阶段采用加热、冷却自动控制，调节阀选用电动调节阀。各贮槽（罐）除现场配有浮球式液面计现场显示外，在制胶车间控制室的仪表盘上亦可显示各贮槽液位。碱液高位槽和冷却收集槽设有上下液位接点，可自动启、停液泵。</w:t>
      </w:r>
    </w:p>
    <w:p w14:paraId="6BA7C352">
      <w:pPr>
        <w:spacing w:line="360" w:lineRule="auto"/>
        <w:ind w:firstLine="480"/>
        <w:rPr>
          <w:color w:val="000000"/>
          <w:sz w:val="24"/>
        </w:rPr>
      </w:pPr>
      <w:r>
        <w:rPr>
          <w:color w:val="000000"/>
          <w:sz w:val="24"/>
        </w:rPr>
        <w:t>反应完成后，关闭冷凝回收器的回流阀门，打开储存罐前端的阀门，通过真空泵抽取的脲醛胶，在抽取过程中挥发出的少量甲醛气体，通过冷凝回收器冷凝回收挥发出的甲醛气体。</w:t>
      </w:r>
    </w:p>
    <w:p w14:paraId="3DEEB29F">
      <w:pPr>
        <w:spacing w:line="360" w:lineRule="auto"/>
        <w:ind w:firstLine="480"/>
        <w:rPr>
          <w:rFonts w:hint="eastAsia" w:ascii="宋体" w:hAnsi="宋体"/>
          <w:color w:val="000000"/>
          <w:sz w:val="24"/>
        </w:rPr>
      </w:pPr>
      <w:r>
        <w:rPr>
          <w:rFonts w:hint="eastAsia" w:ascii="宋体" w:hAnsi="宋体"/>
          <w:color w:val="000000"/>
          <w:sz w:val="24"/>
        </w:rPr>
        <w:t>脲醛树脂胶的生产工艺流程及产污节点示意见下图所示。</w:t>
      </w:r>
    </w:p>
    <w:p w14:paraId="7F219D2B">
      <w:pPr>
        <w:pStyle w:val="2"/>
        <w:jc w:val="center"/>
        <w:rPr>
          <w:rFonts w:hint="eastAsia" w:ascii="宋体" w:hAnsi="宋体"/>
          <w:color w:val="000000"/>
          <w:sz w:val="24"/>
        </w:rPr>
      </w:pPr>
      <w:r>
        <w:rPr>
          <w:rFonts w:hint="eastAsia" w:ascii="宋体" w:hAnsi="宋体"/>
          <w:color w:val="000000"/>
          <w:sz w:val="24"/>
        </w:rPr>
        <w:object>
          <v:shape id="_x0000_i1029" o:spt="75" type="#_x0000_t75" style="height:539.3pt;width:313.45pt;" o:ole="t" filled="f" o:preferrelative="t" stroked="f" coordsize="21600,21600">
            <v:path/>
            <v:fill on="f" focussize="0,0"/>
            <v:stroke on="f" joinstyle="miter"/>
            <v:imagedata r:id="rId37" o:title=""/>
            <o:lock v:ext="edit" rotation="t" aspectratio="t"/>
            <w10:wrap type="none"/>
            <w10:anchorlock/>
          </v:shape>
          <o:OLEObject Type="Embed" ProgID="Visio.Drawing.11" ShapeID="_x0000_i1029" DrawAspect="Content" ObjectID="_1468075729" r:id="rId36">
            <o:LockedField>false</o:LockedField>
          </o:OLEObject>
        </w:object>
      </w:r>
    </w:p>
    <w:p w14:paraId="4BB4D81E">
      <w:pPr>
        <w:spacing w:line="360" w:lineRule="auto"/>
        <w:jc w:val="center"/>
        <w:rPr>
          <w:b/>
          <w:color w:val="000000"/>
          <w:sz w:val="24"/>
        </w:rPr>
      </w:pPr>
      <w:r>
        <w:rPr>
          <w:b/>
          <w:color w:val="000000"/>
          <w:sz w:val="24"/>
        </w:rPr>
        <w:t>图</w:t>
      </w:r>
      <w:r>
        <w:rPr>
          <w:rFonts w:hint="eastAsia" w:eastAsia="宋体"/>
          <w:b/>
          <w:color w:val="000000"/>
          <w:sz w:val="24"/>
          <w:lang w:val="en-US" w:eastAsia="zh-CN"/>
        </w:rPr>
        <w:t>4.2</w:t>
      </w:r>
      <w:r>
        <w:rPr>
          <w:rFonts w:hint="eastAsia"/>
          <w:b/>
          <w:color w:val="000000"/>
          <w:sz w:val="24"/>
        </w:rPr>
        <w:t>-</w:t>
      </w:r>
      <w:r>
        <w:rPr>
          <w:rFonts w:hint="eastAsia" w:eastAsia="宋体"/>
          <w:b/>
          <w:color w:val="000000"/>
          <w:sz w:val="24"/>
          <w:lang w:val="en-US" w:eastAsia="zh-CN"/>
        </w:rPr>
        <w:t>4</w:t>
      </w:r>
      <w:r>
        <w:rPr>
          <w:b/>
          <w:color w:val="000000"/>
          <w:sz w:val="24"/>
        </w:rPr>
        <w:t xml:space="preserve">   脲醛树脂胶生产工艺流程及产污节点示意图</w:t>
      </w:r>
    </w:p>
    <w:p w14:paraId="46C6C091">
      <w:pPr>
        <w:spacing w:line="360" w:lineRule="auto"/>
        <w:jc w:val="center"/>
        <w:rPr>
          <w:rFonts w:ascii="Times New Roman" w:hAnsi="Times New Roman" w:eastAsia="宋体" w:cs="Times New Roman"/>
          <w:b/>
          <w:color w:val="000000"/>
          <w:sz w:val="24"/>
        </w:rPr>
      </w:pPr>
    </w:p>
    <w:p w14:paraId="5B0FAD1D">
      <w:pPr>
        <w:spacing w:line="360" w:lineRule="auto"/>
        <w:jc w:val="center"/>
        <w:rPr>
          <w:rFonts w:ascii="Times New Roman" w:hAnsi="Times New Roman" w:eastAsia="宋体" w:cs="Times New Roman"/>
          <w:b/>
          <w:color w:val="000000"/>
          <w:sz w:val="24"/>
        </w:rPr>
      </w:pPr>
    </w:p>
    <w:p w14:paraId="5B2E6E23">
      <w:pPr>
        <w:spacing w:line="360" w:lineRule="auto"/>
        <w:jc w:val="center"/>
        <w:rPr>
          <w:rFonts w:ascii="Times New Roman" w:hAnsi="Times New Roman" w:eastAsia="宋体" w:cs="Times New Roman"/>
          <w:b/>
          <w:color w:val="000000"/>
          <w:sz w:val="24"/>
        </w:rPr>
      </w:pPr>
    </w:p>
    <w:p w14:paraId="034845E7">
      <w:pPr>
        <w:spacing w:line="360" w:lineRule="auto"/>
        <w:jc w:val="center"/>
        <w:rPr>
          <w:rFonts w:ascii="Times New Roman" w:hAnsi="Times New Roman" w:eastAsia="宋体" w:cs="Times New Roman"/>
          <w:b/>
          <w:color w:val="000000"/>
          <w:sz w:val="24"/>
        </w:rPr>
      </w:pPr>
    </w:p>
    <w:p w14:paraId="607C5C82">
      <w:pPr>
        <w:spacing w:line="360" w:lineRule="auto"/>
        <w:jc w:val="center"/>
        <w:rPr>
          <w:rFonts w:ascii="Times New Roman" w:hAnsi="Times New Roman" w:eastAsia="宋体" w:cs="Times New Roman"/>
          <w:b/>
          <w:color w:val="000000"/>
          <w:sz w:val="24"/>
        </w:rPr>
      </w:pPr>
    </w:p>
    <w:p w14:paraId="17BFCA77">
      <w:pPr>
        <w:spacing w:line="360" w:lineRule="auto"/>
        <w:jc w:val="center"/>
        <w:rPr>
          <w:rFonts w:ascii="Times New Roman" w:hAnsi="Times New Roman" w:eastAsia="宋体" w:cs="Times New Roman"/>
          <w:b/>
          <w:color w:val="000000"/>
          <w:sz w:val="24"/>
        </w:rPr>
      </w:pPr>
    </w:p>
    <w:p w14:paraId="69C2527E">
      <w:pPr>
        <w:pStyle w:val="452"/>
        <w:ind w:firstLine="0"/>
        <w:rPr>
          <w:rFonts w:ascii="宋体" w:hAnsi="宋体" w:cs="宋体"/>
          <w:b/>
          <w:bCs/>
          <w:szCs w:val="24"/>
          <w:lang w:val="en-US" w:eastAsia="zh-CN"/>
        </w:rPr>
      </w:pPr>
      <w:r>
        <w:rPr>
          <w:rFonts w:hint="eastAsia" w:ascii="宋体" w:hAnsi="宋体" w:cs="宋体"/>
          <w:b/>
          <w:bCs/>
          <w:szCs w:val="24"/>
          <w:lang w:eastAsia="zh-CN"/>
        </w:rPr>
        <w:t>（</w:t>
      </w:r>
      <w:r>
        <w:rPr>
          <w:rFonts w:hint="eastAsia" w:ascii="宋体" w:hAnsi="宋体" w:cs="宋体"/>
          <w:b/>
          <w:bCs/>
          <w:szCs w:val="24"/>
          <w:lang w:val="en-US" w:eastAsia="zh-CN"/>
        </w:rPr>
        <w:t>四</w:t>
      </w:r>
      <w:r>
        <w:rPr>
          <w:rFonts w:hint="eastAsia" w:ascii="宋体" w:hAnsi="宋体" w:cs="宋体"/>
          <w:b/>
          <w:bCs/>
          <w:szCs w:val="24"/>
          <w:lang w:eastAsia="zh-CN"/>
        </w:rPr>
        <w:t>）</w:t>
      </w:r>
      <w:r>
        <w:rPr>
          <w:rFonts w:hint="eastAsia" w:ascii="宋体" w:hAnsi="宋体" w:cs="宋体"/>
          <w:b/>
          <w:bCs/>
          <w:szCs w:val="24"/>
          <w:lang w:val="en-US" w:eastAsia="zh-CN"/>
        </w:rPr>
        <w:t>酚醛树脂胶生产工艺</w:t>
      </w:r>
    </w:p>
    <w:p w14:paraId="0CFB7AC3">
      <w:pPr>
        <w:pStyle w:val="2"/>
        <w:rPr>
          <w:rFonts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lang w:val="en-US" w:eastAsia="zh-CN"/>
        </w:rPr>
        <w:t>苯酚熔化：苯酚为固态，采用25kg专用桶储存，在使用过程中首先需要加热熔化，本项目将蒸汽通入</w:t>
      </w:r>
      <w:r>
        <w:rPr>
          <w:rFonts w:hint="eastAsia" w:ascii="Times New Roman" w:hAnsi="Times New Roman" w:eastAsia="宋体" w:cs="Times New Roman"/>
          <w:color w:val="000000"/>
          <w:sz w:val="24"/>
          <w:lang w:val="en-US" w:eastAsia="zh-CN"/>
        </w:rPr>
        <w:t>保温</w:t>
      </w:r>
      <w:r>
        <w:rPr>
          <w:rFonts w:ascii="Times New Roman" w:hAnsi="Times New Roman" w:eastAsia="宋体" w:cs="Times New Roman"/>
          <w:color w:val="000000"/>
          <w:sz w:val="24"/>
          <w:lang w:val="en-US" w:eastAsia="zh-CN"/>
        </w:rPr>
        <w:t>水池内，将水加热至70-80℃，间接对苯酚进行熔化。</w:t>
      </w:r>
    </w:p>
    <w:p w14:paraId="37D346A3">
      <w:pPr>
        <w:pStyle w:val="2"/>
        <w:rPr>
          <w:rFonts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lang w:val="en-US" w:eastAsia="zh-CN"/>
        </w:rPr>
        <w:t>反应:抽料之前打开冷却水；抽入一定量的苯酚到反应釜；同时加入氢氧化钠液体，然后降温控制在50℃以下，加入甲醛（第一次），加入一定比例的水、尿素，自然升温至91-93℃，保温30min以上。降温度至85℃，加入甲醛（第二次），升温至91-93℃用投塑杯测量胶水的粘度，粘度保持在14-15秒即可。</w:t>
      </w:r>
    </w:p>
    <w:p w14:paraId="37CD22A2">
      <w:pPr>
        <w:spacing w:line="360" w:lineRule="auto"/>
        <w:ind w:firstLine="480"/>
        <w:rPr>
          <w:rFonts w:ascii="Times New Roman" w:hAnsi="Times New Roman" w:eastAsia="宋体" w:cs="Times New Roman"/>
          <w:color w:val="000000"/>
          <w:sz w:val="24"/>
          <w:szCs w:val="22"/>
        </w:rPr>
      </w:pP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lang w:val="en-US" w:eastAsia="zh-CN"/>
        </w:rPr>
        <w:t>脱水：开始降温，降温至50℃以下，</w:t>
      </w:r>
      <w:r>
        <w:rPr>
          <w:rFonts w:ascii="Times New Roman" w:hAnsi="Times New Roman" w:eastAsia="宋体" w:cs="Times New Roman"/>
          <w:color w:val="000000"/>
          <w:sz w:val="24"/>
          <w:szCs w:val="22"/>
        </w:rPr>
        <w:t>恒温一段时间后，用循环冷却水降温反应液至</w:t>
      </w:r>
      <w:r>
        <w:rPr>
          <w:rFonts w:ascii="Times New Roman" w:hAnsi="Times New Roman" w:eastAsia="宋体" w:cs="Times New Roman"/>
          <w:color w:val="000000"/>
          <w:sz w:val="24"/>
          <w:szCs w:val="22"/>
          <w:lang w:val="en-US" w:eastAsia="zh-CN"/>
        </w:rPr>
        <w:t>50</w:t>
      </w:r>
      <w:r>
        <w:rPr>
          <w:rFonts w:ascii="Times New Roman" w:hAnsi="Times New Roman" w:eastAsia="宋体" w:cs="Times New Roman"/>
          <w:color w:val="000000"/>
          <w:sz w:val="24"/>
          <w:lang w:val="en-US" w:eastAsia="zh-CN"/>
        </w:rPr>
        <w:t>℃以下</w:t>
      </w:r>
      <w:r>
        <w:rPr>
          <w:rFonts w:ascii="Times New Roman" w:hAnsi="Times New Roman" w:eastAsia="宋体" w:cs="Times New Roman"/>
          <w:color w:val="000000"/>
          <w:sz w:val="24"/>
          <w:szCs w:val="22"/>
        </w:rPr>
        <w:t>，密闭反应釜系统，用水循环真空泵进行真空脱水，取样检验，达到要求后停止脱水，降温。脱水过程中产生的含游离甲醛的废水排至</w:t>
      </w:r>
      <w:r>
        <w:rPr>
          <w:rFonts w:ascii="Times New Roman" w:hAnsi="Times New Roman" w:eastAsia="宋体" w:cs="Times New Roman"/>
          <w:color w:val="000000"/>
          <w:sz w:val="24"/>
          <w:szCs w:val="22"/>
          <w:lang w:val="en-US" w:eastAsia="zh-CN"/>
        </w:rPr>
        <w:t>脱水罐</w:t>
      </w:r>
      <w:r>
        <w:rPr>
          <w:rFonts w:ascii="Times New Roman" w:hAnsi="Times New Roman" w:eastAsia="宋体" w:cs="Times New Roman"/>
          <w:color w:val="000000"/>
          <w:sz w:val="24"/>
          <w:szCs w:val="22"/>
        </w:rPr>
        <w:t>内进行收集。</w:t>
      </w:r>
    </w:p>
    <w:p w14:paraId="7AAB5CB9">
      <w:pPr>
        <w:spacing w:line="360" w:lineRule="auto"/>
        <w:ind w:firstLine="480"/>
        <w:rPr>
          <w:rFonts w:ascii="Times New Roman" w:hAnsi="Times New Roman" w:eastAsia="宋体" w:cs="Times New Roman"/>
          <w:color w:val="000000"/>
          <w:sz w:val="24"/>
          <w:szCs w:val="22"/>
        </w:rPr>
      </w:pPr>
      <w:r>
        <w:rPr>
          <w:rFonts w:hint="eastAsia" w:ascii="Times New Roman" w:hAnsi="Times New Roman" w:eastAsia="宋体" w:cs="Times New Roman"/>
          <w:color w:val="000000"/>
          <w:sz w:val="24"/>
          <w:szCs w:val="22"/>
          <w:lang w:val="en-US" w:eastAsia="zh-CN"/>
        </w:rPr>
        <w:t>4、</w:t>
      </w:r>
      <w:r>
        <w:rPr>
          <w:rFonts w:ascii="Times New Roman" w:hAnsi="Times New Roman" w:eastAsia="宋体" w:cs="Times New Roman"/>
          <w:color w:val="000000"/>
          <w:sz w:val="24"/>
          <w:szCs w:val="22"/>
        </w:rPr>
        <w:t>检测：对达到要求的树脂胶进行取样检验，检验合格后的产品用管道放入指定的容器中。偶尔产生少量不合格的树脂胶，单独贮存小比例加入合格产品中一同使用。</w:t>
      </w:r>
    </w:p>
    <w:p w14:paraId="4B723E1C">
      <w:pPr>
        <w:spacing w:line="360" w:lineRule="auto"/>
        <w:jc w:val="both"/>
        <w:rPr>
          <w:rFonts w:ascii="Times New Roman" w:hAnsi="Times New Roman" w:eastAsia="宋体" w:cs="Times New Roman"/>
          <w:b/>
          <w:color w:val="000000"/>
          <w:sz w:val="24"/>
          <w:lang w:val="en-US" w:eastAsia="zh-CN"/>
        </w:rPr>
      </w:pPr>
      <w:r>
        <w:rPr>
          <w:rFonts w:hint="eastAsia" w:ascii="Times New Roman" w:hAnsi="Times New Roman" w:eastAsia="宋体" w:cs="Times New Roman"/>
          <w:b/>
          <w:color w:val="000000"/>
          <w:sz w:val="24"/>
          <w:lang w:val="en-US" w:eastAsia="zh-CN"/>
        </w:rPr>
        <w:t>第一步是加成反应，生产各种甲基苯酚，形成一元酚醇和多元酚醇的混合物。</w:t>
      </w:r>
    </w:p>
    <w:p w14:paraId="37C5023E">
      <w:pPr>
        <w:keepNext w:val="0"/>
        <w:keepLines w:val="0"/>
        <w:widowControl/>
        <w:suppressLineNumbers w:val="0"/>
        <w:jc w:val="center"/>
        <w:rPr>
          <w:rFonts w:ascii="宋体" w:hAnsi="宋体" w:eastAsia="宋体" w:cs="宋体"/>
          <w:sz w:val="24"/>
          <w:szCs w:val="24"/>
          <w:lang w:val="en-US" w:eastAsia="zh-CN" w:bidi="ar"/>
        </w:rPr>
      </w:pPr>
      <w:r>
        <w:rPr>
          <w:rFonts w:ascii="宋体" w:hAnsi="宋体" w:eastAsia="宋体" w:cs="宋体"/>
          <w:sz w:val="24"/>
          <w:szCs w:val="24"/>
          <w:lang w:val="en-US" w:eastAsia="zh-CN" w:bidi="ar"/>
        </w:rPr>
        <w:drawing>
          <wp:inline distT="0" distB="0" distL="0" distR="0">
            <wp:extent cx="4990465" cy="1542415"/>
            <wp:effectExtent l="0" t="0" r="0" b="0"/>
            <wp:docPr id="27" name="_x0000_i3109"/>
            <wp:cNvGraphicFramePr/>
            <a:graphic xmlns:a="http://schemas.openxmlformats.org/drawingml/2006/main">
              <a:graphicData uri="http://schemas.openxmlformats.org/drawingml/2006/picture">
                <pic:pic xmlns:pic="http://schemas.openxmlformats.org/drawingml/2006/picture">
                  <pic:nvPicPr>
                    <pic:cNvPr id="27" name="_x0000_i3109"/>
                    <pic:cNvPicPr/>
                  </pic:nvPicPr>
                  <pic:blipFill>
                    <a:blip r:embed="rId38"/>
                    <a:stretch>
                      <a:fillRect/>
                    </a:stretch>
                  </pic:blipFill>
                  <pic:spPr>
                    <a:xfrm>
                      <a:off x="0" y="0"/>
                      <a:ext cx="4990922" cy="1542580"/>
                    </a:xfrm>
                    <a:prstGeom prst="rect">
                      <a:avLst/>
                    </a:prstGeom>
                    <a:noFill/>
                    <a:ln>
                      <a:noFill/>
                    </a:ln>
                  </pic:spPr>
                </pic:pic>
              </a:graphicData>
            </a:graphic>
          </wp:inline>
        </w:drawing>
      </w:r>
    </w:p>
    <w:p w14:paraId="305B1218">
      <w:pPr>
        <w:pStyle w:val="2"/>
        <w:rPr>
          <w:rFonts w:ascii="Times New Roman" w:hAnsi="Times New Roman" w:eastAsia="宋体" w:cs="Times New Roman"/>
          <w:b/>
          <w:color w:val="000000"/>
          <w:sz w:val="24"/>
          <w:szCs w:val="22"/>
          <w:lang w:val="en-US" w:eastAsia="zh-CN" w:bidi="ar-SA"/>
        </w:rPr>
      </w:pPr>
      <w:r>
        <w:rPr>
          <w:rFonts w:hint="eastAsia" w:ascii="Times New Roman" w:hAnsi="Times New Roman" w:eastAsia="宋体" w:cs="Times New Roman"/>
          <w:b/>
          <w:color w:val="000000"/>
          <w:sz w:val="24"/>
          <w:szCs w:val="22"/>
          <w:lang w:val="en-US" w:eastAsia="zh-CN" w:bidi="ar-SA"/>
        </w:rPr>
        <w:t>第二步缩聚反应，随着反应条件的不同可以在羟甲基苯酚与苯酚分子之间脱水缩合或羟甲基苯酚之间脱水缩合：</w:t>
      </w:r>
    </w:p>
    <w:p w14:paraId="1C64283A">
      <w:pPr>
        <w:spacing w:line="360" w:lineRule="auto"/>
        <w:ind w:firstLine="720"/>
        <w:rPr>
          <w:rFonts w:hint="eastAsia" w:ascii="宋体" w:hAnsi="宋体"/>
          <w:color w:val="000000"/>
          <w:sz w:val="24"/>
        </w:rPr>
      </w:pPr>
      <w:r>
        <w:rPr>
          <w:rFonts w:hint="eastAsia" w:ascii="宋体" w:hAnsi="宋体"/>
          <w:color w:val="000000"/>
          <w:sz w:val="24"/>
          <w:lang w:val="en-US" w:eastAsia="zh-CN"/>
        </w:rPr>
        <w:t>酚醛</w:t>
      </w:r>
      <w:r>
        <w:rPr>
          <w:rFonts w:hint="eastAsia" w:ascii="宋体" w:hAnsi="宋体"/>
          <w:color w:val="000000"/>
          <w:sz w:val="24"/>
        </w:rPr>
        <w:t>树脂胶的生产工艺流程及产污节点示意见下图所示。</w:t>
      </w:r>
    </w:p>
    <w:p w14:paraId="0CA310E4">
      <w:pPr>
        <w:keepNext w:val="0"/>
        <w:keepLines w:val="0"/>
        <w:widowControl/>
        <w:suppressLineNumbers w:val="0"/>
        <w:jc w:val="left"/>
      </w:pPr>
    </w:p>
    <w:p w14:paraId="23611AB8">
      <w:pPr>
        <w:keepNext w:val="0"/>
        <w:keepLines w:val="0"/>
        <w:widowControl/>
        <w:suppressLineNumbers w:val="0"/>
        <w:jc w:val="left"/>
      </w:pPr>
      <w:r>
        <w:rPr>
          <w:rFonts w:ascii="宋体" w:hAnsi="宋体" w:eastAsia="宋体" w:cs="宋体"/>
          <w:sz w:val="24"/>
          <w:szCs w:val="24"/>
          <w:lang w:val="en-US" w:eastAsia="zh-CN" w:bidi="ar"/>
        </w:rPr>
        <w:drawing>
          <wp:inline distT="0" distB="0" distL="0" distR="0">
            <wp:extent cx="5118100" cy="4105275"/>
            <wp:effectExtent l="0" t="0" r="0" b="0"/>
            <wp:docPr id="28" name="_x0000_i3110"/>
            <wp:cNvGraphicFramePr/>
            <a:graphic xmlns:a="http://schemas.openxmlformats.org/drawingml/2006/main">
              <a:graphicData uri="http://schemas.openxmlformats.org/drawingml/2006/picture">
                <pic:pic xmlns:pic="http://schemas.openxmlformats.org/drawingml/2006/picture">
                  <pic:nvPicPr>
                    <pic:cNvPr id="28" name="_x0000_i3110"/>
                    <pic:cNvPicPr/>
                  </pic:nvPicPr>
                  <pic:blipFill>
                    <a:blip r:embed="rId39"/>
                    <a:stretch>
                      <a:fillRect/>
                    </a:stretch>
                  </pic:blipFill>
                  <pic:spPr>
                    <a:xfrm>
                      <a:off x="0" y="0"/>
                      <a:ext cx="5118722" cy="4105821"/>
                    </a:xfrm>
                    <a:prstGeom prst="rect">
                      <a:avLst/>
                    </a:prstGeom>
                    <a:noFill/>
                    <a:ln>
                      <a:noFill/>
                    </a:ln>
                  </pic:spPr>
                </pic:pic>
              </a:graphicData>
            </a:graphic>
          </wp:inline>
        </w:drawing>
      </w:r>
    </w:p>
    <w:p w14:paraId="7B29696A">
      <w:pPr>
        <w:keepNext w:val="0"/>
        <w:keepLines w:val="0"/>
        <w:widowControl/>
        <w:suppressLineNumbers w:val="0"/>
        <w:jc w:val="left"/>
      </w:pPr>
    </w:p>
    <w:p w14:paraId="0AB64572">
      <w:pPr>
        <w:pStyle w:val="2"/>
        <w:rPr>
          <w:rFonts w:ascii="Times New Roman" w:hAnsi="Times New Roman" w:eastAsia="宋体" w:cs="Times New Roman"/>
          <w:b/>
          <w:color w:val="000000"/>
          <w:sz w:val="24"/>
          <w:lang w:val="en-US" w:eastAsia="zh-CN"/>
        </w:rPr>
      </w:pPr>
      <w:r>
        <w:rPr>
          <w:rFonts w:hint="eastAsia" w:ascii="Times New Roman" w:hAnsi="Times New Roman" w:eastAsia="宋体" w:cs="Times New Roman"/>
          <w:b/>
          <w:color w:val="000000"/>
          <w:sz w:val="24"/>
          <w:lang w:val="en-US" w:eastAsia="zh-CN"/>
        </w:rPr>
        <w:t>根据研究结果知，当反应条件为碱性环境（pH</w:t>
      </w:r>
      <w:r>
        <w:rPr>
          <w:rFonts w:ascii="Times New Roman" w:hAnsi="Times New Roman" w:eastAsia="宋体" w:cs="Times New Roman"/>
          <w:b/>
          <w:color w:val="000000"/>
          <w:sz w:val="24"/>
          <w:lang w:val="en-US" w:eastAsia="zh-CN"/>
        </w:rPr>
        <w:t>&gt;</w:t>
      </w:r>
      <w:r>
        <w:rPr>
          <w:rFonts w:hint="eastAsia" w:ascii="Times New Roman" w:hAnsi="Times New Roman" w:eastAsia="宋体" w:cs="Times New Roman"/>
          <w:b/>
          <w:color w:val="000000"/>
          <w:sz w:val="24"/>
          <w:lang w:val="en-US" w:eastAsia="zh-CN"/>
        </w:rPr>
        <w:t>7）时，酚醛树脂合成的第一步加成反应速率远远大于第二部缩聚反应，故缩聚反应主要发生在羟甲基苯酚分子之间。这样继续下去，将缩聚形成一定分子量的酚醛树脂，是各种相对分子质量的混合物，分子量一般在1000以下，属于低聚物。反应酚醛树脂的结构式如下：</w:t>
      </w:r>
    </w:p>
    <w:p w14:paraId="7350590A">
      <w:pPr>
        <w:keepNext w:val="0"/>
        <w:keepLines w:val="0"/>
        <w:widowControl/>
        <w:suppressLineNumbers w:val="0"/>
        <w:jc w:val="center"/>
      </w:pPr>
      <w:r>
        <w:rPr>
          <w:rFonts w:ascii="宋体" w:hAnsi="宋体" w:eastAsia="宋体" w:cs="宋体"/>
          <w:sz w:val="24"/>
          <w:szCs w:val="24"/>
          <w:lang w:val="en-US" w:eastAsia="zh-CN" w:bidi="ar"/>
        </w:rPr>
        <w:drawing>
          <wp:inline distT="0" distB="0" distL="0" distR="0">
            <wp:extent cx="3876675" cy="1485900"/>
            <wp:effectExtent l="0" t="0" r="0" b="0"/>
            <wp:docPr id="29" name="_x0000_i3111"/>
            <wp:cNvGraphicFramePr/>
            <a:graphic xmlns:a="http://schemas.openxmlformats.org/drawingml/2006/main">
              <a:graphicData uri="http://schemas.openxmlformats.org/drawingml/2006/picture">
                <pic:pic xmlns:pic="http://schemas.openxmlformats.org/drawingml/2006/picture">
                  <pic:nvPicPr>
                    <pic:cNvPr id="29" name="_x0000_i3111"/>
                    <pic:cNvPicPr/>
                  </pic:nvPicPr>
                  <pic:blipFill>
                    <a:blip r:embed="rId40"/>
                    <a:stretch>
                      <a:fillRect/>
                    </a:stretch>
                  </pic:blipFill>
                  <pic:spPr>
                    <a:xfrm>
                      <a:off x="0" y="0"/>
                      <a:ext cx="3876675" cy="1485900"/>
                    </a:xfrm>
                    <a:prstGeom prst="rect">
                      <a:avLst/>
                    </a:prstGeom>
                    <a:noFill/>
                    <a:ln>
                      <a:noFill/>
                    </a:ln>
                  </pic:spPr>
                </pic:pic>
              </a:graphicData>
            </a:graphic>
          </wp:inline>
        </w:drawing>
      </w:r>
    </w:p>
    <w:p w14:paraId="64AE56F6">
      <w:pPr>
        <w:spacing w:line="360" w:lineRule="auto"/>
        <w:jc w:val="center"/>
        <w:rPr>
          <w:rFonts w:ascii="Times New Roman" w:hAnsi="Times New Roman" w:eastAsia="宋体" w:cs="Times New Roman"/>
          <w:b/>
          <w:color w:val="000000"/>
          <w:sz w:val="24"/>
        </w:rPr>
      </w:pPr>
    </w:p>
    <w:p w14:paraId="1007A374">
      <w:pPr>
        <w:pStyle w:val="2"/>
        <w:rPr>
          <w:rFonts w:ascii="Times New Roman" w:hAnsi="Times New Roman" w:eastAsia="宋体" w:cs="Times New Roman"/>
          <w:b/>
          <w:color w:val="000000"/>
          <w:sz w:val="24"/>
        </w:rPr>
      </w:pPr>
    </w:p>
    <w:p w14:paraId="133476CC">
      <w:pPr>
        <w:pStyle w:val="2"/>
        <w:rPr>
          <w:rFonts w:ascii="Times New Roman" w:hAnsi="Times New Roman" w:eastAsia="宋体" w:cs="Times New Roman"/>
          <w:b/>
          <w:color w:val="000000"/>
          <w:sz w:val="24"/>
        </w:rPr>
      </w:pPr>
    </w:p>
    <w:p w14:paraId="7C7EFBC0">
      <w:pPr>
        <w:pStyle w:val="2"/>
        <w:rPr>
          <w:rFonts w:ascii="Times New Roman" w:hAnsi="Times New Roman" w:eastAsia="宋体" w:cs="Times New Roman"/>
          <w:b/>
          <w:color w:val="000000"/>
          <w:sz w:val="24"/>
        </w:rPr>
      </w:pPr>
    </w:p>
    <w:p w14:paraId="374762D8">
      <w:pPr>
        <w:pStyle w:val="2"/>
        <w:rPr>
          <w:rFonts w:ascii="Times New Roman" w:hAnsi="Times New Roman" w:eastAsia="宋体" w:cs="Times New Roman"/>
          <w:b/>
          <w:color w:val="000000"/>
          <w:sz w:val="24"/>
        </w:rPr>
      </w:pPr>
    </w:p>
    <w:p w14:paraId="694ED581">
      <w:pPr>
        <w:pStyle w:val="2"/>
        <w:rPr>
          <w:rFonts w:ascii="Times New Roman" w:hAnsi="Times New Roman" w:eastAsia="宋体" w:cs="Times New Roman"/>
          <w:b/>
          <w:color w:val="000000"/>
          <w:sz w:val="24"/>
        </w:rPr>
      </w:pPr>
    </w:p>
    <w:p w14:paraId="0197618C">
      <w:pPr>
        <w:pStyle w:val="2"/>
        <w:rPr>
          <w:rFonts w:ascii="Times New Roman" w:hAnsi="Times New Roman" w:eastAsia="宋体" w:cs="Times New Roman"/>
          <w:b/>
          <w:color w:val="000000"/>
          <w:sz w:val="24"/>
        </w:rPr>
      </w:pPr>
    </w:p>
    <w:p w14:paraId="6F3F9FE6">
      <w:pPr>
        <w:pStyle w:val="2"/>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object>
          <v:shape id="_x0000_i1030" o:spt="75" type="#_x0000_t75" style="height:588.05pt;width:313.45pt;" o:ole="t" filled="f" o:preferrelative="t" stroked="f" coordsize="21600,21600">
            <v:path/>
            <v:fill on="f" focussize="0,0"/>
            <v:stroke on="f" joinstyle="miter"/>
            <v:imagedata r:id="rId42" o:title=""/>
            <o:lock v:ext="edit" rotation="t" aspectratio="t"/>
            <w10:wrap type="none"/>
            <w10:anchorlock/>
          </v:shape>
          <o:OLEObject Type="Embed" ProgID="Visio.Drawing.11" ShapeID="_x0000_i1030" DrawAspect="Content" ObjectID="_1468075730" r:id="rId41">
            <o:LockedField>false</o:LockedField>
          </o:OLEObject>
        </w:object>
      </w:r>
    </w:p>
    <w:p w14:paraId="07EF3FDB">
      <w:pPr>
        <w:pStyle w:val="2"/>
        <w:rPr>
          <w:rFonts w:ascii="Times New Roman" w:hAnsi="Times New Roman" w:eastAsia="宋体" w:cs="Times New Roman"/>
          <w:b/>
          <w:color w:val="000000"/>
          <w:sz w:val="24"/>
        </w:rPr>
      </w:pPr>
    </w:p>
    <w:p w14:paraId="21C6750C">
      <w:pPr>
        <w:spacing w:line="360" w:lineRule="auto"/>
        <w:jc w:val="center"/>
        <w:rPr>
          <w:b/>
          <w:color w:val="000000"/>
          <w:sz w:val="24"/>
        </w:rPr>
      </w:pPr>
      <w:r>
        <w:rPr>
          <w:rFonts w:ascii="Times New Roman" w:hAnsi="Times New Roman" w:eastAsia="宋体" w:cs="Times New Roman"/>
          <w:b/>
          <w:color w:val="000000"/>
          <w:sz w:val="24"/>
        </w:rPr>
        <w:t>图</w:t>
      </w:r>
      <w:r>
        <w:rPr>
          <w:rFonts w:hint="eastAsia" w:ascii="Times New Roman" w:hAnsi="Times New Roman" w:eastAsia="宋体" w:cs="Times New Roman"/>
          <w:b/>
          <w:color w:val="000000"/>
          <w:sz w:val="24"/>
          <w:lang w:val="en-US" w:eastAsia="zh-CN"/>
        </w:rPr>
        <w:t>4.2</w:t>
      </w:r>
      <w:r>
        <w:rPr>
          <w:rFonts w:ascii="Times New Roman" w:hAnsi="Times New Roman" w:eastAsia="宋体" w:cs="Times New Roman"/>
          <w:b/>
          <w:color w:val="000000"/>
          <w:sz w:val="24"/>
        </w:rPr>
        <w:t>-</w:t>
      </w:r>
      <w:r>
        <w:rPr>
          <w:rFonts w:hint="eastAsia" w:ascii="Times New Roman" w:hAnsi="Times New Roman" w:eastAsia="宋体" w:cs="Times New Roman"/>
          <w:b/>
          <w:color w:val="000000"/>
          <w:sz w:val="24"/>
          <w:lang w:val="en-US" w:eastAsia="zh-CN"/>
        </w:rPr>
        <w:t>5</w:t>
      </w:r>
      <w:r>
        <w:rPr>
          <w:rFonts w:ascii="Times New Roman" w:hAnsi="Times New Roman" w:eastAsia="宋体" w:cs="Times New Roman"/>
          <w:b/>
          <w:color w:val="000000"/>
          <w:sz w:val="24"/>
        </w:rPr>
        <w:t xml:space="preserve"> </w:t>
      </w:r>
      <w:r>
        <w:rPr>
          <w:rFonts w:hint="eastAsia" w:ascii="Times New Roman" w:hAnsi="Times New Roman" w:eastAsia="宋体" w:cs="Times New Roman"/>
          <w:b/>
          <w:color w:val="000000"/>
          <w:sz w:val="24"/>
          <w:lang w:val="en-US" w:eastAsia="zh-CN"/>
        </w:rPr>
        <w:t>酚醛</w:t>
      </w:r>
      <w:r>
        <w:rPr>
          <w:rFonts w:ascii="Times New Roman" w:hAnsi="Times New Roman" w:eastAsia="宋体" w:cs="Times New Roman"/>
          <w:b/>
          <w:color w:val="000000"/>
          <w:sz w:val="24"/>
        </w:rPr>
        <w:t>树脂胶生产</w:t>
      </w:r>
      <w:r>
        <w:rPr>
          <w:b/>
          <w:color w:val="000000"/>
          <w:sz w:val="24"/>
        </w:rPr>
        <w:t>工艺流程及产污节点示意图</w:t>
      </w:r>
    </w:p>
    <w:p w14:paraId="0EE73D1D">
      <w:pPr>
        <w:widowControl w:val="0"/>
        <w:spacing w:line="360" w:lineRule="auto"/>
        <w:ind w:firstLine="0"/>
        <w:rPr>
          <w:rFonts w:ascii="Times New Roman" w:hAnsi="Times New Roman" w:eastAsia="宋体" w:cs="Times New Roman"/>
          <w:b/>
          <w:bCs/>
          <w:sz w:val="24"/>
          <w:szCs w:val="21"/>
        </w:rPr>
      </w:pPr>
      <w:r>
        <w:rPr>
          <w:rFonts w:hint="eastAsia" w:ascii="宋体" w:hAnsi="宋体" w:eastAsia="宋体" w:cs="Times New Roman"/>
          <w:b/>
          <w:bCs/>
          <w:sz w:val="24"/>
          <w:szCs w:val="21"/>
          <w:lang w:val="en-US" w:eastAsia="zh-CN"/>
        </w:rPr>
        <w:t xml:space="preserve">                   </w:t>
      </w:r>
    </w:p>
    <w:p w14:paraId="78D56F52">
      <w:pPr>
        <w:pStyle w:val="188"/>
        <w:rPr>
          <w:rFonts w:hint="eastAsia"/>
          <w:lang w:val="en-US" w:eastAsia="zh-CN"/>
        </w:rPr>
      </w:pPr>
      <w:r>
        <w:rPr>
          <w:rFonts w:hint="eastAsia"/>
          <w:lang w:val="en-US" w:eastAsia="zh-CN"/>
        </w:rPr>
        <w:t>4.2.2整个项目生产工艺产污环节</w:t>
      </w:r>
    </w:p>
    <w:p w14:paraId="7278EA73">
      <w:pPr>
        <w:widowControl w:val="0"/>
        <w:spacing w:line="360" w:lineRule="auto"/>
        <w:jc w:val="center"/>
        <w:rPr>
          <w:rFonts w:hint="eastAsia"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b/>
          <w:bCs/>
          <w:color w:val="000000"/>
          <w:sz w:val="24"/>
          <w:szCs w:val="24"/>
          <w:lang w:val="en-US" w:eastAsia="zh-CN" w:bidi="ar-SA"/>
        </w:rPr>
        <w:t>表4.2-1 生产工艺产污环节一览表</w:t>
      </w:r>
    </w:p>
    <w:tbl>
      <w:tblPr>
        <w:tblStyle w:val="32"/>
        <w:tblW w:w="92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6"/>
        <w:gridCol w:w="1230"/>
        <w:gridCol w:w="1335"/>
        <w:gridCol w:w="1725"/>
        <w:gridCol w:w="2010"/>
        <w:gridCol w:w="1975"/>
      </w:tblGrid>
      <w:tr w14:paraId="2201B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noWrap w:val="0"/>
            <w:vAlign w:val="center"/>
          </w:tcPr>
          <w:p w14:paraId="58170DF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项目</w:t>
            </w:r>
          </w:p>
        </w:tc>
        <w:tc>
          <w:tcPr>
            <w:tcW w:w="1230" w:type="dxa"/>
            <w:noWrap w:val="0"/>
            <w:vAlign w:val="center"/>
          </w:tcPr>
          <w:p w14:paraId="7034670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序号</w:t>
            </w:r>
          </w:p>
        </w:tc>
        <w:tc>
          <w:tcPr>
            <w:tcW w:w="1335" w:type="dxa"/>
            <w:noWrap w:val="0"/>
            <w:vAlign w:val="center"/>
          </w:tcPr>
          <w:p w14:paraId="03855526">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产污环节</w:t>
            </w:r>
          </w:p>
        </w:tc>
        <w:tc>
          <w:tcPr>
            <w:tcW w:w="1725" w:type="dxa"/>
            <w:noWrap w:val="0"/>
            <w:vAlign w:val="center"/>
          </w:tcPr>
          <w:p w14:paraId="37AEFCD2">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主要污染因子</w:t>
            </w:r>
          </w:p>
        </w:tc>
        <w:tc>
          <w:tcPr>
            <w:tcW w:w="2010" w:type="dxa"/>
            <w:noWrap w:val="0"/>
            <w:vAlign w:val="center"/>
          </w:tcPr>
          <w:p w14:paraId="1D34C399">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污染物治理现状及排放方式</w:t>
            </w:r>
          </w:p>
        </w:tc>
        <w:tc>
          <w:tcPr>
            <w:tcW w:w="1975" w:type="dxa"/>
            <w:noWrap w:val="0"/>
            <w:vAlign w:val="center"/>
          </w:tcPr>
          <w:p w14:paraId="03C8AD65">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拟整改措施</w:t>
            </w:r>
          </w:p>
        </w:tc>
      </w:tr>
      <w:tr w14:paraId="235B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11" w:type="dxa"/>
            <w:gridSpan w:val="6"/>
            <w:noWrap w:val="0"/>
            <w:vAlign w:val="center"/>
          </w:tcPr>
          <w:p w14:paraId="590586DB">
            <w:pPr>
              <w:widowControl w:val="0"/>
              <w:spacing w:line="360" w:lineRule="auto"/>
              <w:jc w:val="center"/>
              <w:rPr>
                <w:rFonts w:ascii="Times New Roman" w:hAnsi="Times New Roman" w:eastAsia="宋体" w:cs="Times New Roman"/>
                <w:b/>
                <w:color w:val="000000"/>
                <w:sz w:val="21"/>
                <w:szCs w:val="21"/>
                <w:lang w:val="en-US" w:eastAsia="zh-CN" w:bidi="ar-SA"/>
              </w:rPr>
            </w:pPr>
            <w:r>
              <w:rPr>
                <w:rFonts w:hint="eastAsia" w:ascii="Times New Roman" w:hAnsi="Times New Roman" w:eastAsia="宋体" w:cs="Times New Roman"/>
                <w:b/>
                <w:color w:val="000000"/>
                <w:sz w:val="21"/>
                <w:szCs w:val="21"/>
                <w:lang w:val="en-US" w:eastAsia="zh-CN" w:bidi="ar-SA"/>
              </w:rPr>
              <w:t>板材生产产污环节</w:t>
            </w:r>
          </w:p>
        </w:tc>
      </w:tr>
      <w:tr w14:paraId="53A64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restart"/>
            <w:noWrap w:val="0"/>
            <w:vAlign w:val="center"/>
          </w:tcPr>
          <w:p w14:paraId="654FDF22">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废气</w:t>
            </w:r>
          </w:p>
        </w:tc>
        <w:tc>
          <w:tcPr>
            <w:tcW w:w="1230" w:type="dxa"/>
            <w:noWrap w:val="0"/>
            <w:vAlign w:val="center"/>
          </w:tcPr>
          <w:p w14:paraId="1855F971">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G1</w:t>
            </w:r>
          </w:p>
        </w:tc>
        <w:tc>
          <w:tcPr>
            <w:tcW w:w="1335" w:type="dxa"/>
            <w:noWrap w:val="0"/>
            <w:vAlign w:val="center"/>
          </w:tcPr>
          <w:p w14:paraId="675795B3">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断竹</w:t>
            </w:r>
          </w:p>
        </w:tc>
        <w:tc>
          <w:tcPr>
            <w:tcW w:w="1725" w:type="dxa"/>
            <w:noWrap w:val="0"/>
            <w:vAlign w:val="center"/>
          </w:tcPr>
          <w:p w14:paraId="7CF66E7D">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noWrap w:val="0"/>
            <w:vAlign w:val="center"/>
          </w:tcPr>
          <w:p w14:paraId="7B89EC5D">
            <w:pPr>
              <w:widowControl w:val="0"/>
              <w:spacing w:line="360" w:lineRule="auto"/>
              <w:jc w:val="both"/>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无组织排放</w:t>
            </w:r>
          </w:p>
        </w:tc>
        <w:tc>
          <w:tcPr>
            <w:tcW w:w="1975" w:type="dxa"/>
            <w:noWrap w:val="0"/>
            <w:vAlign w:val="center"/>
          </w:tcPr>
          <w:p w14:paraId="293884EB">
            <w:pPr>
              <w:widowControl w:val="0"/>
              <w:spacing w:line="360" w:lineRule="auto"/>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7A2C4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6206C205">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658C27C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G2</w:t>
            </w:r>
          </w:p>
        </w:tc>
        <w:tc>
          <w:tcPr>
            <w:tcW w:w="1335" w:type="dxa"/>
            <w:noWrap w:val="0"/>
            <w:vAlign w:val="center"/>
          </w:tcPr>
          <w:p w14:paraId="60535FEE">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刨片</w:t>
            </w:r>
          </w:p>
        </w:tc>
        <w:tc>
          <w:tcPr>
            <w:tcW w:w="1725" w:type="dxa"/>
            <w:noWrap w:val="0"/>
            <w:vAlign w:val="center"/>
          </w:tcPr>
          <w:p w14:paraId="5617FB2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noWrap w:val="0"/>
            <w:vAlign w:val="center"/>
          </w:tcPr>
          <w:p w14:paraId="603B308D">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仅1台环刨机设置1套旋风除尘器+15m高排气筒排放</w:t>
            </w:r>
          </w:p>
        </w:tc>
        <w:tc>
          <w:tcPr>
            <w:tcW w:w="1975" w:type="dxa"/>
            <w:noWrap w:val="0"/>
            <w:vAlign w:val="center"/>
          </w:tcPr>
          <w:p w14:paraId="1D1C9F4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环刨机设置1套布袋除尘器，其余刨片机出料口配置自制的布袋除尘器；刨片粉尘呈无组织排放</w:t>
            </w:r>
          </w:p>
        </w:tc>
      </w:tr>
      <w:tr w14:paraId="22ACE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936" w:type="dxa"/>
            <w:vMerge w:val="continue"/>
            <w:noWrap w:val="0"/>
            <w:vAlign w:val="center"/>
          </w:tcPr>
          <w:p w14:paraId="59EEB04A">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5999FF2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G3</w:t>
            </w:r>
          </w:p>
        </w:tc>
        <w:tc>
          <w:tcPr>
            <w:tcW w:w="1335" w:type="dxa"/>
            <w:noWrap w:val="0"/>
            <w:vAlign w:val="center"/>
          </w:tcPr>
          <w:p w14:paraId="7A7AC93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干燥</w:t>
            </w:r>
          </w:p>
        </w:tc>
        <w:tc>
          <w:tcPr>
            <w:tcW w:w="1725" w:type="dxa"/>
            <w:noWrap w:val="0"/>
            <w:vAlign w:val="center"/>
          </w:tcPr>
          <w:p w14:paraId="23AA5CC2">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noWrap w:val="0"/>
            <w:vAlign w:val="center"/>
          </w:tcPr>
          <w:p w14:paraId="1E59FCB9">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设置3套旋风除尘器+3根15m高排气筒排放</w:t>
            </w:r>
          </w:p>
        </w:tc>
        <w:tc>
          <w:tcPr>
            <w:tcW w:w="1975" w:type="dxa"/>
            <w:vMerge w:val="restart"/>
            <w:noWrap w:val="0"/>
            <w:vAlign w:val="center"/>
          </w:tcPr>
          <w:p w14:paraId="22C1A454">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将干燥、筛选、铺装工序粉尘合并处理，在现有的旋风除尘器后端增设1套布袋除尘器，净化处理后通过1根15m高排气筒排放</w:t>
            </w:r>
          </w:p>
        </w:tc>
      </w:tr>
      <w:tr w14:paraId="4363A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0923B6A6">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6105F38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G4</w:t>
            </w:r>
          </w:p>
        </w:tc>
        <w:tc>
          <w:tcPr>
            <w:tcW w:w="1335" w:type="dxa"/>
            <w:noWrap w:val="0"/>
            <w:vAlign w:val="center"/>
          </w:tcPr>
          <w:p w14:paraId="7065BA3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筛选</w:t>
            </w:r>
          </w:p>
        </w:tc>
        <w:tc>
          <w:tcPr>
            <w:tcW w:w="1725" w:type="dxa"/>
            <w:noWrap w:val="0"/>
            <w:vAlign w:val="center"/>
          </w:tcPr>
          <w:p w14:paraId="4383BF05">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noWrap w:val="0"/>
            <w:vAlign w:val="center"/>
          </w:tcPr>
          <w:p w14:paraId="448713B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975" w:type="dxa"/>
            <w:vMerge w:val="continue"/>
            <w:noWrap w:val="0"/>
            <w:vAlign w:val="center"/>
          </w:tcPr>
          <w:p w14:paraId="55A1954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p>
        </w:tc>
      </w:tr>
      <w:tr w14:paraId="54725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34C88165">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5341BA6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G7</w:t>
            </w:r>
          </w:p>
        </w:tc>
        <w:tc>
          <w:tcPr>
            <w:tcW w:w="1335" w:type="dxa"/>
            <w:noWrap w:val="0"/>
            <w:vAlign w:val="center"/>
          </w:tcPr>
          <w:p w14:paraId="4EECEFF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铺装</w:t>
            </w:r>
          </w:p>
        </w:tc>
        <w:tc>
          <w:tcPr>
            <w:tcW w:w="1725" w:type="dxa"/>
            <w:noWrap w:val="0"/>
            <w:vAlign w:val="center"/>
          </w:tcPr>
          <w:p w14:paraId="457D3BA6">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noWrap w:val="0"/>
            <w:vAlign w:val="center"/>
          </w:tcPr>
          <w:p w14:paraId="1F7C2B52">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设置1套旋风除尘器+8m高排气筒排放</w:t>
            </w:r>
          </w:p>
        </w:tc>
        <w:tc>
          <w:tcPr>
            <w:tcW w:w="1975" w:type="dxa"/>
            <w:vMerge w:val="continue"/>
            <w:noWrap w:val="0"/>
            <w:vAlign w:val="center"/>
          </w:tcPr>
          <w:p w14:paraId="12A37827">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r>
      <w:tr w14:paraId="7269C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936" w:type="dxa"/>
            <w:vMerge w:val="continue"/>
            <w:noWrap w:val="0"/>
            <w:vAlign w:val="center"/>
          </w:tcPr>
          <w:p w14:paraId="277FBD91">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684FE5E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G9</w:t>
            </w:r>
          </w:p>
        </w:tc>
        <w:tc>
          <w:tcPr>
            <w:tcW w:w="1335" w:type="dxa"/>
            <w:noWrap w:val="0"/>
            <w:vAlign w:val="center"/>
          </w:tcPr>
          <w:p w14:paraId="068B96F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砂光</w:t>
            </w:r>
          </w:p>
        </w:tc>
        <w:tc>
          <w:tcPr>
            <w:tcW w:w="1725" w:type="dxa"/>
            <w:noWrap w:val="0"/>
            <w:vAlign w:val="center"/>
          </w:tcPr>
          <w:p w14:paraId="3B533935">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vMerge w:val="restart"/>
            <w:noWrap w:val="0"/>
            <w:vAlign w:val="center"/>
          </w:tcPr>
          <w:p w14:paraId="3F204784">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采用1套正压布袋除尘器净化处理后，无组织排放</w:t>
            </w:r>
          </w:p>
        </w:tc>
        <w:tc>
          <w:tcPr>
            <w:tcW w:w="1975" w:type="dxa"/>
            <w:vMerge w:val="restart"/>
            <w:noWrap w:val="0"/>
            <w:vAlign w:val="center"/>
          </w:tcPr>
          <w:p w14:paraId="36B699C9">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7AFC8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566653D4">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53A8342D">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G12、G13</w:t>
            </w:r>
          </w:p>
        </w:tc>
        <w:tc>
          <w:tcPr>
            <w:tcW w:w="1335" w:type="dxa"/>
            <w:noWrap w:val="0"/>
            <w:vAlign w:val="center"/>
          </w:tcPr>
          <w:p w14:paraId="5B42DCC3">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锯边</w:t>
            </w:r>
          </w:p>
        </w:tc>
        <w:tc>
          <w:tcPr>
            <w:tcW w:w="1725" w:type="dxa"/>
            <w:noWrap w:val="0"/>
            <w:vAlign w:val="center"/>
          </w:tcPr>
          <w:p w14:paraId="0AF4C0F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vMerge w:val="continue"/>
            <w:noWrap w:val="0"/>
            <w:vAlign w:val="center"/>
          </w:tcPr>
          <w:p w14:paraId="74B06920">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975" w:type="dxa"/>
            <w:vMerge w:val="continue"/>
            <w:noWrap w:val="0"/>
            <w:vAlign w:val="center"/>
          </w:tcPr>
          <w:p w14:paraId="5C8A263A">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r>
      <w:tr w14:paraId="347B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6B7550A6">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4CB433F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G16、G17</w:t>
            </w:r>
          </w:p>
        </w:tc>
        <w:tc>
          <w:tcPr>
            <w:tcW w:w="1335" w:type="dxa"/>
            <w:noWrap w:val="0"/>
            <w:vAlign w:val="center"/>
          </w:tcPr>
          <w:p w14:paraId="3016B57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开槽</w:t>
            </w:r>
          </w:p>
        </w:tc>
        <w:tc>
          <w:tcPr>
            <w:tcW w:w="1725" w:type="dxa"/>
            <w:noWrap w:val="0"/>
            <w:vAlign w:val="center"/>
          </w:tcPr>
          <w:p w14:paraId="7709BD74">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粉尘</w:t>
            </w:r>
          </w:p>
        </w:tc>
        <w:tc>
          <w:tcPr>
            <w:tcW w:w="2010" w:type="dxa"/>
            <w:vMerge w:val="continue"/>
            <w:noWrap w:val="0"/>
            <w:vAlign w:val="center"/>
          </w:tcPr>
          <w:p w14:paraId="3B7E47B2">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975" w:type="dxa"/>
            <w:vMerge w:val="continue"/>
            <w:noWrap w:val="0"/>
            <w:vAlign w:val="center"/>
          </w:tcPr>
          <w:p w14:paraId="396BA403">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r>
      <w:tr w14:paraId="48E17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05E89F3B">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6F9C168B">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G5</w:t>
            </w:r>
          </w:p>
        </w:tc>
        <w:tc>
          <w:tcPr>
            <w:tcW w:w="1335" w:type="dxa"/>
            <w:noWrap w:val="0"/>
            <w:vAlign w:val="center"/>
          </w:tcPr>
          <w:p w14:paraId="356BF7C3">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施胶</w:t>
            </w:r>
          </w:p>
        </w:tc>
        <w:tc>
          <w:tcPr>
            <w:tcW w:w="1725" w:type="dxa"/>
            <w:noWrap w:val="0"/>
            <w:vAlign w:val="center"/>
          </w:tcPr>
          <w:p w14:paraId="2E032356">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甲醛、VOCs</w:t>
            </w:r>
          </w:p>
        </w:tc>
        <w:tc>
          <w:tcPr>
            <w:tcW w:w="2010" w:type="dxa"/>
            <w:noWrap w:val="0"/>
            <w:vAlign w:val="center"/>
          </w:tcPr>
          <w:p w14:paraId="527E1B02">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密闭，少量散逸</w:t>
            </w:r>
          </w:p>
        </w:tc>
        <w:tc>
          <w:tcPr>
            <w:tcW w:w="1975" w:type="dxa"/>
            <w:noWrap w:val="0"/>
            <w:vAlign w:val="center"/>
          </w:tcPr>
          <w:p w14:paraId="28B102A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619E9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36" w:type="dxa"/>
            <w:vMerge w:val="continue"/>
            <w:noWrap w:val="0"/>
            <w:vAlign w:val="center"/>
          </w:tcPr>
          <w:p w14:paraId="3B31DDF8">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6F4E9132">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G8、G11、G14、G15</w:t>
            </w:r>
          </w:p>
        </w:tc>
        <w:tc>
          <w:tcPr>
            <w:tcW w:w="1335" w:type="dxa"/>
            <w:noWrap w:val="0"/>
            <w:vAlign w:val="center"/>
          </w:tcPr>
          <w:p w14:paraId="09BBA27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热压、贴面</w:t>
            </w:r>
          </w:p>
        </w:tc>
        <w:tc>
          <w:tcPr>
            <w:tcW w:w="1725" w:type="dxa"/>
            <w:noWrap w:val="0"/>
            <w:vAlign w:val="center"/>
          </w:tcPr>
          <w:p w14:paraId="215575D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甲醛、酚类、VOCs</w:t>
            </w:r>
          </w:p>
        </w:tc>
        <w:tc>
          <w:tcPr>
            <w:tcW w:w="2010" w:type="dxa"/>
            <w:noWrap w:val="0"/>
            <w:vAlign w:val="center"/>
          </w:tcPr>
          <w:p w14:paraId="7A98EDB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975" w:type="dxa"/>
            <w:noWrap w:val="0"/>
            <w:vAlign w:val="center"/>
          </w:tcPr>
          <w:p w14:paraId="021022F2">
            <w:pPr>
              <w:ind w:left="0" w:firstLine="0"/>
              <w:jc w:val="center"/>
              <w:rPr>
                <w:rFonts w:ascii="Times New Roman" w:hAnsi="Times New Roman" w:eastAsia="宋体" w:cs="Times New Roman"/>
                <w:color w:val="000000"/>
                <w:szCs w:val="21"/>
                <w:lang w:val="en-US" w:eastAsia="zh-CN" w:bidi="ar-SA"/>
              </w:rPr>
            </w:pPr>
            <w:bookmarkStart w:id="106" w:name="_Toc30001"/>
            <w:r>
              <w:rPr>
                <w:rFonts w:hint="eastAsia"/>
                <w:color w:val="FF0000"/>
                <w:sz w:val="21"/>
                <w:szCs w:val="21"/>
                <w:lang w:val="en-US" w:eastAsia="zh-CN"/>
              </w:rPr>
              <w:t>与制胶废气共用1套UV光催化活性炭吸附一体设备+15m高排气筒</w:t>
            </w:r>
            <w:bookmarkEnd w:id="106"/>
          </w:p>
        </w:tc>
      </w:tr>
      <w:tr w14:paraId="2D3BA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18FC8F12">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0846FC92">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G10</w:t>
            </w:r>
          </w:p>
        </w:tc>
        <w:tc>
          <w:tcPr>
            <w:tcW w:w="1335" w:type="dxa"/>
            <w:noWrap w:val="0"/>
            <w:vAlign w:val="center"/>
          </w:tcPr>
          <w:p w14:paraId="25AF3847">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调胶</w:t>
            </w:r>
          </w:p>
        </w:tc>
        <w:tc>
          <w:tcPr>
            <w:tcW w:w="1725" w:type="dxa"/>
            <w:noWrap w:val="0"/>
            <w:vAlign w:val="center"/>
          </w:tcPr>
          <w:p w14:paraId="6DB63218">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甲醛、VOCs</w:t>
            </w:r>
          </w:p>
        </w:tc>
        <w:tc>
          <w:tcPr>
            <w:tcW w:w="2010" w:type="dxa"/>
            <w:noWrap w:val="0"/>
            <w:vAlign w:val="center"/>
          </w:tcPr>
          <w:p w14:paraId="5E177CC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密闭，少量散逸</w:t>
            </w:r>
          </w:p>
        </w:tc>
        <w:tc>
          <w:tcPr>
            <w:tcW w:w="1975" w:type="dxa"/>
            <w:noWrap w:val="0"/>
            <w:vAlign w:val="center"/>
          </w:tcPr>
          <w:p w14:paraId="7E51A1B5">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293ED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512608B9">
            <w:pPr>
              <w:widowControl w:val="0"/>
              <w:spacing w:line="360" w:lineRule="auto"/>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772BA74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G6</w:t>
            </w:r>
          </w:p>
        </w:tc>
        <w:tc>
          <w:tcPr>
            <w:tcW w:w="1335" w:type="dxa"/>
            <w:noWrap w:val="0"/>
            <w:vAlign w:val="center"/>
          </w:tcPr>
          <w:p w14:paraId="1CEB095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热载体炉</w:t>
            </w:r>
          </w:p>
        </w:tc>
        <w:tc>
          <w:tcPr>
            <w:tcW w:w="1725" w:type="dxa"/>
            <w:noWrap w:val="0"/>
            <w:vAlign w:val="center"/>
          </w:tcPr>
          <w:p w14:paraId="223C7650">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烟尘、SO</w:t>
            </w:r>
            <w:r>
              <w:rPr>
                <w:rFonts w:hint="eastAsia" w:ascii="Times New Roman" w:hAnsi="Times New Roman" w:eastAsia="宋体" w:cs="Times New Roman"/>
                <w:color w:val="000000"/>
                <w:sz w:val="21"/>
                <w:szCs w:val="21"/>
                <w:vertAlign w:val="subscript"/>
                <w:lang w:val="en-US" w:eastAsia="zh-CN" w:bidi="ar-SA"/>
              </w:rPr>
              <w:t>2</w:t>
            </w:r>
            <w:r>
              <w:rPr>
                <w:rFonts w:hint="eastAsia" w:ascii="Times New Roman" w:hAnsi="Times New Roman" w:eastAsia="宋体" w:cs="Times New Roman"/>
                <w:color w:val="000000"/>
                <w:sz w:val="21"/>
                <w:szCs w:val="21"/>
                <w:lang w:val="en-US" w:eastAsia="zh-CN" w:bidi="ar-SA"/>
              </w:rPr>
              <w:t>、NOx</w:t>
            </w:r>
          </w:p>
        </w:tc>
        <w:tc>
          <w:tcPr>
            <w:tcW w:w="2010" w:type="dxa"/>
            <w:noWrap w:val="0"/>
            <w:vAlign w:val="center"/>
          </w:tcPr>
          <w:p w14:paraId="5A250451">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采用1套水膜除尘器+25m高排气筒排放</w:t>
            </w:r>
          </w:p>
        </w:tc>
        <w:tc>
          <w:tcPr>
            <w:tcW w:w="1975" w:type="dxa"/>
            <w:noWrap w:val="0"/>
            <w:vAlign w:val="center"/>
          </w:tcPr>
          <w:p w14:paraId="779350A3">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FF0000"/>
                <w:sz w:val="21"/>
                <w:szCs w:val="21"/>
                <w:lang w:val="en-US" w:eastAsia="zh-CN" w:bidi="ar-SA"/>
              </w:rPr>
              <w:t>增设1套电离捕捉器；后期将6t/h锅炉、热载体炉水膜除尘器处理后的烟气引入增设的1套电离捕捉器进行集中处理，通过25m排气筒集中排放</w:t>
            </w:r>
          </w:p>
        </w:tc>
      </w:tr>
      <w:tr w14:paraId="763F8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restart"/>
            <w:noWrap w:val="0"/>
            <w:vAlign w:val="center"/>
          </w:tcPr>
          <w:p w14:paraId="4FF1AE4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废水</w:t>
            </w:r>
          </w:p>
        </w:tc>
        <w:tc>
          <w:tcPr>
            <w:tcW w:w="1230" w:type="dxa"/>
            <w:noWrap w:val="0"/>
            <w:vAlign w:val="center"/>
          </w:tcPr>
          <w:p w14:paraId="4085BD41">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5296409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热载体炉软水制备系统</w:t>
            </w:r>
          </w:p>
        </w:tc>
        <w:tc>
          <w:tcPr>
            <w:tcW w:w="1725" w:type="dxa"/>
            <w:noWrap w:val="0"/>
            <w:vAlign w:val="center"/>
          </w:tcPr>
          <w:p w14:paraId="7764A761">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废水</w:t>
            </w:r>
          </w:p>
        </w:tc>
        <w:tc>
          <w:tcPr>
            <w:tcW w:w="2010" w:type="dxa"/>
            <w:noWrap w:val="0"/>
            <w:vAlign w:val="center"/>
          </w:tcPr>
          <w:p w14:paraId="324AC8F7">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作为水膜除尘补水</w:t>
            </w:r>
          </w:p>
        </w:tc>
        <w:tc>
          <w:tcPr>
            <w:tcW w:w="1975" w:type="dxa"/>
            <w:noWrap w:val="0"/>
            <w:vAlign w:val="center"/>
          </w:tcPr>
          <w:p w14:paraId="6FC6E7D1">
            <w:pPr>
              <w:widowControl w:val="0"/>
              <w:spacing w:line="360" w:lineRule="auto"/>
              <w:ind w:left="0" w:firstLine="0"/>
              <w:jc w:val="center"/>
              <w:rPr>
                <w:color w:val="000000"/>
                <w:sz w:val="21"/>
                <w:szCs w:val="21"/>
                <w:lang w:val="en-US" w:eastAsia="zh-CN"/>
              </w:rPr>
            </w:pPr>
            <w:r>
              <w:rPr>
                <w:rFonts w:hint="eastAsia"/>
                <w:color w:val="000000"/>
                <w:sz w:val="21"/>
                <w:szCs w:val="21"/>
                <w:lang w:val="en-US" w:eastAsia="zh-CN"/>
              </w:rPr>
              <w:t>/</w:t>
            </w:r>
          </w:p>
        </w:tc>
      </w:tr>
      <w:tr w14:paraId="72FB6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3A30F8AB">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3A4AE20E">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546F0FBF">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调胶设备</w:t>
            </w:r>
          </w:p>
        </w:tc>
        <w:tc>
          <w:tcPr>
            <w:tcW w:w="1725" w:type="dxa"/>
            <w:noWrap w:val="0"/>
            <w:vAlign w:val="center"/>
          </w:tcPr>
          <w:p w14:paraId="16B0A036">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清洗废水</w:t>
            </w:r>
          </w:p>
        </w:tc>
        <w:tc>
          <w:tcPr>
            <w:tcW w:w="2010" w:type="dxa"/>
            <w:noWrap w:val="0"/>
            <w:vAlign w:val="center"/>
          </w:tcPr>
          <w:p w14:paraId="6DEEB27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作为制胶生产用水回用</w:t>
            </w:r>
          </w:p>
        </w:tc>
        <w:tc>
          <w:tcPr>
            <w:tcW w:w="1975" w:type="dxa"/>
            <w:noWrap w:val="0"/>
            <w:vAlign w:val="center"/>
          </w:tcPr>
          <w:p w14:paraId="15DBE667">
            <w:pPr>
              <w:widowControl w:val="0"/>
              <w:spacing w:line="360" w:lineRule="auto"/>
              <w:ind w:left="0" w:firstLine="0"/>
              <w:jc w:val="center"/>
              <w:rPr>
                <w:color w:val="000000"/>
                <w:sz w:val="21"/>
                <w:szCs w:val="21"/>
                <w:lang w:val="en-US" w:eastAsia="zh-CN"/>
              </w:rPr>
            </w:pPr>
            <w:r>
              <w:rPr>
                <w:rFonts w:hint="eastAsia"/>
                <w:color w:val="000000"/>
                <w:sz w:val="21"/>
                <w:szCs w:val="21"/>
                <w:lang w:val="en-US" w:eastAsia="zh-CN"/>
              </w:rPr>
              <w:t>/</w:t>
            </w:r>
          </w:p>
        </w:tc>
      </w:tr>
      <w:tr w14:paraId="1EFAE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jc w:val="center"/>
        </w:trPr>
        <w:tc>
          <w:tcPr>
            <w:tcW w:w="936" w:type="dxa"/>
            <w:vMerge w:val="restart"/>
            <w:noWrap w:val="0"/>
            <w:vAlign w:val="center"/>
          </w:tcPr>
          <w:p w14:paraId="3A9E5A71">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固废</w:t>
            </w:r>
          </w:p>
        </w:tc>
        <w:tc>
          <w:tcPr>
            <w:tcW w:w="1230" w:type="dxa"/>
            <w:noWrap w:val="0"/>
            <w:vAlign w:val="center"/>
          </w:tcPr>
          <w:p w14:paraId="459D1FA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S1、S2、S4、S5、S6、S7</w:t>
            </w:r>
          </w:p>
        </w:tc>
        <w:tc>
          <w:tcPr>
            <w:tcW w:w="1335" w:type="dxa"/>
            <w:noWrap w:val="0"/>
            <w:vAlign w:val="center"/>
          </w:tcPr>
          <w:p w14:paraId="6DBF8DCD">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断竹、筛选、锯边、开槽</w:t>
            </w:r>
          </w:p>
        </w:tc>
        <w:tc>
          <w:tcPr>
            <w:tcW w:w="1725" w:type="dxa"/>
            <w:noWrap w:val="0"/>
            <w:vAlign w:val="center"/>
          </w:tcPr>
          <w:p w14:paraId="2A7660FB">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废边角料</w:t>
            </w:r>
          </w:p>
        </w:tc>
        <w:tc>
          <w:tcPr>
            <w:tcW w:w="2010" w:type="dxa"/>
            <w:noWrap w:val="0"/>
            <w:vAlign w:val="center"/>
          </w:tcPr>
          <w:p w14:paraId="2A057FD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集中收集在锅炉燃料棚，作为供热系统的燃料使用</w:t>
            </w:r>
          </w:p>
        </w:tc>
        <w:tc>
          <w:tcPr>
            <w:tcW w:w="1975" w:type="dxa"/>
            <w:noWrap w:val="0"/>
            <w:vAlign w:val="center"/>
          </w:tcPr>
          <w:p w14:paraId="6C1D1254">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329D0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78164DD6">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78266C9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S3</w:t>
            </w:r>
          </w:p>
        </w:tc>
        <w:tc>
          <w:tcPr>
            <w:tcW w:w="1335" w:type="dxa"/>
            <w:noWrap w:val="0"/>
            <w:vAlign w:val="center"/>
          </w:tcPr>
          <w:p w14:paraId="0DF65202">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热载体炉/备用锅炉</w:t>
            </w:r>
          </w:p>
        </w:tc>
        <w:tc>
          <w:tcPr>
            <w:tcW w:w="1725" w:type="dxa"/>
            <w:noWrap w:val="0"/>
            <w:vAlign w:val="center"/>
          </w:tcPr>
          <w:p w14:paraId="5F9F5C97">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炉渣</w:t>
            </w:r>
          </w:p>
        </w:tc>
        <w:tc>
          <w:tcPr>
            <w:tcW w:w="2010" w:type="dxa"/>
            <w:noWrap w:val="0"/>
            <w:vAlign w:val="center"/>
          </w:tcPr>
          <w:p w14:paraId="29816CC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定期由附近农户清运作为有机肥使用</w:t>
            </w:r>
          </w:p>
        </w:tc>
        <w:tc>
          <w:tcPr>
            <w:tcW w:w="1975" w:type="dxa"/>
            <w:noWrap w:val="0"/>
            <w:vAlign w:val="center"/>
          </w:tcPr>
          <w:p w14:paraId="08126B3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27262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3C0CC961">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16F781F8">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668ED6C6">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热载体炉</w:t>
            </w:r>
          </w:p>
        </w:tc>
        <w:tc>
          <w:tcPr>
            <w:tcW w:w="1725" w:type="dxa"/>
            <w:noWrap w:val="0"/>
            <w:vAlign w:val="center"/>
          </w:tcPr>
          <w:p w14:paraId="5DAD08C0">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更换导热油</w:t>
            </w:r>
          </w:p>
        </w:tc>
        <w:tc>
          <w:tcPr>
            <w:tcW w:w="2010" w:type="dxa"/>
            <w:noWrap w:val="0"/>
            <w:vAlign w:val="center"/>
          </w:tcPr>
          <w:p w14:paraId="2CC75490">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975" w:type="dxa"/>
            <w:noWrap w:val="0"/>
            <w:vAlign w:val="center"/>
          </w:tcPr>
          <w:p w14:paraId="4561B46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委托有资质单位更换处置</w:t>
            </w:r>
          </w:p>
        </w:tc>
      </w:tr>
      <w:tr w14:paraId="7BB2C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936" w:type="dxa"/>
            <w:vMerge w:val="continue"/>
            <w:noWrap w:val="0"/>
            <w:vAlign w:val="center"/>
          </w:tcPr>
          <w:p w14:paraId="76C65145">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54284611">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308E25D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水膜除尘器循环水池</w:t>
            </w:r>
          </w:p>
        </w:tc>
        <w:tc>
          <w:tcPr>
            <w:tcW w:w="1725" w:type="dxa"/>
            <w:noWrap w:val="0"/>
            <w:vAlign w:val="center"/>
          </w:tcPr>
          <w:p w14:paraId="69ED519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沉淀渣</w:t>
            </w:r>
          </w:p>
        </w:tc>
        <w:tc>
          <w:tcPr>
            <w:tcW w:w="2010" w:type="dxa"/>
            <w:noWrap w:val="0"/>
            <w:vAlign w:val="center"/>
          </w:tcPr>
          <w:p w14:paraId="39A6D65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定期由附近农户清运作为有机肥使用</w:t>
            </w:r>
          </w:p>
        </w:tc>
        <w:tc>
          <w:tcPr>
            <w:tcW w:w="1975" w:type="dxa"/>
            <w:noWrap w:val="0"/>
            <w:vAlign w:val="center"/>
          </w:tcPr>
          <w:p w14:paraId="5BDE5A11">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35FD4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34DAF82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2B486E3B">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3CB48C01">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旋风、布袋除尘器</w:t>
            </w:r>
          </w:p>
        </w:tc>
        <w:tc>
          <w:tcPr>
            <w:tcW w:w="1725" w:type="dxa"/>
            <w:noWrap w:val="0"/>
            <w:vAlign w:val="center"/>
          </w:tcPr>
          <w:p w14:paraId="10AC0B11">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回收粉尘</w:t>
            </w:r>
          </w:p>
        </w:tc>
        <w:tc>
          <w:tcPr>
            <w:tcW w:w="2010" w:type="dxa"/>
            <w:noWrap w:val="0"/>
            <w:vAlign w:val="center"/>
          </w:tcPr>
          <w:p w14:paraId="567F37C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集中收集，作为生物制燃料的原料外售</w:t>
            </w:r>
          </w:p>
        </w:tc>
        <w:tc>
          <w:tcPr>
            <w:tcW w:w="1975" w:type="dxa"/>
            <w:noWrap w:val="0"/>
            <w:vAlign w:val="center"/>
          </w:tcPr>
          <w:p w14:paraId="72C21C1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77BC7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18C3EE6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11B057D5">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15098DF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软水制备系统</w:t>
            </w:r>
          </w:p>
        </w:tc>
        <w:tc>
          <w:tcPr>
            <w:tcW w:w="1725" w:type="dxa"/>
            <w:noWrap w:val="0"/>
            <w:vAlign w:val="center"/>
          </w:tcPr>
          <w:p w14:paraId="7182BC42">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废树脂</w:t>
            </w:r>
          </w:p>
        </w:tc>
        <w:tc>
          <w:tcPr>
            <w:tcW w:w="2010" w:type="dxa"/>
            <w:noWrap w:val="0"/>
            <w:vAlign w:val="center"/>
          </w:tcPr>
          <w:p w14:paraId="2C380269">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975" w:type="dxa"/>
            <w:noWrap w:val="0"/>
            <w:vAlign w:val="center"/>
          </w:tcPr>
          <w:p w14:paraId="78B40676">
            <w:pPr>
              <w:widowControl w:val="0"/>
              <w:spacing w:line="360" w:lineRule="auto"/>
              <w:ind w:left="0" w:firstLine="0"/>
              <w:jc w:val="both"/>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由厂家负责定期更换并返回生产厂家</w:t>
            </w:r>
          </w:p>
        </w:tc>
      </w:tr>
      <w:tr w14:paraId="15605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6" w:type="dxa"/>
            <w:noWrap w:val="0"/>
            <w:vAlign w:val="center"/>
          </w:tcPr>
          <w:p w14:paraId="73DAFA78">
            <w:pPr>
              <w:widowControl w:val="0"/>
              <w:spacing w:line="360" w:lineRule="auto"/>
              <w:ind w:left="0" w:firstLine="210"/>
              <w:jc w:val="both"/>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噪声</w:t>
            </w:r>
          </w:p>
        </w:tc>
        <w:tc>
          <w:tcPr>
            <w:tcW w:w="1230" w:type="dxa"/>
            <w:noWrap w:val="0"/>
            <w:vAlign w:val="center"/>
          </w:tcPr>
          <w:p w14:paraId="69E3E7A1">
            <w:pPr>
              <w:widowControl w:val="0"/>
              <w:spacing w:line="360" w:lineRule="auto"/>
              <w:ind w:left="0" w:firstLine="0"/>
              <w:jc w:val="both"/>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N1</w:t>
            </w:r>
            <w:r>
              <w:rPr>
                <w:rFonts w:ascii="Calibri" w:hAnsi="Calibri" w:eastAsia="宋体" w:cs="Calibri"/>
                <w:color w:val="000000"/>
                <w:sz w:val="21"/>
                <w:szCs w:val="21"/>
                <w:lang w:val="en-US" w:eastAsia="zh-CN" w:bidi="ar-SA"/>
              </w:rPr>
              <w:t>~</w:t>
            </w:r>
            <w:r>
              <w:rPr>
                <w:rFonts w:hint="eastAsia" w:ascii="Calibri" w:hAnsi="Calibri" w:eastAsia="宋体" w:cs="Calibri"/>
                <w:color w:val="000000"/>
                <w:sz w:val="21"/>
                <w:szCs w:val="21"/>
                <w:lang w:val="en-US" w:eastAsia="zh-CN" w:bidi="ar-SA"/>
              </w:rPr>
              <w:t>N16</w:t>
            </w:r>
          </w:p>
        </w:tc>
        <w:tc>
          <w:tcPr>
            <w:tcW w:w="1335" w:type="dxa"/>
            <w:noWrap w:val="0"/>
            <w:vAlign w:val="center"/>
          </w:tcPr>
          <w:p w14:paraId="052F7E7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板材加工生产设备</w:t>
            </w:r>
          </w:p>
        </w:tc>
        <w:tc>
          <w:tcPr>
            <w:tcW w:w="1725" w:type="dxa"/>
            <w:noWrap w:val="0"/>
            <w:vAlign w:val="center"/>
          </w:tcPr>
          <w:p w14:paraId="26492E63">
            <w:pPr>
              <w:widowControl w:val="0"/>
              <w:spacing w:line="360" w:lineRule="auto"/>
              <w:jc w:val="both"/>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机械噪声</w:t>
            </w:r>
          </w:p>
        </w:tc>
        <w:tc>
          <w:tcPr>
            <w:tcW w:w="2010" w:type="dxa"/>
            <w:noWrap w:val="0"/>
            <w:vAlign w:val="center"/>
          </w:tcPr>
          <w:p w14:paraId="14B22998">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color w:val="000000"/>
                <w:sz w:val="21"/>
                <w:szCs w:val="21"/>
                <w:lang w:val="en-US" w:eastAsia="zh-CN" w:bidi="ar-SA"/>
              </w:rPr>
              <w:t>基础减振、隔声等措施</w:t>
            </w:r>
          </w:p>
        </w:tc>
        <w:tc>
          <w:tcPr>
            <w:tcW w:w="1975" w:type="dxa"/>
            <w:noWrap w:val="0"/>
            <w:vAlign w:val="center"/>
          </w:tcPr>
          <w:p w14:paraId="696A87E5">
            <w:pPr>
              <w:widowControl w:val="0"/>
              <w:spacing w:line="360" w:lineRule="auto"/>
              <w:ind w:firstLine="840"/>
              <w:jc w:val="both"/>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602C2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11" w:type="dxa"/>
            <w:gridSpan w:val="6"/>
            <w:noWrap w:val="0"/>
            <w:vAlign w:val="center"/>
          </w:tcPr>
          <w:p w14:paraId="0608BF67">
            <w:pPr>
              <w:widowControl w:val="0"/>
              <w:spacing w:line="360" w:lineRule="auto"/>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
                <w:bCs/>
                <w:color w:val="000000"/>
                <w:sz w:val="21"/>
                <w:szCs w:val="21"/>
                <w:lang w:val="en-US" w:eastAsia="zh-CN" w:bidi="ar-SA"/>
              </w:rPr>
              <w:t>制胶过程中产污环节</w:t>
            </w:r>
          </w:p>
        </w:tc>
      </w:tr>
      <w:tr w14:paraId="6F823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restart"/>
            <w:noWrap w:val="0"/>
            <w:vAlign w:val="center"/>
          </w:tcPr>
          <w:p w14:paraId="771B5D7A">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废气</w:t>
            </w:r>
          </w:p>
        </w:tc>
        <w:tc>
          <w:tcPr>
            <w:tcW w:w="1230" w:type="dxa"/>
            <w:noWrap w:val="0"/>
            <w:vAlign w:val="center"/>
          </w:tcPr>
          <w:p w14:paraId="2C27ADB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G18、G23</w:t>
            </w:r>
          </w:p>
        </w:tc>
        <w:tc>
          <w:tcPr>
            <w:tcW w:w="1335" w:type="dxa"/>
            <w:noWrap w:val="0"/>
            <w:vAlign w:val="center"/>
          </w:tcPr>
          <w:p w14:paraId="2AB0A04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甲醛储罐</w:t>
            </w:r>
          </w:p>
        </w:tc>
        <w:tc>
          <w:tcPr>
            <w:tcW w:w="1725" w:type="dxa"/>
            <w:noWrap w:val="0"/>
            <w:vAlign w:val="center"/>
          </w:tcPr>
          <w:p w14:paraId="62C57D26">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甲醛</w:t>
            </w:r>
          </w:p>
        </w:tc>
        <w:tc>
          <w:tcPr>
            <w:tcW w:w="2010" w:type="dxa"/>
            <w:noWrap w:val="0"/>
            <w:vAlign w:val="center"/>
          </w:tcPr>
          <w:p w14:paraId="654E48C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无组织排放</w:t>
            </w:r>
          </w:p>
        </w:tc>
        <w:tc>
          <w:tcPr>
            <w:tcW w:w="1975" w:type="dxa"/>
            <w:noWrap w:val="0"/>
            <w:vAlign w:val="center"/>
          </w:tcPr>
          <w:p w14:paraId="5869B67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73EB0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4AABA1C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0DD2F52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G19-22、G24-27</w:t>
            </w:r>
          </w:p>
        </w:tc>
        <w:tc>
          <w:tcPr>
            <w:tcW w:w="1335" w:type="dxa"/>
            <w:noWrap w:val="0"/>
            <w:vAlign w:val="center"/>
          </w:tcPr>
          <w:p w14:paraId="401D0539">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制胶过程</w:t>
            </w:r>
          </w:p>
        </w:tc>
        <w:tc>
          <w:tcPr>
            <w:tcW w:w="1725" w:type="dxa"/>
            <w:noWrap w:val="0"/>
            <w:vAlign w:val="center"/>
          </w:tcPr>
          <w:p w14:paraId="58BEDD5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甲醛、酚类、VOCs、NH</w:t>
            </w:r>
            <w:r>
              <w:rPr>
                <w:rFonts w:hint="eastAsia" w:ascii="Times New Roman" w:hAnsi="Times New Roman" w:eastAsia="宋体" w:cs="Times New Roman"/>
                <w:color w:val="000000"/>
                <w:sz w:val="21"/>
                <w:szCs w:val="21"/>
                <w:vertAlign w:val="subscript"/>
                <w:lang w:val="en-US" w:eastAsia="zh-CN" w:bidi="ar-SA"/>
              </w:rPr>
              <w:t>3</w:t>
            </w:r>
          </w:p>
        </w:tc>
        <w:tc>
          <w:tcPr>
            <w:tcW w:w="2010" w:type="dxa"/>
            <w:noWrap w:val="0"/>
            <w:vAlign w:val="center"/>
          </w:tcPr>
          <w:p w14:paraId="415F61EB">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无组织排放</w:t>
            </w:r>
          </w:p>
        </w:tc>
        <w:tc>
          <w:tcPr>
            <w:tcW w:w="1975" w:type="dxa"/>
            <w:noWrap w:val="0"/>
            <w:vAlign w:val="center"/>
          </w:tcPr>
          <w:p w14:paraId="03A2672A">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Cs w:val="0"/>
                <w:color w:val="000000"/>
                <w:sz w:val="21"/>
                <w:szCs w:val="21"/>
                <w:lang w:val="en-US" w:eastAsia="zh-CN" w:bidi="ar-SA"/>
              </w:rPr>
              <w:t>设置1套UV光催化活性炭吸附一体设备</w:t>
            </w:r>
            <w:r>
              <w:rPr>
                <w:rFonts w:hint="eastAsia" w:ascii="Times New Roman" w:hAnsi="Times New Roman" w:eastAsia="宋体" w:cs="Times New Roman"/>
                <w:color w:val="000000"/>
                <w:sz w:val="21"/>
                <w:szCs w:val="21"/>
                <w:lang w:val="en-US" w:eastAsia="zh-CN" w:bidi="ar-SA"/>
              </w:rPr>
              <w:t>+15m高排气筒</w:t>
            </w:r>
          </w:p>
        </w:tc>
      </w:tr>
      <w:tr w14:paraId="58A1D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4CABAD83">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5AC63500">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1040752B">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制胶过程</w:t>
            </w:r>
          </w:p>
        </w:tc>
        <w:tc>
          <w:tcPr>
            <w:tcW w:w="1725" w:type="dxa"/>
            <w:noWrap w:val="0"/>
            <w:vAlign w:val="center"/>
          </w:tcPr>
          <w:p w14:paraId="32C91E59">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恶臭</w:t>
            </w:r>
          </w:p>
        </w:tc>
        <w:tc>
          <w:tcPr>
            <w:tcW w:w="2010" w:type="dxa"/>
            <w:noWrap w:val="0"/>
            <w:vAlign w:val="center"/>
          </w:tcPr>
          <w:p w14:paraId="451BF00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自然散逸</w:t>
            </w:r>
          </w:p>
        </w:tc>
        <w:tc>
          <w:tcPr>
            <w:tcW w:w="1975" w:type="dxa"/>
            <w:noWrap w:val="0"/>
            <w:vAlign w:val="center"/>
          </w:tcPr>
          <w:p w14:paraId="414E84BD">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2BC2F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noWrap w:val="0"/>
            <w:vAlign w:val="center"/>
          </w:tcPr>
          <w:p w14:paraId="35676457">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废水</w:t>
            </w:r>
          </w:p>
        </w:tc>
        <w:tc>
          <w:tcPr>
            <w:tcW w:w="1230" w:type="dxa"/>
            <w:noWrap w:val="0"/>
            <w:vAlign w:val="center"/>
          </w:tcPr>
          <w:p w14:paraId="6CB9AAEA">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55ECEB53">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制胶过程</w:t>
            </w:r>
          </w:p>
        </w:tc>
        <w:tc>
          <w:tcPr>
            <w:tcW w:w="1725" w:type="dxa"/>
            <w:noWrap w:val="0"/>
            <w:vAlign w:val="center"/>
          </w:tcPr>
          <w:p w14:paraId="6CFB75F8">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制胶废水</w:t>
            </w:r>
          </w:p>
        </w:tc>
        <w:tc>
          <w:tcPr>
            <w:tcW w:w="2010" w:type="dxa"/>
            <w:noWrap w:val="0"/>
            <w:vAlign w:val="center"/>
          </w:tcPr>
          <w:p w14:paraId="2917183B">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回用于生产工艺</w:t>
            </w:r>
          </w:p>
        </w:tc>
        <w:tc>
          <w:tcPr>
            <w:tcW w:w="1975" w:type="dxa"/>
            <w:noWrap w:val="0"/>
            <w:vAlign w:val="center"/>
          </w:tcPr>
          <w:p w14:paraId="47F38734">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1204D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restart"/>
            <w:noWrap w:val="0"/>
            <w:vAlign w:val="center"/>
          </w:tcPr>
          <w:p w14:paraId="3B3EE65E">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固废</w:t>
            </w:r>
          </w:p>
        </w:tc>
        <w:tc>
          <w:tcPr>
            <w:tcW w:w="1230" w:type="dxa"/>
            <w:noWrap w:val="0"/>
            <w:vAlign w:val="center"/>
          </w:tcPr>
          <w:p w14:paraId="2EEAD8A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4E8F398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原料</w:t>
            </w:r>
          </w:p>
        </w:tc>
        <w:tc>
          <w:tcPr>
            <w:tcW w:w="1725" w:type="dxa"/>
            <w:noWrap w:val="0"/>
            <w:vAlign w:val="center"/>
          </w:tcPr>
          <w:p w14:paraId="46CD23A0">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废包装材料</w:t>
            </w:r>
          </w:p>
        </w:tc>
        <w:tc>
          <w:tcPr>
            <w:tcW w:w="2010" w:type="dxa"/>
            <w:noWrap w:val="0"/>
            <w:vAlign w:val="center"/>
          </w:tcPr>
          <w:p w14:paraId="306DFBB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设置57m</w:t>
            </w:r>
            <w:r>
              <w:rPr>
                <w:rFonts w:hint="eastAsia" w:ascii="Times New Roman" w:hAnsi="Times New Roman" w:eastAsia="宋体" w:cs="Times New Roman"/>
                <w:color w:val="000000"/>
                <w:sz w:val="21"/>
                <w:szCs w:val="21"/>
                <w:vertAlign w:val="superscript"/>
                <w:lang w:val="en-US" w:eastAsia="zh-CN" w:bidi="ar-SA"/>
              </w:rPr>
              <w:t>2</w:t>
            </w:r>
            <w:r>
              <w:rPr>
                <w:rFonts w:hint="eastAsia" w:ascii="Times New Roman" w:hAnsi="Times New Roman" w:eastAsia="宋体" w:cs="Times New Roman"/>
                <w:color w:val="000000"/>
                <w:sz w:val="21"/>
                <w:szCs w:val="21"/>
                <w:lang w:val="en-US" w:eastAsia="zh-CN" w:bidi="ar-SA"/>
              </w:rPr>
              <w:t>的危险废物暂存间</w:t>
            </w:r>
          </w:p>
        </w:tc>
        <w:tc>
          <w:tcPr>
            <w:tcW w:w="1975" w:type="dxa"/>
            <w:noWrap w:val="0"/>
            <w:vAlign w:val="center"/>
          </w:tcPr>
          <w:p w14:paraId="47555BB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尽快与签订有资质单位回收处置合同</w:t>
            </w:r>
          </w:p>
        </w:tc>
      </w:tr>
      <w:tr w14:paraId="5977E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205B4EFB">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515E0F8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20F8406E">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Cs w:val="0"/>
                <w:color w:val="000000"/>
                <w:sz w:val="21"/>
                <w:szCs w:val="21"/>
                <w:lang w:val="en-US" w:eastAsia="zh-CN" w:bidi="ar-SA"/>
              </w:rPr>
              <w:t>UV光催化活性炭吸附一体设备</w:t>
            </w:r>
          </w:p>
        </w:tc>
        <w:tc>
          <w:tcPr>
            <w:tcW w:w="1725" w:type="dxa"/>
            <w:noWrap w:val="0"/>
            <w:vAlign w:val="center"/>
          </w:tcPr>
          <w:p w14:paraId="688908C8">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废活性炭、废灯管</w:t>
            </w:r>
          </w:p>
        </w:tc>
        <w:tc>
          <w:tcPr>
            <w:tcW w:w="2010" w:type="dxa"/>
            <w:noWrap w:val="0"/>
            <w:vAlign w:val="center"/>
          </w:tcPr>
          <w:p w14:paraId="54AF200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尚未产生</w:t>
            </w:r>
          </w:p>
        </w:tc>
        <w:tc>
          <w:tcPr>
            <w:tcW w:w="1975" w:type="dxa"/>
            <w:noWrap w:val="0"/>
            <w:vAlign w:val="center"/>
          </w:tcPr>
          <w:p w14:paraId="6EF852C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定期更换，委托有资质单位回收处置</w:t>
            </w:r>
          </w:p>
        </w:tc>
      </w:tr>
      <w:tr w14:paraId="22C26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noWrap w:val="0"/>
            <w:vAlign w:val="center"/>
          </w:tcPr>
          <w:p w14:paraId="6090CFD3">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噪声</w:t>
            </w:r>
          </w:p>
        </w:tc>
        <w:tc>
          <w:tcPr>
            <w:tcW w:w="1230" w:type="dxa"/>
            <w:noWrap w:val="0"/>
            <w:vAlign w:val="center"/>
          </w:tcPr>
          <w:p w14:paraId="7785C1C1">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15386065">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生产加工设备</w:t>
            </w:r>
          </w:p>
        </w:tc>
        <w:tc>
          <w:tcPr>
            <w:tcW w:w="1725" w:type="dxa"/>
            <w:noWrap w:val="0"/>
            <w:vAlign w:val="center"/>
          </w:tcPr>
          <w:p w14:paraId="632803DA">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机械噪声</w:t>
            </w:r>
          </w:p>
        </w:tc>
        <w:tc>
          <w:tcPr>
            <w:tcW w:w="2010" w:type="dxa"/>
            <w:noWrap w:val="0"/>
            <w:vAlign w:val="center"/>
          </w:tcPr>
          <w:p w14:paraId="425A5F4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连续</w:t>
            </w:r>
          </w:p>
        </w:tc>
        <w:tc>
          <w:tcPr>
            <w:tcW w:w="1975" w:type="dxa"/>
            <w:noWrap w:val="0"/>
            <w:vAlign w:val="center"/>
          </w:tcPr>
          <w:p w14:paraId="6D92A7D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基础减振、隔声等措施</w:t>
            </w:r>
          </w:p>
        </w:tc>
      </w:tr>
      <w:tr w14:paraId="75C52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11" w:type="dxa"/>
            <w:gridSpan w:val="6"/>
            <w:noWrap w:val="0"/>
            <w:vAlign w:val="center"/>
          </w:tcPr>
          <w:p w14:paraId="21279AEB">
            <w:pPr>
              <w:widowControl w:val="0"/>
              <w:spacing w:line="360" w:lineRule="auto"/>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
                <w:bCs/>
                <w:color w:val="000000"/>
                <w:sz w:val="21"/>
                <w:szCs w:val="21"/>
                <w:lang w:val="en-US" w:eastAsia="zh-CN" w:bidi="ar-SA"/>
              </w:rPr>
              <w:t>公辅助工程污染物产生</w:t>
            </w:r>
          </w:p>
        </w:tc>
      </w:tr>
      <w:tr w14:paraId="404D6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restart"/>
            <w:noWrap w:val="0"/>
            <w:vAlign w:val="center"/>
          </w:tcPr>
          <w:p w14:paraId="2C81DC52">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废气</w:t>
            </w:r>
          </w:p>
        </w:tc>
        <w:tc>
          <w:tcPr>
            <w:tcW w:w="1230" w:type="dxa"/>
            <w:noWrap w:val="0"/>
            <w:vAlign w:val="center"/>
          </w:tcPr>
          <w:p w14:paraId="080D6B11">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7CCE14A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柴油发电机</w:t>
            </w:r>
          </w:p>
        </w:tc>
        <w:tc>
          <w:tcPr>
            <w:tcW w:w="1725" w:type="dxa"/>
            <w:noWrap w:val="0"/>
            <w:vAlign w:val="center"/>
          </w:tcPr>
          <w:p w14:paraId="773BE17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燃油废气</w:t>
            </w:r>
          </w:p>
        </w:tc>
        <w:tc>
          <w:tcPr>
            <w:tcW w:w="2010" w:type="dxa"/>
            <w:noWrap w:val="0"/>
            <w:vAlign w:val="center"/>
          </w:tcPr>
          <w:p w14:paraId="5E22CC70">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自带过滤系统净化处理排放</w:t>
            </w:r>
          </w:p>
        </w:tc>
        <w:tc>
          <w:tcPr>
            <w:tcW w:w="1975" w:type="dxa"/>
            <w:noWrap w:val="0"/>
            <w:vAlign w:val="center"/>
          </w:tcPr>
          <w:p w14:paraId="46537DF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5C6C2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279F8BE5">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4B37E478">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231C06EA">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食堂</w:t>
            </w:r>
          </w:p>
        </w:tc>
        <w:tc>
          <w:tcPr>
            <w:tcW w:w="1725" w:type="dxa"/>
            <w:noWrap w:val="0"/>
            <w:vAlign w:val="center"/>
          </w:tcPr>
          <w:p w14:paraId="1F2D07D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油烟</w:t>
            </w:r>
          </w:p>
        </w:tc>
        <w:tc>
          <w:tcPr>
            <w:tcW w:w="2010" w:type="dxa"/>
            <w:noWrap w:val="0"/>
            <w:vAlign w:val="center"/>
          </w:tcPr>
          <w:p w14:paraId="28707507">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975" w:type="dxa"/>
            <w:noWrap w:val="0"/>
            <w:vAlign w:val="center"/>
          </w:tcPr>
          <w:p w14:paraId="36DEB982">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设置油烟净化装置净化处理后通过专用烟道排放</w:t>
            </w:r>
          </w:p>
        </w:tc>
      </w:tr>
      <w:tr w14:paraId="17F7A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40BD6E8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1AEDD6E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3E1BFF1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运输车辆</w:t>
            </w:r>
          </w:p>
        </w:tc>
        <w:tc>
          <w:tcPr>
            <w:tcW w:w="1725" w:type="dxa"/>
            <w:noWrap w:val="0"/>
            <w:vAlign w:val="center"/>
          </w:tcPr>
          <w:p w14:paraId="2BF5A1A3">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尾气</w:t>
            </w:r>
          </w:p>
        </w:tc>
        <w:tc>
          <w:tcPr>
            <w:tcW w:w="2010" w:type="dxa"/>
            <w:noWrap w:val="0"/>
            <w:vAlign w:val="center"/>
          </w:tcPr>
          <w:p w14:paraId="40CEAAA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自然扩散</w:t>
            </w:r>
          </w:p>
        </w:tc>
        <w:tc>
          <w:tcPr>
            <w:tcW w:w="1975" w:type="dxa"/>
            <w:noWrap w:val="0"/>
            <w:vAlign w:val="center"/>
          </w:tcPr>
          <w:p w14:paraId="3343060C">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7CA9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noWrap w:val="0"/>
            <w:vAlign w:val="center"/>
          </w:tcPr>
          <w:p w14:paraId="28C9D96B">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废水</w:t>
            </w:r>
          </w:p>
        </w:tc>
        <w:tc>
          <w:tcPr>
            <w:tcW w:w="1230" w:type="dxa"/>
            <w:noWrap w:val="0"/>
            <w:vAlign w:val="center"/>
          </w:tcPr>
          <w:p w14:paraId="01F19C2A">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74C4C7C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办公生活</w:t>
            </w:r>
          </w:p>
        </w:tc>
        <w:tc>
          <w:tcPr>
            <w:tcW w:w="1725" w:type="dxa"/>
            <w:noWrap w:val="0"/>
            <w:vAlign w:val="center"/>
          </w:tcPr>
          <w:p w14:paraId="2E6C2DD6">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生活污水</w:t>
            </w:r>
          </w:p>
        </w:tc>
        <w:tc>
          <w:tcPr>
            <w:tcW w:w="2010" w:type="dxa"/>
            <w:noWrap w:val="0"/>
            <w:vAlign w:val="center"/>
          </w:tcPr>
          <w:p w14:paraId="43B5D96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设置6座化粪池（总容积80m</w:t>
            </w:r>
            <w:r>
              <w:rPr>
                <w:rFonts w:hint="eastAsia" w:ascii="Times New Roman" w:hAnsi="Times New Roman" w:eastAsia="宋体" w:cs="Times New Roman"/>
                <w:color w:val="000000"/>
                <w:sz w:val="21"/>
                <w:szCs w:val="21"/>
                <w:vertAlign w:val="superscript"/>
                <w:lang w:val="en-US" w:eastAsia="zh-CN" w:bidi="ar-SA"/>
              </w:rPr>
              <w:t>3</w:t>
            </w:r>
            <w:r>
              <w:rPr>
                <w:rFonts w:hint="eastAsia" w:ascii="Times New Roman" w:hAnsi="Times New Roman" w:eastAsia="宋体" w:cs="Times New Roman"/>
                <w:color w:val="000000"/>
                <w:sz w:val="21"/>
                <w:szCs w:val="21"/>
                <w:lang w:val="en-US" w:eastAsia="zh-CN" w:bidi="ar-SA"/>
              </w:rPr>
              <w:t>）</w:t>
            </w:r>
          </w:p>
        </w:tc>
        <w:tc>
          <w:tcPr>
            <w:tcW w:w="1975" w:type="dxa"/>
            <w:noWrap w:val="0"/>
            <w:vAlign w:val="center"/>
          </w:tcPr>
          <w:p w14:paraId="6DE988C3">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食堂出水口加装隔油池进行预处理</w:t>
            </w:r>
          </w:p>
        </w:tc>
      </w:tr>
      <w:tr w14:paraId="4A3B0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restart"/>
            <w:noWrap w:val="0"/>
            <w:vAlign w:val="center"/>
          </w:tcPr>
          <w:p w14:paraId="370BC2B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固废</w:t>
            </w:r>
          </w:p>
        </w:tc>
        <w:tc>
          <w:tcPr>
            <w:tcW w:w="1230" w:type="dxa"/>
            <w:noWrap w:val="0"/>
            <w:vAlign w:val="center"/>
          </w:tcPr>
          <w:p w14:paraId="4294C26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0E35B740">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办公生活</w:t>
            </w:r>
          </w:p>
        </w:tc>
        <w:tc>
          <w:tcPr>
            <w:tcW w:w="1725" w:type="dxa"/>
            <w:noWrap w:val="0"/>
            <w:vAlign w:val="center"/>
          </w:tcPr>
          <w:p w14:paraId="0C0A16DF">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生活垃圾</w:t>
            </w:r>
          </w:p>
        </w:tc>
        <w:tc>
          <w:tcPr>
            <w:tcW w:w="2010" w:type="dxa"/>
            <w:noWrap w:val="0"/>
            <w:vAlign w:val="center"/>
          </w:tcPr>
          <w:p w14:paraId="7FACB611">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垃圾桶收集，环卫定期清运处置</w:t>
            </w:r>
          </w:p>
        </w:tc>
        <w:tc>
          <w:tcPr>
            <w:tcW w:w="1975" w:type="dxa"/>
            <w:noWrap w:val="0"/>
            <w:vAlign w:val="center"/>
          </w:tcPr>
          <w:p w14:paraId="34AABCE6">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57566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478D3A86">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3F5A6C1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1B87574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机械</w:t>
            </w:r>
          </w:p>
        </w:tc>
        <w:tc>
          <w:tcPr>
            <w:tcW w:w="1725" w:type="dxa"/>
            <w:noWrap w:val="0"/>
            <w:vAlign w:val="center"/>
          </w:tcPr>
          <w:p w14:paraId="70E50CDE">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更换废机油</w:t>
            </w:r>
          </w:p>
        </w:tc>
        <w:tc>
          <w:tcPr>
            <w:tcW w:w="2010" w:type="dxa"/>
            <w:noWrap w:val="0"/>
            <w:vAlign w:val="center"/>
          </w:tcPr>
          <w:p w14:paraId="1DEC58AE">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设置57m</w:t>
            </w:r>
            <w:r>
              <w:rPr>
                <w:rFonts w:hint="eastAsia" w:ascii="Times New Roman" w:hAnsi="Times New Roman" w:eastAsia="宋体" w:cs="Times New Roman"/>
                <w:color w:val="000000"/>
                <w:sz w:val="21"/>
                <w:szCs w:val="21"/>
                <w:vertAlign w:val="superscript"/>
                <w:lang w:val="en-US" w:eastAsia="zh-CN" w:bidi="ar-SA"/>
              </w:rPr>
              <w:t>2</w:t>
            </w:r>
            <w:r>
              <w:rPr>
                <w:rFonts w:hint="eastAsia" w:ascii="Times New Roman" w:hAnsi="Times New Roman" w:eastAsia="宋体" w:cs="Times New Roman"/>
                <w:color w:val="000000"/>
                <w:sz w:val="21"/>
                <w:szCs w:val="21"/>
                <w:lang w:val="en-US" w:eastAsia="zh-CN" w:bidi="ar-SA"/>
              </w:rPr>
              <w:t>的危险废物暂存间</w:t>
            </w:r>
          </w:p>
        </w:tc>
        <w:tc>
          <w:tcPr>
            <w:tcW w:w="1975" w:type="dxa"/>
            <w:noWrap w:val="0"/>
            <w:vAlign w:val="center"/>
          </w:tcPr>
          <w:p w14:paraId="4ADE6D53">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尽快与签订有资质单位回收处置合同</w:t>
            </w:r>
          </w:p>
        </w:tc>
      </w:tr>
      <w:tr w14:paraId="2A9AA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0D47FE4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7296CD47">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6362790A">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化粪池</w:t>
            </w:r>
          </w:p>
        </w:tc>
        <w:tc>
          <w:tcPr>
            <w:tcW w:w="1725" w:type="dxa"/>
            <w:noWrap w:val="0"/>
            <w:vAlign w:val="center"/>
          </w:tcPr>
          <w:p w14:paraId="1334CD9C">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污泥</w:t>
            </w:r>
          </w:p>
        </w:tc>
        <w:tc>
          <w:tcPr>
            <w:tcW w:w="2010" w:type="dxa"/>
            <w:noWrap w:val="0"/>
            <w:vAlign w:val="center"/>
          </w:tcPr>
          <w:p w14:paraId="40DBA204">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委托当地环卫部门清运处置</w:t>
            </w:r>
          </w:p>
        </w:tc>
        <w:tc>
          <w:tcPr>
            <w:tcW w:w="1975" w:type="dxa"/>
            <w:noWrap w:val="0"/>
            <w:vAlign w:val="center"/>
          </w:tcPr>
          <w:p w14:paraId="634ADE74">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14:paraId="24D5E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 w:type="dxa"/>
            <w:vMerge w:val="continue"/>
            <w:noWrap w:val="0"/>
            <w:vAlign w:val="center"/>
          </w:tcPr>
          <w:p w14:paraId="14BC9D18">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p>
        </w:tc>
        <w:tc>
          <w:tcPr>
            <w:tcW w:w="1230" w:type="dxa"/>
            <w:noWrap w:val="0"/>
            <w:vAlign w:val="center"/>
          </w:tcPr>
          <w:p w14:paraId="64B1FCC6">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c>
          <w:tcPr>
            <w:tcW w:w="1335" w:type="dxa"/>
            <w:noWrap w:val="0"/>
            <w:vAlign w:val="center"/>
          </w:tcPr>
          <w:p w14:paraId="6F3A8A2D">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隔油池</w:t>
            </w:r>
          </w:p>
        </w:tc>
        <w:tc>
          <w:tcPr>
            <w:tcW w:w="1725" w:type="dxa"/>
            <w:noWrap w:val="0"/>
            <w:vAlign w:val="center"/>
          </w:tcPr>
          <w:p w14:paraId="525583A9">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废油脂</w:t>
            </w:r>
          </w:p>
        </w:tc>
        <w:tc>
          <w:tcPr>
            <w:tcW w:w="2010" w:type="dxa"/>
            <w:noWrap w:val="0"/>
            <w:vAlign w:val="center"/>
          </w:tcPr>
          <w:p w14:paraId="02357D27">
            <w:pPr>
              <w:widowControl w:val="0"/>
              <w:spacing w:line="360" w:lineRule="auto"/>
              <w:ind w:left="0" w:firstLine="0"/>
              <w:jc w:val="center"/>
              <w:rPr>
                <w:rFonts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尚未产生</w:t>
            </w:r>
          </w:p>
        </w:tc>
        <w:tc>
          <w:tcPr>
            <w:tcW w:w="1975" w:type="dxa"/>
            <w:noWrap w:val="0"/>
            <w:vAlign w:val="center"/>
          </w:tcPr>
          <w:p w14:paraId="189EF7F8">
            <w:pPr>
              <w:widowControl w:val="0"/>
              <w:spacing w:line="360" w:lineRule="auto"/>
              <w:ind w:left="0" w:firstLine="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委托专业单位清掏处置</w:t>
            </w:r>
          </w:p>
        </w:tc>
      </w:tr>
    </w:tbl>
    <w:p w14:paraId="4F0ECC18">
      <w:pPr>
        <w:pStyle w:val="188"/>
        <w:rPr>
          <w:rFonts w:hint="eastAsia"/>
          <w:color w:val="000000"/>
        </w:rPr>
      </w:pPr>
      <w:r>
        <w:rPr>
          <w:rFonts w:hint="eastAsia"/>
          <w:color w:val="000000"/>
          <w:lang w:val="en-US" w:eastAsia="zh-CN"/>
        </w:rPr>
        <w:t>4.2</w:t>
      </w:r>
      <w:r>
        <w:rPr>
          <w:rFonts w:hint="eastAsia"/>
          <w:color w:val="000000"/>
        </w:rPr>
        <w:t>.3相关平衡</w:t>
      </w:r>
    </w:p>
    <w:p w14:paraId="584D5108">
      <w:pPr>
        <w:pStyle w:val="282"/>
        <w:rPr>
          <w:rFonts w:hint="eastAsia"/>
        </w:rPr>
      </w:pPr>
      <w:r>
        <w:rPr>
          <w:rFonts w:hint="eastAsia"/>
          <w:lang w:val="en-US" w:eastAsia="zh-CN"/>
        </w:rPr>
        <w:t>4.2</w:t>
      </w:r>
      <w:r>
        <w:t>.</w:t>
      </w:r>
      <w:r>
        <w:rPr>
          <w:rFonts w:hint="eastAsia"/>
        </w:rPr>
        <w:t>3</w:t>
      </w:r>
      <w:r>
        <w:t>.1</w:t>
      </w:r>
      <w:r>
        <w:rPr>
          <w:rFonts w:hint="eastAsia"/>
        </w:rPr>
        <w:t>物料平衡</w:t>
      </w:r>
    </w:p>
    <w:p w14:paraId="432A4767">
      <w:pPr>
        <w:pStyle w:val="2"/>
        <w:ind w:firstLine="480"/>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1</w:t>
      </w:r>
      <w:r>
        <w:rPr>
          <w:rFonts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脲醛树脂胶物料平衡</w:t>
      </w:r>
    </w:p>
    <w:p w14:paraId="2CE1D9B1">
      <w:pPr>
        <w:pStyle w:val="2"/>
        <w:ind w:firstLine="480"/>
        <w:jc w:val="center"/>
        <w:rPr>
          <w:rFonts w:ascii="Times New Roman" w:hAnsi="Times New Roman" w:eastAsia="宋体" w:cs="Times New Roman"/>
          <w:b/>
          <w:bCs/>
          <w:sz w:val="24"/>
          <w:szCs w:val="24"/>
          <w:lang w:val="en-US" w:eastAsia="zh-CN"/>
        </w:rPr>
      </w:pPr>
      <w:r>
        <w:rPr>
          <w:rFonts w:ascii="Times New Roman" w:hAnsi="Times New Roman" w:eastAsia="宋体" w:cs="Times New Roman"/>
          <w:b/>
          <w:bCs/>
          <w:sz w:val="24"/>
          <w:szCs w:val="24"/>
          <w:lang w:val="en-US" w:eastAsia="zh-CN"/>
        </w:rPr>
        <w:t>表4.2-</w:t>
      </w:r>
      <w:r>
        <w:rPr>
          <w:rFonts w:hint="eastAsia" w:ascii="Times New Roman" w:hAnsi="Times New Roman" w:eastAsia="宋体" w:cs="Times New Roman"/>
          <w:b/>
          <w:bCs/>
          <w:sz w:val="24"/>
          <w:szCs w:val="24"/>
          <w:lang w:val="en-US" w:eastAsia="zh-CN"/>
        </w:rPr>
        <w:t xml:space="preserve">2 </w:t>
      </w:r>
      <w:r>
        <w:rPr>
          <w:rFonts w:ascii="Times New Roman" w:hAnsi="Times New Roman" w:eastAsia="宋体" w:cs="Times New Roman"/>
          <w:b/>
          <w:bCs/>
          <w:sz w:val="24"/>
          <w:szCs w:val="24"/>
          <w:lang w:val="en-US" w:eastAsia="zh-CN"/>
        </w:rPr>
        <w:t>脲醛树脂胶生产过程的物料平衡表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6"/>
        <w:gridCol w:w="2128"/>
        <w:gridCol w:w="1651"/>
        <w:gridCol w:w="744"/>
        <w:gridCol w:w="1354"/>
        <w:gridCol w:w="1747"/>
      </w:tblGrid>
      <w:tr w14:paraId="51920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vMerge w:val="restart"/>
            <w:noWrap w:val="0"/>
            <w:vAlign w:val="center"/>
          </w:tcPr>
          <w:p w14:paraId="0D9CBF72">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序号</w:t>
            </w:r>
          </w:p>
        </w:tc>
        <w:tc>
          <w:tcPr>
            <w:tcW w:w="4305" w:type="dxa"/>
            <w:gridSpan w:val="2"/>
            <w:noWrap w:val="0"/>
            <w:vAlign w:val="center"/>
          </w:tcPr>
          <w:p w14:paraId="72B6641B">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进料</w:t>
            </w:r>
          </w:p>
        </w:tc>
        <w:tc>
          <w:tcPr>
            <w:tcW w:w="4348" w:type="dxa"/>
            <w:gridSpan w:val="3"/>
            <w:noWrap w:val="0"/>
            <w:vAlign w:val="center"/>
          </w:tcPr>
          <w:p w14:paraId="2905CD9C">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出料</w:t>
            </w:r>
          </w:p>
        </w:tc>
      </w:tr>
      <w:tr w14:paraId="032E7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vMerge w:val="continue"/>
            <w:noWrap w:val="0"/>
            <w:vAlign w:val="center"/>
          </w:tcPr>
          <w:p w14:paraId="21EEFB7D">
            <w:pPr>
              <w:pStyle w:val="2"/>
              <w:widowControl w:val="0"/>
              <w:jc w:val="center"/>
              <w:rPr>
                <w:rFonts w:ascii="Times New Roman" w:hAnsi="Times New Roman" w:cs="Times New Roman"/>
                <w:b/>
                <w:bCs/>
                <w:sz w:val="21"/>
                <w:szCs w:val="21"/>
                <w:vertAlign w:val="baseline"/>
              </w:rPr>
            </w:pPr>
          </w:p>
        </w:tc>
        <w:tc>
          <w:tcPr>
            <w:tcW w:w="2460" w:type="dxa"/>
            <w:noWrap w:val="0"/>
            <w:vAlign w:val="center"/>
          </w:tcPr>
          <w:p w14:paraId="7518B2DE">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名称</w:t>
            </w:r>
          </w:p>
        </w:tc>
        <w:tc>
          <w:tcPr>
            <w:tcW w:w="1845" w:type="dxa"/>
            <w:noWrap w:val="0"/>
            <w:vAlign w:val="center"/>
          </w:tcPr>
          <w:p w14:paraId="2614FF5D">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数量（t/a）</w:t>
            </w:r>
          </w:p>
        </w:tc>
        <w:tc>
          <w:tcPr>
            <w:tcW w:w="2378" w:type="dxa"/>
            <w:gridSpan w:val="2"/>
            <w:noWrap w:val="0"/>
            <w:vAlign w:val="center"/>
          </w:tcPr>
          <w:p w14:paraId="27E2239A">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名称</w:t>
            </w:r>
          </w:p>
        </w:tc>
        <w:tc>
          <w:tcPr>
            <w:tcW w:w="1970" w:type="dxa"/>
            <w:noWrap w:val="0"/>
            <w:vAlign w:val="center"/>
          </w:tcPr>
          <w:p w14:paraId="5BBDAA56">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数量（t/a）</w:t>
            </w:r>
          </w:p>
        </w:tc>
      </w:tr>
      <w:tr w14:paraId="68AB2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678013B2">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1</w:t>
            </w:r>
          </w:p>
        </w:tc>
        <w:tc>
          <w:tcPr>
            <w:tcW w:w="2460" w:type="dxa"/>
            <w:noWrap w:val="0"/>
            <w:vAlign w:val="center"/>
          </w:tcPr>
          <w:p w14:paraId="7B1CA922">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甲醛溶液（37%）</w:t>
            </w:r>
          </w:p>
        </w:tc>
        <w:tc>
          <w:tcPr>
            <w:tcW w:w="1845" w:type="dxa"/>
            <w:noWrap w:val="0"/>
            <w:vAlign w:val="center"/>
          </w:tcPr>
          <w:p w14:paraId="7BCA8351">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1595</w:t>
            </w:r>
          </w:p>
        </w:tc>
        <w:tc>
          <w:tcPr>
            <w:tcW w:w="840" w:type="dxa"/>
            <w:noWrap w:val="0"/>
            <w:vAlign w:val="center"/>
          </w:tcPr>
          <w:p w14:paraId="194B2517">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产品</w:t>
            </w:r>
          </w:p>
        </w:tc>
        <w:tc>
          <w:tcPr>
            <w:tcW w:w="1538" w:type="dxa"/>
            <w:noWrap w:val="0"/>
            <w:vAlign w:val="center"/>
          </w:tcPr>
          <w:p w14:paraId="709D9E76">
            <w:pPr>
              <w:pStyle w:val="2"/>
              <w:widowControl w:val="0"/>
              <w:ind w:left="0"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脲醛树脂胶</w:t>
            </w:r>
          </w:p>
        </w:tc>
        <w:tc>
          <w:tcPr>
            <w:tcW w:w="1970" w:type="dxa"/>
            <w:noWrap w:val="0"/>
            <w:vAlign w:val="center"/>
          </w:tcPr>
          <w:p w14:paraId="56814BE6">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2500</w:t>
            </w:r>
          </w:p>
        </w:tc>
      </w:tr>
      <w:tr w14:paraId="5A988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0C7CEDB3">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2</w:t>
            </w:r>
          </w:p>
        </w:tc>
        <w:tc>
          <w:tcPr>
            <w:tcW w:w="2460" w:type="dxa"/>
            <w:noWrap w:val="0"/>
            <w:vAlign w:val="center"/>
          </w:tcPr>
          <w:p w14:paraId="03041E0C">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聚乙烯醇</w:t>
            </w:r>
          </w:p>
        </w:tc>
        <w:tc>
          <w:tcPr>
            <w:tcW w:w="1845" w:type="dxa"/>
            <w:noWrap w:val="0"/>
            <w:vAlign w:val="center"/>
          </w:tcPr>
          <w:p w14:paraId="372B1F97">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4.5</w:t>
            </w:r>
          </w:p>
        </w:tc>
        <w:tc>
          <w:tcPr>
            <w:tcW w:w="840" w:type="dxa"/>
            <w:vMerge w:val="restart"/>
            <w:noWrap w:val="0"/>
            <w:vAlign w:val="center"/>
          </w:tcPr>
          <w:p w14:paraId="3EC69B03">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废气</w:t>
            </w:r>
          </w:p>
        </w:tc>
        <w:tc>
          <w:tcPr>
            <w:tcW w:w="1538" w:type="dxa"/>
            <w:noWrap w:val="0"/>
            <w:vAlign w:val="center"/>
          </w:tcPr>
          <w:p w14:paraId="17C352F8">
            <w:pPr>
              <w:pStyle w:val="2"/>
              <w:widowControl w:val="0"/>
              <w:ind w:left="0"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甲醛</w:t>
            </w:r>
          </w:p>
        </w:tc>
        <w:tc>
          <w:tcPr>
            <w:tcW w:w="1970" w:type="dxa"/>
            <w:noWrap w:val="0"/>
            <w:vAlign w:val="center"/>
          </w:tcPr>
          <w:p w14:paraId="7393E000">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0.0035</w:t>
            </w:r>
          </w:p>
        </w:tc>
      </w:tr>
      <w:tr w14:paraId="4AA0E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0115CAA1">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3</w:t>
            </w:r>
          </w:p>
        </w:tc>
        <w:tc>
          <w:tcPr>
            <w:tcW w:w="2460" w:type="dxa"/>
            <w:noWrap w:val="0"/>
            <w:vAlign w:val="center"/>
          </w:tcPr>
          <w:p w14:paraId="4289F232">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尿素</w:t>
            </w:r>
          </w:p>
        </w:tc>
        <w:tc>
          <w:tcPr>
            <w:tcW w:w="1845" w:type="dxa"/>
            <w:noWrap w:val="0"/>
            <w:vAlign w:val="center"/>
          </w:tcPr>
          <w:p w14:paraId="1C855776">
            <w:pPr>
              <w:pStyle w:val="2"/>
              <w:widowControl w:val="0"/>
              <w:ind w:left="0" w:firstLine="0"/>
              <w:jc w:val="center"/>
              <w:rPr>
                <w:rFonts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700</w:t>
            </w:r>
          </w:p>
        </w:tc>
        <w:tc>
          <w:tcPr>
            <w:tcW w:w="840" w:type="dxa"/>
            <w:vMerge w:val="continue"/>
            <w:noWrap w:val="0"/>
            <w:vAlign w:val="center"/>
          </w:tcPr>
          <w:p w14:paraId="5C5DB1B7">
            <w:pPr>
              <w:pStyle w:val="2"/>
              <w:widowControl w:val="0"/>
              <w:ind w:left="0" w:firstLine="0"/>
              <w:jc w:val="center"/>
              <w:rPr>
                <w:rFonts w:ascii="Times New Roman" w:hAnsi="Times New Roman" w:eastAsia="宋体" w:cs="Times New Roman"/>
                <w:sz w:val="21"/>
                <w:szCs w:val="21"/>
                <w:vertAlign w:val="baseline"/>
                <w:lang w:val="en-US" w:eastAsia="zh-CN"/>
              </w:rPr>
            </w:pPr>
          </w:p>
        </w:tc>
        <w:tc>
          <w:tcPr>
            <w:tcW w:w="1538" w:type="dxa"/>
            <w:noWrap w:val="0"/>
            <w:vAlign w:val="center"/>
          </w:tcPr>
          <w:p w14:paraId="3DE4728A">
            <w:pPr>
              <w:pStyle w:val="2"/>
              <w:widowControl w:val="0"/>
              <w:ind w:left="0"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氨</w:t>
            </w:r>
          </w:p>
        </w:tc>
        <w:tc>
          <w:tcPr>
            <w:tcW w:w="1970" w:type="dxa"/>
            <w:noWrap w:val="0"/>
            <w:vAlign w:val="center"/>
          </w:tcPr>
          <w:p w14:paraId="0D229DC6">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0.0185</w:t>
            </w:r>
          </w:p>
        </w:tc>
      </w:tr>
      <w:tr w14:paraId="2AA2A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6B10DC54">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4</w:t>
            </w:r>
          </w:p>
        </w:tc>
        <w:tc>
          <w:tcPr>
            <w:tcW w:w="2460" w:type="dxa"/>
            <w:noWrap w:val="0"/>
            <w:vAlign w:val="center"/>
          </w:tcPr>
          <w:p w14:paraId="2F6047F9">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NaOH</w:t>
            </w:r>
          </w:p>
        </w:tc>
        <w:tc>
          <w:tcPr>
            <w:tcW w:w="1845" w:type="dxa"/>
            <w:noWrap w:val="0"/>
            <w:vAlign w:val="center"/>
          </w:tcPr>
          <w:p w14:paraId="51F59CF7">
            <w:pPr>
              <w:pStyle w:val="2"/>
              <w:widowControl w:val="0"/>
              <w:ind w:left="0" w:firstLine="0"/>
              <w:jc w:val="center"/>
              <w:rPr>
                <w:rFonts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0.522</w:t>
            </w:r>
          </w:p>
        </w:tc>
        <w:tc>
          <w:tcPr>
            <w:tcW w:w="840" w:type="dxa"/>
            <w:vMerge w:val="continue"/>
            <w:noWrap w:val="0"/>
            <w:vAlign w:val="center"/>
          </w:tcPr>
          <w:p w14:paraId="0B38055A">
            <w:pPr>
              <w:pStyle w:val="2"/>
              <w:widowControl w:val="0"/>
              <w:ind w:left="0" w:firstLine="0"/>
              <w:jc w:val="center"/>
              <w:rPr>
                <w:rFonts w:ascii="Times New Roman" w:hAnsi="Times New Roman" w:eastAsia="宋体" w:cs="Times New Roman"/>
                <w:sz w:val="21"/>
                <w:szCs w:val="21"/>
                <w:vertAlign w:val="baseline"/>
                <w:lang w:val="en-US" w:eastAsia="zh-CN"/>
              </w:rPr>
            </w:pPr>
          </w:p>
        </w:tc>
        <w:tc>
          <w:tcPr>
            <w:tcW w:w="1538" w:type="dxa"/>
            <w:noWrap w:val="0"/>
            <w:vAlign w:val="center"/>
          </w:tcPr>
          <w:p w14:paraId="4DAF52ED">
            <w:pPr>
              <w:pStyle w:val="2"/>
              <w:widowControl w:val="0"/>
              <w:ind w:left="0"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VOCs</w:t>
            </w:r>
          </w:p>
        </w:tc>
        <w:tc>
          <w:tcPr>
            <w:tcW w:w="1970" w:type="dxa"/>
            <w:noWrap w:val="0"/>
            <w:vAlign w:val="center"/>
          </w:tcPr>
          <w:p w14:paraId="2E88CDB6">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w:t>
            </w:r>
          </w:p>
        </w:tc>
      </w:tr>
      <w:tr w14:paraId="1C3E8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0956D667">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5</w:t>
            </w:r>
          </w:p>
        </w:tc>
        <w:tc>
          <w:tcPr>
            <w:tcW w:w="2460" w:type="dxa"/>
            <w:noWrap w:val="0"/>
            <w:vAlign w:val="center"/>
          </w:tcPr>
          <w:p w14:paraId="7AA0D883">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三聚氰胺粉</w:t>
            </w:r>
          </w:p>
        </w:tc>
        <w:tc>
          <w:tcPr>
            <w:tcW w:w="1845" w:type="dxa"/>
            <w:noWrap w:val="0"/>
            <w:vAlign w:val="center"/>
          </w:tcPr>
          <w:p w14:paraId="26AC6330">
            <w:pPr>
              <w:pStyle w:val="2"/>
              <w:widowControl w:val="0"/>
              <w:ind w:left="0" w:firstLine="0"/>
              <w:jc w:val="center"/>
              <w:rPr>
                <w:rFonts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200</w:t>
            </w:r>
          </w:p>
        </w:tc>
        <w:tc>
          <w:tcPr>
            <w:tcW w:w="2378" w:type="dxa"/>
            <w:gridSpan w:val="2"/>
            <w:noWrap w:val="0"/>
            <w:vAlign w:val="center"/>
          </w:tcPr>
          <w:p w14:paraId="66682484">
            <w:pPr>
              <w:pStyle w:val="2"/>
              <w:widowControl w:val="0"/>
              <w:ind w:left="0" w:firstLine="0"/>
              <w:jc w:val="center"/>
              <w:rPr>
                <w:rFonts w:ascii="Times New Roman" w:hAnsi="Times New Roman" w:eastAsia="宋体" w:cs="Times New Roman"/>
                <w:sz w:val="21"/>
                <w:szCs w:val="21"/>
                <w:vertAlign w:val="baseline"/>
                <w:lang w:val="en-US" w:eastAsia="zh-CN"/>
              </w:rPr>
            </w:pPr>
          </w:p>
        </w:tc>
        <w:tc>
          <w:tcPr>
            <w:tcW w:w="1970" w:type="dxa"/>
            <w:noWrap w:val="0"/>
            <w:vAlign w:val="center"/>
          </w:tcPr>
          <w:p w14:paraId="57812456">
            <w:pPr>
              <w:pStyle w:val="2"/>
              <w:widowControl w:val="0"/>
              <w:ind w:left="0" w:firstLine="0"/>
              <w:jc w:val="center"/>
              <w:rPr>
                <w:rFonts w:ascii="Times New Roman" w:hAnsi="Times New Roman" w:eastAsia="宋体" w:cs="Times New Roman"/>
                <w:sz w:val="21"/>
                <w:szCs w:val="21"/>
                <w:vertAlign w:val="baseline"/>
                <w:lang w:val="en-US" w:eastAsia="zh-CN"/>
              </w:rPr>
            </w:pPr>
          </w:p>
        </w:tc>
      </w:tr>
      <w:tr w14:paraId="2D898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53B9F991">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460" w:type="dxa"/>
            <w:noWrap w:val="0"/>
            <w:vAlign w:val="center"/>
          </w:tcPr>
          <w:p w14:paraId="38A59068">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甲酸</w:t>
            </w:r>
          </w:p>
        </w:tc>
        <w:tc>
          <w:tcPr>
            <w:tcW w:w="1845" w:type="dxa"/>
            <w:noWrap w:val="0"/>
            <w:vAlign w:val="center"/>
          </w:tcPr>
          <w:p w14:paraId="139E910C">
            <w:pPr>
              <w:pStyle w:val="2"/>
              <w:widowControl w:val="0"/>
              <w:ind w:left="0" w:firstLine="0"/>
              <w:jc w:val="center"/>
              <w:rPr>
                <w:rFonts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0.5</w:t>
            </w:r>
          </w:p>
        </w:tc>
        <w:tc>
          <w:tcPr>
            <w:tcW w:w="2378" w:type="dxa"/>
            <w:gridSpan w:val="2"/>
            <w:noWrap w:val="0"/>
            <w:vAlign w:val="center"/>
          </w:tcPr>
          <w:p w14:paraId="15A11CE4">
            <w:pPr>
              <w:pStyle w:val="2"/>
              <w:widowControl w:val="0"/>
              <w:ind w:left="0" w:firstLine="0"/>
              <w:jc w:val="center"/>
              <w:rPr>
                <w:rFonts w:ascii="Times New Roman" w:hAnsi="Times New Roman" w:eastAsia="宋体" w:cs="Times New Roman"/>
                <w:sz w:val="21"/>
                <w:szCs w:val="21"/>
                <w:vertAlign w:val="baseline"/>
                <w:lang w:val="en-US" w:eastAsia="zh-CN"/>
              </w:rPr>
            </w:pPr>
          </w:p>
        </w:tc>
        <w:tc>
          <w:tcPr>
            <w:tcW w:w="1970" w:type="dxa"/>
            <w:noWrap w:val="0"/>
            <w:vAlign w:val="center"/>
          </w:tcPr>
          <w:p w14:paraId="15002B69">
            <w:pPr>
              <w:pStyle w:val="2"/>
              <w:widowControl w:val="0"/>
              <w:ind w:left="0" w:firstLine="0"/>
              <w:jc w:val="center"/>
              <w:rPr>
                <w:rFonts w:ascii="Times New Roman" w:hAnsi="Times New Roman" w:eastAsia="宋体" w:cs="Times New Roman"/>
                <w:sz w:val="21"/>
                <w:szCs w:val="21"/>
                <w:vertAlign w:val="baseline"/>
                <w:lang w:val="en-US" w:eastAsia="zh-CN"/>
              </w:rPr>
            </w:pPr>
          </w:p>
        </w:tc>
      </w:tr>
      <w:tr w14:paraId="4D24D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0D703BBE">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2460" w:type="dxa"/>
            <w:noWrap w:val="0"/>
            <w:vAlign w:val="center"/>
          </w:tcPr>
          <w:p w14:paraId="7F593B92">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845" w:type="dxa"/>
            <w:noWrap w:val="0"/>
            <w:vAlign w:val="center"/>
          </w:tcPr>
          <w:p w14:paraId="469768C9">
            <w:pPr>
              <w:pStyle w:val="2"/>
              <w:widowControl w:val="0"/>
              <w:ind w:left="0" w:firstLine="0"/>
              <w:jc w:val="center"/>
              <w:rPr>
                <w:rFonts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2500.522</w:t>
            </w:r>
          </w:p>
        </w:tc>
        <w:tc>
          <w:tcPr>
            <w:tcW w:w="2378" w:type="dxa"/>
            <w:gridSpan w:val="2"/>
            <w:noWrap w:val="0"/>
            <w:vAlign w:val="center"/>
          </w:tcPr>
          <w:p w14:paraId="26B87843">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970" w:type="dxa"/>
            <w:noWrap w:val="0"/>
            <w:vAlign w:val="center"/>
          </w:tcPr>
          <w:p w14:paraId="07D03F75">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2500.522</w:t>
            </w:r>
          </w:p>
        </w:tc>
      </w:tr>
    </w:tbl>
    <w:p w14:paraId="0167954A">
      <w:pPr>
        <w:pStyle w:val="2"/>
        <w:ind w:firstLine="480"/>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酚醛</w:t>
      </w:r>
      <w:r>
        <w:rPr>
          <w:rFonts w:ascii="Times New Roman" w:hAnsi="Times New Roman" w:eastAsia="宋体" w:cs="Times New Roman"/>
          <w:sz w:val="24"/>
          <w:szCs w:val="24"/>
          <w:lang w:val="en-US" w:eastAsia="zh-CN"/>
        </w:rPr>
        <w:t>树脂胶物料平衡</w:t>
      </w:r>
    </w:p>
    <w:p w14:paraId="72B07351">
      <w:pPr>
        <w:pStyle w:val="2"/>
        <w:ind w:firstLine="480"/>
        <w:jc w:val="center"/>
        <w:rPr>
          <w:rFonts w:ascii="Times New Roman" w:hAnsi="Times New Roman" w:eastAsia="宋体" w:cs="Times New Roman"/>
          <w:b/>
          <w:bCs/>
          <w:sz w:val="24"/>
          <w:szCs w:val="24"/>
          <w:lang w:val="en-US" w:eastAsia="zh-CN"/>
        </w:rPr>
      </w:pPr>
      <w:r>
        <w:rPr>
          <w:rFonts w:ascii="Times New Roman" w:hAnsi="Times New Roman" w:eastAsia="宋体" w:cs="Times New Roman"/>
          <w:b/>
          <w:bCs/>
          <w:sz w:val="24"/>
          <w:szCs w:val="24"/>
          <w:lang w:val="en-US" w:eastAsia="zh-CN"/>
        </w:rPr>
        <w:t>表4.2-</w:t>
      </w:r>
      <w:r>
        <w:rPr>
          <w:rFonts w:hint="eastAsia" w:ascii="Times New Roman" w:hAnsi="Times New Roman" w:eastAsia="宋体" w:cs="Times New Roman"/>
          <w:b/>
          <w:bCs/>
          <w:sz w:val="24"/>
          <w:szCs w:val="24"/>
          <w:lang w:val="en-US" w:eastAsia="zh-CN"/>
        </w:rPr>
        <w:t>3  酚醛</w:t>
      </w:r>
      <w:r>
        <w:rPr>
          <w:rFonts w:ascii="Times New Roman" w:hAnsi="Times New Roman" w:eastAsia="宋体" w:cs="Times New Roman"/>
          <w:b/>
          <w:bCs/>
          <w:sz w:val="24"/>
          <w:szCs w:val="24"/>
          <w:lang w:val="en-US" w:eastAsia="zh-CN"/>
        </w:rPr>
        <w:t>树脂胶生产过程的物料平衡表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3"/>
        <w:gridCol w:w="2141"/>
        <w:gridCol w:w="1635"/>
        <w:gridCol w:w="612"/>
        <w:gridCol w:w="1497"/>
        <w:gridCol w:w="1732"/>
      </w:tblGrid>
      <w:tr w14:paraId="68AF2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vMerge w:val="restart"/>
            <w:noWrap w:val="0"/>
            <w:vAlign w:val="center"/>
          </w:tcPr>
          <w:p w14:paraId="1C38D70F">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序号</w:t>
            </w:r>
          </w:p>
        </w:tc>
        <w:tc>
          <w:tcPr>
            <w:tcW w:w="4305" w:type="dxa"/>
            <w:gridSpan w:val="2"/>
            <w:noWrap w:val="0"/>
            <w:vAlign w:val="center"/>
          </w:tcPr>
          <w:p w14:paraId="47BB603C">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进料</w:t>
            </w:r>
          </w:p>
        </w:tc>
        <w:tc>
          <w:tcPr>
            <w:tcW w:w="4348" w:type="dxa"/>
            <w:gridSpan w:val="3"/>
            <w:noWrap w:val="0"/>
            <w:vAlign w:val="center"/>
          </w:tcPr>
          <w:p w14:paraId="2DEC83C3">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出料</w:t>
            </w:r>
          </w:p>
        </w:tc>
      </w:tr>
      <w:tr w14:paraId="113AD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vMerge w:val="continue"/>
            <w:noWrap w:val="0"/>
            <w:vAlign w:val="center"/>
          </w:tcPr>
          <w:p w14:paraId="66FDBFF8">
            <w:pPr>
              <w:pStyle w:val="2"/>
              <w:widowControl w:val="0"/>
              <w:jc w:val="center"/>
              <w:rPr>
                <w:rFonts w:ascii="Times New Roman" w:hAnsi="Times New Roman" w:cs="Times New Roman"/>
                <w:b/>
                <w:bCs/>
                <w:sz w:val="21"/>
                <w:szCs w:val="21"/>
                <w:vertAlign w:val="baseline"/>
              </w:rPr>
            </w:pPr>
          </w:p>
        </w:tc>
        <w:tc>
          <w:tcPr>
            <w:tcW w:w="2460" w:type="dxa"/>
            <w:noWrap w:val="0"/>
            <w:vAlign w:val="center"/>
          </w:tcPr>
          <w:p w14:paraId="78884999">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名称</w:t>
            </w:r>
          </w:p>
        </w:tc>
        <w:tc>
          <w:tcPr>
            <w:tcW w:w="1845" w:type="dxa"/>
            <w:noWrap w:val="0"/>
            <w:vAlign w:val="center"/>
          </w:tcPr>
          <w:p w14:paraId="71E4BDD0">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数量（t/a）</w:t>
            </w:r>
          </w:p>
        </w:tc>
        <w:tc>
          <w:tcPr>
            <w:tcW w:w="2378" w:type="dxa"/>
            <w:gridSpan w:val="2"/>
            <w:noWrap w:val="0"/>
            <w:vAlign w:val="center"/>
          </w:tcPr>
          <w:p w14:paraId="11B548B1">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名称</w:t>
            </w:r>
          </w:p>
        </w:tc>
        <w:tc>
          <w:tcPr>
            <w:tcW w:w="1970" w:type="dxa"/>
            <w:noWrap w:val="0"/>
            <w:vAlign w:val="center"/>
          </w:tcPr>
          <w:p w14:paraId="055BD21B">
            <w:pPr>
              <w:pStyle w:val="2"/>
              <w:widowControl w:val="0"/>
              <w:ind w:left="0" w:firstLine="0"/>
              <w:jc w:val="center"/>
              <w:rPr>
                <w:rFonts w:ascii="Times New Roman" w:hAnsi="Times New Roman" w:eastAsia="宋体" w:cs="Times New Roman"/>
                <w:b/>
                <w:bCs/>
                <w:sz w:val="21"/>
                <w:szCs w:val="21"/>
                <w:vertAlign w:val="baseline"/>
                <w:lang w:val="en-US" w:eastAsia="zh-CN"/>
              </w:rPr>
            </w:pPr>
            <w:r>
              <w:rPr>
                <w:rFonts w:ascii="Times New Roman" w:hAnsi="Times New Roman" w:eastAsia="宋体" w:cs="Times New Roman"/>
                <w:b/>
                <w:bCs/>
                <w:sz w:val="21"/>
                <w:szCs w:val="21"/>
                <w:vertAlign w:val="baseline"/>
                <w:lang w:val="en-US" w:eastAsia="zh-CN"/>
              </w:rPr>
              <w:t>数量（t/a）</w:t>
            </w:r>
          </w:p>
        </w:tc>
      </w:tr>
      <w:tr w14:paraId="12C6B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7F0B3FCF">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1</w:t>
            </w:r>
          </w:p>
        </w:tc>
        <w:tc>
          <w:tcPr>
            <w:tcW w:w="2460" w:type="dxa"/>
            <w:noWrap w:val="0"/>
            <w:vAlign w:val="center"/>
          </w:tcPr>
          <w:p w14:paraId="56762A24">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苯酚</w:t>
            </w:r>
          </w:p>
        </w:tc>
        <w:tc>
          <w:tcPr>
            <w:tcW w:w="1845" w:type="dxa"/>
            <w:noWrap w:val="0"/>
            <w:vAlign w:val="center"/>
          </w:tcPr>
          <w:p w14:paraId="2079134A">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750</w:t>
            </w:r>
          </w:p>
        </w:tc>
        <w:tc>
          <w:tcPr>
            <w:tcW w:w="665" w:type="dxa"/>
            <w:noWrap w:val="0"/>
            <w:vAlign w:val="center"/>
          </w:tcPr>
          <w:p w14:paraId="724C8BC4">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产品</w:t>
            </w:r>
          </w:p>
        </w:tc>
        <w:tc>
          <w:tcPr>
            <w:tcW w:w="1713" w:type="dxa"/>
            <w:noWrap w:val="0"/>
            <w:vAlign w:val="center"/>
          </w:tcPr>
          <w:p w14:paraId="479E4D8A">
            <w:pPr>
              <w:pStyle w:val="2"/>
              <w:widowControl w:val="0"/>
              <w:ind w:left="0"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酚醛树脂胶</w:t>
            </w:r>
          </w:p>
        </w:tc>
        <w:tc>
          <w:tcPr>
            <w:tcW w:w="1970" w:type="dxa"/>
            <w:noWrap w:val="0"/>
            <w:vAlign w:val="center"/>
          </w:tcPr>
          <w:p w14:paraId="7D89D692">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2500</w:t>
            </w:r>
          </w:p>
        </w:tc>
      </w:tr>
      <w:tr w14:paraId="53799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193" w:type="dxa"/>
            <w:noWrap w:val="0"/>
            <w:vAlign w:val="center"/>
          </w:tcPr>
          <w:p w14:paraId="5FE33A1E">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2</w:t>
            </w:r>
          </w:p>
        </w:tc>
        <w:tc>
          <w:tcPr>
            <w:tcW w:w="2460" w:type="dxa"/>
            <w:noWrap w:val="0"/>
            <w:vAlign w:val="center"/>
          </w:tcPr>
          <w:p w14:paraId="6AEA6AA2">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甲醛溶液（37%）</w:t>
            </w:r>
          </w:p>
        </w:tc>
        <w:tc>
          <w:tcPr>
            <w:tcW w:w="1845" w:type="dxa"/>
            <w:noWrap w:val="0"/>
            <w:vAlign w:val="center"/>
          </w:tcPr>
          <w:p w14:paraId="51DF862D">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1125</w:t>
            </w:r>
          </w:p>
        </w:tc>
        <w:tc>
          <w:tcPr>
            <w:tcW w:w="665" w:type="dxa"/>
            <w:vMerge w:val="restart"/>
            <w:noWrap w:val="0"/>
            <w:vAlign w:val="center"/>
          </w:tcPr>
          <w:p w14:paraId="01BCEB41">
            <w:pPr>
              <w:pStyle w:val="2"/>
              <w:widowControl w:val="0"/>
              <w:ind w:left="0" w:firstLine="0"/>
              <w:jc w:val="center"/>
              <w:rPr>
                <w:rFonts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废气</w:t>
            </w:r>
          </w:p>
        </w:tc>
        <w:tc>
          <w:tcPr>
            <w:tcW w:w="1713" w:type="dxa"/>
            <w:noWrap w:val="0"/>
            <w:vAlign w:val="center"/>
          </w:tcPr>
          <w:p w14:paraId="4DDAAFF2">
            <w:pPr>
              <w:pStyle w:val="2"/>
              <w:widowControl w:val="0"/>
              <w:ind w:left="0" w:firstLine="0"/>
              <w:jc w:val="center"/>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酚类</w:t>
            </w:r>
          </w:p>
        </w:tc>
        <w:tc>
          <w:tcPr>
            <w:tcW w:w="1970" w:type="dxa"/>
            <w:noWrap w:val="0"/>
            <w:vAlign w:val="center"/>
          </w:tcPr>
          <w:p w14:paraId="6C9B7129">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0.39</w:t>
            </w:r>
          </w:p>
        </w:tc>
      </w:tr>
      <w:tr w14:paraId="2FD74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3EB8165F">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3</w:t>
            </w:r>
          </w:p>
        </w:tc>
        <w:tc>
          <w:tcPr>
            <w:tcW w:w="2460" w:type="dxa"/>
            <w:noWrap w:val="0"/>
            <w:vAlign w:val="center"/>
          </w:tcPr>
          <w:p w14:paraId="04475AEF">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NaOH</w:t>
            </w:r>
          </w:p>
        </w:tc>
        <w:tc>
          <w:tcPr>
            <w:tcW w:w="1845" w:type="dxa"/>
            <w:noWrap w:val="0"/>
            <w:vAlign w:val="center"/>
          </w:tcPr>
          <w:p w14:paraId="30311AB6">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225</w:t>
            </w:r>
          </w:p>
        </w:tc>
        <w:tc>
          <w:tcPr>
            <w:tcW w:w="665" w:type="dxa"/>
            <w:vMerge w:val="continue"/>
            <w:noWrap w:val="0"/>
            <w:vAlign w:val="center"/>
          </w:tcPr>
          <w:p w14:paraId="661EFF12">
            <w:pPr>
              <w:pStyle w:val="2"/>
              <w:widowControl w:val="0"/>
              <w:ind w:left="0" w:firstLine="0"/>
              <w:jc w:val="center"/>
              <w:rPr>
                <w:rFonts w:ascii="Times New Roman" w:hAnsi="Times New Roman" w:eastAsia="宋体" w:cs="Times New Roman"/>
                <w:color w:val="000000"/>
                <w:sz w:val="21"/>
                <w:szCs w:val="21"/>
                <w:vertAlign w:val="baseline"/>
                <w:lang w:val="en-US" w:eastAsia="zh-CN"/>
              </w:rPr>
            </w:pPr>
          </w:p>
        </w:tc>
        <w:tc>
          <w:tcPr>
            <w:tcW w:w="1713" w:type="dxa"/>
            <w:noWrap w:val="0"/>
            <w:vAlign w:val="center"/>
          </w:tcPr>
          <w:p w14:paraId="1F4CB40F">
            <w:pPr>
              <w:pStyle w:val="2"/>
              <w:widowControl w:val="0"/>
              <w:ind w:left="0" w:firstLine="0"/>
              <w:jc w:val="center"/>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甲醛</w:t>
            </w:r>
          </w:p>
        </w:tc>
        <w:tc>
          <w:tcPr>
            <w:tcW w:w="1970" w:type="dxa"/>
            <w:noWrap w:val="0"/>
            <w:vAlign w:val="center"/>
          </w:tcPr>
          <w:p w14:paraId="138F563E">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0.98</w:t>
            </w:r>
          </w:p>
        </w:tc>
      </w:tr>
      <w:tr w14:paraId="48120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3834A31A">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4</w:t>
            </w:r>
          </w:p>
        </w:tc>
        <w:tc>
          <w:tcPr>
            <w:tcW w:w="2460" w:type="dxa"/>
            <w:noWrap w:val="0"/>
            <w:vAlign w:val="center"/>
          </w:tcPr>
          <w:p w14:paraId="42384BB2">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尿素</w:t>
            </w:r>
          </w:p>
        </w:tc>
        <w:tc>
          <w:tcPr>
            <w:tcW w:w="1845" w:type="dxa"/>
            <w:noWrap w:val="0"/>
            <w:vAlign w:val="center"/>
          </w:tcPr>
          <w:p w14:paraId="3CBD3597">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201.87</w:t>
            </w:r>
          </w:p>
        </w:tc>
        <w:tc>
          <w:tcPr>
            <w:tcW w:w="665" w:type="dxa"/>
            <w:vMerge w:val="continue"/>
            <w:noWrap w:val="0"/>
            <w:vAlign w:val="center"/>
          </w:tcPr>
          <w:p w14:paraId="390F0150">
            <w:pPr>
              <w:pStyle w:val="2"/>
              <w:widowControl w:val="0"/>
              <w:ind w:left="0" w:firstLine="0"/>
              <w:jc w:val="center"/>
              <w:rPr>
                <w:rFonts w:ascii="Times New Roman" w:hAnsi="Times New Roman" w:eastAsia="宋体" w:cs="Times New Roman"/>
                <w:color w:val="000000"/>
                <w:sz w:val="21"/>
                <w:szCs w:val="21"/>
                <w:vertAlign w:val="baseline"/>
                <w:lang w:val="en-US" w:eastAsia="zh-CN"/>
              </w:rPr>
            </w:pPr>
          </w:p>
        </w:tc>
        <w:tc>
          <w:tcPr>
            <w:tcW w:w="1713" w:type="dxa"/>
            <w:noWrap w:val="0"/>
            <w:vAlign w:val="center"/>
          </w:tcPr>
          <w:p w14:paraId="67863A5E">
            <w:pPr>
              <w:pStyle w:val="2"/>
              <w:widowControl w:val="0"/>
              <w:ind w:left="0" w:firstLine="0"/>
              <w:jc w:val="center"/>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VOCs</w:t>
            </w:r>
          </w:p>
        </w:tc>
        <w:tc>
          <w:tcPr>
            <w:tcW w:w="1970" w:type="dxa"/>
            <w:noWrap w:val="0"/>
            <w:vAlign w:val="center"/>
          </w:tcPr>
          <w:p w14:paraId="60EC2BE3">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w:t>
            </w:r>
          </w:p>
        </w:tc>
      </w:tr>
      <w:tr w14:paraId="2A3F3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11D9FDDD">
            <w:pPr>
              <w:pStyle w:val="2"/>
              <w:widowControl w:val="0"/>
              <w:ind w:left="0"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5</w:t>
            </w:r>
          </w:p>
        </w:tc>
        <w:tc>
          <w:tcPr>
            <w:tcW w:w="2460" w:type="dxa"/>
            <w:noWrap w:val="0"/>
            <w:vAlign w:val="center"/>
          </w:tcPr>
          <w:p w14:paraId="06A069C1">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水</w:t>
            </w:r>
          </w:p>
        </w:tc>
        <w:tc>
          <w:tcPr>
            <w:tcW w:w="1845" w:type="dxa"/>
            <w:noWrap w:val="0"/>
            <w:vAlign w:val="center"/>
          </w:tcPr>
          <w:p w14:paraId="7BB1ED41">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200</w:t>
            </w:r>
          </w:p>
        </w:tc>
        <w:tc>
          <w:tcPr>
            <w:tcW w:w="2378" w:type="dxa"/>
            <w:gridSpan w:val="2"/>
            <w:noWrap w:val="0"/>
            <w:vAlign w:val="center"/>
          </w:tcPr>
          <w:p w14:paraId="7D8B4423">
            <w:pPr>
              <w:pStyle w:val="2"/>
              <w:widowControl w:val="0"/>
              <w:ind w:left="0" w:firstLine="0"/>
              <w:jc w:val="center"/>
              <w:rPr>
                <w:rFonts w:ascii="Times New Roman" w:hAnsi="Times New Roman" w:eastAsia="宋体" w:cs="Times New Roman"/>
                <w:sz w:val="21"/>
                <w:szCs w:val="21"/>
                <w:vertAlign w:val="baseline"/>
                <w:lang w:val="en-US" w:eastAsia="zh-CN"/>
              </w:rPr>
            </w:pPr>
          </w:p>
        </w:tc>
        <w:tc>
          <w:tcPr>
            <w:tcW w:w="1970" w:type="dxa"/>
            <w:noWrap w:val="0"/>
            <w:vAlign w:val="center"/>
          </w:tcPr>
          <w:p w14:paraId="21CA50AD">
            <w:pPr>
              <w:pStyle w:val="2"/>
              <w:widowControl w:val="0"/>
              <w:ind w:left="0" w:firstLine="0"/>
              <w:jc w:val="center"/>
              <w:rPr>
                <w:rFonts w:ascii="Times New Roman" w:hAnsi="Times New Roman" w:eastAsia="宋体" w:cs="Times New Roman"/>
                <w:sz w:val="21"/>
                <w:szCs w:val="21"/>
                <w:vertAlign w:val="baseline"/>
                <w:lang w:val="en-US" w:eastAsia="zh-CN"/>
              </w:rPr>
            </w:pPr>
          </w:p>
        </w:tc>
      </w:tr>
      <w:tr w14:paraId="65785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3" w:type="dxa"/>
            <w:noWrap w:val="0"/>
            <w:vAlign w:val="center"/>
          </w:tcPr>
          <w:p w14:paraId="4F3B6153">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460" w:type="dxa"/>
            <w:noWrap w:val="0"/>
            <w:vAlign w:val="center"/>
          </w:tcPr>
          <w:p w14:paraId="1B9A9D42">
            <w:pPr>
              <w:pStyle w:val="2"/>
              <w:widowControl w:val="0"/>
              <w:ind w:left="0"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845" w:type="dxa"/>
            <w:noWrap w:val="0"/>
            <w:vAlign w:val="center"/>
          </w:tcPr>
          <w:p w14:paraId="064D1E52">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2501.87</w:t>
            </w:r>
          </w:p>
        </w:tc>
        <w:tc>
          <w:tcPr>
            <w:tcW w:w="2378" w:type="dxa"/>
            <w:gridSpan w:val="2"/>
            <w:noWrap w:val="0"/>
            <w:vAlign w:val="center"/>
          </w:tcPr>
          <w:p w14:paraId="33866F9C">
            <w:pPr>
              <w:pStyle w:val="2"/>
              <w:widowControl w:val="0"/>
              <w:ind w:left="0" w:firstLine="0"/>
              <w:jc w:val="center"/>
              <w:rPr>
                <w:rFonts w:ascii="Times New Roman" w:hAnsi="Times New Roman" w:eastAsia="宋体" w:cs="Times New Roman"/>
                <w:sz w:val="21"/>
                <w:szCs w:val="21"/>
                <w:vertAlign w:val="baseline"/>
                <w:lang w:val="en-US" w:eastAsia="zh-CN"/>
              </w:rPr>
            </w:pPr>
          </w:p>
        </w:tc>
        <w:tc>
          <w:tcPr>
            <w:tcW w:w="1970" w:type="dxa"/>
            <w:noWrap w:val="0"/>
            <w:vAlign w:val="center"/>
          </w:tcPr>
          <w:p w14:paraId="75C169CD">
            <w:pPr>
              <w:pStyle w:val="2"/>
              <w:widowControl w:val="0"/>
              <w:ind w:left="0"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2501.87</w:t>
            </w:r>
          </w:p>
        </w:tc>
      </w:tr>
    </w:tbl>
    <w:p w14:paraId="4601C7AD">
      <w:pPr>
        <w:pStyle w:val="2"/>
        <w:ind w:firstLine="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（3）板材生产物料平衡</w:t>
      </w:r>
    </w:p>
    <w:p w14:paraId="67C819A9">
      <w:pPr>
        <w:spacing w:line="360" w:lineRule="auto"/>
        <w:ind w:firstLine="482"/>
        <w:jc w:val="center"/>
        <w:rPr>
          <w:rFonts w:ascii="Times New Roman" w:hAnsi="Times New Roman" w:eastAsia="宋体" w:cs="Times New Roman"/>
          <w:b/>
          <w:bCs/>
          <w:sz w:val="24"/>
          <w:szCs w:val="24"/>
          <w:lang w:val="en-US" w:eastAsia="zh-CN" w:bidi="ar-SA"/>
        </w:rPr>
      </w:pPr>
      <w:r>
        <w:rPr>
          <w:rFonts w:ascii="Times New Roman" w:hAnsi="Times New Roman" w:eastAsia="宋体" w:cs="Times New Roman"/>
          <w:b/>
          <w:bCs/>
          <w:sz w:val="24"/>
          <w:szCs w:val="24"/>
          <w:lang w:val="en-US" w:eastAsia="zh-CN" w:bidi="ar-SA"/>
        </w:rPr>
        <w:t>表4.2-</w:t>
      </w:r>
      <w:r>
        <w:rPr>
          <w:rFonts w:hint="eastAsia" w:ascii="Times New Roman" w:hAnsi="Times New Roman" w:eastAsia="宋体" w:cs="Times New Roman"/>
          <w:b/>
          <w:bCs/>
          <w:sz w:val="24"/>
          <w:szCs w:val="24"/>
          <w:lang w:val="en-US" w:eastAsia="zh-CN" w:bidi="ar-SA"/>
        </w:rPr>
        <w:t>4  板材</w:t>
      </w:r>
      <w:r>
        <w:rPr>
          <w:rFonts w:ascii="Times New Roman" w:hAnsi="Times New Roman" w:eastAsia="宋体" w:cs="Times New Roman"/>
          <w:b/>
          <w:bCs/>
          <w:sz w:val="24"/>
          <w:szCs w:val="24"/>
          <w:lang w:val="en-US" w:eastAsia="zh-CN" w:bidi="ar-SA"/>
        </w:rPr>
        <w:t>生产过程的物料平衡表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5"/>
        <w:gridCol w:w="2213"/>
        <w:gridCol w:w="1606"/>
        <w:gridCol w:w="606"/>
        <w:gridCol w:w="1400"/>
        <w:gridCol w:w="1702"/>
      </w:tblGrid>
      <w:tr w14:paraId="2FF79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5" w:type="dxa"/>
            <w:vMerge w:val="restart"/>
            <w:noWrap w:val="0"/>
            <w:vAlign w:val="center"/>
          </w:tcPr>
          <w:p w14:paraId="5BB82A31">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序号</w:t>
            </w:r>
          </w:p>
        </w:tc>
        <w:tc>
          <w:tcPr>
            <w:tcW w:w="3819" w:type="dxa"/>
            <w:gridSpan w:val="2"/>
            <w:noWrap w:val="0"/>
            <w:vAlign w:val="center"/>
          </w:tcPr>
          <w:p w14:paraId="23FD4DF5">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进料</w:t>
            </w:r>
          </w:p>
        </w:tc>
        <w:tc>
          <w:tcPr>
            <w:tcW w:w="3708" w:type="dxa"/>
            <w:gridSpan w:val="3"/>
            <w:noWrap w:val="0"/>
            <w:vAlign w:val="center"/>
          </w:tcPr>
          <w:p w14:paraId="7559933F">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出料</w:t>
            </w:r>
          </w:p>
        </w:tc>
      </w:tr>
      <w:tr w14:paraId="4E06C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5" w:type="dxa"/>
            <w:vMerge w:val="continue"/>
            <w:noWrap w:val="0"/>
            <w:vAlign w:val="center"/>
          </w:tcPr>
          <w:p w14:paraId="7EAD609D">
            <w:pPr>
              <w:widowControl w:val="0"/>
              <w:spacing w:line="360" w:lineRule="auto"/>
              <w:ind w:firstLine="420"/>
              <w:jc w:val="center"/>
              <w:rPr>
                <w:rFonts w:ascii="Times New Roman" w:hAnsi="Times New Roman" w:eastAsia="Calibri" w:cs="Times New Roman"/>
                <w:b/>
                <w:bCs/>
                <w:sz w:val="21"/>
                <w:szCs w:val="21"/>
                <w:vertAlign w:val="baseline"/>
                <w:lang w:val="en-US" w:eastAsia="zh-CN" w:bidi="ar-SA"/>
              </w:rPr>
            </w:pPr>
          </w:p>
        </w:tc>
        <w:tc>
          <w:tcPr>
            <w:tcW w:w="2213" w:type="dxa"/>
            <w:noWrap w:val="0"/>
            <w:vAlign w:val="center"/>
          </w:tcPr>
          <w:p w14:paraId="530649C7">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名称</w:t>
            </w:r>
          </w:p>
        </w:tc>
        <w:tc>
          <w:tcPr>
            <w:tcW w:w="1606" w:type="dxa"/>
            <w:noWrap w:val="0"/>
            <w:vAlign w:val="center"/>
          </w:tcPr>
          <w:p w14:paraId="574A029F">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数量（t/a）</w:t>
            </w:r>
          </w:p>
        </w:tc>
        <w:tc>
          <w:tcPr>
            <w:tcW w:w="2006" w:type="dxa"/>
            <w:gridSpan w:val="2"/>
            <w:noWrap w:val="0"/>
            <w:vAlign w:val="center"/>
          </w:tcPr>
          <w:p w14:paraId="32BBEA85">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名称</w:t>
            </w:r>
          </w:p>
        </w:tc>
        <w:tc>
          <w:tcPr>
            <w:tcW w:w="1702" w:type="dxa"/>
            <w:noWrap w:val="0"/>
            <w:vAlign w:val="center"/>
          </w:tcPr>
          <w:p w14:paraId="7640C5BC">
            <w:pPr>
              <w:widowControl w:val="0"/>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数量（t/a）</w:t>
            </w:r>
          </w:p>
        </w:tc>
      </w:tr>
      <w:tr w14:paraId="04F91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5" w:type="dxa"/>
            <w:noWrap w:val="0"/>
            <w:vAlign w:val="center"/>
          </w:tcPr>
          <w:p w14:paraId="4A3CD759">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1</w:t>
            </w:r>
          </w:p>
        </w:tc>
        <w:tc>
          <w:tcPr>
            <w:tcW w:w="2213" w:type="dxa"/>
            <w:noWrap w:val="0"/>
            <w:vAlign w:val="center"/>
          </w:tcPr>
          <w:p w14:paraId="20BDE570">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竹子</w:t>
            </w:r>
          </w:p>
        </w:tc>
        <w:tc>
          <w:tcPr>
            <w:tcW w:w="1606" w:type="dxa"/>
            <w:noWrap w:val="0"/>
            <w:vAlign w:val="center"/>
          </w:tcPr>
          <w:p w14:paraId="115D3DE3">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250000</w:t>
            </w:r>
          </w:p>
        </w:tc>
        <w:tc>
          <w:tcPr>
            <w:tcW w:w="606" w:type="dxa"/>
            <w:vMerge w:val="restart"/>
            <w:noWrap w:val="0"/>
            <w:vAlign w:val="center"/>
          </w:tcPr>
          <w:p w14:paraId="78FBF9AB">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产品</w:t>
            </w:r>
          </w:p>
        </w:tc>
        <w:tc>
          <w:tcPr>
            <w:tcW w:w="1400" w:type="dxa"/>
            <w:noWrap w:val="0"/>
            <w:vAlign w:val="center"/>
          </w:tcPr>
          <w:p w14:paraId="17DBF72A">
            <w:pPr>
              <w:pStyle w:val="219"/>
              <w:widowControl w:val="0"/>
              <w:ind w:firstLine="0"/>
              <w:jc w:val="center"/>
              <w:rPr>
                <w:rFonts w:hint="eastAsia" w:ascii="Times New Roman" w:hAnsi="Times New Roman" w:eastAsia="宋体" w:cs="Times New Roman"/>
                <w:sz w:val="21"/>
                <w:szCs w:val="21"/>
                <w:vertAlign w:val="baseline"/>
                <w:lang w:val="en-US" w:eastAsia="zh-CN" w:bidi="ar-SA"/>
              </w:rPr>
            </w:pPr>
            <w:r>
              <w:rPr>
                <w:rFonts w:hint="eastAsia"/>
                <w:bCs/>
                <w:color w:val="000000"/>
                <w:spacing w:val="4"/>
                <w:szCs w:val="21"/>
              </w:rPr>
              <w:t>竹木复合地板</w:t>
            </w:r>
          </w:p>
        </w:tc>
        <w:tc>
          <w:tcPr>
            <w:tcW w:w="1702" w:type="dxa"/>
            <w:vMerge w:val="restart"/>
            <w:noWrap w:val="0"/>
            <w:vAlign w:val="center"/>
          </w:tcPr>
          <w:p w14:paraId="7C4762C1">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249254.5</w:t>
            </w:r>
          </w:p>
        </w:tc>
      </w:tr>
      <w:tr w14:paraId="16ABC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5" w:type="dxa"/>
            <w:noWrap w:val="0"/>
            <w:vAlign w:val="center"/>
          </w:tcPr>
          <w:p w14:paraId="55DE22AB">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2</w:t>
            </w:r>
          </w:p>
        </w:tc>
        <w:tc>
          <w:tcPr>
            <w:tcW w:w="2213" w:type="dxa"/>
            <w:noWrap w:val="0"/>
            <w:vAlign w:val="center"/>
          </w:tcPr>
          <w:p w14:paraId="4CF0114B">
            <w:pPr>
              <w:widowControl w:val="0"/>
              <w:spacing w:line="360" w:lineRule="auto"/>
              <w:ind w:left="0" w:firstLine="0"/>
              <w:jc w:val="center"/>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木单板（900kg/m</w:t>
            </w:r>
            <w:r>
              <w:rPr>
                <w:rFonts w:hint="eastAsia" w:ascii="Times New Roman" w:hAnsi="Times New Roman" w:eastAsia="宋体" w:cs="Times New Roman"/>
                <w:sz w:val="21"/>
                <w:szCs w:val="21"/>
                <w:vertAlign w:val="superscript"/>
                <w:lang w:val="en-US" w:eastAsia="zh-CN" w:bidi="ar-SA"/>
              </w:rPr>
              <w:t>3</w:t>
            </w:r>
            <w:r>
              <w:rPr>
                <w:rFonts w:hint="eastAsia" w:ascii="Times New Roman" w:hAnsi="Times New Roman" w:eastAsia="宋体" w:cs="Times New Roman"/>
                <w:sz w:val="21"/>
                <w:szCs w:val="21"/>
                <w:vertAlign w:val="baseline"/>
                <w:lang w:val="en-US" w:eastAsia="zh-CN" w:bidi="ar-SA"/>
              </w:rPr>
              <w:t>）</w:t>
            </w:r>
          </w:p>
        </w:tc>
        <w:tc>
          <w:tcPr>
            <w:tcW w:w="1606" w:type="dxa"/>
            <w:noWrap w:val="0"/>
            <w:vAlign w:val="center"/>
          </w:tcPr>
          <w:p w14:paraId="181D2C2E">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1800</w:t>
            </w:r>
          </w:p>
        </w:tc>
        <w:tc>
          <w:tcPr>
            <w:tcW w:w="606" w:type="dxa"/>
            <w:vMerge w:val="continue"/>
            <w:noWrap w:val="0"/>
            <w:vAlign w:val="center"/>
          </w:tcPr>
          <w:p w14:paraId="1A6BCB79">
            <w:pPr>
              <w:widowControl w:val="0"/>
              <w:spacing w:line="360" w:lineRule="auto"/>
              <w:ind w:left="0" w:firstLine="0"/>
              <w:jc w:val="center"/>
              <w:rPr>
                <w:rFonts w:hint="eastAsia" w:ascii="Times New Roman" w:hAnsi="Times New Roman" w:eastAsia="宋体" w:cs="Times New Roman"/>
                <w:sz w:val="21"/>
                <w:szCs w:val="21"/>
                <w:vertAlign w:val="baseline"/>
                <w:lang w:val="en-US" w:eastAsia="zh-CN" w:bidi="ar-SA"/>
              </w:rPr>
            </w:pPr>
          </w:p>
        </w:tc>
        <w:tc>
          <w:tcPr>
            <w:tcW w:w="1400" w:type="dxa"/>
            <w:noWrap w:val="0"/>
            <w:vAlign w:val="center"/>
          </w:tcPr>
          <w:p w14:paraId="4813E553">
            <w:pPr>
              <w:pStyle w:val="219"/>
              <w:widowControl w:val="0"/>
              <w:ind w:firstLine="0"/>
              <w:jc w:val="center"/>
              <w:rPr>
                <w:rFonts w:hint="eastAsia" w:ascii="Times New Roman" w:hAnsi="Times New Roman" w:eastAsia="宋体" w:cs="Times New Roman"/>
                <w:sz w:val="21"/>
                <w:szCs w:val="21"/>
                <w:vertAlign w:val="baseline"/>
                <w:lang w:val="en-US" w:eastAsia="zh-CN" w:bidi="ar-SA"/>
              </w:rPr>
            </w:pPr>
            <w:r>
              <w:rPr>
                <w:rFonts w:hint="eastAsia"/>
                <w:bCs/>
                <w:color w:val="000000"/>
                <w:spacing w:val="4"/>
                <w:szCs w:val="21"/>
              </w:rPr>
              <w:t>全竹地板</w:t>
            </w:r>
          </w:p>
        </w:tc>
        <w:tc>
          <w:tcPr>
            <w:tcW w:w="1702" w:type="dxa"/>
            <w:vMerge w:val="continue"/>
            <w:noWrap w:val="0"/>
            <w:vAlign w:val="center"/>
          </w:tcPr>
          <w:p w14:paraId="52429411">
            <w:pPr>
              <w:widowControl w:val="0"/>
              <w:spacing w:line="360" w:lineRule="auto"/>
              <w:ind w:left="0" w:firstLine="0"/>
              <w:jc w:val="center"/>
              <w:rPr>
                <w:rFonts w:hint="eastAsia" w:ascii="Times New Roman" w:hAnsi="Times New Roman" w:eastAsia="宋体" w:cs="Times New Roman"/>
                <w:sz w:val="21"/>
                <w:szCs w:val="21"/>
                <w:vertAlign w:val="baseline"/>
                <w:lang w:val="en-US" w:eastAsia="zh-CN" w:bidi="ar-SA"/>
              </w:rPr>
            </w:pPr>
          </w:p>
        </w:tc>
      </w:tr>
      <w:tr w14:paraId="4B971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005" w:type="dxa"/>
            <w:noWrap w:val="0"/>
            <w:vAlign w:val="center"/>
          </w:tcPr>
          <w:p w14:paraId="2C4F80C1">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3</w:t>
            </w:r>
          </w:p>
        </w:tc>
        <w:tc>
          <w:tcPr>
            <w:tcW w:w="2213" w:type="dxa"/>
            <w:noWrap w:val="0"/>
            <w:vAlign w:val="center"/>
          </w:tcPr>
          <w:p w14:paraId="20867073">
            <w:pPr>
              <w:widowControl w:val="0"/>
              <w:spacing w:line="321" w:lineRule="exact"/>
              <w:ind w:right="115"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color w:val="000000"/>
                <w:sz w:val="21"/>
                <w:szCs w:val="22"/>
                <w:lang w:val="en-US" w:eastAsia="zh-CN" w:bidi="ar-SA"/>
              </w:rPr>
              <w:t>酚醛树脂胶</w:t>
            </w:r>
          </w:p>
        </w:tc>
        <w:tc>
          <w:tcPr>
            <w:tcW w:w="1606" w:type="dxa"/>
            <w:noWrap w:val="0"/>
            <w:vAlign w:val="center"/>
          </w:tcPr>
          <w:p w14:paraId="1695CC3C">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3000</w:t>
            </w:r>
          </w:p>
        </w:tc>
        <w:tc>
          <w:tcPr>
            <w:tcW w:w="606" w:type="dxa"/>
            <w:noWrap w:val="0"/>
            <w:vAlign w:val="center"/>
          </w:tcPr>
          <w:p w14:paraId="431BEA39">
            <w:pPr>
              <w:widowControl w:val="0"/>
              <w:spacing w:line="360" w:lineRule="auto"/>
              <w:ind w:left="0" w:firstLine="0"/>
              <w:jc w:val="center"/>
              <w:rPr>
                <w:rFonts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color w:val="000000"/>
                <w:sz w:val="21"/>
                <w:szCs w:val="21"/>
                <w:vertAlign w:val="baseline"/>
                <w:lang w:val="en-US" w:eastAsia="zh-CN" w:bidi="ar-SA"/>
              </w:rPr>
              <w:t>固废</w:t>
            </w:r>
          </w:p>
        </w:tc>
        <w:tc>
          <w:tcPr>
            <w:tcW w:w="1400" w:type="dxa"/>
            <w:noWrap w:val="0"/>
            <w:vAlign w:val="center"/>
          </w:tcPr>
          <w:p w14:paraId="1AB79214">
            <w:pPr>
              <w:widowControl w:val="0"/>
              <w:spacing w:line="360" w:lineRule="auto"/>
              <w:ind w:left="0" w:firstLine="0"/>
              <w:jc w:val="center"/>
              <w:rPr>
                <w:rFonts w:hint="eastAsia"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color w:val="000000"/>
                <w:sz w:val="21"/>
                <w:szCs w:val="21"/>
                <w:vertAlign w:val="baseline"/>
                <w:lang w:val="en-US" w:eastAsia="zh-CN" w:bidi="ar-SA"/>
              </w:rPr>
              <w:t>废边角料</w:t>
            </w:r>
          </w:p>
        </w:tc>
        <w:tc>
          <w:tcPr>
            <w:tcW w:w="1702" w:type="dxa"/>
            <w:noWrap w:val="0"/>
            <w:vAlign w:val="center"/>
          </w:tcPr>
          <w:p w14:paraId="0A348F8C">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9000</w:t>
            </w:r>
          </w:p>
        </w:tc>
      </w:tr>
      <w:tr w14:paraId="46D4A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5" w:type="dxa"/>
            <w:noWrap w:val="0"/>
            <w:vAlign w:val="center"/>
          </w:tcPr>
          <w:p w14:paraId="4A4EEAEA">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4</w:t>
            </w:r>
          </w:p>
        </w:tc>
        <w:tc>
          <w:tcPr>
            <w:tcW w:w="2213" w:type="dxa"/>
            <w:noWrap w:val="0"/>
            <w:vAlign w:val="center"/>
          </w:tcPr>
          <w:p w14:paraId="00EE984B">
            <w:pPr>
              <w:widowControl w:val="0"/>
              <w:spacing w:line="321" w:lineRule="exact"/>
              <w:ind w:right="115" w:firstLine="0"/>
              <w:jc w:val="center"/>
              <w:rPr>
                <w:rFonts w:ascii="Times New Roman" w:hAnsi="Times New Roman" w:eastAsia="宋体" w:cs="Times New Roman"/>
                <w:sz w:val="21"/>
                <w:szCs w:val="21"/>
                <w:vertAlign w:val="baseline"/>
                <w:lang w:val="en-US" w:eastAsia="zh-CN" w:bidi="ar-SA"/>
              </w:rPr>
            </w:pPr>
            <w:r>
              <w:rPr>
                <w:rFonts w:hint="eastAsia" w:ascii="Noto Sans CJK JP Regular" w:hAnsi="Noto Sans CJK JP Regular" w:eastAsia="宋体" w:cs="Noto Sans CJK JP Regular"/>
                <w:color w:val="000000"/>
                <w:sz w:val="21"/>
                <w:lang w:val="en-US" w:eastAsia="zh-CN" w:bidi="ar-SA"/>
              </w:rPr>
              <w:t>脲醛树脂胶</w:t>
            </w:r>
          </w:p>
        </w:tc>
        <w:tc>
          <w:tcPr>
            <w:tcW w:w="1606" w:type="dxa"/>
            <w:noWrap w:val="0"/>
            <w:vAlign w:val="center"/>
          </w:tcPr>
          <w:p w14:paraId="6E21DE6C">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6000</w:t>
            </w:r>
          </w:p>
        </w:tc>
        <w:tc>
          <w:tcPr>
            <w:tcW w:w="606" w:type="dxa"/>
            <w:vMerge w:val="restart"/>
            <w:noWrap w:val="0"/>
            <w:vAlign w:val="center"/>
          </w:tcPr>
          <w:p w14:paraId="06CBA430">
            <w:pPr>
              <w:widowControl w:val="0"/>
              <w:spacing w:line="360" w:lineRule="auto"/>
              <w:ind w:left="0" w:firstLine="0"/>
              <w:jc w:val="center"/>
              <w:rPr>
                <w:rFonts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color w:val="000000"/>
                <w:sz w:val="21"/>
                <w:szCs w:val="21"/>
                <w:vertAlign w:val="baseline"/>
                <w:lang w:val="en-US" w:eastAsia="zh-CN" w:bidi="ar-SA"/>
              </w:rPr>
              <w:t>废气</w:t>
            </w:r>
          </w:p>
        </w:tc>
        <w:tc>
          <w:tcPr>
            <w:tcW w:w="1400" w:type="dxa"/>
            <w:noWrap w:val="0"/>
            <w:vAlign w:val="center"/>
          </w:tcPr>
          <w:p w14:paraId="3A9D7900">
            <w:pPr>
              <w:widowControl w:val="0"/>
              <w:spacing w:line="360" w:lineRule="auto"/>
              <w:ind w:left="0" w:firstLine="0"/>
              <w:jc w:val="center"/>
              <w:rPr>
                <w:rFonts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color w:val="000000"/>
                <w:sz w:val="21"/>
                <w:szCs w:val="21"/>
                <w:vertAlign w:val="baseline"/>
                <w:lang w:val="en-US" w:eastAsia="zh-CN" w:bidi="ar-SA"/>
              </w:rPr>
              <w:t>粉尘</w:t>
            </w:r>
          </w:p>
        </w:tc>
        <w:tc>
          <w:tcPr>
            <w:tcW w:w="1702" w:type="dxa"/>
            <w:noWrap w:val="0"/>
            <w:vAlign w:val="center"/>
          </w:tcPr>
          <w:p w14:paraId="02835ED2">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2529.6</w:t>
            </w:r>
          </w:p>
        </w:tc>
      </w:tr>
      <w:tr w14:paraId="24410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5" w:type="dxa"/>
            <w:noWrap w:val="0"/>
            <w:vAlign w:val="center"/>
          </w:tcPr>
          <w:p w14:paraId="348BED26">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5</w:t>
            </w:r>
          </w:p>
        </w:tc>
        <w:tc>
          <w:tcPr>
            <w:tcW w:w="2213" w:type="dxa"/>
            <w:noWrap w:val="0"/>
            <w:vAlign w:val="center"/>
          </w:tcPr>
          <w:p w14:paraId="216BF63F">
            <w:pPr>
              <w:widowControl w:val="0"/>
              <w:spacing w:line="321" w:lineRule="exact"/>
              <w:ind w:right="115" w:firstLine="0"/>
              <w:jc w:val="center"/>
              <w:rPr>
                <w:rFonts w:ascii="Times New Roman" w:hAnsi="Times New Roman" w:eastAsia="宋体" w:cs="Times New Roman"/>
                <w:sz w:val="21"/>
                <w:szCs w:val="21"/>
                <w:vertAlign w:val="baseline"/>
                <w:lang w:val="en-US" w:eastAsia="zh-CN" w:bidi="ar-SA"/>
              </w:rPr>
            </w:pPr>
            <w:r>
              <w:rPr>
                <w:rFonts w:hint="eastAsia" w:ascii="Noto Sans CJK JP Regular" w:hAnsi="Noto Sans CJK JP Regular" w:eastAsia="宋体" w:cs="Noto Sans CJK JP Regular"/>
                <w:color w:val="000000"/>
                <w:sz w:val="21"/>
                <w:lang w:val="en-US" w:eastAsia="zh-CN" w:bidi="ar-SA"/>
              </w:rPr>
              <w:t>面粉</w:t>
            </w:r>
          </w:p>
        </w:tc>
        <w:tc>
          <w:tcPr>
            <w:tcW w:w="1606" w:type="dxa"/>
            <w:noWrap w:val="0"/>
            <w:vAlign w:val="center"/>
          </w:tcPr>
          <w:p w14:paraId="70382419">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w:t>
            </w:r>
          </w:p>
        </w:tc>
        <w:tc>
          <w:tcPr>
            <w:tcW w:w="606" w:type="dxa"/>
            <w:vMerge w:val="continue"/>
            <w:noWrap w:val="0"/>
            <w:vAlign w:val="center"/>
          </w:tcPr>
          <w:p w14:paraId="1EF3B618">
            <w:pPr>
              <w:widowControl w:val="0"/>
              <w:spacing w:line="360" w:lineRule="auto"/>
              <w:ind w:left="0" w:firstLine="0"/>
              <w:jc w:val="center"/>
              <w:rPr>
                <w:rFonts w:ascii="Times New Roman" w:hAnsi="Times New Roman" w:eastAsia="宋体" w:cs="Times New Roman"/>
                <w:color w:val="000000"/>
                <w:sz w:val="21"/>
                <w:szCs w:val="21"/>
                <w:vertAlign w:val="baseline"/>
                <w:lang w:val="en-US" w:eastAsia="zh-CN" w:bidi="ar-SA"/>
              </w:rPr>
            </w:pPr>
          </w:p>
        </w:tc>
        <w:tc>
          <w:tcPr>
            <w:tcW w:w="1400" w:type="dxa"/>
            <w:noWrap w:val="0"/>
            <w:vAlign w:val="center"/>
          </w:tcPr>
          <w:p w14:paraId="02B5BCD1">
            <w:pPr>
              <w:widowControl w:val="0"/>
              <w:spacing w:line="360" w:lineRule="auto"/>
              <w:ind w:left="0" w:firstLine="0"/>
              <w:jc w:val="center"/>
              <w:rPr>
                <w:rFonts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color w:val="000000"/>
                <w:sz w:val="21"/>
                <w:szCs w:val="21"/>
                <w:vertAlign w:val="baseline"/>
                <w:lang w:val="en-US" w:eastAsia="zh-CN" w:bidi="ar-SA"/>
              </w:rPr>
              <w:t>甲醛废气</w:t>
            </w:r>
          </w:p>
        </w:tc>
        <w:tc>
          <w:tcPr>
            <w:tcW w:w="1702" w:type="dxa"/>
            <w:noWrap w:val="0"/>
            <w:vAlign w:val="center"/>
          </w:tcPr>
          <w:p w14:paraId="0321B5BC">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18.9</w:t>
            </w:r>
          </w:p>
        </w:tc>
      </w:tr>
      <w:tr w14:paraId="4C813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5" w:type="dxa"/>
            <w:noWrap w:val="0"/>
            <w:vAlign w:val="center"/>
          </w:tcPr>
          <w:p w14:paraId="582AEF2D">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6</w:t>
            </w:r>
          </w:p>
        </w:tc>
        <w:tc>
          <w:tcPr>
            <w:tcW w:w="2213" w:type="dxa"/>
            <w:noWrap w:val="0"/>
            <w:vAlign w:val="center"/>
          </w:tcPr>
          <w:p w14:paraId="25F87824">
            <w:pPr>
              <w:widowControl w:val="0"/>
              <w:spacing w:line="321" w:lineRule="exact"/>
              <w:ind w:right="115" w:firstLine="0"/>
              <w:jc w:val="center"/>
              <w:rPr>
                <w:rFonts w:ascii="Noto Sans CJK JP Regular" w:hAnsi="Noto Sans CJK JP Regular" w:eastAsia="宋体" w:cs="Noto Sans CJK JP Regular"/>
                <w:color w:val="000000"/>
                <w:sz w:val="21"/>
                <w:lang w:val="en-US" w:eastAsia="zh-CN" w:bidi="ar-SA"/>
              </w:rPr>
            </w:pPr>
            <w:r>
              <w:rPr>
                <w:rFonts w:hint="eastAsia" w:ascii="Times New Roman" w:hAnsi="Times New Roman" w:eastAsia="宋体" w:cs="Times New Roman"/>
                <w:sz w:val="21"/>
                <w:szCs w:val="21"/>
                <w:vertAlign w:val="baseline"/>
                <w:lang w:val="en-US" w:eastAsia="zh-CN" w:bidi="ar-SA"/>
              </w:rPr>
              <w:t>合计</w:t>
            </w:r>
          </w:p>
        </w:tc>
        <w:tc>
          <w:tcPr>
            <w:tcW w:w="1606" w:type="dxa"/>
            <w:noWrap w:val="0"/>
            <w:vAlign w:val="center"/>
          </w:tcPr>
          <w:p w14:paraId="535DF9E8">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260803</w:t>
            </w:r>
          </w:p>
        </w:tc>
        <w:tc>
          <w:tcPr>
            <w:tcW w:w="2006" w:type="dxa"/>
            <w:gridSpan w:val="2"/>
            <w:noWrap w:val="0"/>
            <w:vAlign w:val="center"/>
          </w:tcPr>
          <w:p w14:paraId="09399F5E">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合计</w:t>
            </w:r>
          </w:p>
        </w:tc>
        <w:tc>
          <w:tcPr>
            <w:tcW w:w="1702" w:type="dxa"/>
            <w:noWrap w:val="0"/>
            <w:vAlign w:val="center"/>
          </w:tcPr>
          <w:p w14:paraId="2090E07B">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260803</w:t>
            </w:r>
          </w:p>
        </w:tc>
      </w:tr>
    </w:tbl>
    <w:p w14:paraId="7D02009E">
      <w:pPr>
        <w:pStyle w:val="282"/>
        <w:rPr>
          <w:rFonts w:hint="eastAsia" w:ascii="Times New Roman" w:hAnsi="Times New Roman"/>
          <w:b w:val="0"/>
          <w:bCs/>
          <w:lang w:val="en-US" w:eastAsia="zh-CN"/>
        </w:rPr>
      </w:pPr>
      <w:r>
        <w:rPr>
          <w:rFonts w:hint="eastAsia" w:ascii="Times New Roman" w:hAnsi="Times New Roman"/>
          <w:b w:val="0"/>
          <w:bCs/>
          <w:lang w:val="en-US" w:eastAsia="zh-CN"/>
        </w:rPr>
        <w:t>4.2.3.2蒸汽平衡</w:t>
      </w:r>
    </w:p>
    <w:p w14:paraId="55F934A1">
      <w:pPr>
        <w:ind w:left="0" w:firstLine="480"/>
        <w:rPr>
          <w:color w:val="000000"/>
        </w:rPr>
      </w:pPr>
      <w:r>
        <w:t>项</w:t>
      </w:r>
      <w:r>
        <w:rPr>
          <w:color w:val="000000"/>
        </w:rPr>
        <w:t>目内使用的蒸汽均来自</w:t>
      </w:r>
      <w:r>
        <w:rPr>
          <w:rFonts w:hint="eastAsia"/>
          <w:color w:val="000000"/>
        </w:rPr>
        <w:t>热能中心蒸汽发生器</w:t>
      </w:r>
      <w:r>
        <w:rPr>
          <w:color w:val="000000"/>
        </w:rPr>
        <w:t>产生的蒸汽。项目内产生的蒸汽量和使用情况见下表。</w:t>
      </w:r>
    </w:p>
    <w:p w14:paraId="60515047">
      <w:pPr>
        <w:jc w:val="center"/>
        <w:rPr>
          <w:b/>
          <w:color w:val="000000"/>
          <w:sz w:val="24"/>
        </w:rPr>
      </w:pPr>
      <w:r>
        <w:rPr>
          <w:b/>
          <w:color w:val="000000"/>
          <w:sz w:val="24"/>
        </w:rPr>
        <w:t xml:space="preserve">   表</w:t>
      </w:r>
      <w:r>
        <w:rPr>
          <w:rFonts w:hint="eastAsia"/>
          <w:b/>
          <w:color w:val="000000"/>
          <w:sz w:val="24"/>
          <w:lang w:val="en-US" w:eastAsia="zh-CN"/>
        </w:rPr>
        <w:t>4.2</w:t>
      </w:r>
      <w:r>
        <w:rPr>
          <w:rFonts w:hint="eastAsia"/>
          <w:b/>
          <w:color w:val="000000"/>
          <w:sz w:val="24"/>
        </w:rPr>
        <w:t>-</w:t>
      </w:r>
      <w:r>
        <w:rPr>
          <w:rFonts w:hint="eastAsia"/>
          <w:b/>
          <w:color w:val="000000"/>
          <w:sz w:val="24"/>
          <w:lang w:val="en-US" w:eastAsia="zh-CN"/>
        </w:rPr>
        <w:t>5</w:t>
      </w:r>
      <w:r>
        <w:rPr>
          <w:b/>
          <w:color w:val="000000"/>
          <w:sz w:val="24"/>
        </w:rPr>
        <w:t xml:space="preserve">  项目蒸汽平衡表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9"/>
        <w:gridCol w:w="4064"/>
        <w:gridCol w:w="2685"/>
      </w:tblGrid>
      <w:tr w14:paraId="6D0D5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79" w:type="dxa"/>
            <w:noWrap w:val="0"/>
            <w:vAlign w:val="center"/>
          </w:tcPr>
          <w:p w14:paraId="11E896C8">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序号</w:t>
            </w:r>
          </w:p>
        </w:tc>
        <w:tc>
          <w:tcPr>
            <w:tcW w:w="4064" w:type="dxa"/>
            <w:noWrap w:val="0"/>
            <w:vAlign w:val="center"/>
          </w:tcPr>
          <w:p w14:paraId="1DAEAFA1">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装置名称</w:t>
            </w:r>
          </w:p>
        </w:tc>
        <w:tc>
          <w:tcPr>
            <w:tcW w:w="2685" w:type="dxa"/>
            <w:noWrap w:val="0"/>
            <w:vAlign w:val="center"/>
          </w:tcPr>
          <w:p w14:paraId="566D6D71">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蒸汽耗量(t/h)</w:t>
            </w:r>
          </w:p>
        </w:tc>
      </w:tr>
      <w:tr w14:paraId="70D41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3C877E35">
            <w:pPr>
              <w:spacing w:line="360" w:lineRule="auto"/>
              <w:ind w:left="0" w:firstLine="0"/>
              <w:jc w:val="center"/>
              <w:rPr>
                <w:rFonts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1</w:t>
            </w:r>
          </w:p>
        </w:tc>
        <w:tc>
          <w:tcPr>
            <w:tcW w:w="4064" w:type="dxa"/>
            <w:noWrap w:val="0"/>
            <w:vAlign w:val="center"/>
          </w:tcPr>
          <w:p w14:paraId="291E5185">
            <w:pPr>
              <w:jc w:val="center"/>
              <w:rPr>
                <w:rFonts w:eastAsia="宋体"/>
                <w:color w:val="000000"/>
                <w:sz w:val="21"/>
                <w:szCs w:val="21"/>
                <w:lang w:val="en-US" w:eastAsia="zh-CN"/>
              </w:rPr>
            </w:pPr>
            <w:r>
              <w:rPr>
                <w:rFonts w:hint="eastAsia"/>
                <w:color w:val="000000"/>
                <w:sz w:val="21"/>
                <w:szCs w:val="21"/>
                <w:lang w:val="en-US" w:eastAsia="zh-CN"/>
              </w:rPr>
              <w:t>板材</w:t>
            </w:r>
            <w:r>
              <w:rPr>
                <w:color w:val="000000"/>
                <w:sz w:val="21"/>
                <w:szCs w:val="21"/>
              </w:rPr>
              <w:t>车间</w:t>
            </w:r>
            <w:r>
              <w:rPr>
                <w:rFonts w:hint="eastAsia"/>
                <w:color w:val="000000"/>
                <w:sz w:val="21"/>
                <w:szCs w:val="21"/>
                <w:lang w:val="en-US" w:eastAsia="zh-CN"/>
              </w:rPr>
              <w:t>加层贴面</w:t>
            </w:r>
          </w:p>
        </w:tc>
        <w:tc>
          <w:tcPr>
            <w:tcW w:w="2685" w:type="dxa"/>
            <w:noWrap w:val="0"/>
            <w:vAlign w:val="center"/>
          </w:tcPr>
          <w:p w14:paraId="25A67F71">
            <w:pPr>
              <w:jc w:val="center"/>
              <w:rPr>
                <w:color w:val="000000"/>
                <w:sz w:val="21"/>
                <w:szCs w:val="21"/>
              </w:rPr>
            </w:pPr>
            <w:r>
              <w:rPr>
                <w:color w:val="000000"/>
                <w:sz w:val="21"/>
                <w:szCs w:val="21"/>
              </w:rPr>
              <w:t>+</w:t>
            </w:r>
            <w:r>
              <w:rPr>
                <w:rFonts w:hint="eastAsia"/>
                <w:color w:val="000000"/>
                <w:sz w:val="21"/>
                <w:szCs w:val="21"/>
              </w:rPr>
              <w:t>1.2</w:t>
            </w:r>
          </w:p>
        </w:tc>
      </w:tr>
      <w:tr w14:paraId="57C3F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exact"/>
          <w:jc w:val="center"/>
        </w:trPr>
        <w:tc>
          <w:tcPr>
            <w:tcW w:w="1779" w:type="dxa"/>
            <w:noWrap w:val="0"/>
            <w:vAlign w:val="center"/>
          </w:tcPr>
          <w:p w14:paraId="322BF068">
            <w:pPr>
              <w:spacing w:line="360" w:lineRule="auto"/>
              <w:ind w:left="0" w:firstLine="0"/>
              <w:jc w:val="center"/>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w:t>
            </w:r>
          </w:p>
        </w:tc>
        <w:tc>
          <w:tcPr>
            <w:tcW w:w="4064" w:type="dxa"/>
            <w:noWrap w:val="0"/>
            <w:vAlign w:val="center"/>
          </w:tcPr>
          <w:p w14:paraId="2FA8F6DF">
            <w:pPr>
              <w:jc w:val="center"/>
              <w:rPr>
                <w:color w:val="000000"/>
                <w:sz w:val="21"/>
                <w:szCs w:val="21"/>
              </w:rPr>
            </w:pPr>
            <w:r>
              <w:rPr>
                <w:color w:val="000000"/>
                <w:sz w:val="21"/>
                <w:szCs w:val="21"/>
              </w:rPr>
              <w:t>反应釜保温</w:t>
            </w:r>
          </w:p>
        </w:tc>
        <w:tc>
          <w:tcPr>
            <w:tcW w:w="2685" w:type="dxa"/>
            <w:noWrap w:val="0"/>
            <w:vAlign w:val="center"/>
          </w:tcPr>
          <w:p w14:paraId="1DDB4CD9">
            <w:pPr>
              <w:jc w:val="center"/>
              <w:rPr>
                <w:color w:val="000000"/>
                <w:sz w:val="21"/>
                <w:szCs w:val="21"/>
              </w:rPr>
            </w:pPr>
            <w:r>
              <w:rPr>
                <w:color w:val="000000"/>
                <w:sz w:val="21"/>
                <w:szCs w:val="21"/>
              </w:rPr>
              <w:t>+</w:t>
            </w:r>
            <w:r>
              <w:rPr>
                <w:rFonts w:hint="eastAsia"/>
                <w:color w:val="000000"/>
                <w:sz w:val="21"/>
                <w:szCs w:val="21"/>
              </w:rPr>
              <w:t>3</w:t>
            </w:r>
          </w:p>
        </w:tc>
      </w:tr>
      <w:tr w14:paraId="066F7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exact"/>
          <w:jc w:val="center"/>
        </w:trPr>
        <w:tc>
          <w:tcPr>
            <w:tcW w:w="1779" w:type="dxa"/>
            <w:noWrap w:val="0"/>
            <w:vAlign w:val="center"/>
          </w:tcPr>
          <w:p w14:paraId="22392F93">
            <w:pPr>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w:t>
            </w:r>
          </w:p>
        </w:tc>
        <w:tc>
          <w:tcPr>
            <w:tcW w:w="4064" w:type="dxa"/>
            <w:noWrap w:val="0"/>
            <w:vAlign w:val="center"/>
          </w:tcPr>
          <w:p w14:paraId="177CF665">
            <w:pPr>
              <w:jc w:val="center"/>
              <w:rPr>
                <w:rFonts w:eastAsia="宋体"/>
                <w:color w:val="000000"/>
                <w:sz w:val="21"/>
                <w:szCs w:val="21"/>
                <w:lang w:val="en-US" w:eastAsia="zh-CN"/>
              </w:rPr>
            </w:pPr>
            <w:r>
              <w:rPr>
                <w:rFonts w:hint="eastAsia"/>
                <w:color w:val="000000"/>
                <w:sz w:val="21"/>
                <w:szCs w:val="21"/>
                <w:lang w:val="en-US" w:eastAsia="zh-CN"/>
              </w:rPr>
              <w:t>苯酚保温</w:t>
            </w:r>
          </w:p>
        </w:tc>
        <w:tc>
          <w:tcPr>
            <w:tcW w:w="2685" w:type="dxa"/>
            <w:noWrap w:val="0"/>
            <w:vAlign w:val="center"/>
          </w:tcPr>
          <w:p w14:paraId="6C643634">
            <w:pPr>
              <w:jc w:val="center"/>
              <w:rPr>
                <w:rFonts w:eastAsia="宋体"/>
                <w:color w:val="000000"/>
                <w:sz w:val="21"/>
                <w:szCs w:val="21"/>
                <w:lang w:val="en-US" w:eastAsia="zh-CN"/>
              </w:rPr>
            </w:pPr>
            <w:r>
              <w:rPr>
                <w:rFonts w:hint="eastAsia"/>
                <w:color w:val="000000"/>
                <w:sz w:val="21"/>
                <w:szCs w:val="21"/>
                <w:lang w:val="en-US" w:eastAsia="zh-CN"/>
              </w:rPr>
              <w:t>+0.6</w:t>
            </w:r>
          </w:p>
        </w:tc>
      </w:tr>
      <w:tr w14:paraId="4EFE1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35DC59F0">
            <w:pPr>
              <w:spacing w:line="360" w:lineRule="auto"/>
              <w:ind w:left="0" w:firstLine="0"/>
              <w:jc w:val="center"/>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4</w:t>
            </w:r>
          </w:p>
        </w:tc>
        <w:tc>
          <w:tcPr>
            <w:tcW w:w="4064" w:type="dxa"/>
            <w:noWrap w:val="0"/>
            <w:vAlign w:val="center"/>
          </w:tcPr>
          <w:p w14:paraId="7A241021">
            <w:pPr>
              <w:jc w:val="center"/>
              <w:rPr>
                <w:color w:val="000000"/>
                <w:sz w:val="21"/>
                <w:szCs w:val="21"/>
              </w:rPr>
            </w:pPr>
            <w:r>
              <w:rPr>
                <w:color w:val="000000"/>
                <w:sz w:val="21"/>
                <w:szCs w:val="21"/>
              </w:rPr>
              <w:t>管网损失</w:t>
            </w:r>
          </w:p>
        </w:tc>
        <w:tc>
          <w:tcPr>
            <w:tcW w:w="2685" w:type="dxa"/>
            <w:noWrap w:val="0"/>
            <w:vAlign w:val="center"/>
          </w:tcPr>
          <w:p w14:paraId="3F457044">
            <w:pPr>
              <w:jc w:val="center"/>
              <w:rPr>
                <w:color w:val="000000"/>
                <w:sz w:val="21"/>
                <w:szCs w:val="21"/>
              </w:rPr>
            </w:pPr>
            <w:r>
              <w:rPr>
                <w:color w:val="000000"/>
                <w:sz w:val="21"/>
                <w:szCs w:val="21"/>
              </w:rPr>
              <w:t>+0.2</w:t>
            </w:r>
          </w:p>
        </w:tc>
      </w:tr>
      <w:tr w14:paraId="38778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3F7A2657">
            <w:pPr>
              <w:spacing w:line="360" w:lineRule="auto"/>
              <w:ind w:left="0" w:firstLine="0"/>
              <w:jc w:val="center"/>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5</w:t>
            </w:r>
          </w:p>
        </w:tc>
        <w:tc>
          <w:tcPr>
            <w:tcW w:w="4064" w:type="dxa"/>
            <w:noWrap w:val="0"/>
            <w:vAlign w:val="center"/>
          </w:tcPr>
          <w:p w14:paraId="11A1A60E">
            <w:pPr>
              <w:jc w:val="center"/>
              <w:rPr>
                <w:color w:val="000000"/>
                <w:sz w:val="21"/>
                <w:szCs w:val="21"/>
              </w:rPr>
            </w:pPr>
            <w:r>
              <w:rPr>
                <w:rFonts w:hint="eastAsia"/>
                <w:color w:val="000000"/>
                <w:sz w:val="21"/>
                <w:szCs w:val="21"/>
                <w:lang w:eastAsia="zh-CN"/>
              </w:rPr>
              <w:t>蒸汽发生器</w:t>
            </w:r>
            <w:r>
              <w:rPr>
                <w:color w:val="000000"/>
                <w:sz w:val="21"/>
                <w:szCs w:val="21"/>
              </w:rPr>
              <w:t>蒸汽产生量</w:t>
            </w:r>
          </w:p>
        </w:tc>
        <w:tc>
          <w:tcPr>
            <w:tcW w:w="2685" w:type="dxa"/>
            <w:noWrap w:val="0"/>
            <w:vAlign w:val="center"/>
          </w:tcPr>
          <w:p w14:paraId="103CB22F">
            <w:pPr>
              <w:jc w:val="center"/>
              <w:rPr>
                <w:color w:val="000000"/>
                <w:sz w:val="21"/>
                <w:szCs w:val="21"/>
              </w:rPr>
            </w:pPr>
            <w:r>
              <w:rPr>
                <w:color w:val="000000"/>
                <w:sz w:val="21"/>
                <w:szCs w:val="21"/>
              </w:rPr>
              <w:t>-</w:t>
            </w:r>
            <w:r>
              <w:rPr>
                <w:rFonts w:hint="eastAsia"/>
                <w:color w:val="000000"/>
                <w:sz w:val="21"/>
                <w:szCs w:val="21"/>
              </w:rPr>
              <w:t>5</w:t>
            </w:r>
          </w:p>
        </w:tc>
      </w:tr>
    </w:tbl>
    <w:p w14:paraId="6D81B18B">
      <w:pPr>
        <w:rPr>
          <w:color w:val="000000"/>
        </w:rPr>
      </w:pPr>
      <w:r>
        <w:rPr>
          <w:color w:val="000000"/>
          <w:sz w:val="18"/>
        </w:rPr>
        <w:t>注：表中“＋”表示消耗蒸汽量，“－”表示产出蒸汽量</w:t>
      </w:r>
      <w:r>
        <w:rPr>
          <w:color w:val="000000"/>
        </w:rPr>
        <w:t>。</w:t>
      </w:r>
    </w:p>
    <w:p w14:paraId="4A9AC028">
      <w:pPr>
        <w:pStyle w:val="219"/>
        <w:rPr>
          <w:color w:val="000000"/>
        </w:rPr>
      </w:pPr>
      <w:r>
        <w:rPr>
          <w:color w:val="000000"/>
        </w:rPr>
        <w:object>
          <v:shape id="_x0000_i1031" o:spt="75" type="#_x0000_t75" style="height:228.75pt;width:332.95pt;" o:ole="t" filled="f" o:preferrelative="t" stroked="f" coordsize="21600,21600">
            <v:path/>
            <v:fill on="f" focussize="0,0"/>
            <v:stroke on="f" joinstyle="miter"/>
            <v:imagedata r:id="rId44" o:title=""/>
            <o:lock v:ext="edit" rotation="t" aspectratio="t"/>
            <w10:wrap type="none"/>
            <w10:anchorlock/>
          </v:shape>
          <o:OLEObject Type="Embed" ProgID="Visio.Drawing.11" ShapeID="_x0000_i1031" DrawAspect="Content" ObjectID="_1468075731" r:id="rId43">
            <o:LockedField>false</o:LockedField>
          </o:OLEObject>
        </w:object>
      </w:r>
    </w:p>
    <w:p w14:paraId="4BE167CB">
      <w:pPr>
        <w:jc w:val="center"/>
        <w:rPr>
          <w:b/>
          <w:color w:val="000000"/>
          <w:sz w:val="24"/>
        </w:rPr>
      </w:pPr>
      <w:r>
        <w:rPr>
          <w:b/>
          <w:color w:val="000000"/>
          <w:sz w:val="24"/>
        </w:rPr>
        <w:t>图</w:t>
      </w:r>
      <w:r>
        <w:rPr>
          <w:rFonts w:hint="eastAsia"/>
          <w:b/>
          <w:color w:val="000000"/>
          <w:sz w:val="24"/>
          <w:lang w:val="en-US" w:eastAsia="zh-CN"/>
        </w:rPr>
        <w:t>4.2</w:t>
      </w:r>
      <w:r>
        <w:rPr>
          <w:rFonts w:hint="eastAsia"/>
          <w:b/>
          <w:color w:val="000000"/>
          <w:sz w:val="24"/>
        </w:rPr>
        <w:t>-</w:t>
      </w:r>
      <w:r>
        <w:rPr>
          <w:rFonts w:hint="eastAsia"/>
          <w:b/>
          <w:color w:val="000000"/>
          <w:sz w:val="24"/>
          <w:lang w:val="en-US" w:eastAsia="zh-CN"/>
        </w:rPr>
        <w:t xml:space="preserve">6 </w:t>
      </w:r>
      <w:r>
        <w:rPr>
          <w:b/>
          <w:color w:val="000000"/>
          <w:sz w:val="24"/>
        </w:rPr>
        <w:t xml:space="preserve"> 项目蒸汽平衡图</w:t>
      </w:r>
      <w:r>
        <w:rPr>
          <w:rFonts w:hint="eastAsia"/>
          <w:b/>
          <w:color w:val="000000"/>
          <w:sz w:val="24"/>
          <w:lang w:val="en-US" w:eastAsia="zh-CN"/>
        </w:rPr>
        <w:t xml:space="preserve">  </w:t>
      </w:r>
      <w:r>
        <w:rPr>
          <w:b/>
          <w:color w:val="000000"/>
          <w:sz w:val="24"/>
        </w:rPr>
        <w:t>（单位：t/</w:t>
      </w:r>
      <w:r>
        <w:rPr>
          <w:rFonts w:hint="eastAsia"/>
          <w:b/>
          <w:color w:val="000000"/>
          <w:sz w:val="24"/>
          <w:lang w:val="en-US" w:eastAsia="zh-CN"/>
        </w:rPr>
        <w:t>h</w:t>
      </w:r>
      <w:r>
        <w:rPr>
          <w:b/>
          <w:color w:val="000000"/>
          <w:sz w:val="24"/>
        </w:rPr>
        <w:t>）</w:t>
      </w:r>
    </w:p>
    <w:p w14:paraId="767CDAFC">
      <w:pPr>
        <w:pStyle w:val="282"/>
        <w:rPr>
          <w:rFonts w:hint="eastAsia"/>
        </w:rPr>
      </w:pPr>
      <w:r>
        <w:rPr>
          <w:rFonts w:hint="eastAsia"/>
          <w:lang w:val="en-US" w:eastAsia="zh-CN"/>
        </w:rPr>
        <w:t>4.2</w:t>
      </w:r>
      <w:r>
        <w:rPr>
          <w:rFonts w:hint="eastAsia"/>
        </w:rPr>
        <w:t>.3.</w:t>
      </w:r>
      <w:r>
        <w:rPr>
          <w:rFonts w:hint="eastAsia"/>
          <w:lang w:val="en-US" w:eastAsia="zh-CN"/>
        </w:rPr>
        <w:t>2</w:t>
      </w:r>
      <w:r>
        <w:rPr>
          <w:rFonts w:hint="eastAsia"/>
        </w:rPr>
        <w:t>水平衡</w:t>
      </w:r>
    </w:p>
    <w:p w14:paraId="0FA382A7">
      <w:pPr>
        <w:pStyle w:val="2"/>
        <w:ind w:firstLine="480"/>
        <w:rPr>
          <w:rFonts w:hAnsi="宋体" w:cs="宋体"/>
          <w:sz w:val="24"/>
          <w:szCs w:val="24"/>
        </w:rPr>
      </w:pPr>
      <w:r>
        <w:rPr>
          <w:rFonts w:hint="eastAsia" w:hAnsi="宋体" w:cs="宋体"/>
          <w:sz w:val="24"/>
          <w:szCs w:val="24"/>
        </w:rPr>
        <w:t>（一）</w:t>
      </w:r>
      <w:r>
        <w:rPr>
          <w:rFonts w:hAnsi="宋体" w:cs="宋体"/>
          <w:sz w:val="24"/>
          <w:szCs w:val="24"/>
        </w:rPr>
        <w:t>项目生产用水分析</w:t>
      </w:r>
    </w:p>
    <w:p w14:paraId="79079938">
      <w:pPr>
        <w:pStyle w:val="473"/>
        <w:keepNext w:val="0"/>
        <w:keepLines w:val="0"/>
        <w:pageBreakBefore w:val="0"/>
        <w:widowControl/>
        <w:numPr>
          <w:ilvl w:val="0"/>
          <w:numId w:val="0"/>
        </w:numPr>
        <w:tabs>
          <w:tab w:val="left" w:pos="1548"/>
        </w:tabs>
        <w:spacing w:after="0" w:line="360" w:lineRule="auto"/>
        <w:ind w:left="0" w:right="0" w:firstLine="480"/>
        <w:jc w:val="left"/>
        <w:rPr>
          <w:rFonts w:ascii="Times New Roman" w:hAnsi="Times New Roman" w:cs="Times New Roman"/>
          <w:sz w:val="24"/>
          <w:szCs w:val="24"/>
          <w:lang w:val="en-US" w:eastAsia="zh-CN" w:bidi="ar-SA"/>
        </w:rPr>
      </w:pPr>
      <w:r>
        <w:rPr>
          <w:rFonts w:hint="eastAsia" w:ascii="Times New Roman" w:hAnsi="Times New Roman" w:cs="Times New Roman"/>
          <w:sz w:val="24"/>
          <w:szCs w:val="24"/>
          <w:lang w:val="en-US" w:eastAsia="zh-CN" w:bidi="ar-SA"/>
        </w:rPr>
        <w:t>根据建设方提供的资料，项目在运营过程中不对车间地面进行清洗，调胶过程中无需加入水，因此无地面冲洗废水及调胶废水产生。</w:t>
      </w:r>
    </w:p>
    <w:p w14:paraId="5F052E80">
      <w:pPr>
        <w:pStyle w:val="473"/>
        <w:keepNext w:val="0"/>
        <w:keepLines w:val="0"/>
        <w:pageBreakBefore w:val="0"/>
        <w:widowControl/>
        <w:numPr>
          <w:ilvl w:val="0"/>
          <w:numId w:val="0"/>
        </w:numPr>
        <w:tabs>
          <w:tab w:val="left" w:pos="1548"/>
        </w:tabs>
        <w:spacing w:after="0" w:line="360" w:lineRule="auto"/>
        <w:ind w:left="0" w:right="0" w:firstLine="480"/>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1、</w:t>
      </w:r>
      <w:r>
        <w:rPr>
          <w:rFonts w:hint="eastAsia" w:ascii="Times New Roman" w:hAnsi="Times New Roman" w:cs="Times New Roman"/>
          <w:sz w:val="24"/>
          <w:szCs w:val="24"/>
          <w:lang w:val="en-US" w:eastAsia="zh-CN" w:bidi="ar-SA"/>
        </w:rPr>
        <w:t>设备冷却用水</w:t>
      </w:r>
    </w:p>
    <w:p w14:paraId="112637E6">
      <w:pPr>
        <w:pStyle w:val="219"/>
        <w:keepNext w:val="0"/>
        <w:keepLines w:val="0"/>
        <w:pageBreakBefore w:val="0"/>
        <w:widowControl/>
        <w:spacing w:line="360" w:lineRule="auto"/>
        <w:ind w:left="0" w:right="0" w:firstLine="480"/>
        <w:rPr>
          <w:rFonts w:ascii="Times New Roman" w:hAnsi="Times New Roman" w:cs="Times New Roman"/>
          <w:color w:val="FF0000"/>
          <w:sz w:val="24"/>
          <w:szCs w:val="24"/>
          <w:lang w:val="en-US" w:eastAsia="zh-CN" w:bidi="ar-SA"/>
        </w:rPr>
      </w:pPr>
      <w:r>
        <w:rPr>
          <w:rFonts w:hint="eastAsia" w:ascii="Times New Roman" w:hAnsi="Times New Roman" w:cs="Times New Roman"/>
          <w:sz w:val="24"/>
          <w:szCs w:val="24"/>
          <w:lang w:val="en-US" w:eastAsia="zh-CN" w:bidi="ar-SA"/>
        </w:rPr>
        <w:t>改扩建后，</w:t>
      </w:r>
      <w:r>
        <w:rPr>
          <w:rFonts w:ascii="Times New Roman" w:hAnsi="Times New Roman" w:cs="Times New Roman"/>
          <w:sz w:val="24"/>
          <w:szCs w:val="24"/>
          <w:lang w:val="en-US" w:eastAsia="zh-CN" w:bidi="ar-SA"/>
        </w:rPr>
        <w:t>项目在制胶过程中冷凝器、反应釜等设备冷却水循环使用，</w:t>
      </w:r>
      <w:r>
        <w:rPr>
          <w:rFonts w:hint="eastAsia" w:ascii="Times New Roman" w:hAnsi="Times New Roman" w:cs="Times New Roman"/>
          <w:sz w:val="24"/>
          <w:szCs w:val="24"/>
          <w:lang w:val="en-US" w:eastAsia="zh-CN" w:bidi="ar-SA"/>
        </w:rPr>
        <w:t>根据建设单位提供的数据，</w:t>
      </w:r>
      <w:r>
        <w:rPr>
          <w:rFonts w:ascii="Times New Roman" w:hAnsi="Times New Roman" w:cs="Times New Roman"/>
          <w:sz w:val="24"/>
          <w:szCs w:val="24"/>
          <w:lang w:val="en-US" w:eastAsia="zh-CN" w:bidi="ar-SA"/>
        </w:rPr>
        <w:t>循环水量约为20m</w:t>
      </w:r>
      <w:r>
        <w:rPr>
          <w:rFonts w:ascii="Times New Roman" w:hAnsi="Times New Roman" w:cs="Times New Roman"/>
          <w:sz w:val="24"/>
          <w:szCs w:val="24"/>
          <w:vertAlign w:val="superscript"/>
          <w:lang w:val="en-US" w:eastAsia="zh-CN" w:bidi="ar-SA"/>
        </w:rPr>
        <w:t>3</w:t>
      </w:r>
      <w:r>
        <w:rPr>
          <w:rFonts w:ascii="Times New Roman" w:hAnsi="Times New Roman" w:cs="Times New Roman"/>
          <w:sz w:val="24"/>
          <w:szCs w:val="24"/>
          <w:lang w:val="en-US" w:eastAsia="zh-CN" w:bidi="ar-SA"/>
        </w:rPr>
        <w:t>/d，日损耗量按循环水量的1%计，则循环用水损耗量为 0.2m</w:t>
      </w:r>
      <w:r>
        <w:rPr>
          <w:rFonts w:hint="eastAsia" w:ascii="Times New Roman" w:hAnsi="Times New Roman" w:cs="Times New Roman"/>
          <w:sz w:val="24"/>
          <w:szCs w:val="24"/>
          <w:vertAlign w:val="superscript"/>
          <w:lang w:val="en-US" w:eastAsia="zh-CN" w:bidi="ar-SA"/>
        </w:rPr>
        <w:t>3</w:t>
      </w:r>
      <w:r>
        <w:rPr>
          <w:rFonts w:ascii="Times New Roman" w:hAnsi="Times New Roman" w:cs="Times New Roman"/>
          <w:sz w:val="24"/>
          <w:szCs w:val="24"/>
          <w:lang w:val="en-US" w:eastAsia="zh-CN" w:bidi="ar-SA"/>
        </w:rPr>
        <w:t>/d，因此循环水补充量为0.2m</w:t>
      </w:r>
      <w:r>
        <w:rPr>
          <w:rFonts w:hint="eastAsia" w:ascii="Times New Roman" w:hAnsi="Times New Roman" w:cs="Times New Roman"/>
          <w:sz w:val="24"/>
          <w:szCs w:val="24"/>
          <w:vertAlign w:val="superscript"/>
          <w:lang w:val="en-US" w:eastAsia="zh-CN" w:bidi="ar-SA"/>
        </w:rPr>
        <w:t>3</w:t>
      </w:r>
      <w:r>
        <w:rPr>
          <w:rFonts w:ascii="Times New Roman" w:hAnsi="Times New Roman" w:cs="Times New Roman"/>
          <w:sz w:val="24"/>
          <w:szCs w:val="24"/>
          <w:lang w:val="en-US" w:eastAsia="zh-CN" w:bidi="ar-SA"/>
        </w:rPr>
        <w:t>/d，60.0m</w:t>
      </w:r>
      <w:r>
        <w:rPr>
          <w:rFonts w:hint="eastAsia" w:ascii="Times New Roman" w:hAnsi="Times New Roman" w:cs="Times New Roman"/>
          <w:sz w:val="24"/>
          <w:szCs w:val="24"/>
          <w:vertAlign w:val="superscript"/>
          <w:lang w:val="en-US" w:eastAsia="zh-CN" w:bidi="ar-SA"/>
        </w:rPr>
        <w:t>3</w:t>
      </w:r>
      <w:r>
        <w:rPr>
          <w:rFonts w:ascii="Times New Roman" w:hAnsi="Times New Roman" w:cs="Times New Roman"/>
          <w:sz w:val="24"/>
          <w:szCs w:val="24"/>
          <w:lang w:val="en-US" w:eastAsia="zh-CN" w:bidi="ar-SA"/>
        </w:rPr>
        <w:t>/a。</w:t>
      </w:r>
    </w:p>
    <w:p w14:paraId="3C68D201">
      <w:pPr>
        <w:pStyle w:val="473"/>
        <w:keepNext w:val="0"/>
        <w:keepLines w:val="0"/>
        <w:pageBreakBefore w:val="0"/>
        <w:widowControl/>
        <w:numPr>
          <w:ilvl w:val="0"/>
          <w:numId w:val="0"/>
        </w:numPr>
        <w:tabs>
          <w:tab w:val="left" w:pos="1548"/>
        </w:tabs>
        <w:spacing w:after="0" w:line="360" w:lineRule="auto"/>
        <w:ind w:left="0" w:right="0" w:firstLine="480"/>
        <w:jc w:val="left"/>
        <w:rPr>
          <w:rFonts w:ascii="Times New Roman" w:hAnsi="Times New Roman" w:cs="Times New Roman"/>
          <w:sz w:val="24"/>
          <w:szCs w:val="24"/>
          <w:lang w:val="en-US" w:eastAsia="zh-CN" w:bidi="ar-SA"/>
        </w:rPr>
      </w:pPr>
      <w:r>
        <w:rPr>
          <w:rFonts w:hint="eastAsia" w:ascii="Times New Roman" w:hAnsi="Times New Roman" w:cs="Times New Roman"/>
          <w:sz w:val="24"/>
          <w:szCs w:val="24"/>
          <w:lang w:val="en-US" w:eastAsia="zh-CN" w:bidi="ar-SA"/>
        </w:rPr>
        <w:t>2、</w:t>
      </w:r>
      <w:r>
        <w:rPr>
          <w:rFonts w:ascii="Times New Roman" w:hAnsi="Times New Roman" w:cs="Times New Roman"/>
          <w:sz w:val="24"/>
          <w:szCs w:val="24"/>
          <w:lang w:val="en-US" w:eastAsia="zh-CN" w:bidi="ar-SA"/>
        </w:rPr>
        <w:t>制胶用水</w:t>
      </w:r>
    </w:p>
    <w:p w14:paraId="521C3AAB">
      <w:pPr>
        <w:spacing w:line="360" w:lineRule="auto"/>
        <w:ind w:firstLine="480"/>
        <w:rPr>
          <w:rFonts w:ascii="Times New Roman" w:hAnsi="Times New Roman" w:eastAsia="宋体" w:cs="Times New Roman"/>
          <w:sz w:val="24"/>
          <w:szCs w:val="24"/>
          <w:lang w:val="en-US" w:eastAsia="zh-CN" w:bidi="ar-SA"/>
        </w:rPr>
      </w:pPr>
      <w:r>
        <w:rPr>
          <w:rFonts w:hint="eastAsia" w:ascii="Times New Roman" w:hAnsi="Times New Roman" w:cs="Times New Roman"/>
          <w:sz w:val="24"/>
          <w:szCs w:val="24"/>
          <w:lang w:val="en-US" w:eastAsia="zh-CN" w:bidi="ar-SA"/>
        </w:rPr>
        <w:t>改扩建后，</w:t>
      </w:r>
      <w:r>
        <w:rPr>
          <w:rFonts w:ascii="Times New Roman" w:hAnsi="Times New Roman" w:cs="Times New Roman"/>
          <w:sz w:val="24"/>
          <w:szCs w:val="24"/>
          <w:lang w:val="en-US" w:eastAsia="zh-CN" w:bidi="ar-SA"/>
        </w:rPr>
        <w:t>项目</w:t>
      </w:r>
      <w:r>
        <w:rPr>
          <w:rFonts w:hint="eastAsia" w:ascii="Times New Roman" w:hAnsi="Times New Roman" w:cs="Times New Roman"/>
          <w:sz w:val="24"/>
          <w:szCs w:val="24"/>
          <w:lang w:val="en-US" w:eastAsia="zh-CN" w:bidi="ar-SA"/>
        </w:rPr>
        <w:t>增设制胶生产线，在酚醛树脂胶生产过程中会加入一定量的新鲜水，加入新鲜水混合在胶内，因此无废水产生量，</w:t>
      </w:r>
      <w:r>
        <w:rPr>
          <w:rFonts w:ascii="Times New Roman" w:hAnsi="Times New Roman" w:cs="Times New Roman"/>
          <w:sz w:val="24"/>
          <w:szCs w:val="24"/>
          <w:lang w:val="en-US" w:eastAsia="zh-CN" w:bidi="ar-SA"/>
        </w:rPr>
        <w:t>制胶生产过程需加入水量</w:t>
      </w:r>
      <w:r>
        <w:rPr>
          <w:rFonts w:ascii="Times New Roman" w:hAnsi="Times New Roman" w:eastAsia="宋体" w:cs="Times New Roman"/>
          <w:sz w:val="24"/>
          <w:szCs w:val="24"/>
          <w:lang w:val="en-US" w:eastAsia="zh-CN" w:bidi="ar-SA"/>
        </w:rPr>
        <w:t>为0.67 m</w:t>
      </w:r>
      <w:r>
        <w:rPr>
          <w:rFonts w:ascii="Times New Roman" w:hAnsi="Times New Roman" w:eastAsia="宋体" w:cs="Times New Roman"/>
          <w:sz w:val="24"/>
          <w:szCs w:val="24"/>
          <w:vertAlign w:val="superscript"/>
          <w:lang w:val="en-US" w:eastAsia="zh-CN" w:bidi="ar-SA"/>
        </w:rPr>
        <w:t>3</w:t>
      </w:r>
      <w:r>
        <w:rPr>
          <w:rFonts w:ascii="Times New Roman" w:hAnsi="Times New Roman" w:eastAsia="宋体" w:cs="Times New Roman"/>
          <w:sz w:val="24"/>
          <w:szCs w:val="24"/>
          <w:lang w:val="en-US" w:eastAsia="zh-CN" w:bidi="ar-SA"/>
        </w:rPr>
        <w:t>/d、200m</w:t>
      </w:r>
      <w:r>
        <w:rPr>
          <w:rFonts w:hint="eastAsia" w:ascii="Times New Roman" w:hAnsi="Times New Roman" w:eastAsia="宋体" w:cs="Times New Roman"/>
          <w:sz w:val="24"/>
          <w:szCs w:val="24"/>
          <w:vertAlign w:val="superscript"/>
          <w:lang w:val="en-US" w:eastAsia="zh-CN" w:bidi="ar-SA"/>
        </w:rPr>
        <w:t>3</w:t>
      </w:r>
      <w:r>
        <w:rPr>
          <w:rFonts w:ascii="Times New Roman" w:hAnsi="Times New Roman" w:eastAsia="宋体" w:cs="Times New Roman"/>
          <w:sz w:val="24"/>
          <w:szCs w:val="24"/>
          <w:lang w:val="en-US" w:eastAsia="zh-CN" w:bidi="ar-SA"/>
        </w:rPr>
        <w:t>/a。</w:t>
      </w:r>
    </w:p>
    <w:p w14:paraId="12F3625D">
      <w:pPr>
        <w:spacing w:line="360" w:lineRule="auto"/>
        <w:ind w:firstLine="480"/>
        <w:rPr>
          <w:rFonts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3、真空脱水</w:t>
      </w:r>
    </w:p>
    <w:p w14:paraId="636CD9F5">
      <w:pPr>
        <w:spacing w:line="360" w:lineRule="auto"/>
        <w:ind w:firstLine="480"/>
        <w:rPr>
          <w:rFonts w:ascii="Times New Roman" w:hAnsi="Times New Roman" w:eastAsia="宋体" w:cs="Times New Roman"/>
          <w:color w:val="000000"/>
          <w:sz w:val="24"/>
          <w:szCs w:val="22"/>
          <w:lang w:val="en-US" w:eastAsia="zh-CN"/>
        </w:rPr>
      </w:pPr>
      <w:r>
        <w:rPr>
          <w:rFonts w:hint="eastAsia" w:ascii="Times New Roman" w:hAnsi="Times New Roman" w:eastAsia="宋体" w:cs="Times New Roman"/>
          <w:sz w:val="24"/>
          <w:szCs w:val="24"/>
          <w:lang w:val="en-US" w:eastAsia="zh-CN" w:bidi="ar-SA"/>
        </w:rPr>
        <w:t>由于原料含水，</w:t>
      </w:r>
      <w:r>
        <w:rPr>
          <w:rFonts w:hint="eastAsia" w:ascii="Times New Roman" w:hAnsi="Times New Roman" w:eastAsia="宋体" w:cs="Times New Roman"/>
          <w:color w:val="000000"/>
          <w:sz w:val="24"/>
          <w:szCs w:val="22"/>
          <w:lang w:val="en-US" w:eastAsia="zh-CN"/>
        </w:rPr>
        <w:t>在制胶过程中需要采用</w:t>
      </w:r>
      <w:r>
        <w:rPr>
          <w:rFonts w:ascii="Times New Roman" w:hAnsi="Times New Roman" w:eastAsia="宋体" w:cs="Times New Roman"/>
          <w:color w:val="000000"/>
          <w:sz w:val="24"/>
          <w:szCs w:val="22"/>
        </w:rPr>
        <w:t>真空泵进行真空脱水，脱水过程中产生的含游离甲醛的废水排至</w:t>
      </w:r>
      <w:r>
        <w:rPr>
          <w:rFonts w:ascii="Times New Roman" w:hAnsi="Times New Roman" w:eastAsia="宋体" w:cs="Times New Roman"/>
          <w:color w:val="000000"/>
          <w:sz w:val="24"/>
          <w:szCs w:val="22"/>
          <w:lang w:val="en-US" w:eastAsia="zh-CN"/>
        </w:rPr>
        <w:t>脱水罐</w:t>
      </w:r>
      <w:r>
        <w:rPr>
          <w:rFonts w:ascii="Times New Roman" w:hAnsi="Times New Roman" w:eastAsia="宋体" w:cs="Times New Roman"/>
          <w:color w:val="000000"/>
          <w:sz w:val="24"/>
          <w:szCs w:val="22"/>
        </w:rPr>
        <w:t>内进行收集</w:t>
      </w:r>
      <w:r>
        <w:rPr>
          <w:rFonts w:hint="eastAsia" w:ascii="Times New Roman" w:hAnsi="Times New Roman" w:eastAsia="宋体" w:cs="Times New Roman"/>
          <w:color w:val="000000"/>
          <w:sz w:val="24"/>
          <w:szCs w:val="22"/>
          <w:lang w:eastAsia="zh-CN"/>
        </w:rPr>
        <w:t>，</w:t>
      </w:r>
      <w:r>
        <w:rPr>
          <w:rFonts w:hint="eastAsia" w:ascii="Times New Roman" w:hAnsi="Times New Roman" w:eastAsia="宋体" w:cs="Times New Roman"/>
          <w:color w:val="000000"/>
          <w:sz w:val="24"/>
          <w:szCs w:val="22"/>
          <w:lang w:val="en-US" w:eastAsia="zh-CN"/>
        </w:rPr>
        <w:t>返回生产工艺作为制胶用水的补水，根据建设单位提供的数据，脱水量约30m</w:t>
      </w:r>
      <w:r>
        <w:rPr>
          <w:rFonts w:hint="eastAsia" w:ascii="Times New Roman" w:hAnsi="Times New Roman" w:eastAsia="宋体" w:cs="Times New Roman"/>
          <w:color w:val="000000"/>
          <w:sz w:val="24"/>
          <w:szCs w:val="22"/>
          <w:vertAlign w:val="superscript"/>
          <w:lang w:val="en-US" w:eastAsia="zh-CN"/>
        </w:rPr>
        <w:t>3</w:t>
      </w:r>
      <w:r>
        <w:rPr>
          <w:rFonts w:hint="eastAsia" w:ascii="Times New Roman" w:hAnsi="Times New Roman" w:eastAsia="宋体" w:cs="Times New Roman"/>
          <w:color w:val="000000"/>
          <w:sz w:val="24"/>
          <w:szCs w:val="22"/>
          <w:lang w:val="en-US" w:eastAsia="zh-CN"/>
        </w:rPr>
        <w:t>/a，0.1m</w:t>
      </w:r>
      <w:r>
        <w:rPr>
          <w:rFonts w:hint="eastAsia" w:ascii="Times New Roman" w:hAnsi="Times New Roman" w:eastAsia="宋体" w:cs="Times New Roman"/>
          <w:color w:val="000000"/>
          <w:sz w:val="24"/>
          <w:szCs w:val="22"/>
          <w:vertAlign w:val="superscript"/>
          <w:lang w:val="en-US" w:eastAsia="zh-CN"/>
        </w:rPr>
        <w:t>3</w:t>
      </w:r>
      <w:r>
        <w:rPr>
          <w:rFonts w:hint="eastAsia" w:ascii="Times New Roman" w:hAnsi="Times New Roman" w:eastAsia="宋体" w:cs="Times New Roman"/>
          <w:color w:val="000000"/>
          <w:sz w:val="24"/>
          <w:szCs w:val="22"/>
          <w:lang w:val="en-US" w:eastAsia="zh-CN"/>
        </w:rPr>
        <w:t>/d。</w:t>
      </w:r>
    </w:p>
    <w:p w14:paraId="1E11C6BB">
      <w:pPr>
        <w:spacing w:line="360" w:lineRule="auto"/>
        <w:ind w:firstLine="480"/>
        <w:rPr>
          <w:b w:val="0"/>
          <w:bCs/>
          <w:color w:val="000000"/>
          <w:sz w:val="24"/>
        </w:rPr>
      </w:pPr>
      <w:r>
        <w:rPr>
          <w:rFonts w:hint="eastAsia"/>
          <w:b w:val="0"/>
          <w:bCs/>
          <w:color w:val="000000"/>
          <w:sz w:val="24"/>
          <w:lang w:val="en-US" w:eastAsia="zh-CN"/>
        </w:rPr>
        <w:t>4、</w:t>
      </w:r>
      <w:r>
        <w:rPr>
          <w:b w:val="0"/>
          <w:bCs/>
          <w:color w:val="000000"/>
          <w:sz w:val="24"/>
        </w:rPr>
        <w:t>调胶</w:t>
      </w:r>
      <w:r>
        <w:rPr>
          <w:rFonts w:hint="eastAsia"/>
          <w:b w:val="0"/>
          <w:bCs/>
          <w:color w:val="000000"/>
          <w:sz w:val="24"/>
          <w:lang w:val="en-US" w:eastAsia="zh-CN"/>
        </w:rPr>
        <w:t>设备</w:t>
      </w:r>
      <w:r>
        <w:rPr>
          <w:b w:val="0"/>
          <w:bCs/>
          <w:color w:val="000000"/>
          <w:sz w:val="24"/>
        </w:rPr>
        <w:t>清洗用排水</w:t>
      </w:r>
    </w:p>
    <w:p w14:paraId="0FA16F04">
      <w:pPr>
        <w:keepNext w:val="0"/>
        <w:keepLines w:val="0"/>
        <w:widowControl/>
        <w:suppressLineNumbers w:val="0"/>
        <w:jc w:val="left"/>
        <w:rPr>
          <w:color w:val="000000"/>
          <w:sz w:val="24"/>
        </w:rPr>
      </w:pPr>
      <w:r>
        <w:rPr>
          <w:rFonts w:hint="eastAsia"/>
          <w:color w:val="000000"/>
          <w:sz w:val="24"/>
          <w:lang w:val="en-US" w:eastAsia="zh-CN"/>
        </w:rPr>
        <w:t>根据与建设方核实，项目在制胶过程中无需对反应釜清洗，仅在板材生产过程中</w:t>
      </w:r>
      <w:r>
        <w:rPr>
          <w:color w:val="000000"/>
          <w:sz w:val="24"/>
        </w:rPr>
        <w:t>，拌胶、调胶设备及槽、罐等需进行清洗</w:t>
      </w:r>
      <w:r>
        <w:rPr>
          <w:rFonts w:hint="eastAsia"/>
          <w:color w:val="000000"/>
          <w:sz w:val="24"/>
          <w:lang w:eastAsia="zh-CN"/>
        </w:rPr>
        <w:t>，</w:t>
      </w:r>
      <w:r>
        <w:rPr>
          <w:rFonts w:hint="eastAsia"/>
          <w:color w:val="000000"/>
          <w:sz w:val="24"/>
          <w:lang w:val="en-US" w:eastAsia="zh-CN"/>
        </w:rPr>
        <w:t>根据建设单位提供的数据，平均1个月清洗1次，100L/次，则</w:t>
      </w:r>
      <w:r>
        <w:rPr>
          <w:color w:val="000000"/>
          <w:sz w:val="24"/>
        </w:rPr>
        <w:t>调胶清洗用水量为</w:t>
      </w:r>
      <w:r>
        <w:rPr>
          <w:rFonts w:hint="eastAsia"/>
          <w:color w:val="000000"/>
          <w:sz w:val="24"/>
          <w:lang w:val="en-US" w:eastAsia="zh-CN"/>
        </w:rPr>
        <w:t>0.004</w:t>
      </w:r>
      <w:r>
        <w:rPr>
          <w:color w:val="000000"/>
          <w:sz w:val="24"/>
        </w:rPr>
        <w:t>m</w:t>
      </w:r>
      <w:r>
        <w:rPr>
          <w:rFonts w:hint="eastAsia"/>
          <w:color w:val="000000"/>
          <w:sz w:val="24"/>
          <w:vertAlign w:val="superscript"/>
          <w:lang w:val="en-US" w:eastAsia="zh-CN"/>
        </w:rPr>
        <w:t>3</w:t>
      </w:r>
      <w:r>
        <w:rPr>
          <w:color w:val="000000"/>
          <w:sz w:val="24"/>
        </w:rPr>
        <w:t>/d、1</w:t>
      </w:r>
      <w:r>
        <w:rPr>
          <w:rFonts w:hint="eastAsia"/>
          <w:color w:val="000000"/>
          <w:sz w:val="24"/>
          <w:lang w:val="en-US" w:eastAsia="zh-CN"/>
        </w:rPr>
        <w:t>.2</w:t>
      </w:r>
      <w:r>
        <w:rPr>
          <w:color w:val="000000"/>
          <w:sz w:val="24"/>
        </w:rPr>
        <w:t>m</w:t>
      </w:r>
      <w:r>
        <w:rPr>
          <w:rFonts w:hint="eastAsia"/>
          <w:color w:val="000000"/>
          <w:sz w:val="24"/>
          <w:vertAlign w:val="superscript"/>
          <w:lang w:val="en-US" w:eastAsia="zh-CN"/>
        </w:rPr>
        <w:t>3</w:t>
      </w:r>
      <w:r>
        <w:rPr>
          <w:color w:val="000000"/>
          <w:sz w:val="24"/>
        </w:rPr>
        <w:t>/a，</w:t>
      </w:r>
      <w:r>
        <w:rPr>
          <w:rFonts w:hint="eastAsia" w:ascii="宋体" w:hAnsi="宋体" w:eastAsia="宋体" w:cs="宋体"/>
          <w:color w:val="000000"/>
          <w:sz w:val="24"/>
          <w:szCs w:val="24"/>
          <w:lang w:val="en-US" w:eastAsia="zh-CN" w:bidi="ar"/>
        </w:rPr>
        <w:t xml:space="preserve">排水系数取 </w:t>
      </w:r>
      <w:r>
        <w:rPr>
          <w:rFonts w:ascii="Times New Roman" w:hAnsi="Times New Roman" w:eastAsia="宋体" w:cs="Times New Roman"/>
          <w:color w:val="000000"/>
          <w:sz w:val="24"/>
          <w:szCs w:val="24"/>
          <w:lang w:val="en-US" w:eastAsia="zh-CN" w:bidi="ar"/>
        </w:rPr>
        <w:t>0.9</w:t>
      </w:r>
      <w:r>
        <w:rPr>
          <w:rFonts w:hint="eastAsia" w:ascii="Times New Roman" w:hAnsi="Times New Roman" w:eastAsia="宋体" w:cs="Times New Roman"/>
          <w:color w:val="000000"/>
          <w:sz w:val="24"/>
          <w:szCs w:val="24"/>
          <w:lang w:val="en-US" w:eastAsia="zh-CN" w:bidi="ar"/>
        </w:rPr>
        <w:t>，</w:t>
      </w:r>
      <w:r>
        <w:rPr>
          <w:color w:val="000000"/>
          <w:sz w:val="24"/>
        </w:rPr>
        <w:t>废水产生量为</w:t>
      </w:r>
      <w:r>
        <w:rPr>
          <w:rFonts w:hint="eastAsia"/>
          <w:color w:val="000000"/>
          <w:sz w:val="24"/>
          <w:lang w:val="en-US" w:eastAsia="zh-CN"/>
        </w:rPr>
        <w:t>0.0036</w:t>
      </w:r>
      <w:r>
        <w:rPr>
          <w:color w:val="000000"/>
          <w:sz w:val="24"/>
        </w:rPr>
        <w:t>m</w:t>
      </w:r>
      <w:r>
        <w:rPr>
          <w:color w:val="000000"/>
          <w:sz w:val="24"/>
          <w:vertAlign w:val="superscript"/>
        </w:rPr>
        <w:t>3</w:t>
      </w:r>
      <w:r>
        <w:rPr>
          <w:color w:val="000000"/>
          <w:sz w:val="24"/>
        </w:rPr>
        <w:t>/d，1</w:t>
      </w:r>
      <w:r>
        <w:rPr>
          <w:rFonts w:hint="eastAsia"/>
          <w:color w:val="000000"/>
          <w:sz w:val="24"/>
          <w:lang w:val="en-US" w:eastAsia="zh-CN"/>
        </w:rPr>
        <w:t>.08</w:t>
      </w:r>
      <w:r>
        <w:rPr>
          <w:color w:val="000000"/>
          <w:sz w:val="24"/>
        </w:rPr>
        <w:t>m</w:t>
      </w:r>
      <w:r>
        <w:rPr>
          <w:color w:val="000000"/>
          <w:sz w:val="24"/>
          <w:vertAlign w:val="superscript"/>
        </w:rPr>
        <w:t>3</w:t>
      </w:r>
      <w:r>
        <w:rPr>
          <w:color w:val="000000"/>
          <w:sz w:val="24"/>
        </w:rPr>
        <w:t>/a。</w:t>
      </w:r>
      <w:r>
        <w:rPr>
          <w:rFonts w:hint="eastAsia"/>
          <w:color w:val="000000"/>
          <w:sz w:val="24"/>
          <w:lang w:val="en-US" w:eastAsia="zh-CN"/>
        </w:rPr>
        <w:t>调胶</w:t>
      </w:r>
      <w:r>
        <w:rPr>
          <w:rFonts w:hint="eastAsia" w:ascii="宋体" w:hAnsi="宋体" w:eastAsia="宋体" w:cs="宋体"/>
          <w:color w:val="000000"/>
          <w:sz w:val="24"/>
          <w:szCs w:val="24"/>
          <w:lang w:val="en-US" w:eastAsia="zh-CN" w:bidi="ar"/>
        </w:rPr>
        <w:t>设备清洗废水主要成分为储罐内遗留的少量胶水，因此可以用于制胶车间酚醛树脂胶原料溶解，回用于生产线，</w:t>
      </w:r>
      <w:r>
        <w:rPr>
          <w:color w:val="000000"/>
          <w:sz w:val="24"/>
        </w:rPr>
        <w:t>不外排。</w:t>
      </w:r>
    </w:p>
    <w:p w14:paraId="79473073">
      <w:pPr>
        <w:pStyle w:val="2"/>
        <w:rPr>
          <w:rFonts w:ascii="Times New Roman" w:hAnsi="Times New Roman" w:cs="Times New Roman"/>
          <w:sz w:val="24"/>
          <w:szCs w:val="24"/>
        </w:rPr>
      </w:pPr>
      <w:r>
        <w:rPr>
          <w:rFonts w:hint="eastAsia" w:ascii="Times New Roman" w:hAnsi="Times New Roman" w:cs="Times New Roman"/>
          <w:sz w:val="24"/>
          <w:szCs w:val="24"/>
          <w:lang w:val="en-US" w:eastAsia="zh-CN"/>
        </w:rPr>
        <w:t>5、</w:t>
      </w:r>
      <w:r>
        <w:rPr>
          <w:rFonts w:ascii="Times New Roman" w:hAnsi="Times New Roman" w:cs="Times New Roman"/>
          <w:sz w:val="24"/>
          <w:szCs w:val="24"/>
        </w:rPr>
        <w:t>软水制备系统用水</w:t>
      </w:r>
    </w:p>
    <w:p w14:paraId="49714509">
      <w:pPr>
        <w:pStyle w:val="2"/>
        <w:rPr>
          <w:rFonts w:ascii="Times New Roman" w:hAnsi="Times New Roman" w:cs="Times New Roman"/>
          <w:sz w:val="24"/>
          <w:szCs w:val="24"/>
        </w:rPr>
      </w:pPr>
      <w:r>
        <w:rPr>
          <w:rFonts w:hint="eastAsia" w:ascii="Times New Roman" w:hAnsi="Times New Roman" w:cs="Times New Roman"/>
          <w:sz w:val="24"/>
          <w:szCs w:val="24"/>
          <w:lang w:val="en-US" w:eastAsia="zh-CN"/>
        </w:rPr>
        <w:t>改扩建后，</w:t>
      </w:r>
      <w:r>
        <w:rPr>
          <w:rFonts w:ascii="Times New Roman" w:hAnsi="Times New Roman" w:cs="Times New Roman"/>
          <w:sz w:val="24"/>
          <w:szCs w:val="24"/>
        </w:rPr>
        <w:t>项目</w:t>
      </w:r>
      <w:r>
        <w:rPr>
          <w:rFonts w:hint="eastAsia" w:ascii="Times New Roman" w:hAnsi="Times New Roman" w:cs="Times New Roman"/>
          <w:sz w:val="24"/>
          <w:szCs w:val="24"/>
          <w:lang w:val="en-US" w:eastAsia="zh-CN"/>
        </w:rPr>
        <w:t>配套</w:t>
      </w:r>
      <w:r>
        <w:rPr>
          <w:rFonts w:ascii="Times New Roman" w:hAnsi="Times New Roman" w:cs="Times New Roman"/>
          <w:sz w:val="24"/>
          <w:szCs w:val="24"/>
        </w:rPr>
        <w:t>1台</w:t>
      </w:r>
      <w:r>
        <w:rPr>
          <w:rFonts w:hint="eastAsia" w:ascii="Times New Roman" w:hAnsi="Times New Roman" w:cs="Times New Roman"/>
          <w:sz w:val="24"/>
          <w:szCs w:val="24"/>
          <w:lang w:val="en-US" w:eastAsia="zh-CN"/>
        </w:rPr>
        <w:t>6</w:t>
      </w:r>
      <w:r>
        <w:rPr>
          <w:rFonts w:ascii="Times New Roman" w:hAnsi="Times New Roman" w:cs="Times New Roman"/>
          <w:sz w:val="24"/>
          <w:szCs w:val="24"/>
        </w:rPr>
        <w:t>t/h蒸汽锅炉</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备用</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和1台热载体炉</w:t>
      </w:r>
      <w:r>
        <w:rPr>
          <w:rFonts w:ascii="Times New Roman" w:hAnsi="Times New Roman" w:cs="Times New Roman"/>
          <w:sz w:val="24"/>
          <w:szCs w:val="24"/>
        </w:rPr>
        <w:t>，</w:t>
      </w:r>
      <w:r>
        <w:rPr>
          <w:rFonts w:hint="eastAsia" w:ascii="Times New Roman" w:hAnsi="Times New Roman" w:cs="Times New Roman"/>
          <w:sz w:val="24"/>
          <w:szCs w:val="24"/>
          <w:lang w:val="en-US" w:eastAsia="zh-CN"/>
        </w:rPr>
        <w:t>为制胶工艺、板材的加层贴面工序提供蒸汽作为热源，均配置有软水制备系统，</w:t>
      </w:r>
      <w:r>
        <w:rPr>
          <w:rFonts w:ascii="Times New Roman" w:hAnsi="Times New Roman" w:cs="Times New Roman"/>
          <w:sz w:val="24"/>
          <w:szCs w:val="24"/>
        </w:rPr>
        <w:t>每天工作24小时，年工作300天，</w:t>
      </w:r>
      <w:r>
        <w:rPr>
          <w:rFonts w:hint="eastAsia" w:ascii="Times New Roman" w:hAnsi="Times New Roman" w:cs="Times New Roman"/>
          <w:sz w:val="24"/>
          <w:szCs w:val="24"/>
          <w:lang w:val="en-US" w:eastAsia="zh-CN"/>
        </w:rPr>
        <w:t>项目需要的蒸汽量为5t/h，</w:t>
      </w:r>
      <w:r>
        <w:rPr>
          <w:rFonts w:ascii="Times New Roman" w:hAnsi="Times New Roman" w:cs="Times New Roman"/>
          <w:sz w:val="24"/>
          <w:szCs w:val="24"/>
        </w:rPr>
        <w:t>则使用软水用量为</w:t>
      </w:r>
      <w:r>
        <w:rPr>
          <w:rFonts w:hint="eastAsia" w:ascii="Times New Roman" w:hAnsi="Times New Roman" w:cs="Times New Roman"/>
          <w:sz w:val="24"/>
          <w:szCs w:val="24"/>
          <w:lang w:val="en-US" w:eastAsia="zh-CN"/>
        </w:rPr>
        <w:t>120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lang w:val="en-US" w:eastAsia="zh-CN"/>
        </w:rPr>
        <w:t>则</w:t>
      </w:r>
      <w:r>
        <w:rPr>
          <w:rFonts w:ascii="Times New Roman" w:hAnsi="Times New Roman" w:cs="Times New Roman"/>
          <w:sz w:val="24"/>
          <w:szCs w:val="24"/>
        </w:rPr>
        <w:t>提供蒸汽作为</w:t>
      </w:r>
      <w:r>
        <w:rPr>
          <w:rFonts w:hint="eastAsia" w:ascii="Times New Roman" w:hAnsi="Times New Roman" w:cs="Times New Roman"/>
          <w:sz w:val="24"/>
          <w:szCs w:val="24"/>
          <w:lang w:val="en-US" w:eastAsia="zh-CN"/>
        </w:rPr>
        <w:t>制胶、加层贴面等</w:t>
      </w:r>
      <w:r>
        <w:rPr>
          <w:rFonts w:ascii="Times New Roman" w:hAnsi="Times New Roman" w:cs="Times New Roman"/>
          <w:sz w:val="24"/>
          <w:szCs w:val="24"/>
        </w:rPr>
        <w:t>工序的热源，根据业主提供的实际经验数据，本项目生产</w:t>
      </w:r>
      <w:r>
        <w:rPr>
          <w:rFonts w:hint="eastAsia" w:ascii="Times New Roman" w:hAnsi="Times New Roman" w:cs="Times New Roman"/>
          <w:sz w:val="24"/>
          <w:szCs w:val="24"/>
        </w:rPr>
        <w:t>所消耗</w:t>
      </w:r>
      <w:r>
        <w:rPr>
          <w:rFonts w:ascii="Times New Roman" w:hAnsi="Times New Roman" w:cs="Times New Roman"/>
          <w:sz w:val="24"/>
          <w:szCs w:val="24"/>
        </w:rPr>
        <w:t>的蒸汽约</w:t>
      </w:r>
      <w:r>
        <w:rPr>
          <w:rFonts w:hint="eastAsia" w:ascii="Times New Roman" w:hAnsi="Times New Roman" w:cs="Times New Roman"/>
          <w:sz w:val="24"/>
          <w:szCs w:val="24"/>
          <w:lang w:val="en-US" w:eastAsia="zh-CN"/>
        </w:rPr>
        <w:t>108.48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/d，剩余</w:t>
      </w:r>
      <w:r>
        <w:rPr>
          <w:rFonts w:hint="eastAsia" w:ascii="Times New Roman" w:hAnsi="Times New Roman" w:cs="Times New Roman"/>
          <w:sz w:val="24"/>
          <w:szCs w:val="24"/>
          <w:lang w:val="en-US" w:eastAsia="zh-CN"/>
        </w:rPr>
        <w:t>11.52</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/d蒸汽经冷凝器回收冷凝水，经过管道输送回</w:t>
      </w:r>
      <w:r>
        <w:rPr>
          <w:rFonts w:hint="eastAsia" w:ascii="Times New Roman" w:hAnsi="Times New Roman" w:cs="Times New Roman"/>
          <w:sz w:val="24"/>
          <w:szCs w:val="24"/>
          <w:lang w:val="en-US" w:eastAsia="zh-CN"/>
        </w:rPr>
        <w:t>供热系统</w:t>
      </w:r>
      <w:r>
        <w:rPr>
          <w:rFonts w:ascii="Times New Roman" w:hAnsi="Times New Roman" w:cs="Times New Roman"/>
          <w:sz w:val="24"/>
          <w:szCs w:val="24"/>
        </w:rPr>
        <w:t>，每天仅需要补充软水量为</w:t>
      </w:r>
      <w:r>
        <w:rPr>
          <w:rFonts w:hint="eastAsia" w:ascii="Times New Roman" w:hAnsi="Times New Roman" w:cs="Times New Roman"/>
          <w:sz w:val="24"/>
          <w:szCs w:val="24"/>
          <w:lang w:val="en-US" w:eastAsia="zh-CN"/>
        </w:rPr>
        <w:t>108.48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/d，软水制备系统用水量为</w:t>
      </w:r>
      <w:r>
        <w:rPr>
          <w:rFonts w:hint="eastAsia" w:ascii="Times New Roman" w:hAnsi="Times New Roman" w:cs="Times New Roman"/>
          <w:sz w:val="24"/>
          <w:szCs w:val="24"/>
          <w:lang w:val="en-US" w:eastAsia="zh-CN"/>
        </w:rPr>
        <w:t>120.53</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/d，硬水排放率按0.1计，则产生的硬水约为</w:t>
      </w:r>
      <w:r>
        <w:rPr>
          <w:rFonts w:hint="eastAsia" w:ascii="Times New Roman" w:hAnsi="Times New Roman" w:cs="Times New Roman"/>
          <w:sz w:val="24"/>
          <w:szCs w:val="24"/>
          <w:lang w:val="en-US" w:eastAsia="zh-CN"/>
        </w:rPr>
        <w:t>12.05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/d，本项目产生的硬水直接排入</w:t>
      </w:r>
      <w:r>
        <w:rPr>
          <w:rFonts w:hint="eastAsia" w:ascii="Times New Roman" w:hAnsi="Times New Roman" w:cs="Times New Roman"/>
          <w:sz w:val="24"/>
          <w:szCs w:val="24"/>
          <w:lang w:val="en-US" w:eastAsia="zh-CN"/>
        </w:rPr>
        <w:t>水膜除尘器的</w:t>
      </w:r>
      <w:r>
        <w:rPr>
          <w:rFonts w:ascii="Times New Roman" w:hAnsi="Times New Roman" w:cs="Times New Roman"/>
          <w:sz w:val="24"/>
          <w:szCs w:val="24"/>
        </w:rPr>
        <w:t>循环水池作为水膜除尘器除尘补水。</w:t>
      </w:r>
    </w:p>
    <w:p w14:paraId="568A001E">
      <w:pPr>
        <w:pStyle w:val="2"/>
        <w:ind w:left="0" w:firstLine="480"/>
        <w:rPr>
          <w:rFonts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6、</w:t>
      </w:r>
      <w:r>
        <w:rPr>
          <w:rFonts w:ascii="Times New Roman" w:hAnsi="Times New Roman" w:cs="Times New Roman"/>
          <w:color w:val="000000"/>
          <w:sz w:val="24"/>
          <w:szCs w:val="24"/>
        </w:rPr>
        <w:t>水膜除尘器</w:t>
      </w:r>
      <w:r>
        <w:rPr>
          <w:rFonts w:hint="eastAsia" w:ascii="Times New Roman" w:hAnsi="Times New Roman" w:cs="Times New Roman"/>
          <w:color w:val="000000"/>
          <w:sz w:val="24"/>
          <w:szCs w:val="24"/>
          <w:lang w:val="en-US" w:eastAsia="zh-CN"/>
        </w:rPr>
        <w:t>用</w:t>
      </w:r>
      <w:r>
        <w:rPr>
          <w:rFonts w:ascii="Times New Roman" w:hAnsi="Times New Roman" w:cs="Times New Roman"/>
          <w:color w:val="000000"/>
          <w:sz w:val="24"/>
          <w:szCs w:val="24"/>
        </w:rPr>
        <w:t>水</w:t>
      </w:r>
    </w:p>
    <w:p w14:paraId="46C84E24">
      <w:pPr>
        <w:pStyle w:val="2"/>
        <w:rPr>
          <w:rFonts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改扩建后，项目配置</w:t>
      </w:r>
      <w:r>
        <w:rPr>
          <w:rFonts w:ascii="Times New Roman" w:hAnsi="Times New Roman" w:cs="Times New Roman"/>
          <w:color w:val="000000"/>
          <w:sz w:val="24"/>
          <w:szCs w:val="24"/>
        </w:rPr>
        <w:t>1台</w:t>
      </w:r>
      <w:r>
        <w:rPr>
          <w:rFonts w:hint="eastAsia" w:ascii="Times New Roman" w:hAnsi="Times New Roman" w:cs="Times New Roman"/>
          <w:color w:val="000000"/>
          <w:sz w:val="24"/>
          <w:szCs w:val="24"/>
          <w:lang w:val="en-US" w:eastAsia="zh-CN"/>
        </w:rPr>
        <w:t>6</w:t>
      </w:r>
      <w:r>
        <w:rPr>
          <w:rFonts w:ascii="Times New Roman" w:hAnsi="Times New Roman" w:cs="Times New Roman"/>
          <w:color w:val="000000"/>
          <w:sz w:val="24"/>
          <w:szCs w:val="24"/>
        </w:rPr>
        <w:t>t/h蒸汽锅炉</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备用</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和1台热载体炉</w:t>
      </w:r>
      <w:r>
        <w:rPr>
          <w:rFonts w:ascii="Times New Roman" w:hAnsi="Times New Roman" w:cs="Times New Roman"/>
          <w:color w:val="000000"/>
          <w:sz w:val="24"/>
          <w:szCs w:val="24"/>
        </w:rPr>
        <w:t>锅炉</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各配置有</w:t>
      </w:r>
      <w:r>
        <w:rPr>
          <w:rFonts w:ascii="Times New Roman" w:hAnsi="Times New Roman" w:cs="Times New Roman"/>
          <w:color w:val="000000"/>
          <w:sz w:val="24"/>
          <w:szCs w:val="24"/>
        </w:rPr>
        <w:t>1套水膜除尘装置对烟气进行烟尘治理，该除尘器属于湿式除尘器，而一般湿式除尘器的液气比为0.1-0.6L/m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根据有组织废气检测报告（谱利检字[2019]-12048号），</w:t>
      </w:r>
      <w:r>
        <w:rPr>
          <w:rFonts w:ascii="Times New Roman" w:hAnsi="Times New Roman" w:cs="Times New Roman"/>
          <w:color w:val="000000"/>
          <w:sz w:val="24"/>
          <w:szCs w:val="24"/>
        </w:rPr>
        <w:t>本项目烟气排放量为</w:t>
      </w:r>
      <w:r>
        <w:rPr>
          <w:rFonts w:hint="eastAsia" w:ascii="Times New Roman" w:hAnsi="Times New Roman" w:cs="Times New Roman"/>
          <w:color w:val="000000"/>
          <w:sz w:val="24"/>
          <w:lang w:val="en-US" w:eastAsia="zh-CN"/>
        </w:rPr>
        <w:t>33964</w:t>
      </w:r>
      <w:r>
        <w:rPr>
          <w:rFonts w:ascii="Times New Roman" w:hAnsi="Times New Roman" w:cs="Times New Roman"/>
          <w:color w:val="000000"/>
          <w:sz w:val="24"/>
        </w:rPr>
        <w:t>m</w:t>
      </w:r>
      <w:r>
        <w:rPr>
          <w:rFonts w:ascii="Times New Roman" w:hAnsi="Times New Roman" w:cs="Times New Roman"/>
          <w:color w:val="000000"/>
          <w:sz w:val="24"/>
          <w:vertAlign w:val="superscript"/>
        </w:rPr>
        <w:t>3</w:t>
      </w:r>
      <w:r>
        <w:rPr>
          <w:rFonts w:ascii="Times New Roman" w:hAnsi="Times New Roman" w:cs="Times New Roman"/>
          <w:color w:val="000000"/>
          <w:sz w:val="24"/>
        </w:rPr>
        <w:t>/h，按最不利原则计算，液气比取0.6L/m</w:t>
      </w:r>
      <w:r>
        <w:rPr>
          <w:rFonts w:ascii="Times New Roman" w:hAnsi="Times New Roman" w:cs="Times New Roman"/>
          <w:color w:val="000000"/>
          <w:sz w:val="24"/>
          <w:vertAlign w:val="superscript"/>
        </w:rPr>
        <w:t>3</w:t>
      </w:r>
      <w:r>
        <w:rPr>
          <w:rFonts w:ascii="Times New Roman" w:hAnsi="Times New Roman" w:cs="Times New Roman"/>
          <w:color w:val="000000"/>
          <w:sz w:val="24"/>
        </w:rPr>
        <w:t>，则本项目脱硫除尘用水量为</w:t>
      </w:r>
      <w:r>
        <w:rPr>
          <w:rFonts w:hint="eastAsia" w:ascii="Times New Roman" w:hAnsi="Times New Roman" w:cs="Times New Roman"/>
          <w:color w:val="000000"/>
          <w:sz w:val="24"/>
          <w:lang w:val="en-US" w:eastAsia="zh-CN"/>
        </w:rPr>
        <w:t>20.4m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lang w:val="en-US" w:eastAsia="zh-CN"/>
        </w:rPr>
        <w:t>/h，489.6m</w:t>
      </w:r>
      <w:r>
        <w:rPr>
          <w:rFonts w:hint="eastAsia" w:ascii="Times New Roman" w:hAnsi="Times New Roman" w:cs="Times New Roman"/>
          <w:color w:val="000000"/>
          <w:sz w:val="24"/>
          <w:vertAlign w:val="superscript"/>
          <w:lang w:val="en-US" w:eastAsia="zh-CN"/>
        </w:rPr>
        <w:t>3</w:t>
      </w:r>
      <w:r>
        <w:rPr>
          <w:rFonts w:ascii="Times New Roman" w:hAnsi="Times New Roman" w:cs="Times New Roman"/>
          <w:color w:val="000000"/>
          <w:sz w:val="24"/>
        </w:rPr>
        <w:t>/</w:t>
      </w:r>
      <w:r>
        <w:rPr>
          <w:rFonts w:hint="eastAsia" w:ascii="Times New Roman" w:hAnsi="Times New Roman" w:cs="Times New Roman"/>
          <w:color w:val="000000"/>
          <w:sz w:val="24"/>
          <w:lang w:val="en-US" w:eastAsia="zh-CN"/>
        </w:rPr>
        <w:t>d</w:t>
      </w:r>
      <w:r>
        <w:rPr>
          <w:rFonts w:ascii="Times New Roman" w:hAnsi="Times New Roman" w:cs="Times New Roman"/>
          <w:color w:val="000000"/>
          <w:sz w:val="24"/>
        </w:rPr>
        <w:t>，</w:t>
      </w:r>
      <w:r>
        <w:rPr>
          <w:rFonts w:ascii="Times New Roman" w:hAnsi="Times New Roman" w:cs="Times New Roman"/>
          <w:color w:val="000000"/>
          <w:sz w:val="24"/>
          <w:szCs w:val="24"/>
        </w:rPr>
        <w:t>设备运行时产生的回流水进入设备旁的</w:t>
      </w:r>
      <w:r>
        <w:rPr>
          <w:rFonts w:hint="eastAsia" w:ascii="Times New Roman" w:hAnsi="Times New Roman" w:cs="Times New Roman"/>
          <w:color w:val="000000"/>
          <w:sz w:val="24"/>
          <w:szCs w:val="24"/>
          <w:lang w:val="en-US" w:eastAsia="zh-CN"/>
        </w:rPr>
        <w:t>循环</w:t>
      </w:r>
      <w:r>
        <w:rPr>
          <w:rFonts w:ascii="Times New Roman" w:hAnsi="Times New Roman" w:cs="Times New Roman"/>
          <w:color w:val="000000"/>
          <w:sz w:val="24"/>
          <w:szCs w:val="24"/>
        </w:rPr>
        <w:t>水池</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分别容积为10m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、43m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w:t>
      </w:r>
      <w:r>
        <w:rPr>
          <w:rFonts w:ascii="Times New Roman" w:hAnsi="Times New Roman" w:cs="Times New Roman"/>
          <w:color w:val="000000"/>
          <w:sz w:val="24"/>
          <w:szCs w:val="24"/>
        </w:rPr>
        <w:t>沉淀出悬浮物固体颗粒后循环使用，无工艺废水排放。喷淋水蒸发及损失的水量按照用水量的</w:t>
      </w:r>
      <w:r>
        <w:rPr>
          <w:rFonts w:hint="eastAsia" w:ascii="Times New Roman" w:hAnsi="Times New Roman" w:cs="Times New Roman"/>
          <w:color w:val="000000"/>
          <w:sz w:val="24"/>
          <w:szCs w:val="24"/>
          <w:lang w:val="en-US" w:eastAsia="zh-CN"/>
        </w:rPr>
        <w:t>1</w:t>
      </w:r>
      <w:r>
        <w:rPr>
          <w:rFonts w:ascii="Times New Roman" w:hAnsi="Times New Roman" w:cs="Times New Roman"/>
          <w:color w:val="000000"/>
          <w:sz w:val="24"/>
          <w:szCs w:val="24"/>
        </w:rPr>
        <w:t>0%进行补充，需水量为</w:t>
      </w:r>
      <w:r>
        <w:rPr>
          <w:rFonts w:hint="eastAsia" w:ascii="Times New Roman" w:hAnsi="Times New Roman" w:cs="Times New Roman"/>
          <w:color w:val="000000"/>
          <w:sz w:val="24"/>
          <w:szCs w:val="24"/>
          <w:lang w:val="en-US" w:eastAsia="zh-CN"/>
        </w:rPr>
        <w:t>48.96</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/d，其中软水制备系统产生的硬水量</w:t>
      </w:r>
      <w:r>
        <w:rPr>
          <w:rFonts w:hint="eastAsia" w:ascii="Times New Roman" w:hAnsi="Times New Roman" w:cs="Times New Roman"/>
          <w:color w:val="000000"/>
          <w:sz w:val="24"/>
          <w:szCs w:val="24"/>
          <w:lang w:val="en-US" w:eastAsia="zh-CN"/>
        </w:rPr>
        <w:t>12.05</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/d作为补充外，另外仍需要补充新水量为</w:t>
      </w:r>
      <w:r>
        <w:rPr>
          <w:rFonts w:hint="eastAsia" w:ascii="Times New Roman" w:hAnsi="Times New Roman" w:cs="Times New Roman"/>
          <w:color w:val="000000"/>
          <w:sz w:val="24"/>
          <w:szCs w:val="24"/>
          <w:lang w:val="en-US" w:eastAsia="zh-CN"/>
        </w:rPr>
        <w:t>36.91</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w:t>
      </w:r>
      <w:r>
        <w:rPr>
          <w:rFonts w:hint="eastAsia" w:ascii="Times New Roman" w:hAnsi="Times New Roman" w:cs="Times New Roman"/>
          <w:color w:val="000000"/>
          <w:sz w:val="24"/>
          <w:szCs w:val="24"/>
          <w:lang w:val="en-US" w:eastAsia="zh-CN"/>
        </w:rPr>
        <w:t>11073</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w:t>
      </w:r>
    </w:p>
    <w:p w14:paraId="00A24ECF">
      <w:pPr>
        <w:pStyle w:val="2"/>
        <w:ind w:firstLine="480"/>
        <w:rPr>
          <w:color w:val="000000"/>
          <w:sz w:val="24"/>
          <w:szCs w:val="24"/>
        </w:rPr>
      </w:pPr>
      <w:r>
        <w:rPr>
          <w:rFonts w:hint="eastAsia"/>
          <w:color w:val="000000"/>
          <w:sz w:val="24"/>
          <w:szCs w:val="24"/>
        </w:rPr>
        <w:t>（二）</w:t>
      </w:r>
      <w:r>
        <w:rPr>
          <w:color w:val="000000"/>
          <w:sz w:val="24"/>
          <w:szCs w:val="24"/>
        </w:rPr>
        <w:t>项目生活用水</w:t>
      </w:r>
    </w:p>
    <w:p w14:paraId="7926EB29">
      <w:pPr>
        <w:pStyle w:val="2"/>
        <w:keepNext w:val="0"/>
        <w:keepLines w:val="0"/>
        <w:pageBreakBefore w:val="0"/>
        <w:widowControl/>
        <w:ind w:firstLine="720"/>
        <w:rPr>
          <w:rFonts w:ascii="Times New Roman" w:hAnsi="Times New Roman" w:cs="Times New Roman"/>
          <w:color w:val="000000"/>
          <w:sz w:val="24"/>
          <w:szCs w:val="24"/>
        </w:rPr>
      </w:pPr>
      <w:bookmarkStart w:id="107" w:name="_Hlk539672"/>
      <w:r>
        <w:rPr>
          <w:rFonts w:ascii="Times New Roman" w:hAnsi="Times New Roman" w:cs="Times New Roman"/>
          <w:color w:val="000000"/>
          <w:sz w:val="24"/>
          <w:szCs w:val="24"/>
          <w:lang w:val="en-US" w:eastAsia="zh-CN"/>
        </w:rPr>
        <w:t>1、</w:t>
      </w:r>
      <w:r>
        <w:rPr>
          <w:rFonts w:ascii="Times New Roman" w:hAnsi="Times New Roman" w:cs="Times New Roman"/>
          <w:color w:val="000000"/>
          <w:sz w:val="24"/>
          <w:szCs w:val="24"/>
        </w:rPr>
        <w:t>员工生活用水</w:t>
      </w:r>
    </w:p>
    <w:p w14:paraId="2A8AA462">
      <w:pPr>
        <w:pStyle w:val="2"/>
        <w:keepNext w:val="0"/>
        <w:keepLines w:val="0"/>
        <w:pageBreakBefore w:val="0"/>
        <w:widowControl/>
        <w:ind w:firstLine="480"/>
        <w:rPr>
          <w:rFonts w:ascii="Times New Roman" w:hAnsi="Times New Roman" w:cs="Times New Roman"/>
          <w:color w:val="000000"/>
          <w:sz w:val="24"/>
          <w:szCs w:val="24"/>
        </w:rPr>
      </w:pPr>
      <w:r>
        <w:rPr>
          <w:rFonts w:ascii="Times New Roman" w:hAnsi="Times New Roman" w:cs="Times New Roman"/>
          <w:bCs/>
          <w:color w:val="000000"/>
          <w:sz w:val="24"/>
          <w:szCs w:val="24"/>
          <w:lang w:val="en-US" w:eastAsia="zh-CN"/>
        </w:rPr>
        <w:t>改扩建后，</w:t>
      </w:r>
      <w:r>
        <w:rPr>
          <w:rFonts w:ascii="Times New Roman" w:hAnsi="Times New Roman" w:cs="Times New Roman"/>
          <w:bCs/>
          <w:color w:val="000000"/>
          <w:sz w:val="24"/>
          <w:szCs w:val="24"/>
        </w:rPr>
        <w:t>项目定员为</w:t>
      </w:r>
      <w:r>
        <w:rPr>
          <w:rFonts w:ascii="Times New Roman" w:hAnsi="Times New Roman" w:cs="Times New Roman"/>
          <w:bCs/>
          <w:color w:val="000000"/>
          <w:sz w:val="24"/>
          <w:szCs w:val="24"/>
          <w:lang w:val="en-US" w:eastAsia="zh-CN"/>
        </w:rPr>
        <w:t>300</w:t>
      </w:r>
      <w:r>
        <w:rPr>
          <w:rFonts w:ascii="Times New Roman" w:hAnsi="Times New Roman" w:cs="Times New Roman"/>
          <w:bCs/>
          <w:color w:val="000000"/>
          <w:sz w:val="24"/>
          <w:szCs w:val="24"/>
        </w:rPr>
        <w:t>人，</w:t>
      </w:r>
      <w:r>
        <w:rPr>
          <w:rFonts w:ascii="Times New Roman" w:hAnsi="Times New Roman" w:cs="Times New Roman"/>
          <w:bCs/>
          <w:color w:val="000000"/>
          <w:sz w:val="24"/>
          <w:szCs w:val="24"/>
          <w:lang w:val="en-US" w:eastAsia="zh-CN"/>
        </w:rPr>
        <w:t>其中</w:t>
      </w:r>
      <w:r>
        <w:rPr>
          <w:rFonts w:ascii="Times New Roman" w:hAnsi="Times New Roman" w:cs="Times New Roman"/>
          <w:bCs/>
          <w:color w:val="000000"/>
          <w:sz w:val="24"/>
          <w:szCs w:val="24"/>
        </w:rPr>
        <w:t>约20</w:t>
      </w:r>
      <w:r>
        <w:rPr>
          <w:rFonts w:ascii="Times New Roman" w:hAnsi="Times New Roman" w:cs="Times New Roman"/>
          <w:bCs/>
          <w:color w:val="000000"/>
          <w:sz w:val="24"/>
          <w:szCs w:val="24"/>
          <w:lang w:val="en-US" w:eastAsia="zh-CN"/>
        </w:rPr>
        <w:t>0</w:t>
      </w:r>
      <w:r>
        <w:rPr>
          <w:rFonts w:ascii="Times New Roman" w:hAnsi="Times New Roman" w:cs="Times New Roman"/>
          <w:bCs/>
          <w:color w:val="000000"/>
          <w:sz w:val="24"/>
          <w:szCs w:val="24"/>
        </w:rPr>
        <w:t>人在项目内住宿，设置</w:t>
      </w:r>
      <w:r>
        <w:rPr>
          <w:rFonts w:ascii="Times New Roman" w:hAnsi="Times New Roman" w:cs="Times New Roman"/>
          <w:bCs/>
          <w:color w:val="000000"/>
          <w:sz w:val="24"/>
          <w:szCs w:val="24"/>
          <w:lang w:val="en-US" w:eastAsia="zh-CN"/>
        </w:rPr>
        <w:t>水冲厕</w:t>
      </w:r>
      <w:r>
        <w:rPr>
          <w:rFonts w:ascii="Times New Roman" w:hAnsi="Times New Roman" w:cs="Times New Roman"/>
          <w:bCs/>
          <w:color w:val="000000"/>
          <w:sz w:val="24"/>
          <w:szCs w:val="24"/>
        </w:rPr>
        <w:t>，</w:t>
      </w:r>
      <w:r>
        <w:rPr>
          <w:rFonts w:ascii="Times New Roman" w:hAnsi="Times New Roman" w:cs="Times New Roman"/>
          <w:color w:val="000000"/>
          <w:sz w:val="24"/>
          <w:szCs w:val="24"/>
        </w:rPr>
        <w:t>项目员工生活污水主要是洗涤废水等。根据</w:t>
      </w:r>
      <w:r>
        <w:rPr>
          <w:rFonts w:ascii="Times New Roman" w:hAnsi="Times New Roman" w:cs="Times New Roman"/>
          <w:color w:val="000000"/>
          <w:sz w:val="24"/>
          <w:szCs w:val="24"/>
          <w:lang w:val="en-US" w:eastAsia="zh-CN"/>
        </w:rPr>
        <w:t>建设单位提供的数据及参照</w:t>
      </w:r>
      <w:r>
        <w:rPr>
          <w:rFonts w:ascii="Times New Roman" w:hAnsi="Times New Roman" w:cs="Times New Roman"/>
          <w:color w:val="000000"/>
          <w:sz w:val="24"/>
          <w:szCs w:val="24"/>
        </w:rPr>
        <w:t>《云南省地方用水定额标准》（DB53/T168-201</w:t>
      </w:r>
      <w:r>
        <w:rPr>
          <w:rFonts w:ascii="Times New Roman" w:hAnsi="Times New Roman" w:cs="Times New Roman"/>
          <w:color w:val="000000"/>
          <w:sz w:val="24"/>
          <w:szCs w:val="24"/>
          <w:lang w:val="en-US" w:eastAsia="zh-CN"/>
        </w:rPr>
        <w:t>9</w:t>
      </w:r>
      <w:r>
        <w:rPr>
          <w:rFonts w:ascii="Times New Roman" w:hAnsi="Times New Roman" w:cs="Times New Roman"/>
          <w:color w:val="000000"/>
          <w:sz w:val="24"/>
          <w:szCs w:val="24"/>
        </w:rPr>
        <w:t>），住宿人员生活用水量按</w:t>
      </w:r>
      <w:r>
        <w:rPr>
          <w:rFonts w:ascii="Times New Roman" w:hAnsi="Times New Roman" w:cs="Times New Roman"/>
          <w:color w:val="000000"/>
          <w:sz w:val="24"/>
          <w:szCs w:val="24"/>
          <w:lang w:val="en-US" w:eastAsia="zh-CN"/>
        </w:rPr>
        <w:t>8</w:t>
      </w:r>
      <w:r>
        <w:rPr>
          <w:rFonts w:ascii="Times New Roman" w:hAnsi="Times New Roman" w:cs="Times New Roman"/>
          <w:color w:val="000000"/>
          <w:sz w:val="24"/>
          <w:szCs w:val="24"/>
        </w:rPr>
        <w:t>0</w:t>
      </w:r>
      <w:bookmarkStart w:id="108" w:name="_Hlk311039"/>
      <w:r>
        <w:rPr>
          <w:rFonts w:ascii="Times New Roman" w:hAnsi="Times New Roman" w:cs="Times New Roman"/>
          <w:color w:val="000000"/>
          <w:sz w:val="24"/>
          <w:szCs w:val="24"/>
        </w:rPr>
        <w:t>L/（人•d）</w:t>
      </w:r>
      <w:bookmarkEnd w:id="107"/>
      <w:r>
        <w:rPr>
          <w:rFonts w:ascii="Times New Roman" w:hAnsi="Times New Roman" w:cs="Times New Roman"/>
          <w:color w:val="000000"/>
          <w:sz w:val="24"/>
          <w:szCs w:val="24"/>
        </w:rPr>
        <w:t>计，非住宿人员生活用水量20L/（人•d），则项目员工生活用水量为</w:t>
      </w:r>
      <w:r>
        <w:rPr>
          <w:rFonts w:ascii="Times New Roman" w:hAnsi="Times New Roman" w:cs="Times New Roman"/>
          <w:color w:val="000000"/>
          <w:sz w:val="24"/>
          <w:szCs w:val="24"/>
          <w:lang w:val="en-US" w:eastAsia="zh-CN"/>
        </w:rPr>
        <w:t>18.0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w:t>
      </w:r>
      <w:r>
        <w:rPr>
          <w:rFonts w:ascii="Times New Roman" w:hAnsi="Times New Roman" w:cs="Times New Roman"/>
          <w:color w:val="000000"/>
          <w:sz w:val="24"/>
          <w:szCs w:val="24"/>
          <w:lang w:val="en-US" w:eastAsia="zh-CN"/>
        </w:rPr>
        <w:t>5400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/a。污水产生量按用水量的80%计，则项目员工生活废水量为</w:t>
      </w:r>
      <w:r>
        <w:rPr>
          <w:rFonts w:ascii="Times New Roman" w:hAnsi="Times New Roman" w:cs="Times New Roman"/>
          <w:color w:val="000000"/>
          <w:sz w:val="24"/>
          <w:szCs w:val="24"/>
          <w:lang w:val="en-US" w:eastAsia="zh-CN"/>
        </w:rPr>
        <w:t>14.4</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w:t>
      </w:r>
      <w:r>
        <w:rPr>
          <w:rFonts w:ascii="Times New Roman" w:hAnsi="Times New Roman" w:cs="Times New Roman"/>
          <w:color w:val="000000"/>
          <w:sz w:val="24"/>
          <w:szCs w:val="24"/>
          <w:lang w:val="en-US" w:eastAsia="zh-CN"/>
        </w:rPr>
        <w:t>4320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w:t>
      </w:r>
    </w:p>
    <w:p w14:paraId="269B5900">
      <w:pPr>
        <w:pStyle w:val="2"/>
        <w:keepNext w:val="0"/>
        <w:keepLines w:val="0"/>
        <w:pageBreakBefore w:val="0"/>
        <w:widowControl/>
        <w:ind w:firstLine="480"/>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rPr>
        <w:t>2、</w:t>
      </w:r>
      <w:r>
        <w:rPr>
          <w:rFonts w:ascii="Times New Roman" w:hAnsi="Times New Roman" w:cs="Times New Roman"/>
          <w:color w:val="000000"/>
          <w:sz w:val="24"/>
          <w:szCs w:val="24"/>
        </w:rPr>
        <w:t>员工食堂用水</w:t>
      </w:r>
    </w:p>
    <w:p w14:paraId="03612EFA">
      <w:pPr>
        <w:pStyle w:val="2"/>
        <w:keepNext w:val="0"/>
        <w:keepLines w:val="0"/>
        <w:pageBreakBefore w:val="0"/>
        <w:widowControl/>
        <w:ind w:firstLine="480"/>
        <w:rPr>
          <w:rFonts w:ascii="Times New Roman" w:hAnsi="Times New Roman" w:cs="Times New Roman"/>
          <w:color w:val="000000"/>
          <w:sz w:val="24"/>
          <w:szCs w:val="24"/>
        </w:rPr>
      </w:pPr>
      <w:r>
        <w:rPr>
          <w:rFonts w:ascii="Times New Roman" w:hAnsi="Times New Roman" w:cs="Times New Roman"/>
          <w:color w:val="000000"/>
          <w:sz w:val="24"/>
          <w:szCs w:val="24"/>
          <w:lang w:val="en-US" w:eastAsia="zh-CN"/>
        </w:rPr>
        <w:t>改扩建后项目设置1个职工食堂，食堂就餐人数为200人/天，</w:t>
      </w:r>
      <w:r>
        <w:rPr>
          <w:rFonts w:ascii="Times New Roman" w:hAnsi="Times New Roman" w:cs="Times New Roman"/>
          <w:color w:val="000000"/>
          <w:sz w:val="24"/>
          <w:szCs w:val="24"/>
        </w:rPr>
        <w:t>食堂用水量按40L/（人•d）计，则员工食堂用水量为</w:t>
      </w:r>
      <w:r>
        <w:rPr>
          <w:rFonts w:ascii="Times New Roman" w:hAnsi="Times New Roman" w:cs="Times New Roman"/>
          <w:color w:val="000000"/>
          <w:sz w:val="24"/>
          <w:szCs w:val="24"/>
          <w:lang w:val="en-US" w:eastAsia="zh-CN"/>
        </w:rPr>
        <w:t>8.0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/d，240</w:t>
      </w:r>
      <w:r>
        <w:rPr>
          <w:rFonts w:ascii="Times New Roman" w:hAnsi="Times New Roman" w:cs="Times New Roman"/>
          <w:color w:val="000000"/>
          <w:sz w:val="24"/>
          <w:szCs w:val="24"/>
          <w:lang w:val="en-US" w:eastAsia="zh-CN"/>
        </w:rPr>
        <w:t>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/a。污水产生量按用水量的80%计，则项目食堂废水量为</w:t>
      </w:r>
      <w:r>
        <w:rPr>
          <w:rFonts w:ascii="Times New Roman" w:hAnsi="Times New Roman" w:cs="Times New Roman"/>
          <w:color w:val="000000"/>
          <w:sz w:val="24"/>
          <w:szCs w:val="24"/>
          <w:lang w:val="en-US" w:eastAsia="zh-CN"/>
        </w:rPr>
        <w:t>6.4</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/d，192</w:t>
      </w:r>
      <w:r>
        <w:rPr>
          <w:rFonts w:ascii="Times New Roman" w:hAnsi="Times New Roman" w:cs="Times New Roman"/>
          <w:color w:val="000000"/>
          <w:sz w:val="24"/>
          <w:szCs w:val="24"/>
          <w:lang w:val="en-US" w:eastAsia="zh-CN"/>
        </w:rPr>
        <w:t>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w:t>
      </w:r>
    </w:p>
    <w:p w14:paraId="24941E3E">
      <w:pPr>
        <w:pStyle w:val="2"/>
        <w:keepNext w:val="0"/>
        <w:keepLines w:val="0"/>
        <w:pageBreakBefore w:val="0"/>
        <w:widowControl/>
        <w:ind w:firstLine="480"/>
        <w:rPr>
          <w:rFonts w:ascii="Times New Roman" w:hAnsi="Times New Roman" w:cs="Times New Roman"/>
          <w:color w:val="000000"/>
          <w:sz w:val="24"/>
          <w:szCs w:val="24"/>
        </w:rPr>
      </w:pPr>
      <w:r>
        <w:rPr>
          <w:rFonts w:ascii="Times New Roman" w:hAnsi="Times New Roman" w:cs="Times New Roman"/>
          <w:color w:val="000000"/>
          <w:sz w:val="24"/>
          <w:szCs w:val="24"/>
        </w:rPr>
        <w:t>综上，项目生活用水量为</w:t>
      </w:r>
      <w:r>
        <w:rPr>
          <w:rFonts w:ascii="Times New Roman" w:hAnsi="Times New Roman" w:cs="Times New Roman"/>
          <w:color w:val="000000"/>
          <w:sz w:val="24"/>
          <w:szCs w:val="24"/>
          <w:lang w:val="en-US" w:eastAsia="zh-CN"/>
        </w:rPr>
        <w:t>26.0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w:t>
      </w:r>
      <w:r>
        <w:rPr>
          <w:rFonts w:ascii="Times New Roman" w:hAnsi="Times New Roman" w:cs="Times New Roman"/>
          <w:color w:val="000000"/>
          <w:sz w:val="24"/>
          <w:szCs w:val="24"/>
          <w:lang w:val="en-US" w:eastAsia="zh-CN"/>
        </w:rPr>
        <w:t>7800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/a，废水产生量为</w:t>
      </w:r>
      <w:r>
        <w:rPr>
          <w:rFonts w:ascii="Times New Roman" w:hAnsi="Times New Roman" w:cs="Times New Roman"/>
          <w:color w:val="000000"/>
          <w:sz w:val="24"/>
          <w:szCs w:val="24"/>
          <w:lang w:val="en-US" w:eastAsia="zh-CN"/>
        </w:rPr>
        <w:t>20.8</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w:t>
      </w:r>
      <w:r>
        <w:rPr>
          <w:rFonts w:ascii="Times New Roman" w:hAnsi="Times New Roman" w:cs="Times New Roman"/>
          <w:color w:val="000000"/>
          <w:sz w:val="24"/>
          <w:szCs w:val="24"/>
          <w:lang w:val="en-US" w:eastAsia="zh-CN"/>
        </w:rPr>
        <w:t>6240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w:t>
      </w:r>
    </w:p>
    <w:p w14:paraId="03D3B295">
      <w:pPr>
        <w:pStyle w:val="2"/>
        <w:keepNext w:val="0"/>
        <w:keepLines w:val="0"/>
        <w:pageBreakBefore w:val="0"/>
        <w:widowControl/>
        <w:ind w:firstLine="480"/>
        <w:rPr>
          <w:rFonts w:ascii="Times New Roman" w:hAnsi="Times New Roman" w:cs="Times New Roman"/>
          <w:color w:val="000000"/>
          <w:sz w:val="24"/>
          <w:szCs w:val="24"/>
        </w:rPr>
      </w:pPr>
      <w:r>
        <w:rPr>
          <w:rFonts w:ascii="Times New Roman" w:hAnsi="Times New Roman" w:cs="Times New Roman"/>
          <w:color w:val="000000"/>
          <w:sz w:val="24"/>
          <w:szCs w:val="24"/>
        </w:rPr>
        <w:t>（三）绿化用水</w:t>
      </w:r>
    </w:p>
    <w:p w14:paraId="4948C40F">
      <w:pPr>
        <w:pStyle w:val="2"/>
        <w:keepNext w:val="0"/>
        <w:keepLines w:val="0"/>
        <w:pageBreakBefore w:val="0"/>
        <w:widowControl/>
        <w:ind w:firstLine="480"/>
        <w:rPr>
          <w:rFonts w:ascii="Times New Roman" w:hAnsi="Times New Roman" w:cs="Times New Roman"/>
          <w:color w:val="000000"/>
          <w:sz w:val="24"/>
          <w:szCs w:val="24"/>
        </w:rPr>
      </w:pPr>
      <w:r>
        <w:rPr>
          <w:rFonts w:ascii="Times New Roman" w:hAnsi="Times New Roman" w:cs="Times New Roman"/>
          <w:color w:val="000000"/>
          <w:sz w:val="24"/>
          <w:szCs w:val="24"/>
        </w:rPr>
        <w:t>项目区绿化面积</w:t>
      </w:r>
      <w:r>
        <w:rPr>
          <w:rFonts w:ascii="Times New Roman" w:hAnsi="Times New Roman" w:cs="Times New Roman"/>
          <w:color w:val="000000"/>
          <w:sz w:val="24"/>
          <w:szCs w:val="24"/>
          <w:lang w:val="en-US" w:eastAsia="zh-CN"/>
        </w:rPr>
        <w:t>为10</w:t>
      </w:r>
      <w:r>
        <w:rPr>
          <w:rFonts w:ascii="Times New Roman" w:hAnsi="Times New Roman" w:cs="Times New Roman"/>
          <w:color w:val="000000"/>
          <w:sz w:val="24"/>
          <w:szCs w:val="24"/>
        </w:rPr>
        <w:t>00m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，根据《云南省地方用水定额标准》（DB53/T168-201</w:t>
      </w:r>
      <w:r>
        <w:rPr>
          <w:rFonts w:ascii="Times New Roman" w:hAnsi="Times New Roman" w:cs="Times New Roman"/>
          <w:color w:val="000000"/>
          <w:sz w:val="24"/>
          <w:szCs w:val="24"/>
          <w:lang w:val="en-US" w:eastAsia="zh-CN"/>
        </w:rPr>
        <w:t>9</w:t>
      </w:r>
      <w:r>
        <w:rPr>
          <w:rFonts w:ascii="Times New Roman" w:hAnsi="Times New Roman" w:cs="Times New Roman"/>
          <w:color w:val="000000"/>
          <w:sz w:val="24"/>
          <w:szCs w:val="24"/>
        </w:rPr>
        <w:t>），绿化用水量以3L/m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计，则绿化用水量约</w:t>
      </w:r>
      <w:r>
        <w:rPr>
          <w:rFonts w:ascii="Times New Roman" w:hAnsi="Times New Roman" w:cs="Times New Roman"/>
          <w:color w:val="000000"/>
          <w:sz w:val="24"/>
          <w:szCs w:val="24"/>
          <w:lang w:val="en-US" w:eastAsia="zh-CN"/>
        </w:rPr>
        <w:t>3.0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/d，根据查询当地气象资料可知，平均雨季140天，旱季160天，按照旱季得2/3天数需要浇灌，则年用水量为</w:t>
      </w:r>
      <w:bookmarkStart w:id="109" w:name="_Hlk1380048"/>
      <w:r>
        <w:rPr>
          <w:rFonts w:ascii="Times New Roman" w:hAnsi="Times New Roman" w:cs="Times New Roman"/>
          <w:color w:val="000000"/>
          <w:sz w:val="24"/>
          <w:szCs w:val="24"/>
          <w:lang w:val="en-US" w:eastAsia="zh-CN"/>
        </w:rPr>
        <w:t>320.0</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/a</w:t>
      </w:r>
      <w:bookmarkEnd w:id="108"/>
      <w:r>
        <w:rPr>
          <w:rFonts w:ascii="Times New Roman" w:hAnsi="Times New Roman" w:cs="Times New Roman"/>
          <w:color w:val="000000"/>
          <w:sz w:val="24"/>
          <w:szCs w:val="24"/>
        </w:rPr>
        <w:t>，全部蒸发消耗。</w:t>
      </w:r>
      <w:bookmarkEnd w:id="109"/>
    </w:p>
    <w:p w14:paraId="1745CD39">
      <w:pPr>
        <w:pStyle w:val="2"/>
        <w:keepNext w:val="0"/>
        <w:keepLines w:val="0"/>
        <w:pageBreakBefore w:val="0"/>
        <w:widowControl/>
        <w:ind w:firstLine="48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eastAsia="zh-CN"/>
        </w:rPr>
        <w:t>四</w:t>
      </w:r>
      <w:r>
        <w:rPr>
          <w:rFonts w:ascii="Times New Roman" w:hAnsi="Times New Roman" w:cs="Times New Roman"/>
          <w:color w:val="000000"/>
          <w:sz w:val="24"/>
          <w:szCs w:val="24"/>
        </w:rPr>
        <w:t>）初期雨水</w:t>
      </w:r>
    </w:p>
    <w:p w14:paraId="557C2A1B">
      <w:pPr>
        <w:pStyle w:val="2"/>
        <w:keepNext w:val="0"/>
        <w:keepLines w:val="0"/>
        <w:pageBreakBefore w:val="0"/>
        <w:widowControl/>
        <w:ind w:firstLine="480"/>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lang w:val="en-US" w:eastAsia="zh-CN"/>
        </w:rPr>
        <w:t>项目区实施“雨污分流”，</w:t>
      </w:r>
      <w:r>
        <w:rPr>
          <w:rFonts w:ascii="Times New Roman" w:hAnsi="Times New Roman" w:cs="Times New Roman"/>
          <w:color w:val="000000"/>
          <w:sz w:val="24"/>
          <w:szCs w:val="24"/>
          <w:lang w:val="zh-CN" w:eastAsia="zh-CN"/>
        </w:rPr>
        <w:t>降雨过程开始后初期雨水（小雨 0~30min，中到大雨为 0~15min）具有较大的不确定性，不计入排污总量纳入日常管理，仅将其作为一次污染源。</w:t>
      </w:r>
    </w:p>
    <w:p w14:paraId="5FB7065A">
      <w:pPr>
        <w:pStyle w:val="2"/>
        <w:keepNext w:val="0"/>
        <w:keepLines w:val="0"/>
        <w:pageBreakBefore w:val="0"/>
        <w:widowControl/>
        <w:spacing w:line="360" w:lineRule="auto"/>
        <w:ind w:firstLine="480"/>
        <w:rPr>
          <w:rFonts w:ascii="Times New Roman" w:hAnsi="Times New Roman" w:cs="Times New Roman"/>
          <w:color w:val="000000"/>
          <w:sz w:val="24"/>
          <w:szCs w:val="24"/>
          <w:lang w:val="en-US" w:eastAsia="zh-CN"/>
        </w:rPr>
        <w:sectPr>
          <w:pgSz w:w="11910" w:h="16840" w:orient="landscape"/>
          <w:pgMar w:top="1440" w:right="1797" w:bottom="1440" w:left="1797" w:header="1082" w:footer="1026" w:gutter="0"/>
          <w:pgNumType w:start="1"/>
          <w:cols w:space="1701" w:num="1"/>
        </w:sectPr>
      </w:pPr>
      <w:r>
        <w:rPr>
          <w:rFonts w:ascii="Times New Roman" w:hAnsi="Times New Roman" w:cs="Times New Roman"/>
          <w:color w:val="000000"/>
          <w:sz w:val="24"/>
          <w:szCs w:val="24"/>
          <w:lang w:val="zh-CN" w:eastAsia="zh-CN"/>
        </w:rPr>
        <w:t>根据 GB50014-2006《室外排水设计规范》（2011 年版），初期雨水按下式进</w:t>
      </w:r>
      <w:r>
        <w:rPr>
          <w:rFonts w:ascii="Times New Roman" w:hAnsi="Times New Roman" w:cs="Times New Roman"/>
          <w:color w:val="000000"/>
          <w:sz w:val="24"/>
          <w:szCs w:val="24"/>
          <w:lang w:val="en-US" w:eastAsia="zh-CN"/>
        </w:rPr>
        <w:t>行估算：</w:t>
      </w:r>
    </w:p>
    <w:p w14:paraId="51B07437">
      <w:pPr>
        <w:keepNext w:val="0"/>
        <w:keepLines w:val="0"/>
        <w:widowControl/>
        <w:suppressLineNumbers w:val="0"/>
        <w:ind w:left="0" w:firstLine="0"/>
        <w:jc w:val="both"/>
        <w:rPr>
          <w:rFonts w:ascii="宋体" w:hAnsi="宋体" w:eastAsia="宋体" w:cs="宋体"/>
          <w:sz w:val="24"/>
          <w:szCs w:val="24"/>
          <w:lang w:val="zh-CN" w:eastAsia="zh-CN" w:bidi="zh-CN"/>
        </w:rPr>
      </w:pPr>
      <w:r>
        <w:rPr>
          <w:rFonts w:hint="eastAsia" w:ascii="宋体" w:hAnsi="宋体" w:eastAsia="宋体" w:cs="宋体"/>
          <w:sz w:val="24"/>
          <w:szCs w:val="24"/>
          <w:lang w:val="en-US" w:eastAsia="zh-CN" w:bidi="ar"/>
        </w:rPr>
        <w:t xml:space="preserve">                </w:t>
      </w:r>
      <w:r>
        <w:rPr>
          <w:rFonts w:ascii="宋体" w:hAnsi="宋体" w:eastAsia="宋体" w:cs="宋体"/>
          <w:sz w:val="24"/>
          <w:szCs w:val="24"/>
          <w:lang w:val="en-US" w:eastAsia="zh-CN" w:bidi="ar"/>
        </w:rPr>
        <w:drawing>
          <wp:inline distT="0" distB="0" distL="0" distR="0">
            <wp:extent cx="1066800" cy="408940"/>
            <wp:effectExtent l="0" t="0" r="0" b="0"/>
            <wp:docPr id="32" name="_x0000_i3114"/>
            <wp:cNvGraphicFramePr/>
            <a:graphic xmlns:a="http://schemas.openxmlformats.org/drawingml/2006/main">
              <a:graphicData uri="http://schemas.openxmlformats.org/drawingml/2006/picture">
                <pic:pic xmlns:pic="http://schemas.openxmlformats.org/drawingml/2006/picture">
                  <pic:nvPicPr>
                    <pic:cNvPr id="32" name="_x0000_i3114"/>
                    <pic:cNvPicPr/>
                  </pic:nvPicPr>
                  <pic:blipFill>
                    <a:blip r:embed="rId45"/>
                    <a:stretch>
                      <a:fillRect/>
                    </a:stretch>
                  </pic:blipFill>
                  <pic:spPr>
                    <a:xfrm>
                      <a:off x="0" y="0"/>
                      <a:ext cx="1066800" cy="409349"/>
                    </a:xfrm>
                    <a:prstGeom prst="rect">
                      <a:avLst/>
                    </a:prstGeom>
                    <a:noFill/>
                    <a:ln>
                      <a:noFill/>
                    </a:ln>
                  </pic:spPr>
                </pic:pic>
              </a:graphicData>
            </a:graphic>
          </wp:inline>
        </w:drawing>
      </w:r>
    </w:p>
    <w:p w14:paraId="07A6C6C0">
      <w:pPr>
        <w:keepNext w:val="0"/>
        <w:keepLines w:val="0"/>
        <w:pageBreakBefore w:val="0"/>
        <w:widowControl w:val="0"/>
        <w:spacing w:before="0" w:after="0" w:line="360" w:lineRule="auto"/>
        <w:ind w:left="466" w:right="0" w:firstLine="24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式中：</w:t>
      </w:r>
      <w:r>
        <w:rPr>
          <w:rFonts w:ascii="Times New Roman" w:hAnsi="Times New Roman" w:eastAsia="Times New Roman" w:cs="宋体"/>
          <w:sz w:val="24"/>
          <w:szCs w:val="24"/>
          <w:lang w:val="zh-CN" w:eastAsia="zh-CN" w:bidi="zh-CN"/>
        </w:rPr>
        <w:t>Q</w:t>
      </w:r>
      <w:r>
        <w:rPr>
          <w:rFonts w:ascii="宋体" w:hAnsi="宋体" w:eastAsia="宋体" w:cs="宋体"/>
          <w:sz w:val="24"/>
          <w:szCs w:val="24"/>
          <w:lang w:val="zh-CN" w:eastAsia="zh-CN" w:bidi="zh-CN"/>
        </w:rPr>
        <w:t>——雨水径流量，</w:t>
      </w:r>
      <w:r>
        <w:rPr>
          <w:rFonts w:ascii="Times New Roman" w:hAnsi="Times New Roman" w:eastAsia="Times New Roman" w:cs="宋体"/>
          <w:sz w:val="24"/>
          <w:szCs w:val="24"/>
          <w:lang w:val="zh-CN" w:eastAsia="zh-CN" w:bidi="zh-CN"/>
        </w:rPr>
        <w:t>L/s</w:t>
      </w:r>
      <w:r>
        <w:rPr>
          <w:rFonts w:ascii="宋体" w:hAnsi="宋体" w:eastAsia="宋体" w:cs="宋体"/>
          <w:sz w:val="24"/>
          <w:szCs w:val="24"/>
          <w:lang w:val="zh-CN" w:eastAsia="zh-CN" w:bidi="zh-CN"/>
        </w:rPr>
        <w:t>；</w:t>
      </w:r>
    </w:p>
    <w:p w14:paraId="18FFDCD6">
      <w:pPr>
        <w:keepNext w:val="0"/>
        <w:keepLines w:val="0"/>
        <w:pageBreakBefore w:val="0"/>
        <w:widowControl w:val="0"/>
        <w:spacing w:before="0" w:after="0" w:line="360" w:lineRule="auto"/>
        <w:ind w:right="0" w:firstLine="1440"/>
        <w:jc w:val="left"/>
        <w:rPr>
          <w:rFonts w:hint="eastAsia" w:ascii="Times New Roman" w:hAnsi="Times New Roman" w:eastAsia="Times New Roman" w:cs="宋体"/>
          <w:sz w:val="24"/>
          <w:szCs w:val="24"/>
          <w:lang w:val="zh-CN" w:eastAsia="zh-CN" w:bidi="zh-CN"/>
        </w:rPr>
      </w:pPr>
      <w:r>
        <w:rPr>
          <w:rFonts w:ascii="Times New Roman" w:hAnsi="Times New Roman" w:eastAsia="Times New Roman" w:cs="宋体"/>
          <w:sz w:val="24"/>
          <w:szCs w:val="24"/>
          <w:lang w:val="zh-CN" w:eastAsia="zh-CN" w:bidi="zh-CN"/>
        </w:rPr>
        <w:t>F</w:t>
      </w:r>
      <w:r>
        <w:rPr>
          <w:rFonts w:ascii="宋体" w:hAnsi="宋体" w:eastAsia="宋体" w:cs="宋体"/>
          <w:sz w:val="24"/>
          <w:szCs w:val="24"/>
          <w:lang w:val="zh-CN" w:eastAsia="zh-CN" w:bidi="zh-CN"/>
        </w:rPr>
        <w:t>——汇水面积</w:t>
      </w:r>
      <w:r>
        <w:rPr>
          <w:rFonts w:ascii="Times New Roman" w:hAnsi="Times New Roman" w:eastAsia="Times New Roman" w:cs="宋体"/>
          <w:sz w:val="24"/>
          <w:szCs w:val="24"/>
          <w:lang w:val="zh-CN" w:eastAsia="zh-CN" w:bidi="zh-CN"/>
        </w:rPr>
        <w:t>(</w:t>
      </w:r>
      <w:r>
        <w:rPr>
          <w:rFonts w:ascii="宋体" w:hAnsi="宋体" w:eastAsia="宋体" w:cs="宋体"/>
          <w:sz w:val="24"/>
          <w:szCs w:val="24"/>
          <w:lang w:val="zh-CN" w:eastAsia="zh-CN" w:bidi="zh-CN"/>
        </w:rPr>
        <w:t>公顷</w:t>
      </w:r>
      <w:r>
        <w:rPr>
          <w:rFonts w:ascii="Times New Roman" w:hAnsi="Times New Roman" w:eastAsia="Times New Roman" w:cs="宋体"/>
          <w:sz w:val="24"/>
          <w:szCs w:val="24"/>
          <w:lang w:val="zh-CN" w:eastAsia="zh-CN" w:bidi="zh-CN"/>
        </w:rPr>
        <w:t>)</w:t>
      </w:r>
      <w:r>
        <w:rPr>
          <w:rFonts w:hint="eastAsia" w:ascii="Times New Roman" w:hAnsi="Times New Roman" w:eastAsia="Times New Roman" w:cs="宋体"/>
          <w:sz w:val="24"/>
          <w:szCs w:val="24"/>
          <w:lang w:val="zh-CN" w:eastAsia="zh-CN" w:bidi="zh-CN"/>
        </w:rPr>
        <w:t>；</w:t>
      </w:r>
    </w:p>
    <w:p w14:paraId="18B6CE77">
      <w:pPr>
        <w:keepNext w:val="0"/>
        <w:keepLines w:val="0"/>
        <w:pageBreakBefore w:val="0"/>
        <w:widowControl w:val="0"/>
        <w:spacing w:before="0" w:after="0" w:line="360" w:lineRule="auto"/>
        <w:ind w:right="0" w:firstLine="144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Ψ——为径流系数（</w:t>
      </w:r>
      <w:r>
        <w:rPr>
          <w:rFonts w:ascii="Times New Roman" w:hAnsi="Times New Roman" w:eastAsia="Times New Roman" w:cs="宋体"/>
          <w:sz w:val="24"/>
          <w:szCs w:val="24"/>
          <w:lang w:val="zh-CN" w:eastAsia="zh-CN" w:bidi="zh-CN"/>
        </w:rPr>
        <w:t>0.4~0.9</w:t>
      </w:r>
      <w:r>
        <w:rPr>
          <w:rFonts w:ascii="宋体" w:hAnsi="宋体" w:eastAsia="宋体" w:cs="宋体"/>
          <w:sz w:val="24"/>
          <w:szCs w:val="24"/>
          <w:lang w:val="zh-CN" w:eastAsia="zh-CN" w:bidi="zh-CN"/>
        </w:rPr>
        <w:t xml:space="preserve">，取 </w:t>
      </w:r>
      <w:r>
        <w:rPr>
          <w:rFonts w:ascii="Times New Roman" w:hAnsi="Times New Roman" w:eastAsia="Times New Roman" w:cs="宋体"/>
          <w:sz w:val="24"/>
          <w:szCs w:val="24"/>
          <w:lang w:val="zh-CN" w:eastAsia="zh-CN" w:bidi="zh-CN"/>
        </w:rPr>
        <w:t>0.5</w:t>
      </w:r>
      <w:r>
        <w:rPr>
          <w:rFonts w:ascii="宋体" w:hAnsi="宋体" w:eastAsia="宋体" w:cs="宋体"/>
          <w:sz w:val="24"/>
          <w:szCs w:val="24"/>
          <w:lang w:val="zh-CN" w:eastAsia="zh-CN" w:bidi="zh-CN"/>
        </w:rPr>
        <w:t>）；</w:t>
      </w:r>
    </w:p>
    <w:p w14:paraId="1BB2454B">
      <w:pPr>
        <w:keepNext w:val="0"/>
        <w:keepLines w:val="0"/>
        <w:pageBreakBefore w:val="0"/>
        <w:widowControl w:val="0"/>
        <w:spacing w:before="0" w:after="0" w:line="360" w:lineRule="auto"/>
        <w:ind w:right="0" w:firstLine="1440"/>
        <w:jc w:val="both"/>
        <w:rPr>
          <w:rFonts w:ascii="Times New Roman" w:hAnsi="Times New Roman" w:eastAsia="Times New Roman" w:cs="宋体"/>
          <w:sz w:val="24"/>
          <w:szCs w:val="24"/>
          <w:lang w:val="zh-CN" w:eastAsia="zh-CN" w:bidi="zh-CN"/>
        </w:rPr>
      </w:pPr>
      <w:r>
        <w:rPr>
          <w:rFonts w:ascii="Times New Roman" w:hAnsi="Times New Roman" w:eastAsia="Times New Roman" w:cs="宋体"/>
          <w:sz w:val="24"/>
          <w:szCs w:val="24"/>
          <w:lang w:val="zh-CN" w:eastAsia="zh-CN" w:bidi="zh-CN"/>
        </w:rPr>
        <w:t>q</w:t>
      </w:r>
      <w:r>
        <w:rPr>
          <w:rFonts w:ascii="宋体" w:hAnsi="宋体" w:eastAsia="宋体" w:cs="宋体"/>
          <w:sz w:val="24"/>
          <w:szCs w:val="24"/>
          <w:lang w:val="zh-CN" w:eastAsia="zh-CN" w:bidi="zh-CN"/>
        </w:rPr>
        <w:t>——为降雨强度</w:t>
      </w:r>
      <w:r>
        <w:rPr>
          <w:rFonts w:ascii="Times New Roman" w:hAnsi="Times New Roman" w:eastAsia="Times New Roman" w:cs="宋体"/>
          <w:sz w:val="24"/>
          <w:szCs w:val="24"/>
          <w:lang w:val="zh-CN" w:eastAsia="zh-CN" w:bidi="zh-CN"/>
        </w:rPr>
        <w:t>L/s</w:t>
      </w:r>
      <w:r>
        <w:rPr>
          <w:rFonts w:ascii="宋体" w:hAnsi="宋体" w:eastAsia="宋体" w:cs="宋体"/>
          <w:sz w:val="24"/>
          <w:szCs w:val="24"/>
          <w:lang w:val="zh-CN" w:eastAsia="zh-CN" w:bidi="zh-CN"/>
        </w:rPr>
        <w:t>•</w:t>
      </w:r>
      <w:r>
        <w:rPr>
          <w:rFonts w:ascii="Times New Roman" w:hAnsi="Times New Roman" w:eastAsia="Times New Roman" w:cs="宋体"/>
          <w:sz w:val="24"/>
          <w:szCs w:val="24"/>
          <w:lang w:val="zh-CN" w:eastAsia="zh-CN" w:bidi="zh-CN"/>
        </w:rPr>
        <w:t>ha</w:t>
      </w:r>
      <w:r>
        <w:rPr>
          <w:rFonts w:hint="eastAsia" w:ascii="Times New Roman" w:hAnsi="Times New Roman" w:eastAsia="Times New Roman" w:cs="宋体"/>
          <w:sz w:val="24"/>
          <w:szCs w:val="24"/>
          <w:lang w:val="zh-CN" w:eastAsia="zh-CN" w:bidi="zh-CN"/>
        </w:rPr>
        <w:t>。</w:t>
      </w:r>
    </w:p>
    <w:p w14:paraId="6E9163CC">
      <w:pPr>
        <w:pStyle w:val="2"/>
        <w:rPr>
          <w:rFonts w:ascii="宋体" w:hAnsi="宋体" w:eastAsia="宋体" w:cs="宋体"/>
          <w:sz w:val="24"/>
          <w:szCs w:val="24"/>
          <w:lang w:val="zh-CN" w:eastAsia="zh-CN" w:bidi="zh-CN"/>
        </w:rPr>
      </w:pPr>
      <w:r>
        <w:rPr>
          <w:rFonts w:hint="eastAsia" w:ascii="Times New Roman" w:hAnsi="Times New Roman" w:eastAsia="Times New Roman" w:cs="宋体"/>
          <w:sz w:val="24"/>
          <w:szCs w:val="24"/>
          <w:lang w:val="en-US" w:eastAsia="zh-CN" w:bidi="zh-CN"/>
        </w:rPr>
        <w:t xml:space="preserve"> </w:t>
      </w:r>
      <w:r>
        <w:rPr>
          <w:rFonts w:ascii="宋体" w:hAnsi="宋体" w:eastAsia="宋体" w:cs="宋体"/>
          <w:sz w:val="24"/>
          <w:szCs w:val="24"/>
          <w:lang w:val="zh-CN" w:eastAsia="zh-CN" w:bidi="zh-CN"/>
        </w:rPr>
        <w:t>据柳州市暴雨强度公式：</w:t>
      </w:r>
    </w:p>
    <w:p w14:paraId="661BF3A1">
      <w:pPr>
        <w:keepNext w:val="0"/>
        <w:keepLines w:val="0"/>
        <w:widowControl/>
        <w:suppressLineNumbers w:val="0"/>
        <w:jc w:val="center"/>
      </w:pPr>
      <w:r>
        <w:rPr>
          <w:rFonts w:ascii="宋体" w:hAnsi="宋体" w:eastAsia="宋体" w:cs="宋体"/>
          <w:sz w:val="24"/>
          <w:szCs w:val="24"/>
          <w:lang w:val="en-US" w:eastAsia="zh-CN" w:bidi="ar"/>
        </w:rPr>
        <w:drawing>
          <wp:inline distT="0" distB="0" distL="0" distR="0">
            <wp:extent cx="2038350" cy="475615"/>
            <wp:effectExtent l="0" t="0" r="0" b="0"/>
            <wp:docPr id="33" name="_x0000_i3115"/>
            <wp:cNvGraphicFramePr/>
            <a:graphic xmlns:a="http://schemas.openxmlformats.org/drawingml/2006/main">
              <a:graphicData uri="http://schemas.openxmlformats.org/drawingml/2006/picture">
                <pic:pic xmlns:pic="http://schemas.openxmlformats.org/drawingml/2006/picture">
                  <pic:nvPicPr>
                    <pic:cNvPr id="33" name="_x0000_i3115"/>
                    <pic:cNvPicPr/>
                  </pic:nvPicPr>
                  <pic:blipFill>
                    <a:blip r:embed="rId46"/>
                    <a:stretch>
                      <a:fillRect/>
                    </a:stretch>
                  </pic:blipFill>
                  <pic:spPr>
                    <a:xfrm>
                      <a:off x="0" y="0"/>
                      <a:ext cx="2038349" cy="476090"/>
                    </a:xfrm>
                    <a:prstGeom prst="rect">
                      <a:avLst/>
                    </a:prstGeom>
                    <a:noFill/>
                    <a:ln>
                      <a:noFill/>
                    </a:ln>
                  </pic:spPr>
                </pic:pic>
              </a:graphicData>
            </a:graphic>
          </wp:inline>
        </w:drawing>
      </w:r>
    </w:p>
    <w:p w14:paraId="4CB41517">
      <w:pPr>
        <w:keepNext w:val="0"/>
        <w:keepLines w:val="0"/>
        <w:pageBreakBefore w:val="0"/>
        <w:widowControl w:val="0"/>
        <w:spacing w:before="0" w:after="0" w:line="360" w:lineRule="auto"/>
        <w:ind w:left="466" w:right="0" w:firstLine="48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式中：</w:t>
      </w:r>
      <w:r>
        <w:rPr>
          <w:rFonts w:ascii="Times New Roman" w:hAnsi="Times New Roman" w:eastAsia="Times New Roman" w:cs="宋体"/>
          <w:sz w:val="24"/>
          <w:szCs w:val="24"/>
          <w:lang w:val="zh-CN" w:eastAsia="zh-CN" w:bidi="zh-CN"/>
        </w:rPr>
        <w:t>P</w:t>
      </w:r>
      <w:r>
        <w:rPr>
          <w:rFonts w:ascii="宋体" w:hAnsi="宋体" w:eastAsia="宋体" w:cs="宋体"/>
          <w:sz w:val="24"/>
          <w:szCs w:val="24"/>
          <w:lang w:val="zh-CN" w:eastAsia="zh-CN" w:bidi="zh-CN"/>
        </w:rPr>
        <w:t xml:space="preserve">——重现期，取 </w:t>
      </w:r>
      <w:r>
        <w:rPr>
          <w:rFonts w:ascii="Times New Roman" w:hAnsi="Times New Roman" w:eastAsia="Times New Roman" w:cs="宋体"/>
          <w:sz w:val="24"/>
          <w:szCs w:val="24"/>
          <w:lang w:val="zh-CN" w:eastAsia="zh-CN" w:bidi="zh-CN"/>
        </w:rPr>
        <w:t xml:space="preserve">2 </w:t>
      </w:r>
      <w:r>
        <w:rPr>
          <w:rFonts w:ascii="宋体" w:hAnsi="宋体" w:eastAsia="宋体" w:cs="宋体"/>
          <w:sz w:val="24"/>
          <w:szCs w:val="24"/>
          <w:lang w:val="zh-CN" w:eastAsia="zh-CN" w:bidi="zh-CN"/>
        </w:rPr>
        <w:t>年；</w:t>
      </w:r>
    </w:p>
    <w:p w14:paraId="40DE20B2">
      <w:pPr>
        <w:keepNext w:val="0"/>
        <w:keepLines w:val="0"/>
        <w:pageBreakBefore w:val="0"/>
        <w:widowControl w:val="0"/>
        <w:spacing w:before="0" w:after="0" w:line="360" w:lineRule="auto"/>
        <w:ind w:left="1186" w:right="0" w:firstLine="480"/>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t</w:t>
      </w:r>
      <w:r>
        <w:rPr>
          <w:rFonts w:ascii="宋体" w:hAnsi="宋体" w:eastAsia="宋体" w:cs="宋体"/>
          <w:sz w:val="24"/>
          <w:szCs w:val="24"/>
          <w:lang w:val="zh-CN" w:eastAsia="zh-CN" w:bidi="zh-CN"/>
        </w:rPr>
        <w:t xml:space="preserve">——降雨历时，取 </w:t>
      </w:r>
      <w:r>
        <w:rPr>
          <w:rFonts w:ascii="Times New Roman" w:hAnsi="Times New Roman" w:eastAsia="Times New Roman" w:cs="宋体"/>
          <w:sz w:val="24"/>
          <w:szCs w:val="24"/>
          <w:lang w:val="zh-CN" w:eastAsia="zh-CN" w:bidi="zh-CN"/>
        </w:rPr>
        <w:t>15min</w:t>
      </w:r>
      <w:r>
        <w:rPr>
          <w:rFonts w:ascii="宋体" w:hAnsi="宋体" w:eastAsia="宋体" w:cs="宋体"/>
          <w:sz w:val="24"/>
          <w:szCs w:val="24"/>
          <w:lang w:val="zh-CN" w:eastAsia="zh-CN" w:bidi="zh-CN"/>
        </w:rPr>
        <w:t>。</w:t>
      </w:r>
    </w:p>
    <w:p w14:paraId="7E450BDA">
      <w:pPr>
        <w:pStyle w:val="2"/>
        <w:keepNext w:val="0"/>
        <w:keepLines w:val="0"/>
        <w:pageBreakBefore w:val="0"/>
        <w:widowControl/>
        <w:ind w:firstLine="480"/>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lang w:val="zh-CN" w:eastAsia="zh-CN"/>
        </w:rPr>
        <w:t>计算得降雨强度 q 为 296L/s·ha。项目初期雨水收集范围</w:t>
      </w:r>
      <w:r>
        <w:rPr>
          <w:rFonts w:ascii="Times New Roman" w:hAnsi="Times New Roman" w:cs="Times New Roman"/>
          <w:color w:val="000000"/>
          <w:sz w:val="24"/>
          <w:szCs w:val="24"/>
        </w:rPr>
        <w:t>为</w:t>
      </w:r>
      <w:r>
        <w:rPr>
          <w:rFonts w:ascii="Times New Roman" w:hAnsi="Times New Roman" w:cs="Times New Roman"/>
          <w:color w:val="000000"/>
          <w:sz w:val="24"/>
          <w:szCs w:val="24"/>
          <w:lang w:val="en-US" w:eastAsia="zh-CN"/>
        </w:rPr>
        <w:t>露天原料</w:t>
      </w:r>
      <w:r>
        <w:rPr>
          <w:rFonts w:ascii="Times New Roman" w:hAnsi="Times New Roman" w:cs="Times New Roman"/>
          <w:color w:val="000000"/>
          <w:sz w:val="24"/>
          <w:szCs w:val="24"/>
        </w:rPr>
        <w:t>堆场</w:t>
      </w:r>
      <w:r>
        <w:rPr>
          <w:rFonts w:ascii="Times New Roman" w:hAnsi="Times New Roman" w:cs="Times New Roman"/>
          <w:color w:val="000000"/>
          <w:sz w:val="24"/>
          <w:szCs w:val="24"/>
          <w:lang w:val="en-US" w:eastAsia="zh-CN"/>
        </w:rPr>
        <w:t>10000m</w:t>
      </w:r>
      <w:r>
        <w:rPr>
          <w:rFonts w:ascii="Times New Roman" w:hAnsi="Times New Roman" w:cs="Times New Roman"/>
          <w:color w:val="000000"/>
          <w:sz w:val="24"/>
          <w:szCs w:val="24"/>
          <w:vertAlign w:val="superscript"/>
          <w:lang w:val="en-US" w:eastAsia="zh-CN"/>
        </w:rPr>
        <w:t>2</w:t>
      </w:r>
      <w:r>
        <w:rPr>
          <w:rFonts w:ascii="Times New Roman" w:hAnsi="Times New Roman" w:cs="Times New Roman"/>
          <w:color w:val="000000"/>
          <w:sz w:val="24"/>
          <w:szCs w:val="24"/>
          <w:lang w:val="zh-CN" w:eastAsia="zh-CN"/>
        </w:rPr>
        <w:t>，</w:t>
      </w:r>
      <w:r>
        <w:rPr>
          <w:rFonts w:ascii="Times New Roman" w:hAnsi="Times New Roman" w:cs="Times New Roman"/>
          <w:color w:val="000000"/>
          <w:sz w:val="24"/>
          <w:szCs w:val="24"/>
          <w:lang w:val="en-US" w:eastAsia="zh-CN"/>
        </w:rPr>
        <w:t>其他生产过程均在室内进行，因此不再考虑雨水污染</w:t>
      </w:r>
      <w:r>
        <w:rPr>
          <w:rFonts w:ascii="Times New Roman" w:hAnsi="Times New Roman" w:cs="Times New Roman"/>
          <w:color w:val="000000"/>
          <w:sz w:val="24"/>
          <w:szCs w:val="24"/>
          <w:lang w:val="zh-CN" w:eastAsia="zh-CN"/>
        </w:rPr>
        <w:t>，收水时间按 15min计算，则初期雨水量为</w:t>
      </w:r>
      <w:r>
        <w:rPr>
          <w:rFonts w:ascii="Times New Roman" w:hAnsi="Times New Roman" w:cs="Times New Roman"/>
          <w:color w:val="000000"/>
          <w:sz w:val="24"/>
          <w:szCs w:val="24"/>
          <w:lang w:val="en-US" w:eastAsia="zh-CN"/>
        </w:rPr>
        <w:t>133.2</w:t>
      </w:r>
      <w:r>
        <w:rPr>
          <w:rFonts w:ascii="Times New Roman" w:hAnsi="Times New Roman" w:cs="Times New Roman"/>
          <w:color w:val="000000"/>
          <w:sz w:val="24"/>
          <w:szCs w:val="24"/>
          <w:lang w:val="zh-CN" w:eastAsia="zh-CN"/>
        </w:rPr>
        <w:t>m</w:t>
      </w:r>
      <w:r>
        <w:rPr>
          <w:rFonts w:hint="eastAsia" w:ascii="Times New Roman" w:hAnsi="Times New Roman" w:cs="Times New Roman"/>
          <w:color w:val="000000"/>
          <w:sz w:val="24"/>
          <w:szCs w:val="24"/>
          <w:vertAlign w:val="superscript"/>
          <w:lang w:val="en-US" w:eastAsia="zh-CN"/>
        </w:rPr>
        <w:t>3</w:t>
      </w:r>
      <w:r>
        <w:rPr>
          <w:rFonts w:ascii="Times New Roman" w:hAnsi="Times New Roman" w:cs="Times New Roman"/>
          <w:color w:val="000000"/>
          <w:sz w:val="24"/>
          <w:szCs w:val="24"/>
          <w:lang w:val="zh-CN" w:eastAsia="zh-CN"/>
        </w:rPr>
        <w:t xml:space="preserve">/次，根据当地气象统计资料， 每年中暴雨次数按 30 天计，则初期雨水量约为 </w:t>
      </w:r>
      <w:r>
        <w:rPr>
          <w:rFonts w:ascii="Times New Roman" w:hAnsi="Times New Roman" w:cs="Times New Roman"/>
          <w:color w:val="000000"/>
          <w:sz w:val="24"/>
          <w:szCs w:val="24"/>
          <w:lang w:val="en-US" w:eastAsia="zh-CN"/>
        </w:rPr>
        <w:t>3996</w:t>
      </w:r>
      <w:r>
        <w:rPr>
          <w:rFonts w:ascii="Times New Roman" w:hAnsi="Times New Roman" w:cs="Times New Roman"/>
          <w:color w:val="000000"/>
          <w:sz w:val="24"/>
          <w:szCs w:val="24"/>
          <w:lang w:val="zh-CN" w:eastAsia="zh-CN"/>
        </w:rPr>
        <w:t>m</w:t>
      </w:r>
      <w:r>
        <w:rPr>
          <w:rFonts w:ascii="Times New Roman" w:hAnsi="Times New Roman" w:cs="Times New Roman"/>
          <w:color w:val="000000"/>
          <w:sz w:val="24"/>
          <w:szCs w:val="24"/>
          <w:vertAlign w:val="superscript"/>
          <w:lang w:val="zh-CN" w:eastAsia="zh-CN"/>
        </w:rPr>
        <w:t>3</w:t>
      </w:r>
      <w:r>
        <w:rPr>
          <w:rFonts w:ascii="Times New Roman" w:hAnsi="Times New Roman" w:cs="Times New Roman"/>
          <w:color w:val="000000"/>
          <w:sz w:val="24"/>
          <w:szCs w:val="24"/>
          <w:lang w:val="zh-CN" w:eastAsia="zh-CN"/>
        </w:rPr>
        <w:t>/a。</w:t>
      </w:r>
    </w:p>
    <w:p w14:paraId="032E39FF">
      <w:pPr>
        <w:pStyle w:val="2"/>
        <w:keepNext w:val="0"/>
        <w:keepLines w:val="0"/>
        <w:pageBreakBefore w:val="0"/>
        <w:widowControl/>
        <w:ind w:firstLine="480"/>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lang w:val="en-US" w:eastAsia="zh-CN"/>
        </w:rPr>
        <w:t>本环评建议</w:t>
      </w:r>
      <w:r>
        <w:rPr>
          <w:rFonts w:ascii="Times New Roman" w:hAnsi="Times New Roman" w:cs="Times New Roman"/>
          <w:color w:val="000000"/>
          <w:sz w:val="24"/>
          <w:szCs w:val="24"/>
          <w:lang w:val="zh-CN" w:eastAsia="zh-CN"/>
        </w:rPr>
        <w:t>项目</w:t>
      </w:r>
      <w:r>
        <w:rPr>
          <w:rFonts w:ascii="Times New Roman" w:hAnsi="Times New Roman" w:cs="Times New Roman"/>
          <w:color w:val="000000"/>
          <w:sz w:val="24"/>
          <w:szCs w:val="24"/>
          <w:lang w:val="en-US" w:eastAsia="zh-CN"/>
        </w:rPr>
        <w:t>增设</w:t>
      </w:r>
      <w:r>
        <w:rPr>
          <w:rFonts w:ascii="Times New Roman" w:hAnsi="Times New Roman" w:cs="Times New Roman"/>
          <w:color w:val="000000"/>
          <w:sz w:val="24"/>
          <w:szCs w:val="24"/>
          <w:lang w:val="zh-CN" w:eastAsia="zh-CN"/>
        </w:rPr>
        <w:t>初期雨水池，容量</w:t>
      </w:r>
      <w:r>
        <w:rPr>
          <w:rFonts w:ascii="Times New Roman" w:hAnsi="Times New Roman" w:cs="Times New Roman"/>
          <w:color w:val="000000"/>
          <w:sz w:val="24"/>
          <w:szCs w:val="24"/>
          <w:lang w:val="en-US" w:eastAsia="zh-CN"/>
        </w:rPr>
        <w:t>初步定</w:t>
      </w:r>
      <w:r>
        <w:rPr>
          <w:rFonts w:ascii="Times New Roman" w:hAnsi="Times New Roman" w:cs="Times New Roman"/>
          <w:color w:val="000000"/>
          <w:sz w:val="24"/>
          <w:szCs w:val="24"/>
          <w:lang w:val="zh-CN" w:eastAsia="zh-CN"/>
        </w:rPr>
        <w:t>为</w:t>
      </w:r>
      <w:r>
        <w:rPr>
          <w:rFonts w:ascii="Times New Roman" w:hAnsi="Times New Roman" w:cs="Times New Roman"/>
          <w:color w:val="000000"/>
          <w:sz w:val="24"/>
          <w:szCs w:val="24"/>
          <w:lang w:val="en-US" w:eastAsia="zh-CN"/>
        </w:rPr>
        <w:t>150</w:t>
      </w:r>
      <w:r>
        <w:rPr>
          <w:rFonts w:ascii="Times New Roman" w:hAnsi="Times New Roman" w:cs="Times New Roman"/>
          <w:color w:val="000000"/>
          <w:sz w:val="24"/>
          <w:szCs w:val="24"/>
          <w:lang w:val="zh-CN" w:eastAsia="zh-CN"/>
        </w:rPr>
        <w:t>m</w:t>
      </w:r>
      <w:r>
        <w:rPr>
          <w:rFonts w:hint="eastAsia" w:ascii="Times New Roman" w:hAnsi="Times New Roman" w:cs="Times New Roman"/>
          <w:color w:val="000000"/>
          <w:sz w:val="24"/>
          <w:szCs w:val="24"/>
          <w:vertAlign w:val="superscript"/>
          <w:lang w:val="en-US" w:eastAsia="zh-CN"/>
        </w:rPr>
        <w:t>3</w:t>
      </w:r>
      <w:r>
        <w:rPr>
          <w:rFonts w:ascii="Times New Roman" w:hAnsi="Times New Roman" w:cs="Times New Roman"/>
          <w:color w:val="000000"/>
          <w:sz w:val="24"/>
          <w:szCs w:val="24"/>
          <w:lang w:val="zh-CN" w:eastAsia="zh-CN"/>
        </w:rPr>
        <w:t>，可满足单次降雨的初期雨水存量，初期雨水经沉淀处理后与其他雨水外排周围的雨水沟渠，减少场地经雨水冲刷污染物排放量。初期雨水中的主要污染物为 SS，浓度约150mg/L。</w:t>
      </w:r>
    </w:p>
    <w:p w14:paraId="2FE2C3AD">
      <w:pPr>
        <w:pStyle w:val="2"/>
        <w:keepNext w:val="0"/>
        <w:keepLines w:val="0"/>
        <w:pageBreakBefore w:val="0"/>
        <w:widowControl/>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五</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项目</w:t>
      </w:r>
      <w:r>
        <w:rPr>
          <w:rFonts w:ascii="Times New Roman" w:hAnsi="Times New Roman" w:cs="Times New Roman"/>
          <w:color w:val="000000"/>
          <w:sz w:val="24"/>
          <w:szCs w:val="24"/>
        </w:rPr>
        <w:t xml:space="preserve">用水小结 </w:t>
      </w:r>
    </w:p>
    <w:p w14:paraId="023F872A">
      <w:pPr>
        <w:pStyle w:val="2"/>
        <w:keepNext w:val="0"/>
        <w:keepLines w:val="0"/>
        <w:pageBreakBefore w:val="0"/>
        <w:widowControl/>
        <w:ind w:firstLine="480"/>
        <w:rPr>
          <w:rFonts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根据以上分析，项目需要的新水用量55582.12m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w:t>
      </w:r>
      <w:r>
        <w:rPr>
          <w:rFonts w:ascii="Times New Roman" w:hAnsi="Times New Roman" w:cs="Times New Roman"/>
          <w:color w:val="000000"/>
          <w:sz w:val="24"/>
          <w:szCs w:val="24"/>
          <w:lang w:val="en-US" w:eastAsia="zh-CN"/>
        </w:rPr>
        <w:t>使用自来水</w:t>
      </w:r>
      <w:r>
        <w:rPr>
          <w:rFonts w:hint="eastAsia" w:ascii="Times New Roman" w:hAnsi="Times New Roman" w:cs="Times New Roman"/>
          <w:color w:val="000000"/>
          <w:sz w:val="24"/>
          <w:szCs w:val="24"/>
          <w:lang w:val="en-US" w:eastAsia="zh-CN"/>
        </w:rPr>
        <w:t>。</w:t>
      </w:r>
      <w:r>
        <w:rPr>
          <w:rFonts w:ascii="Times New Roman" w:hAnsi="Times New Roman" w:cs="Times New Roman"/>
          <w:color w:val="000000"/>
          <w:sz w:val="24"/>
          <w:szCs w:val="24"/>
          <w:lang w:val="en-US" w:eastAsia="zh-CN"/>
        </w:rPr>
        <w:t>项目</w:t>
      </w:r>
      <w:r>
        <w:rPr>
          <w:rFonts w:hint="eastAsia" w:ascii="Times New Roman" w:hAnsi="Times New Roman" w:cs="Times New Roman"/>
          <w:color w:val="000000"/>
          <w:sz w:val="24"/>
          <w:szCs w:val="24"/>
          <w:lang w:val="en-US" w:eastAsia="zh-CN"/>
        </w:rPr>
        <w:t>产生废水量为9886.08m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/a，其中回用用水3646.08m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/a，项目废水外排量为6240m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w:t>
      </w:r>
      <w:r>
        <w:rPr>
          <w:rFonts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val="en-US" w:eastAsia="zh-CN"/>
        </w:rPr>
        <w:t>项目用排水情况见下表</w:t>
      </w:r>
      <w:r>
        <w:rPr>
          <w:rFonts w:ascii="Times New Roman" w:hAnsi="Times New Roman" w:cs="Times New Roman"/>
          <w:color w:val="000000"/>
          <w:sz w:val="24"/>
          <w:szCs w:val="24"/>
          <w:lang w:val="en-US" w:eastAsia="zh-CN"/>
        </w:rPr>
        <w:t xml:space="preserve">。 </w:t>
      </w:r>
    </w:p>
    <w:p w14:paraId="1DF0C2BB">
      <w:pPr>
        <w:pStyle w:val="2"/>
        <w:ind w:firstLine="482"/>
        <w:jc w:val="center"/>
        <w:rPr>
          <w:rFonts w:ascii="Times New Roman" w:hAnsi="Times New Roman" w:cs="Times New Roman"/>
          <w:b/>
          <w:color w:val="000000"/>
          <w:sz w:val="24"/>
          <w:szCs w:val="24"/>
        </w:rPr>
      </w:pPr>
      <w:r>
        <w:rPr>
          <w:rFonts w:ascii="Times New Roman" w:hAnsi="Times New Roman" w:cs="Times New Roman"/>
          <w:b/>
          <w:color w:val="000000"/>
          <w:sz w:val="24"/>
          <w:szCs w:val="24"/>
        </w:rPr>
        <w:t>表</w:t>
      </w:r>
      <w:r>
        <w:rPr>
          <w:rFonts w:ascii="Times New Roman" w:hAnsi="Times New Roman" w:cs="Times New Roman"/>
          <w:b/>
          <w:color w:val="000000"/>
          <w:sz w:val="24"/>
          <w:szCs w:val="24"/>
          <w:lang w:val="en-US" w:eastAsia="zh-CN"/>
        </w:rPr>
        <w:t xml:space="preserve">4.2-6 </w:t>
      </w:r>
      <w:r>
        <w:rPr>
          <w:rFonts w:hint="eastAsia" w:ascii="Times New Roman" w:hAnsi="Times New Roman" w:cs="Times New Roman"/>
          <w:b/>
          <w:color w:val="000000"/>
          <w:sz w:val="24"/>
          <w:szCs w:val="24"/>
          <w:lang w:val="en-US" w:eastAsia="zh-CN"/>
        </w:rPr>
        <w:t xml:space="preserve"> </w:t>
      </w:r>
      <w:r>
        <w:rPr>
          <w:rFonts w:ascii="Times New Roman" w:hAnsi="Times New Roman" w:cs="Times New Roman"/>
          <w:b/>
          <w:color w:val="000000"/>
          <w:sz w:val="24"/>
          <w:szCs w:val="24"/>
        </w:rPr>
        <w:t>项目</w:t>
      </w:r>
      <w:r>
        <w:rPr>
          <w:rFonts w:hint="eastAsia" w:ascii="Times New Roman" w:hAnsi="Times New Roman" w:cs="Times New Roman"/>
          <w:b/>
          <w:color w:val="000000"/>
          <w:sz w:val="24"/>
          <w:szCs w:val="24"/>
          <w:lang w:val="en-US" w:eastAsia="zh-CN"/>
        </w:rPr>
        <w:t>用排水情况</w:t>
      </w:r>
      <w:r>
        <w:rPr>
          <w:rFonts w:ascii="Times New Roman" w:hAnsi="Times New Roman" w:cs="Times New Roman"/>
          <w:b/>
          <w:color w:val="000000"/>
          <w:sz w:val="24"/>
          <w:szCs w:val="24"/>
        </w:rPr>
        <w:t>一览表</w:t>
      </w:r>
    </w:p>
    <w:tbl>
      <w:tblPr>
        <w:tblStyle w:val="32"/>
        <w:tblW w:w="97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2"/>
        <w:gridCol w:w="2062"/>
        <w:gridCol w:w="1125"/>
        <w:gridCol w:w="1170"/>
        <w:gridCol w:w="1065"/>
        <w:gridCol w:w="1950"/>
        <w:gridCol w:w="1890"/>
      </w:tblGrid>
      <w:tr w14:paraId="25E95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462" w:type="dxa"/>
            <w:noWrap w:val="0"/>
            <w:vAlign w:val="center"/>
          </w:tcPr>
          <w:p w14:paraId="6A4487CD">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序号</w:t>
            </w:r>
          </w:p>
        </w:tc>
        <w:tc>
          <w:tcPr>
            <w:tcW w:w="2062" w:type="dxa"/>
            <w:noWrap w:val="0"/>
            <w:vAlign w:val="center"/>
          </w:tcPr>
          <w:p w14:paraId="5C58F3BA">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项目</w:t>
            </w:r>
          </w:p>
        </w:tc>
        <w:tc>
          <w:tcPr>
            <w:tcW w:w="1125" w:type="dxa"/>
            <w:noWrap w:val="0"/>
            <w:vAlign w:val="center"/>
          </w:tcPr>
          <w:p w14:paraId="10CD6F95">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用水量</w:t>
            </w:r>
          </w:p>
          <w:p w14:paraId="5C77CE3A">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m</w:t>
            </w:r>
            <w:r>
              <w:rPr>
                <w:rFonts w:ascii="Times New Roman" w:hAnsi="Times New Roman" w:eastAsia="宋体" w:cs="Times New Roman"/>
                <w:b/>
                <w:color w:val="000000"/>
                <w:sz w:val="21"/>
                <w:szCs w:val="21"/>
                <w:vertAlign w:val="superscript"/>
              </w:rPr>
              <w:t>3</w:t>
            </w:r>
            <w:r>
              <w:rPr>
                <w:rFonts w:ascii="Times New Roman" w:hAnsi="Times New Roman" w:eastAsia="宋体" w:cs="Times New Roman"/>
                <w:b/>
                <w:color w:val="000000"/>
                <w:sz w:val="21"/>
                <w:szCs w:val="21"/>
              </w:rPr>
              <w:t>/a</w:t>
            </w:r>
          </w:p>
        </w:tc>
        <w:tc>
          <w:tcPr>
            <w:tcW w:w="1170" w:type="dxa"/>
            <w:noWrap w:val="0"/>
            <w:vAlign w:val="center"/>
          </w:tcPr>
          <w:p w14:paraId="3AEBADBF">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废水量</w:t>
            </w:r>
          </w:p>
          <w:p w14:paraId="6C56852A">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m</w:t>
            </w:r>
            <w:r>
              <w:rPr>
                <w:rFonts w:ascii="Times New Roman" w:hAnsi="Times New Roman" w:eastAsia="宋体" w:cs="Times New Roman"/>
                <w:b/>
                <w:color w:val="000000"/>
                <w:sz w:val="21"/>
                <w:szCs w:val="21"/>
                <w:vertAlign w:val="superscript"/>
              </w:rPr>
              <w:t>3</w:t>
            </w:r>
            <w:r>
              <w:rPr>
                <w:rFonts w:ascii="Times New Roman" w:hAnsi="Times New Roman" w:eastAsia="宋体" w:cs="Times New Roman"/>
                <w:b/>
                <w:color w:val="000000"/>
                <w:sz w:val="21"/>
                <w:szCs w:val="21"/>
              </w:rPr>
              <w:t>/a</w:t>
            </w:r>
          </w:p>
        </w:tc>
        <w:tc>
          <w:tcPr>
            <w:tcW w:w="1065" w:type="dxa"/>
            <w:noWrap w:val="0"/>
            <w:vAlign w:val="center"/>
          </w:tcPr>
          <w:p w14:paraId="59003178">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排放量</w:t>
            </w:r>
          </w:p>
        </w:tc>
        <w:tc>
          <w:tcPr>
            <w:tcW w:w="1950" w:type="dxa"/>
            <w:noWrap w:val="0"/>
            <w:vAlign w:val="center"/>
          </w:tcPr>
          <w:p w14:paraId="07A60E85">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用水来源m</w:t>
            </w:r>
            <w:r>
              <w:rPr>
                <w:rFonts w:ascii="Times New Roman" w:hAnsi="Times New Roman" w:eastAsia="宋体" w:cs="Times New Roman"/>
                <w:b/>
                <w:color w:val="000000"/>
                <w:sz w:val="21"/>
                <w:szCs w:val="21"/>
                <w:vertAlign w:val="superscript"/>
              </w:rPr>
              <w:t>3</w:t>
            </w:r>
            <w:r>
              <w:rPr>
                <w:rFonts w:ascii="Times New Roman" w:hAnsi="Times New Roman" w:eastAsia="宋体" w:cs="Times New Roman"/>
                <w:b/>
                <w:color w:val="000000"/>
                <w:sz w:val="21"/>
                <w:szCs w:val="21"/>
              </w:rPr>
              <w:t>/a</w:t>
            </w:r>
          </w:p>
        </w:tc>
        <w:tc>
          <w:tcPr>
            <w:tcW w:w="1890" w:type="dxa"/>
            <w:noWrap w:val="0"/>
            <w:vAlign w:val="center"/>
          </w:tcPr>
          <w:p w14:paraId="00DEDA2D">
            <w:pPr>
              <w:widowControl w:val="0"/>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备注</w:t>
            </w:r>
          </w:p>
        </w:tc>
      </w:tr>
      <w:tr w14:paraId="6CD5E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462" w:type="dxa"/>
            <w:noWrap w:val="0"/>
            <w:vAlign w:val="center"/>
          </w:tcPr>
          <w:p w14:paraId="4F6196C8">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1</w:t>
            </w:r>
          </w:p>
        </w:tc>
        <w:tc>
          <w:tcPr>
            <w:tcW w:w="2062" w:type="dxa"/>
            <w:noWrap w:val="0"/>
            <w:vAlign w:val="center"/>
          </w:tcPr>
          <w:p w14:paraId="263F0E53">
            <w:pPr>
              <w:widowControl w:val="0"/>
              <w:spacing w:line="240" w:lineRule="auto"/>
              <w:ind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设备</w:t>
            </w:r>
            <w:r>
              <w:rPr>
                <w:rFonts w:ascii="Times New Roman" w:hAnsi="Times New Roman" w:eastAsia="宋体" w:cs="Times New Roman"/>
                <w:color w:val="000000"/>
                <w:sz w:val="21"/>
                <w:szCs w:val="21"/>
              </w:rPr>
              <w:t>冷却用水</w:t>
            </w:r>
          </w:p>
        </w:tc>
        <w:tc>
          <w:tcPr>
            <w:tcW w:w="1125" w:type="dxa"/>
            <w:noWrap w:val="0"/>
            <w:vAlign w:val="center"/>
          </w:tcPr>
          <w:p w14:paraId="4CB1CBB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60.0</w:t>
            </w:r>
          </w:p>
        </w:tc>
        <w:tc>
          <w:tcPr>
            <w:tcW w:w="1170" w:type="dxa"/>
            <w:noWrap w:val="0"/>
            <w:vAlign w:val="center"/>
          </w:tcPr>
          <w:p w14:paraId="26FEB62E">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065" w:type="dxa"/>
            <w:noWrap w:val="0"/>
            <w:vAlign w:val="center"/>
          </w:tcPr>
          <w:p w14:paraId="3A533493">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950" w:type="dxa"/>
            <w:noWrap w:val="0"/>
            <w:vAlign w:val="center"/>
          </w:tcPr>
          <w:p w14:paraId="03908DFB">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自来水</w:t>
            </w:r>
          </w:p>
        </w:tc>
        <w:tc>
          <w:tcPr>
            <w:tcW w:w="1890" w:type="dxa"/>
            <w:noWrap w:val="0"/>
            <w:vAlign w:val="center"/>
          </w:tcPr>
          <w:p w14:paraId="02D29FF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循环使用</w:t>
            </w:r>
          </w:p>
        </w:tc>
      </w:tr>
      <w:tr w14:paraId="6F715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9" w:hRule="atLeast"/>
          <w:jc w:val="center"/>
        </w:trPr>
        <w:tc>
          <w:tcPr>
            <w:tcW w:w="462" w:type="dxa"/>
            <w:noWrap w:val="0"/>
            <w:vAlign w:val="center"/>
          </w:tcPr>
          <w:p w14:paraId="3BC39E23">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2</w:t>
            </w:r>
          </w:p>
        </w:tc>
        <w:tc>
          <w:tcPr>
            <w:tcW w:w="2062" w:type="dxa"/>
            <w:noWrap w:val="0"/>
            <w:vAlign w:val="center"/>
          </w:tcPr>
          <w:p w14:paraId="578F65F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制胶用水</w:t>
            </w:r>
          </w:p>
        </w:tc>
        <w:tc>
          <w:tcPr>
            <w:tcW w:w="1125" w:type="dxa"/>
            <w:noWrap w:val="0"/>
            <w:vAlign w:val="center"/>
          </w:tcPr>
          <w:p w14:paraId="2C05599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w:t>
            </w:r>
          </w:p>
        </w:tc>
        <w:tc>
          <w:tcPr>
            <w:tcW w:w="1170" w:type="dxa"/>
            <w:noWrap w:val="0"/>
            <w:vAlign w:val="center"/>
          </w:tcPr>
          <w:p w14:paraId="5D19FF26">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0</w:t>
            </w:r>
          </w:p>
        </w:tc>
        <w:tc>
          <w:tcPr>
            <w:tcW w:w="1065" w:type="dxa"/>
            <w:noWrap w:val="0"/>
            <w:vAlign w:val="center"/>
          </w:tcPr>
          <w:p w14:paraId="0FBB2F3C">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950" w:type="dxa"/>
            <w:noWrap w:val="0"/>
            <w:vAlign w:val="center"/>
          </w:tcPr>
          <w:p w14:paraId="6A1A8649">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制胶脱水30m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/a及调胶设备清洗废水1.08m</w:t>
            </w:r>
          </w:p>
          <w:p w14:paraId="0BA6207D">
            <w:pPr>
              <w:widowControl w:val="0"/>
              <w:spacing w:line="240" w:lineRule="auto"/>
              <w:ind w:firstLine="0"/>
              <w:jc w:val="center"/>
              <w:rPr>
                <w:color w:val="000000"/>
                <w:lang w:val="en-US" w:eastAsia="zh-CN"/>
              </w:rPr>
            </w:pP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/a、自来水168.92m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/a</w:t>
            </w:r>
          </w:p>
        </w:tc>
        <w:tc>
          <w:tcPr>
            <w:tcW w:w="1890" w:type="dxa"/>
            <w:noWrap w:val="0"/>
            <w:vAlign w:val="center"/>
          </w:tcPr>
          <w:p w14:paraId="150F45D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产品带走</w:t>
            </w:r>
          </w:p>
        </w:tc>
      </w:tr>
      <w:tr w14:paraId="0211A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462" w:type="dxa"/>
            <w:noWrap w:val="0"/>
            <w:vAlign w:val="center"/>
          </w:tcPr>
          <w:p w14:paraId="244F2F59">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2062" w:type="dxa"/>
            <w:noWrap w:val="0"/>
            <w:vAlign w:val="center"/>
          </w:tcPr>
          <w:p w14:paraId="11D0049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制胶脱水</w:t>
            </w:r>
          </w:p>
        </w:tc>
        <w:tc>
          <w:tcPr>
            <w:tcW w:w="1125" w:type="dxa"/>
            <w:noWrap w:val="0"/>
            <w:vAlign w:val="center"/>
          </w:tcPr>
          <w:p w14:paraId="25C48E8D">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c>
          <w:tcPr>
            <w:tcW w:w="1170" w:type="dxa"/>
            <w:noWrap w:val="0"/>
            <w:vAlign w:val="center"/>
          </w:tcPr>
          <w:p w14:paraId="44A9655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30</w:t>
            </w:r>
          </w:p>
        </w:tc>
        <w:tc>
          <w:tcPr>
            <w:tcW w:w="1065" w:type="dxa"/>
            <w:noWrap w:val="0"/>
            <w:vAlign w:val="center"/>
          </w:tcPr>
          <w:p w14:paraId="63300288">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c>
          <w:tcPr>
            <w:tcW w:w="1950" w:type="dxa"/>
            <w:noWrap w:val="0"/>
            <w:vAlign w:val="center"/>
          </w:tcPr>
          <w:p w14:paraId="3AB39924">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自来水</w:t>
            </w:r>
          </w:p>
        </w:tc>
        <w:tc>
          <w:tcPr>
            <w:tcW w:w="1890" w:type="dxa"/>
            <w:noWrap w:val="0"/>
            <w:vAlign w:val="center"/>
          </w:tcPr>
          <w:p w14:paraId="280126E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回用制胶生产</w:t>
            </w:r>
          </w:p>
        </w:tc>
      </w:tr>
      <w:tr w14:paraId="16D0A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462" w:type="dxa"/>
            <w:noWrap w:val="0"/>
            <w:vAlign w:val="center"/>
          </w:tcPr>
          <w:p w14:paraId="6EA65A70">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3</w:t>
            </w:r>
          </w:p>
        </w:tc>
        <w:tc>
          <w:tcPr>
            <w:tcW w:w="2062" w:type="dxa"/>
            <w:noWrap w:val="0"/>
            <w:vAlign w:val="center"/>
          </w:tcPr>
          <w:p w14:paraId="5ED9C538">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调胶</w:t>
            </w:r>
            <w:r>
              <w:rPr>
                <w:rFonts w:hint="eastAsia" w:ascii="Times New Roman" w:hAnsi="Times New Roman" w:eastAsia="宋体" w:cs="Times New Roman"/>
                <w:color w:val="000000"/>
                <w:sz w:val="21"/>
                <w:szCs w:val="21"/>
                <w:lang w:val="en-US" w:eastAsia="zh-CN"/>
              </w:rPr>
              <w:t>设备</w:t>
            </w:r>
            <w:r>
              <w:rPr>
                <w:rFonts w:ascii="Times New Roman" w:hAnsi="Times New Roman" w:eastAsia="宋体" w:cs="Times New Roman"/>
                <w:color w:val="000000"/>
                <w:sz w:val="21"/>
                <w:szCs w:val="21"/>
              </w:rPr>
              <w:t>清洗水</w:t>
            </w:r>
          </w:p>
        </w:tc>
        <w:tc>
          <w:tcPr>
            <w:tcW w:w="1125" w:type="dxa"/>
            <w:noWrap w:val="0"/>
            <w:vAlign w:val="center"/>
          </w:tcPr>
          <w:p w14:paraId="781D709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170" w:type="dxa"/>
            <w:noWrap w:val="0"/>
            <w:vAlign w:val="center"/>
          </w:tcPr>
          <w:p w14:paraId="70F1521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1.08</w:t>
            </w:r>
          </w:p>
        </w:tc>
        <w:tc>
          <w:tcPr>
            <w:tcW w:w="1065" w:type="dxa"/>
            <w:noWrap w:val="0"/>
            <w:vAlign w:val="center"/>
          </w:tcPr>
          <w:p w14:paraId="43DCB86B">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0</w:t>
            </w:r>
          </w:p>
        </w:tc>
        <w:tc>
          <w:tcPr>
            <w:tcW w:w="1950" w:type="dxa"/>
            <w:noWrap w:val="0"/>
            <w:vAlign w:val="center"/>
          </w:tcPr>
          <w:p w14:paraId="054FEF48">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自来水</w:t>
            </w:r>
          </w:p>
        </w:tc>
        <w:tc>
          <w:tcPr>
            <w:tcW w:w="1890" w:type="dxa"/>
            <w:noWrap w:val="0"/>
            <w:vAlign w:val="center"/>
          </w:tcPr>
          <w:p w14:paraId="5E02F3FB">
            <w:pPr>
              <w:widowControl w:val="0"/>
              <w:spacing w:line="240" w:lineRule="auto"/>
              <w:ind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回用制胶生产</w:t>
            </w:r>
          </w:p>
        </w:tc>
      </w:tr>
      <w:tr w14:paraId="2C4CD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462" w:type="dxa"/>
            <w:noWrap w:val="0"/>
            <w:vAlign w:val="center"/>
          </w:tcPr>
          <w:p w14:paraId="504B364E">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4</w:t>
            </w:r>
          </w:p>
        </w:tc>
        <w:tc>
          <w:tcPr>
            <w:tcW w:w="2062" w:type="dxa"/>
            <w:noWrap w:val="0"/>
            <w:vAlign w:val="center"/>
          </w:tcPr>
          <w:p w14:paraId="71911B59">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软水制备</w:t>
            </w:r>
            <w:r>
              <w:rPr>
                <w:rFonts w:hint="eastAsia" w:ascii="Times New Roman" w:hAnsi="Times New Roman" w:eastAsia="宋体" w:cs="Times New Roman"/>
                <w:color w:val="000000"/>
                <w:sz w:val="21"/>
                <w:szCs w:val="21"/>
                <w:lang w:val="en-US" w:eastAsia="zh-CN"/>
              </w:rPr>
              <w:t>系统用水</w:t>
            </w:r>
          </w:p>
        </w:tc>
        <w:tc>
          <w:tcPr>
            <w:tcW w:w="1125" w:type="dxa"/>
            <w:noWrap w:val="0"/>
            <w:vAlign w:val="center"/>
          </w:tcPr>
          <w:p w14:paraId="040E882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36159</w:t>
            </w:r>
          </w:p>
        </w:tc>
        <w:tc>
          <w:tcPr>
            <w:tcW w:w="1170" w:type="dxa"/>
            <w:noWrap w:val="0"/>
            <w:vAlign w:val="center"/>
          </w:tcPr>
          <w:p w14:paraId="66E3118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3615</w:t>
            </w:r>
          </w:p>
        </w:tc>
        <w:tc>
          <w:tcPr>
            <w:tcW w:w="1065" w:type="dxa"/>
            <w:noWrap w:val="0"/>
            <w:vAlign w:val="center"/>
          </w:tcPr>
          <w:p w14:paraId="53F508C8">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0</w:t>
            </w:r>
          </w:p>
        </w:tc>
        <w:tc>
          <w:tcPr>
            <w:tcW w:w="1950" w:type="dxa"/>
            <w:noWrap w:val="0"/>
            <w:vAlign w:val="center"/>
          </w:tcPr>
          <w:p w14:paraId="306855E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自来水</w:t>
            </w:r>
          </w:p>
        </w:tc>
        <w:tc>
          <w:tcPr>
            <w:tcW w:w="1890" w:type="dxa"/>
            <w:noWrap w:val="0"/>
            <w:vAlign w:val="center"/>
          </w:tcPr>
          <w:p w14:paraId="5CA0CCA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作为水膜除尘补水</w:t>
            </w:r>
          </w:p>
        </w:tc>
      </w:tr>
      <w:tr w14:paraId="132A7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462" w:type="dxa"/>
            <w:noWrap w:val="0"/>
            <w:vAlign w:val="center"/>
          </w:tcPr>
          <w:p w14:paraId="3BC25D5A">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5</w:t>
            </w:r>
          </w:p>
        </w:tc>
        <w:tc>
          <w:tcPr>
            <w:tcW w:w="2062" w:type="dxa"/>
            <w:noWrap w:val="0"/>
            <w:vAlign w:val="center"/>
          </w:tcPr>
          <w:p w14:paraId="6FD8EF3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水膜除尘器用水</w:t>
            </w:r>
          </w:p>
        </w:tc>
        <w:tc>
          <w:tcPr>
            <w:tcW w:w="1125" w:type="dxa"/>
            <w:noWrap w:val="0"/>
            <w:vAlign w:val="center"/>
          </w:tcPr>
          <w:p w14:paraId="4174AF7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14688</w:t>
            </w:r>
          </w:p>
        </w:tc>
        <w:tc>
          <w:tcPr>
            <w:tcW w:w="1170" w:type="dxa"/>
            <w:noWrap w:val="0"/>
            <w:vAlign w:val="center"/>
          </w:tcPr>
          <w:p w14:paraId="47E423F2">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0</w:t>
            </w:r>
          </w:p>
        </w:tc>
        <w:tc>
          <w:tcPr>
            <w:tcW w:w="1065" w:type="dxa"/>
            <w:noWrap w:val="0"/>
            <w:vAlign w:val="center"/>
          </w:tcPr>
          <w:p w14:paraId="12918662">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0</w:t>
            </w:r>
          </w:p>
        </w:tc>
        <w:tc>
          <w:tcPr>
            <w:tcW w:w="1950" w:type="dxa"/>
            <w:noWrap w:val="0"/>
            <w:vAlign w:val="center"/>
          </w:tcPr>
          <w:p w14:paraId="20A13233">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软水制备系统硬水3615m</w:t>
            </w:r>
          </w:p>
          <w:p w14:paraId="1EF012E5">
            <w:pPr>
              <w:widowControl w:val="0"/>
              <w:tabs>
                <w:tab w:val="left" w:pos="393"/>
              </w:tabs>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/a、自来水11073m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/a</w:t>
            </w:r>
          </w:p>
        </w:tc>
        <w:tc>
          <w:tcPr>
            <w:tcW w:w="1890" w:type="dxa"/>
            <w:noWrap w:val="0"/>
            <w:vAlign w:val="center"/>
          </w:tcPr>
          <w:p w14:paraId="7E1AE96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循环使用</w:t>
            </w:r>
          </w:p>
        </w:tc>
      </w:tr>
      <w:tr w14:paraId="4C596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462" w:type="dxa"/>
            <w:noWrap w:val="0"/>
            <w:vAlign w:val="center"/>
          </w:tcPr>
          <w:p w14:paraId="6EFAE5A1">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6</w:t>
            </w:r>
          </w:p>
        </w:tc>
        <w:tc>
          <w:tcPr>
            <w:tcW w:w="2062" w:type="dxa"/>
            <w:noWrap w:val="0"/>
            <w:vAlign w:val="center"/>
          </w:tcPr>
          <w:p w14:paraId="2585BAA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生活用水</w:t>
            </w:r>
          </w:p>
        </w:tc>
        <w:tc>
          <w:tcPr>
            <w:tcW w:w="1125" w:type="dxa"/>
            <w:noWrap w:val="0"/>
            <w:vAlign w:val="center"/>
          </w:tcPr>
          <w:p w14:paraId="7151258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5400</w:t>
            </w:r>
          </w:p>
        </w:tc>
        <w:tc>
          <w:tcPr>
            <w:tcW w:w="1170" w:type="dxa"/>
            <w:noWrap w:val="0"/>
            <w:vAlign w:val="center"/>
          </w:tcPr>
          <w:p w14:paraId="557ECC1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4320</w:t>
            </w:r>
          </w:p>
        </w:tc>
        <w:tc>
          <w:tcPr>
            <w:tcW w:w="1065" w:type="dxa"/>
            <w:noWrap w:val="0"/>
            <w:vAlign w:val="center"/>
          </w:tcPr>
          <w:p w14:paraId="2FF3BD2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4320</w:t>
            </w:r>
          </w:p>
        </w:tc>
        <w:tc>
          <w:tcPr>
            <w:tcW w:w="1950" w:type="dxa"/>
            <w:noWrap w:val="0"/>
            <w:vAlign w:val="center"/>
          </w:tcPr>
          <w:p w14:paraId="7945BC03">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自来水</w:t>
            </w:r>
          </w:p>
        </w:tc>
        <w:tc>
          <w:tcPr>
            <w:tcW w:w="1890" w:type="dxa"/>
            <w:vMerge w:val="restart"/>
            <w:noWrap w:val="0"/>
            <w:vAlign w:val="center"/>
          </w:tcPr>
          <w:p w14:paraId="04E71B4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隔油、化粪池预</w:t>
            </w:r>
            <w:r>
              <w:rPr>
                <w:rFonts w:ascii="Times New Roman" w:hAnsi="Times New Roman" w:eastAsia="宋体" w:cs="Times New Roman"/>
                <w:color w:val="000000"/>
                <w:sz w:val="21"/>
                <w:szCs w:val="21"/>
              </w:rPr>
              <w:t>处理后</w:t>
            </w:r>
            <w:r>
              <w:rPr>
                <w:rFonts w:hint="eastAsia" w:ascii="Times New Roman" w:hAnsi="Times New Roman" w:eastAsia="宋体" w:cs="Times New Roman"/>
                <w:color w:val="000000"/>
                <w:sz w:val="21"/>
                <w:szCs w:val="21"/>
                <w:lang w:val="en-US" w:eastAsia="zh-CN"/>
              </w:rPr>
              <w:t>达标排放市政污水管网</w:t>
            </w:r>
          </w:p>
        </w:tc>
      </w:tr>
      <w:tr w14:paraId="10A9D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462" w:type="dxa"/>
            <w:noWrap w:val="0"/>
            <w:vAlign w:val="center"/>
          </w:tcPr>
          <w:p w14:paraId="3258B3B0">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7</w:t>
            </w:r>
          </w:p>
        </w:tc>
        <w:tc>
          <w:tcPr>
            <w:tcW w:w="2062" w:type="dxa"/>
            <w:noWrap w:val="0"/>
            <w:vAlign w:val="center"/>
          </w:tcPr>
          <w:p w14:paraId="27815F0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食堂用水</w:t>
            </w:r>
          </w:p>
        </w:tc>
        <w:tc>
          <w:tcPr>
            <w:tcW w:w="1125" w:type="dxa"/>
            <w:noWrap w:val="0"/>
            <w:vAlign w:val="center"/>
          </w:tcPr>
          <w:p w14:paraId="19EC34C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2400</w:t>
            </w:r>
          </w:p>
        </w:tc>
        <w:tc>
          <w:tcPr>
            <w:tcW w:w="1170" w:type="dxa"/>
            <w:noWrap w:val="0"/>
            <w:vAlign w:val="center"/>
          </w:tcPr>
          <w:p w14:paraId="5EF320C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1920</w:t>
            </w:r>
          </w:p>
        </w:tc>
        <w:tc>
          <w:tcPr>
            <w:tcW w:w="1065" w:type="dxa"/>
            <w:noWrap w:val="0"/>
            <w:vAlign w:val="center"/>
          </w:tcPr>
          <w:p w14:paraId="49148B0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1920</w:t>
            </w:r>
          </w:p>
        </w:tc>
        <w:tc>
          <w:tcPr>
            <w:tcW w:w="1950" w:type="dxa"/>
            <w:noWrap w:val="0"/>
            <w:vAlign w:val="center"/>
          </w:tcPr>
          <w:p w14:paraId="69C4A270">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自来水</w:t>
            </w:r>
          </w:p>
        </w:tc>
        <w:tc>
          <w:tcPr>
            <w:tcW w:w="1890" w:type="dxa"/>
            <w:vMerge w:val="continue"/>
            <w:noWrap w:val="0"/>
            <w:vAlign w:val="center"/>
          </w:tcPr>
          <w:p w14:paraId="71F17B64">
            <w:pPr>
              <w:widowControl w:val="0"/>
              <w:spacing w:line="240" w:lineRule="auto"/>
              <w:ind w:firstLine="0"/>
              <w:jc w:val="center"/>
              <w:rPr>
                <w:rFonts w:ascii="Times New Roman" w:hAnsi="Times New Roman" w:eastAsia="宋体" w:cs="Times New Roman"/>
                <w:color w:val="000000"/>
                <w:sz w:val="21"/>
                <w:szCs w:val="21"/>
              </w:rPr>
            </w:pPr>
          </w:p>
        </w:tc>
      </w:tr>
      <w:tr w14:paraId="21568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462" w:type="dxa"/>
            <w:noWrap w:val="0"/>
            <w:vAlign w:val="center"/>
          </w:tcPr>
          <w:p w14:paraId="3ED1C8DD">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8</w:t>
            </w:r>
          </w:p>
        </w:tc>
        <w:tc>
          <w:tcPr>
            <w:tcW w:w="2062" w:type="dxa"/>
            <w:noWrap w:val="0"/>
            <w:vAlign w:val="center"/>
          </w:tcPr>
          <w:p w14:paraId="3852A008">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绿化用水</w:t>
            </w:r>
          </w:p>
        </w:tc>
        <w:tc>
          <w:tcPr>
            <w:tcW w:w="1125" w:type="dxa"/>
            <w:noWrap w:val="0"/>
            <w:vAlign w:val="center"/>
          </w:tcPr>
          <w:p w14:paraId="25C1EE46">
            <w:pPr>
              <w:widowControl w:val="0"/>
              <w:spacing w:line="280" w:lineRule="exact"/>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320</w:t>
            </w:r>
          </w:p>
        </w:tc>
        <w:tc>
          <w:tcPr>
            <w:tcW w:w="1170" w:type="dxa"/>
            <w:noWrap w:val="0"/>
            <w:vAlign w:val="center"/>
          </w:tcPr>
          <w:p w14:paraId="1C36079E">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065" w:type="dxa"/>
            <w:noWrap w:val="0"/>
            <w:vAlign w:val="center"/>
          </w:tcPr>
          <w:p w14:paraId="094D1A92">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950" w:type="dxa"/>
            <w:noWrap w:val="0"/>
            <w:vAlign w:val="center"/>
          </w:tcPr>
          <w:p w14:paraId="5B199849">
            <w:pPr>
              <w:widowControl w:val="0"/>
              <w:spacing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自来水</w:t>
            </w:r>
          </w:p>
        </w:tc>
        <w:tc>
          <w:tcPr>
            <w:tcW w:w="1890" w:type="dxa"/>
            <w:noWrap w:val="0"/>
            <w:vAlign w:val="center"/>
          </w:tcPr>
          <w:p w14:paraId="416A177D">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晴天</w:t>
            </w:r>
            <w:r>
              <w:rPr>
                <w:rFonts w:hint="eastAsia" w:ascii="Times New Roman" w:hAnsi="Times New Roman" w:eastAsia="宋体" w:cs="Times New Roman"/>
                <w:color w:val="000000"/>
                <w:sz w:val="21"/>
                <w:szCs w:val="21"/>
                <w:lang w:val="en-US" w:eastAsia="zh-CN"/>
              </w:rPr>
              <w:t>160</w:t>
            </w:r>
            <w:r>
              <w:rPr>
                <w:rFonts w:ascii="Times New Roman" w:hAnsi="Times New Roman" w:eastAsia="宋体" w:cs="Times New Roman"/>
                <w:color w:val="000000"/>
                <w:sz w:val="21"/>
                <w:szCs w:val="21"/>
              </w:rPr>
              <w:t>d/a</w:t>
            </w:r>
          </w:p>
        </w:tc>
      </w:tr>
      <w:tr w14:paraId="3091E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2524" w:type="dxa"/>
            <w:gridSpan w:val="2"/>
            <w:noWrap w:val="0"/>
            <w:vAlign w:val="center"/>
          </w:tcPr>
          <w:p w14:paraId="0D7E2E10">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总计</w:t>
            </w:r>
          </w:p>
        </w:tc>
        <w:tc>
          <w:tcPr>
            <w:tcW w:w="1125" w:type="dxa"/>
            <w:noWrap w:val="0"/>
            <w:vAlign w:val="center"/>
          </w:tcPr>
          <w:p w14:paraId="23F704C5">
            <w:pPr>
              <w:widowControl w:val="0"/>
              <w:spacing w:line="280" w:lineRule="exact"/>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59228.2</w:t>
            </w:r>
          </w:p>
        </w:tc>
        <w:tc>
          <w:tcPr>
            <w:tcW w:w="1170" w:type="dxa"/>
            <w:noWrap w:val="0"/>
            <w:vAlign w:val="center"/>
          </w:tcPr>
          <w:p w14:paraId="3A4D58F9">
            <w:pPr>
              <w:widowControl/>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9886.08</w:t>
            </w:r>
          </w:p>
        </w:tc>
        <w:tc>
          <w:tcPr>
            <w:tcW w:w="1065" w:type="dxa"/>
            <w:noWrap w:val="0"/>
            <w:vAlign w:val="center"/>
          </w:tcPr>
          <w:p w14:paraId="1684625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6240</w:t>
            </w:r>
          </w:p>
        </w:tc>
        <w:tc>
          <w:tcPr>
            <w:tcW w:w="1950" w:type="dxa"/>
            <w:noWrap w:val="0"/>
            <w:vAlign w:val="center"/>
          </w:tcPr>
          <w:p w14:paraId="614B3E41">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1890" w:type="dxa"/>
            <w:noWrap w:val="0"/>
            <w:vAlign w:val="center"/>
          </w:tcPr>
          <w:p w14:paraId="6EF44CA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回</w:t>
            </w:r>
            <w:r>
              <w:rPr>
                <w:rFonts w:hint="eastAsia" w:ascii="Times New Roman" w:hAnsi="Times New Roman" w:eastAsia="宋体" w:cs="Times New Roman"/>
                <w:color w:val="000000"/>
                <w:sz w:val="21"/>
                <w:szCs w:val="21"/>
                <w:lang w:val="en-US" w:eastAsia="zh-CN"/>
              </w:rPr>
              <w:t>3646.08</w:t>
            </w:r>
            <w:r>
              <w:rPr>
                <w:rFonts w:ascii="Times New Roman" w:hAnsi="Times New Roman" w:eastAsia="宋体" w:cs="Times New Roman"/>
                <w:b w:val="0"/>
                <w:bCs/>
                <w:color w:val="000000"/>
                <w:sz w:val="21"/>
                <w:szCs w:val="21"/>
              </w:rPr>
              <w:t>m</w:t>
            </w:r>
            <w:r>
              <w:rPr>
                <w:rFonts w:ascii="Times New Roman" w:hAnsi="Times New Roman" w:eastAsia="宋体" w:cs="Times New Roman"/>
                <w:b w:val="0"/>
                <w:bCs/>
                <w:color w:val="000000"/>
                <w:sz w:val="21"/>
                <w:szCs w:val="21"/>
                <w:vertAlign w:val="superscript"/>
              </w:rPr>
              <w:t>3</w:t>
            </w:r>
            <w:r>
              <w:rPr>
                <w:rFonts w:ascii="Times New Roman" w:hAnsi="Times New Roman" w:eastAsia="宋体" w:cs="Times New Roman"/>
                <w:b w:val="0"/>
                <w:bCs/>
                <w:color w:val="000000"/>
                <w:sz w:val="21"/>
                <w:szCs w:val="21"/>
              </w:rPr>
              <w:t>/a</w:t>
            </w:r>
          </w:p>
        </w:tc>
      </w:tr>
    </w:tbl>
    <w:p w14:paraId="72A052BE">
      <w:pPr>
        <w:pStyle w:val="2"/>
        <w:ind w:firstLine="482"/>
        <w:jc w:val="center"/>
        <w:rPr>
          <w:rFonts w:ascii="Times New Roman" w:hAnsi="Times New Roman" w:eastAsia="宋体" w:cs="Times New Roman"/>
          <w:b/>
          <w:color w:val="000000"/>
          <w:sz w:val="24"/>
          <w:szCs w:val="24"/>
          <w:lang w:val="en-US" w:eastAsia="zh-CN"/>
        </w:rPr>
      </w:pPr>
      <w:r>
        <w:rPr>
          <w:b/>
          <w:sz w:val="24"/>
          <w:szCs w:val="24"/>
        </w:rPr>
        <w:object>
          <v:shape id="_x0000_i1032" o:spt="75" type="#_x0000_t75" style="height:472.2pt;width:415.6pt;" o:ole="t" filled="f" o:preferrelative="t" stroked="f" coordsize="21600,21600">
            <v:path/>
            <v:fill on="f" focussize="0,0"/>
            <v:stroke on="f" joinstyle="miter"/>
            <v:imagedata r:id="rId48" o:title=""/>
            <o:lock v:ext="edit" rotation="t" aspectratio="t"/>
            <w10:wrap type="none"/>
            <w10:anchorlock/>
          </v:shape>
          <o:OLEObject Type="Embed" ProgID="Visio.Drawing.11" ShapeID="_x0000_i1032" DrawAspect="Content" ObjectID="_1468075732" r:id="rId47">
            <o:LockedField>false</o:LockedField>
          </o:OLEObject>
        </w:object>
      </w:r>
      <w:r>
        <w:rPr>
          <w:rFonts w:ascii="Times New Roman" w:hAnsi="Times New Roman" w:cs="Times New Roman"/>
          <w:b/>
          <w:color w:val="000000"/>
          <w:sz w:val="24"/>
          <w:szCs w:val="24"/>
        </w:rPr>
        <w:t>图</w:t>
      </w:r>
      <w:r>
        <w:rPr>
          <w:rFonts w:hint="eastAsia" w:ascii="Times New Roman" w:hAnsi="Times New Roman" w:cs="Times New Roman"/>
          <w:b/>
          <w:color w:val="000000"/>
          <w:sz w:val="24"/>
          <w:szCs w:val="24"/>
          <w:lang w:val="en-US" w:eastAsia="zh-CN"/>
        </w:rPr>
        <w:t>4.2</w:t>
      </w:r>
      <w:r>
        <w:rPr>
          <w:rFonts w:ascii="Times New Roman" w:hAnsi="Times New Roman" w:cs="Times New Roman"/>
          <w:b/>
          <w:color w:val="000000"/>
          <w:sz w:val="24"/>
          <w:szCs w:val="24"/>
        </w:rPr>
        <w:t>-</w:t>
      </w:r>
      <w:r>
        <w:rPr>
          <w:rFonts w:hint="eastAsia" w:ascii="Times New Roman" w:hAnsi="Times New Roman" w:cs="Times New Roman"/>
          <w:b/>
          <w:color w:val="000000"/>
          <w:sz w:val="24"/>
          <w:szCs w:val="24"/>
          <w:lang w:val="en-US" w:eastAsia="zh-CN"/>
        </w:rPr>
        <w:t>7</w:t>
      </w:r>
      <w:r>
        <w:rPr>
          <w:rFonts w:ascii="Times New Roman" w:hAnsi="Times New Roman" w:cs="Times New Roman"/>
          <w:b/>
          <w:color w:val="000000"/>
          <w:sz w:val="24"/>
          <w:szCs w:val="24"/>
        </w:rPr>
        <w:t xml:space="preserve"> 项目水平衡图   单位m</w:t>
      </w:r>
      <w:r>
        <w:rPr>
          <w:rFonts w:ascii="Times New Roman" w:hAnsi="Times New Roman" w:cs="Times New Roman"/>
          <w:b/>
          <w:color w:val="000000"/>
          <w:sz w:val="24"/>
          <w:szCs w:val="24"/>
          <w:vertAlign w:val="superscript"/>
        </w:rPr>
        <w:t>3</w:t>
      </w:r>
      <w:r>
        <w:rPr>
          <w:rFonts w:ascii="Times New Roman" w:hAnsi="Times New Roman" w:cs="Times New Roman"/>
          <w:b/>
          <w:color w:val="000000"/>
          <w:sz w:val="24"/>
          <w:szCs w:val="24"/>
        </w:rPr>
        <w:t>/d</w:t>
      </w:r>
      <w:r>
        <w:rPr>
          <w:rFonts w:hint="eastAsia" w:ascii="Times New Roman" w:hAnsi="Times New Roman" w:cs="Times New Roman"/>
          <w:b/>
          <w:color w:val="000000"/>
          <w:sz w:val="24"/>
          <w:szCs w:val="24"/>
          <w:lang w:val="en-US" w:eastAsia="zh-CN"/>
        </w:rPr>
        <w:t xml:space="preserve">  （ ）表示雨季</w:t>
      </w:r>
    </w:p>
    <w:p w14:paraId="38ABC099">
      <w:pPr>
        <w:pStyle w:val="187"/>
        <w:rPr>
          <w:rFonts w:hint="eastAsia" w:ascii="Times New Roman" w:hAnsi="Times New Roman"/>
        </w:rPr>
      </w:pPr>
      <w:bookmarkStart w:id="110" w:name="_Toc27467"/>
      <w:r>
        <w:rPr>
          <w:rFonts w:hint="eastAsia" w:ascii="Times New Roman" w:hAnsi="Times New Roman"/>
          <w:lang w:val="en-US" w:eastAsia="zh-CN"/>
        </w:rPr>
        <w:t>4.3</w:t>
      </w:r>
      <w:r>
        <w:rPr>
          <w:rFonts w:hint="eastAsia" w:ascii="Times New Roman" w:hAnsi="Times New Roman"/>
        </w:rPr>
        <w:t>工程污染因素分析</w:t>
      </w:r>
      <w:bookmarkEnd w:id="110"/>
    </w:p>
    <w:p w14:paraId="3A503EB1">
      <w:pPr>
        <w:pStyle w:val="188"/>
      </w:pPr>
      <w:r>
        <w:rPr>
          <w:rFonts w:hint="eastAsia"/>
          <w:lang w:val="en-US" w:eastAsia="zh-CN"/>
        </w:rPr>
        <w:t>4.3</w:t>
      </w:r>
      <w:r>
        <w:rPr>
          <w:rFonts w:hint="eastAsia"/>
        </w:rPr>
        <w:t>.1施工期污染因素分析</w:t>
      </w:r>
    </w:p>
    <w:p w14:paraId="2AAF4F50">
      <w:pPr>
        <w:pStyle w:val="315"/>
        <w:rPr>
          <w:rFonts w:ascii="Times New Roman" w:hAnsi="Times New Roman" w:eastAsia="宋体" w:cs="Times New Roman"/>
          <w:color w:val="262626"/>
          <w:sz w:val="24"/>
          <w:szCs w:val="24"/>
          <w:lang w:val="en-US" w:eastAsia="zh-CN" w:bidi="ar-SA"/>
        </w:rPr>
      </w:pPr>
      <w:r>
        <w:rPr>
          <w:rFonts w:hint="eastAsia"/>
          <w:lang w:val="en-US" w:eastAsia="zh-CN"/>
        </w:rPr>
        <w:t>项目已经改扩建完毕，仅需要对新增的环保措施进行施工，</w:t>
      </w:r>
      <w:r>
        <w:rPr>
          <w:rFonts w:hint="eastAsia" w:ascii="Times New Roman" w:hAnsi="Times New Roman" w:eastAsia="宋体" w:cs="Times New Roman"/>
          <w:color w:val="262626"/>
          <w:sz w:val="24"/>
          <w:szCs w:val="24"/>
          <w:lang w:val="en-US" w:eastAsia="zh-CN" w:bidi="ar-SA"/>
        </w:rPr>
        <w:t>本次</w:t>
      </w:r>
      <w:r>
        <w:rPr>
          <w:rFonts w:ascii="Times New Roman" w:hAnsi="Times New Roman" w:eastAsia="宋体" w:cs="Times New Roman"/>
          <w:color w:val="262626"/>
          <w:sz w:val="24"/>
          <w:szCs w:val="24"/>
          <w:lang w:val="en-US" w:eastAsia="zh-CN" w:bidi="ar-SA"/>
        </w:rPr>
        <w:t>整改</w:t>
      </w:r>
      <w:r>
        <w:rPr>
          <w:rFonts w:hint="eastAsia" w:ascii="Times New Roman" w:hAnsi="Times New Roman" w:eastAsia="宋体" w:cs="Times New Roman"/>
          <w:color w:val="262626"/>
          <w:sz w:val="24"/>
          <w:szCs w:val="24"/>
          <w:lang w:val="en-US" w:eastAsia="zh-CN" w:bidi="ar-SA"/>
        </w:rPr>
        <w:t>工程施工</w:t>
      </w:r>
      <w:r>
        <w:rPr>
          <w:rFonts w:ascii="Times New Roman" w:hAnsi="Times New Roman" w:eastAsia="宋体" w:cs="Times New Roman"/>
          <w:color w:val="262626"/>
          <w:sz w:val="24"/>
          <w:szCs w:val="24"/>
          <w:lang w:val="en-US" w:eastAsia="zh-CN" w:bidi="ar-SA"/>
        </w:rPr>
        <w:t>将不可避免的产生废气、废水、噪声及固废</w:t>
      </w:r>
      <w:r>
        <w:rPr>
          <w:rFonts w:hint="eastAsia" w:ascii="Times New Roman" w:hAnsi="Times New Roman" w:eastAsia="宋体" w:cs="Times New Roman"/>
          <w:color w:val="262626"/>
          <w:sz w:val="24"/>
          <w:szCs w:val="24"/>
          <w:lang w:val="en-US" w:eastAsia="zh-CN" w:bidi="ar-SA"/>
        </w:rPr>
        <w:t>，</w:t>
      </w:r>
      <w:r>
        <w:rPr>
          <w:rFonts w:ascii="Times New Roman" w:hAnsi="Times New Roman" w:eastAsia="宋体" w:cs="Times New Roman"/>
          <w:color w:val="262626"/>
          <w:sz w:val="24"/>
          <w:szCs w:val="24"/>
          <w:lang w:val="en-US" w:eastAsia="zh-CN" w:bidi="ar-SA"/>
        </w:rPr>
        <w:t>产污环节分析如下：</w:t>
      </w:r>
    </w:p>
    <w:p w14:paraId="0C9ABC05">
      <w:pPr>
        <w:widowControl w:val="0"/>
        <w:spacing w:line="360" w:lineRule="auto"/>
        <w:ind w:firstLine="482"/>
        <w:jc w:val="both"/>
        <w:rPr>
          <w:rFonts w:hint="eastAsia" w:ascii="Times New Roman" w:hAnsi="Times New Roman" w:eastAsia="宋体" w:cs="Times New Roman"/>
          <w:color w:val="262626"/>
          <w:sz w:val="24"/>
          <w:szCs w:val="24"/>
          <w:lang w:val="en-US" w:eastAsia="zh-CN" w:bidi="ar-SA"/>
        </w:rPr>
      </w:pPr>
      <w:r>
        <w:rPr>
          <w:rFonts w:hint="eastAsia" w:ascii="Times New Roman" w:hAnsi="Times New Roman" w:eastAsia="宋体" w:cs="Times New Roman"/>
          <w:color w:val="262626"/>
          <w:sz w:val="24"/>
          <w:szCs w:val="24"/>
          <w:lang w:val="en-US" w:eastAsia="zh-CN" w:bidi="ar-SA"/>
        </w:rPr>
        <w:t>1、废气</w:t>
      </w:r>
    </w:p>
    <w:p w14:paraId="11A0D048">
      <w:pPr>
        <w:widowControl w:val="0"/>
        <w:spacing w:line="360" w:lineRule="auto"/>
        <w:ind w:left="-4" w:firstLine="456"/>
        <w:rPr>
          <w:rFonts w:hint="eastAsia" w:ascii="Times New Roman" w:hAnsi="Times New Roman" w:eastAsia="宋体" w:cs="Times New Roman"/>
          <w:color w:val="262626"/>
          <w:sz w:val="24"/>
          <w:szCs w:val="24"/>
        </w:rPr>
      </w:pPr>
      <w:r>
        <w:rPr>
          <w:rFonts w:ascii="Times New Roman" w:hAnsi="Times New Roman" w:eastAsia="宋体" w:cs="Times New Roman"/>
          <w:color w:val="262626"/>
          <w:sz w:val="24"/>
          <w:szCs w:val="24"/>
        </w:rPr>
        <w:t>项目整改</w:t>
      </w:r>
      <w:r>
        <w:rPr>
          <w:rFonts w:hint="eastAsia" w:ascii="Times New Roman" w:hAnsi="Times New Roman" w:eastAsia="宋体" w:cs="Times New Roman"/>
          <w:color w:val="262626"/>
          <w:sz w:val="24"/>
          <w:szCs w:val="24"/>
        </w:rPr>
        <w:t>工程</w:t>
      </w:r>
      <w:r>
        <w:rPr>
          <w:rFonts w:ascii="Times New Roman" w:hAnsi="Times New Roman" w:eastAsia="宋体" w:cs="Times New Roman"/>
          <w:color w:val="262626"/>
          <w:sz w:val="24"/>
          <w:szCs w:val="24"/>
        </w:rPr>
        <w:t>施工期产生的大气污染物主要是</w:t>
      </w:r>
      <w:r>
        <w:rPr>
          <w:rFonts w:hint="eastAsia" w:ascii="Times New Roman" w:hAnsi="Times New Roman" w:eastAsia="宋体" w:cs="Times New Roman"/>
          <w:color w:val="262626"/>
          <w:sz w:val="24"/>
          <w:szCs w:val="24"/>
        </w:rPr>
        <w:t>扬尘。扬尘</w:t>
      </w:r>
      <w:r>
        <w:rPr>
          <w:rFonts w:ascii="Times New Roman" w:hAnsi="Times New Roman" w:eastAsia="宋体" w:cs="Times New Roman"/>
          <w:color w:val="262626"/>
          <w:sz w:val="24"/>
          <w:szCs w:val="24"/>
        </w:rPr>
        <w:t>产生节点为</w:t>
      </w:r>
      <w:r>
        <w:rPr>
          <w:rFonts w:hint="eastAsia" w:ascii="Times New Roman" w:hAnsi="Times New Roman" w:eastAsia="宋体" w:cs="Times New Roman"/>
          <w:color w:val="262626"/>
          <w:sz w:val="24"/>
          <w:szCs w:val="24"/>
        </w:rPr>
        <w:t>设备基础及沉淀池</w:t>
      </w:r>
      <w:r>
        <w:rPr>
          <w:rFonts w:ascii="Times New Roman" w:hAnsi="Times New Roman" w:eastAsia="宋体" w:cs="Times New Roman"/>
          <w:color w:val="262626"/>
          <w:sz w:val="24"/>
          <w:szCs w:val="24"/>
        </w:rPr>
        <w:t>开挖及施工材料</w:t>
      </w:r>
      <w:r>
        <w:rPr>
          <w:rFonts w:hint="eastAsia" w:ascii="Times New Roman" w:hAnsi="Times New Roman" w:eastAsia="宋体" w:cs="Times New Roman"/>
          <w:color w:val="262626"/>
          <w:sz w:val="24"/>
          <w:szCs w:val="24"/>
        </w:rPr>
        <w:t>临时</w:t>
      </w:r>
      <w:r>
        <w:rPr>
          <w:rFonts w:ascii="Times New Roman" w:hAnsi="Times New Roman" w:eastAsia="宋体" w:cs="Times New Roman"/>
          <w:color w:val="262626"/>
          <w:sz w:val="24"/>
          <w:szCs w:val="24"/>
        </w:rPr>
        <w:t>堆放</w:t>
      </w:r>
      <w:r>
        <w:rPr>
          <w:rFonts w:hint="eastAsia" w:ascii="Times New Roman" w:hAnsi="Times New Roman" w:eastAsia="宋体" w:cs="Times New Roman"/>
          <w:color w:val="262626"/>
          <w:sz w:val="24"/>
          <w:szCs w:val="24"/>
        </w:rPr>
        <w:t>、颗粒料、粉料（沙、水泥）卸装、</w:t>
      </w:r>
      <w:r>
        <w:rPr>
          <w:rFonts w:ascii="Times New Roman" w:hAnsi="Times New Roman" w:eastAsia="宋体" w:cs="Times New Roman"/>
          <w:color w:val="262626"/>
          <w:sz w:val="24"/>
          <w:szCs w:val="24"/>
        </w:rPr>
        <w:t>运输</w:t>
      </w:r>
      <w:r>
        <w:rPr>
          <w:rFonts w:hint="eastAsia" w:ascii="Times New Roman" w:hAnsi="Times New Roman" w:eastAsia="宋体" w:cs="Times New Roman"/>
          <w:color w:val="262626"/>
          <w:sz w:val="24"/>
          <w:szCs w:val="24"/>
        </w:rPr>
        <w:t>，</w:t>
      </w:r>
      <w:r>
        <w:rPr>
          <w:rFonts w:ascii="Times New Roman" w:hAnsi="Times New Roman" w:eastAsia="宋体" w:cs="Times New Roman"/>
          <w:color w:val="262626"/>
          <w:sz w:val="24"/>
          <w:szCs w:val="24"/>
        </w:rPr>
        <w:t>污染因子为总悬浮颗粒物（TSP），扬尘以无组织排放的形式，借助风力在施工现场引起空气环境TSP指标升高。</w:t>
      </w:r>
    </w:p>
    <w:p w14:paraId="4EF80C46">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按起尘的原因可分为风力起尘和动力起尘，其中风力起尘主要是由于露天堆放的建材及裸露的施工区表层浮尘因天气干燥及大风，产生风力扬尘；而动力起尘主要是在建材的装卸、使用过程中，由于外力而产生的尘粒再悬浮而造成，其中施工及装卸车辆造成的扬尘最为严重。</w:t>
      </w:r>
    </w:p>
    <w:p w14:paraId="0E829E95">
      <w:pPr>
        <w:widowControl w:val="0"/>
        <w:spacing w:line="360" w:lineRule="auto"/>
        <w:ind w:firstLine="480"/>
        <w:rPr>
          <w:rFonts w:hint="eastAsia" w:ascii="Times New Roman" w:hAnsi="Times New Roman" w:eastAsia="宋体" w:cs="Times New Roman"/>
          <w:color w:val="262626"/>
          <w:sz w:val="24"/>
          <w:szCs w:val="24"/>
        </w:rPr>
      </w:pPr>
      <w:r>
        <w:rPr>
          <w:rFonts w:ascii="Times New Roman" w:hAnsi="Times New Roman" w:eastAsia="宋体" w:cs="Times New Roman"/>
          <w:color w:val="262626"/>
          <w:sz w:val="24"/>
          <w:szCs w:val="24"/>
        </w:rPr>
        <w:t>（1）</w:t>
      </w:r>
      <w:r>
        <w:rPr>
          <w:rFonts w:hint="eastAsia" w:ascii="Times New Roman" w:hAnsi="Times New Roman" w:eastAsia="宋体" w:cs="Times New Roman"/>
          <w:color w:val="262626"/>
          <w:sz w:val="24"/>
          <w:szCs w:val="24"/>
        </w:rPr>
        <w:t>风力扬尘</w:t>
      </w:r>
    </w:p>
    <w:p w14:paraId="4D4CA544">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整改</w:t>
      </w:r>
      <w:r>
        <w:rPr>
          <w:rFonts w:hint="eastAsia" w:ascii="Times New Roman" w:hAnsi="Times New Roman" w:eastAsia="宋体" w:cs="Times New Roman"/>
          <w:color w:val="262626"/>
          <w:sz w:val="24"/>
          <w:szCs w:val="24"/>
        </w:rPr>
        <w:t>工程</w:t>
      </w:r>
      <w:r>
        <w:rPr>
          <w:rFonts w:ascii="Times New Roman" w:hAnsi="Times New Roman" w:eastAsia="宋体" w:cs="Times New Roman"/>
          <w:color w:val="262626"/>
          <w:sz w:val="24"/>
          <w:szCs w:val="24"/>
        </w:rPr>
        <w:t>施工期扬尘主要原因是</w:t>
      </w:r>
      <w:r>
        <w:rPr>
          <w:rFonts w:hint="eastAsia" w:ascii="Times New Roman" w:hAnsi="Times New Roman" w:eastAsia="宋体" w:cs="Times New Roman"/>
          <w:color w:val="262626"/>
          <w:sz w:val="24"/>
          <w:szCs w:val="24"/>
        </w:rPr>
        <w:t>开挖</w:t>
      </w:r>
      <w:r>
        <w:rPr>
          <w:rFonts w:ascii="Times New Roman" w:hAnsi="Times New Roman" w:eastAsia="宋体" w:cs="Times New Roman"/>
          <w:color w:val="262626"/>
          <w:sz w:val="24"/>
          <w:szCs w:val="24"/>
        </w:rPr>
        <w:t>造成的裸露场地、</w:t>
      </w:r>
      <w:r>
        <w:rPr>
          <w:rFonts w:hint="eastAsia" w:ascii="Times New Roman" w:hAnsi="Times New Roman" w:eastAsia="宋体" w:cs="Times New Roman"/>
          <w:color w:val="262626"/>
          <w:sz w:val="24"/>
          <w:szCs w:val="24"/>
        </w:rPr>
        <w:t>颗粒料和粉料（沙、水泥）、</w:t>
      </w:r>
      <w:r>
        <w:rPr>
          <w:rFonts w:ascii="Times New Roman" w:hAnsi="Times New Roman" w:eastAsia="宋体" w:cs="Times New Roman"/>
          <w:color w:val="262626"/>
          <w:sz w:val="24"/>
          <w:szCs w:val="24"/>
        </w:rPr>
        <w:t>施工弃土</w:t>
      </w:r>
      <w:r>
        <w:rPr>
          <w:rFonts w:hint="eastAsia" w:ascii="Times New Roman" w:hAnsi="Times New Roman" w:eastAsia="宋体" w:cs="Times New Roman"/>
          <w:color w:val="262626"/>
          <w:sz w:val="24"/>
          <w:szCs w:val="24"/>
        </w:rPr>
        <w:t>临时堆场</w:t>
      </w:r>
      <w:r>
        <w:rPr>
          <w:rFonts w:ascii="Times New Roman" w:hAnsi="Times New Roman" w:eastAsia="宋体" w:cs="Times New Roman"/>
          <w:color w:val="262626"/>
          <w:sz w:val="24"/>
          <w:szCs w:val="24"/>
        </w:rPr>
        <w:t>等产生的风力扬尘。由于施工的需要，一些建材需露天堆放；一些施工点表层土壤需人工开挖、堆放，在气候干燥又有风的情况下，会产生扬尘，尘粒在空气中的传播扩散情况与风速等气象条件有关，也与尘粒本身的沉降速度有关。尘粒的沉降速度随粒径的增大而迅速增大。当粒径为250μm时，沉降速度为1.005m/s，因此可以认为当尘粒大于250μm时，主要影响范围在扬尘点下风向近距离范围内，而真正对外环境产生影响的是一些微小尘粒。在有风的情况下，施工扬尘会对该区域造成一定的影响</w:t>
      </w:r>
      <w:r>
        <w:rPr>
          <w:rFonts w:hint="eastAsia" w:ascii="Times New Roman" w:hAnsi="Times New Roman" w:eastAsia="宋体" w:cs="Times New Roman"/>
          <w:color w:val="262626"/>
          <w:sz w:val="24"/>
          <w:szCs w:val="24"/>
        </w:rPr>
        <w:t>，</w:t>
      </w:r>
      <w:r>
        <w:rPr>
          <w:rFonts w:ascii="Times New Roman" w:hAnsi="Times New Roman" w:eastAsia="宋体" w:cs="Times New Roman"/>
          <w:color w:val="262626"/>
          <w:sz w:val="24"/>
          <w:szCs w:val="24"/>
        </w:rPr>
        <w:t>起尘</w:t>
      </w:r>
      <w:bookmarkStart w:id="111" w:name="_Hlt9132753"/>
      <w:bookmarkEnd w:id="111"/>
      <w:r>
        <w:rPr>
          <w:rFonts w:ascii="Times New Roman" w:hAnsi="Times New Roman" w:eastAsia="宋体" w:cs="Times New Roman"/>
          <w:color w:val="262626"/>
          <w:sz w:val="24"/>
          <w:szCs w:val="24"/>
        </w:rPr>
        <w:t>风速与粒径和含水率有关</w:t>
      </w:r>
      <w:r>
        <w:rPr>
          <w:rFonts w:hint="eastAsia" w:ascii="Times New Roman" w:hAnsi="Times New Roman" w:eastAsia="宋体" w:cs="Times New Roman"/>
          <w:color w:val="262626"/>
          <w:sz w:val="24"/>
          <w:szCs w:val="24"/>
        </w:rPr>
        <w:t>。</w:t>
      </w:r>
    </w:p>
    <w:p w14:paraId="2A3DD7F3">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（2）</w:t>
      </w:r>
      <w:r>
        <w:rPr>
          <w:rFonts w:hint="eastAsia" w:ascii="Times New Roman" w:hAnsi="Times New Roman" w:eastAsia="宋体" w:cs="Times New Roman"/>
          <w:color w:val="262626"/>
          <w:sz w:val="24"/>
          <w:szCs w:val="24"/>
        </w:rPr>
        <w:t>动力</w:t>
      </w:r>
      <w:r>
        <w:rPr>
          <w:rFonts w:ascii="Times New Roman" w:hAnsi="Times New Roman" w:eastAsia="宋体" w:cs="Times New Roman"/>
          <w:color w:val="262626"/>
          <w:sz w:val="24"/>
          <w:szCs w:val="24"/>
        </w:rPr>
        <w:t>扬尘</w:t>
      </w:r>
    </w:p>
    <w:p w14:paraId="1E7CBCCA">
      <w:pPr>
        <w:widowControl w:val="0"/>
        <w:spacing w:line="360" w:lineRule="auto"/>
        <w:ind w:firstLine="480"/>
        <w:rPr>
          <w:rFonts w:hint="eastAsia" w:ascii="Times New Roman" w:hAnsi="Times New Roman" w:eastAsia="宋体" w:cs="Times New Roman"/>
          <w:color w:val="262626"/>
          <w:sz w:val="24"/>
          <w:szCs w:val="24"/>
        </w:rPr>
      </w:pPr>
      <w:r>
        <w:rPr>
          <w:rFonts w:ascii="Times New Roman" w:hAnsi="Times New Roman" w:eastAsia="宋体" w:cs="Times New Roman"/>
          <w:color w:val="262626"/>
          <w:sz w:val="24"/>
          <w:szCs w:val="24"/>
        </w:rPr>
        <w:t>整改</w:t>
      </w:r>
      <w:r>
        <w:rPr>
          <w:rFonts w:hint="eastAsia" w:ascii="Times New Roman" w:hAnsi="Times New Roman" w:eastAsia="宋体" w:cs="Times New Roman"/>
          <w:color w:val="262626"/>
          <w:sz w:val="24"/>
          <w:szCs w:val="24"/>
        </w:rPr>
        <w:t>工程</w:t>
      </w:r>
      <w:r>
        <w:rPr>
          <w:rFonts w:ascii="Times New Roman" w:hAnsi="Times New Roman" w:eastAsia="宋体" w:cs="Times New Roman"/>
          <w:color w:val="262626"/>
          <w:sz w:val="24"/>
          <w:szCs w:val="24"/>
        </w:rPr>
        <w:t>施工</w:t>
      </w:r>
      <w:r>
        <w:rPr>
          <w:rFonts w:hint="eastAsia" w:ascii="Times New Roman" w:hAnsi="Times New Roman" w:eastAsia="宋体" w:cs="Times New Roman"/>
          <w:color w:val="262626"/>
          <w:sz w:val="24"/>
          <w:szCs w:val="24"/>
        </w:rPr>
        <w:t>扬尘、颗粒料、粉料（沙、水泥）及</w:t>
      </w:r>
      <w:r>
        <w:rPr>
          <w:rFonts w:ascii="Times New Roman" w:hAnsi="Times New Roman" w:eastAsia="宋体" w:cs="Times New Roman"/>
          <w:color w:val="262626"/>
          <w:sz w:val="24"/>
          <w:szCs w:val="24"/>
        </w:rPr>
        <w:t>渣土</w:t>
      </w:r>
      <w:r>
        <w:rPr>
          <w:rFonts w:hint="eastAsia" w:ascii="Times New Roman" w:hAnsi="Times New Roman" w:eastAsia="宋体" w:cs="Times New Roman"/>
          <w:color w:val="262626"/>
          <w:sz w:val="24"/>
          <w:szCs w:val="24"/>
        </w:rPr>
        <w:t>的卸装、</w:t>
      </w:r>
      <w:r>
        <w:rPr>
          <w:rFonts w:ascii="Times New Roman" w:hAnsi="Times New Roman" w:eastAsia="宋体" w:cs="Times New Roman"/>
          <w:color w:val="262626"/>
          <w:sz w:val="24"/>
          <w:szCs w:val="24"/>
        </w:rPr>
        <w:t>运输</w:t>
      </w:r>
      <w:r>
        <w:rPr>
          <w:rFonts w:hint="eastAsia" w:ascii="Times New Roman" w:hAnsi="Times New Roman" w:eastAsia="宋体" w:cs="Times New Roman"/>
          <w:color w:val="262626"/>
          <w:sz w:val="24"/>
          <w:szCs w:val="24"/>
        </w:rPr>
        <w:t>扬尘、</w:t>
      </w:r>
      <w:r>
        <w:rPr>
          <w:rFonts w:ascii="Times New Roman" w:hAnsi="Times New Roman" w:eastAsia="宋体" w:cs="Times New Roman"/>
          <w:color w:val="262626"/>
          <w:sz w:val="24"/>
          <w:szCs w:val="24"/>
        </w:rPr>
        <w:t>运输</w:t>
      </w:r>
      <w:r>
        <w:rPr>
          <w:rFonts w:hint="eastAsia" w:ascii="Times New Roman" w:hAnsi="Times New Roman" w:eastAsia="宋体" w:cs="Times New Roman"/>
          <w:color w:val="262626"/>
          <w:sz w:val="24"/>
          <w:szCs w:val="24"/>
        </w:rPr>
        <w:t>道路</w:t>
      </w:r>
      <w:r>
        <w:rPr>
          <w:rFonts w:ascii="Times New Roman" w:hAnsi="Times New Roman" w:eastAsia="宋体" w:cs="Times New Roman"/>
          <w:color w:val="262626"/>
          <w:sz w:val="24"/>
          <w:szCs w:val="24"/>
        </w:rPr>
        <w:t>扬尘</w:t>
      </w:r>
      <w:r>
        <w:rPr>
          <w:rFonts w:hint="eastAsia" w:ascii="Times New Roman" w:hAnsi="Times New Roman" w:eastAsia="宋体" w:cs="Times New Roman"/>
          <w:color w:val="262626"/>
          <w:sz w:val="24"/>
          <w:szCs w:val="24"/>
        </w:rPr>
        <w:t>等</w:t>
      </w:r>
      <w:r>
        <w:rPr>
          <w:rFonts w:ascii="Times New Roman" w:hAnsi="Times New Roman" w:eastAsia="宋体" w:cs="Times New Roman"/>
          <w:color w:val="262626"/>
          <w:sz w:val="24"/>
          <w:szCs w:val="24"/>
        </w:rPr>
        <w:t>均属于动力扬尘。</w:t>
      </w:r>
    </w:p>
    <w:p w14:paraId="56860E09">
      <w:pPr>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a. 工程</w:t>
      </w:r>
      <w:r>
        <w:rPr>
          <w:rFonts w:ascii="Times New Roman" w:hAnsi="Times New Roman" w:eastAsia="宋体" w:cs="Times New Roman"/>
          <w:color w:val="262626"/>
          <w:sz w:val="24"/>
          <w:szCs w:val="24"/>
        </w:rPr>
        <w:t>施工扬尘</w:t>
      </w:r>
      <w:r>
        <w:rPr>
          <w:rFonts w:hint="eastAsia" w:ascii="Times New Roman" w:hAnsi="Times New Roman" w:eastAsia="宋体" w:cs="Times New Roman"/>
          <w:color w:val="262626"/>
          <w:sz w:val="24"/>
          <w:szCs w:val="24"/>
        </w:rPr>
        <w:t>：</w:t>
      </w:r>
      <w:r>
        <w:rPr>
          <w:rFonts w:ascii="Times New Roman" w:hAnsi="Times New Roman" w:eastAsia="宋体" w:cs="Times New Roman"/>
          <w:color w:val="262626"/>
          <w:sz w:val="24"/>
          <w:szCs w:val="24"/>
        </w:rPr>
        <w:t>项目</w:t>
      </w:r>
      <w:r>
        <w:rPr>
          <w:rFonts w:hint="eastAsia" w:ascii="Times New Roman" w:hAnsi="Times New Roman" w:eastAsia="宋体" w:cs="Times New Roman"/>
          <w:color w:val="262626"/>
          <w:sz w:val="24"/>
          <w:szCs w:val="24"/>
        </w:rPr>
        <w:t>内</w:t>
      </w:r>
      <w:r>
        <w:rPr>
          <w:rFonts w:ascii="Times New Roman" w:hAnsi="Times New Roman" w:eastAsia="宋体" w:cs="Times New Roman"/>
          <w:color w:val="262626"/>
          <w:sz w:val="24"/>
          <w:szCs w:val="24"/>
        </w:rPr>
        <w:t>场地</w:t>
      </w:r>
      <w:r>
        <w:rPr>
          <w:rFonts w:hint="eastAsia" w:ascii="Times New Roman" w:hAnsi="Times New Roman" w:eastAsia="宋体" w:cs="Times New Roman"/>
          <w:color w:val="262626"/>
          <w:sz w:val="24"/>
          <w:szCs w:val="24"/>
        </w:rPr>
        <w:t>堆料库的建设、雨水沟渠的开挖、环保工程的建设等，均</w:t>
      </w:r>
      <w:r>
        <w:rPr>
          <w:rFonts w:ascii="Times New Roman" w:hAnsi="Times New Roman" w:eastAsia="宋体" w:cs="Times New Roman"/>
          <w:color w:val="262626"/>
          <w:sz w:val="24"/>
          <w:szCs w:val="24"/>
        </w:rPr>
        <w:t>会产生少量扬尘，</w:t>
      </w:r>
      <w:r>
        <w:rPr>
          <w:rFonts w:hint="eastAsia" w:ascii="Times New Roman" w:hAnsi="Times New Roman" w:eastAsia="宋体" w:cs="Times New Roman"/>
          <w:color w:val="262626"/>
          <w:sz w:val="24"/>
          <w:szCs w:val="24"/>
        </w:rPr>
        <w:t>施工过程中采取</w:t>
      </w:r>
      <w:r>
        <w:rPr>
          <w:rFonts w:ascii="Times New Roman" w:hAnsi="Times New Roman" w:eastAsia="宋体" w:cs="Times New Roman"/>
          <w:color w:val="262626"/>
          <w:sz w:val="24"/>
          <w:szCs w:val="24"/>
        </w:rPr>
        <w:t>边洒水边施工</w:t>
      </w:r>
      <w:r>
        <w:rPr>
          <w:rFonts w:hint="eastAsia" w:ascii="Times New Roman" w:hAnsi="Times New Roman" w:eastAsia="宋体" w:cs="Times New Roman"/>
          <w:color w:val="262626"/>
          <w:sz w:val="24"/>
          <w:szCs w:val="24"/>
        </w:rPr>
        <w:t>的方式可</w:t>
      </w:r>
      <w:r>
        <w:rPr>
          <w:rFonts w:ascii="Times New Roman" w:hAnsi="Times New Roman" w:eastAsia="宋体" w:cs="Times New Roman"/>
          <w:color w:val="262626"/>
          <w:sz w:val="24"/>
          <w:szCs w:val="24"/>
        </w:rPr>
        <w:t>大大减少</w:t>
      </w:r>
      <w:r>
        <w:rPr>
          <w:rFonts w:hint="eastAsia" w:ascii="Times New Roman" w:hAnsi="Times New Roman" w:eastAsia="宋体" w:cs="Times New Roman"/>
          <w:color w:val="262626"/>
          <w:sz w:val="24"/>
          <w:szCs w:val="24"/>
        </w:rPr>
        <w:t>施工</w:t>
      </w:r>
      <w:r>
        <w:rPr>
          <w:rFonts w:ascii="Times New Roman" w:hAnsi="Times New Roman" w:eastAsia="宋体" w:cs="Times New Roman"/>
          <w:color w:val="262626"/>
          <w:sz w:val="24"/>
          <w:szCs w:val="24"/>
        </w:rPr>
        <w:t>粉尘</w:t>
      </w:r>
      <w:r>
        <w:rPr>
          <w:rFonts w:hint="eastAsia" w:ascii="Times New Roman" w:hAnsi="Times New Roman" w:eastAsia="宋体" w:cs="Times New Roman"/>
          <w:color w:val="262626"/>
          <w:sz w:val="24"/>
          <w:szCs w:val="24"/>
        </w:rPr>
        <w:t>。</w:t>
      </w:r>
    </w:p>
    <w:p w14:paraId="2F705BD4">
      <w:pPr>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b. 颗粒料、粉料（沙、水泥）及</w:t>
      </w:r>
      <w:r>
        <w:rPr>
          <w:rFonts w:ascii="Times New Roman" w:hAnsi="Times New Roman" w:eastAsia="宋体" w:cs="Times New Roman"/>
          <w:color w:val="262626"/>
          <w:sz w:val="24"/>
          <w:szCs w:val="24"/>
        </w:rPr>
        <w:t>渣土</w:t>
      </w:r>
      <w:r>
        <w:rPr>
          <w:rFonts w:hint="eastAsia" w:ascii="Times New Roman" w:hAnsi="Times New Roman" w:eastAsia="宋体" w:cs="Times New Roman"/>
          <w:color w:val="262626"/>
          <w:sz w:val="24"/>
          <w:szCs w:val="24"/>
        </w:rPr>
        <w:t>的卸装、运输扬尘：施工期间装卸运散装建筑材料及渣土、送散装建筑材料及渣土的车辆在行驶过程中将有少量物料洒落进入空气中，将有路面扬尘产生，</w:t>
      </w:r>
      <w:r>
        <w:rPr>
          <w:rFonts w:ascii="Times New Roman" w:hAnsi="Times New Roman" w:eastAsia="宋体" w:cs="Times New Roman"/>
          <w:color w:val="262626"/>
          <w:sz w:val="24"/>
          <w:szCs w:val="24"/>
        </w:rPr>
        <w:t>因施工工程量较小，施工所需物料较少，产</w:t>
      </w:r>
      <w:r>
        <w:rPr>
          <w:rFonts w:hint="eastAsia" w:ascii="Times New Roman" w:hAnsi="Times New Roman" w:eastAsia="宋体" w:cs="Times New Roman"/>
          <w:color w:val="262626"/>
          <w:sz w:val="24"/>
          <w:szCs w:val="24"/>
        </w:rPr>
        <w:t>尘量</w:t>
      </w:r>
      <w:r>
        <w:rPr>
          <w:rFonts w:ascii="Times New Roman" w:hAnsi="Times New Roman" w:eastAsia="宋体" w:cs="Times New Roman"/>
          <w:color w:val="262626"/>
          <w:sz w:val="24"/>
          <w:szCs w:val="24"/>
        </w:rPr>
        <w:t>很小</w:t>
      </w:r>
      <w:r>
        <w:rPr>
          <w:rFonts w:hint="eastAsia" w:ascii="Times New Roman" w:hAnsi="Times New Roman" w:eastAsia="宋体" w:cs="Times New Roman"/>
          <w:color w:val="262626"/>
          <w:sz w:val="24"/>
          <w:szCs w:val="24"/>
        </w:rPr>
        <w:t>。</w:t>
      </w:r>
    </w:p>
    <w:p w14:paraId="017B232C">
      <w:pPr>
        <w:widowControl w:val="0"/>
        <w:spacing w:line="360" w:lineRule="auto"/>
        <w:ind w:firstLine="480"/>
        <w:rPr>
          <w:rFonts w:hint="eastAsia" w:ascii="Times New Roman" w:hAnsi="Times New Roman" w:eastAsia="宋体" w:cs="Times New Roman"/>
          <w:color w:val="262626"/>
          <w:sz w:val="24"/>
          <w:szCs w:val="24"/>
        </w:rPr>
      </w:pPr>
      <w:r>
        <w:rPr>
          <w:rFonts w:ascii="Times New Roman" w:hAnsi="Times New Roman" w:eastAsia="宋体" w:cs="Times New Roman"/>
          <w:color w:val="262626"/>
          <w:sz w:val="24"/>
          <w:szCs w:val="24"/>
        </w:rPr>
        <w:t xml:space="preserve">c. </w:t>
      </w:r>
      <w:r>
        <w:rPr>
          <w:rFonts w:hint="eastAsia" w:ascii="Times New Roman" w:hAnsi="Times New Roman" w:eastAsia="宋体" w:cs="Times New Roman"/>
          <w:color w:val="262626"/>
          <w:sz w:val="24"/>
          <w:szCs w:val="24"/>
        </w:rPr>
        <w:t>运输</w:t>
      </w:r>
      <w:r>
        <w:rPr>
          <w:rFonts w:ascii="Times New Roman" w:hAnsi="Times New Roman" w:eastAsia="宋体" w:cs="Times New Roman"/>
          <w:color w:val="262626"/>
          <w:sz w:val="24"/>
          <w:szCs w:val="24"/>
        </w:rPr>
        <w:t>道路扬尘</w:t>
      </w:r>
      <w:r>
        <w:rPr>
          <w:rFonts w:hint="eastAsia" w:ascii="Times New Roman" w:hAnsi="Times New Roman" w:eastAsia="宋体" w:cs="Times New Roman"/>
          <w:color w:val="262626"/>
          <w:sz w:val="24"/>
          <w:szCs w:val="24"/>
        </w:rPr>
        <w:t>：</w:t>
      </w:r>
      <w:r>
        <w:rPr>
          <w:rFonts w:ascii="Times New Roman" w:hAnsi="Times New Roman" w:eastAsia="宋体" w:cs="Times New Roman"/>
          <w:color w:val="262626"/>
          <w:sz w:val="24"/>
          <w:szCs w:val="24"/>
        </w:rPr>
        <w:t>在同样路面清洁情况下，车速越快，扬尘量越大；而在同样车速情况下，路面清洁度越差，则扬尘量越大。</w:t>
      </w:r>
      <w:r>
        <w:rPr>
          <w:rFonts w:hint="eastAsia" w:ascii="Times New Roman" w:hAnsi="Times New Roman" w:eastAsia="宋体" w:cs="Times New Roman"/>
          <w:color w:val="262626"/>
          <w:sz w:val="24"/>
          <w:szCs w:val="24"/>
        </w:rPr>
        <w:t>施工期对场内外运输道路进行洒水降尘，可减少</w:t>
      </w:r>
      <w:r>
        <w:rPr>
          <w:rFonts w:ascii="Times New Roman" w:hAnsi="Times New Roman" w:eastAsia="宋体" w:cs="Times New Roman"/>
          <w:color w:val="262626"/>
          <w:sz w:val="24"/>
          <w:szCs w:val="24"/>
        </w:rPr>
        <w:t>车辆运输产生的扬尘。</w:t>
      </w:r>
    </w:p>
    <w:p w14:paraId="16F92508">
      <w:pPr>
        <w:widowControl w:val="0"/>
        <w:spacing w:line="360" w:lineRule="auto"/>
        <w:ind w:firstLine="482"/>
        <w:jc w:val="both"/>
        <w:rPr>
          <w:rFonts w:ascii="Times New Roman" w:hAnsi="Times New Roman" w:eastAsia="宋体" w:cs="Times New Roman"/>
          <w:color w:val="262626"/>
          <w:sz w:val="24"/>
          <w:szCs w:val="24"/>
          <w:lang w:val="en-US" w:eastAsia="zh-CN" w:bidi="ar-SA"/>
        </w:rPr>
      </w:pPr>
      <w:r>
        <w:rPr>
          <w:rFonts w:hint="eastAsia" w:ascii="Times New Roman" w:hAnsi="Times New Roman" w:eastAsia="宋体" w:cs="Times New Roman"/>
          <w:color w:val="262626"/>
          <w:sz w:val="24"/>
          <w:szCs w:val="24"/>
          <w:lang w:val="en-US" w:eastAsia="zh-CN" w:bidi="ar-SA"/>
        </w:rPr>
        <w:t xml:space="preserve"> </w:t>
      </w:r>
      <w:r>
        <w:rPr>
          <w:rFonts w:ascii="Times New Roman" w:hAnsi="Times New Roman" w:eastAsia="宋体" w:cs="Times New Roman"/>
          <w:color w:val="262626"/>
          <w:sz w:val="24"/>
          <w:szCs w:val="24"/>
          <w:lang w:val="en-US" w:eastAsia="zh-CN" w:bidi="ar-SA"/>
        </w:rPr>
        <w:t>2、废水</w:t>
      </w:r>
    </w:p>
    <w:p w14:paraId="45021E7A">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（1）</w:t>
      </w:r>
      <w:r>
        <w:rPr>
          <w:rFonts w:hint="eastAsia" w:ascii="Times New Roman" w:hAnsi="Times New Roman" w:eastAsia="宋体" w:cs="Times New Roman"/>
          <w:color w:val="262626"/>
          <w:sz w:val="24"/>
          <w:szCs w:val="24"/>
        </w:rPr>
        <w:t>工程</w:t>
      </w:r>
      <w:r>
        <w:rPr>
          <w:rFonts w:ascii="Times New Roman" w:hAnsi="Times New Roman" w:eastAsia="宋体" w:cs="Times New Roman"/>
          <w:color w:val="262626"/>
          <w:sz w:val="24"/>
          <w:szCs w:val="24"/>
        </w:rPr>
        <w:t>废水</w:t>
      </w:r>
    </w:p>
    <w:p w14:paraId="5D23AC46">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项目外购的建筑材料砂、石均已清洗加工，项目内不进行砂石清洗。</w:t>
      </w:r>
      <w:r>
        <w:rPr>
          <w:rFonts w:hint="eastAsia" w:ascii="Times New Roman" w:hAnsi="Times New Roman" w:eastAsia="宋体" w:cs="Times New Roman"/>
          <w:color w:val="262626"/>
          <w:sz w:val="24"/>
          <w:szCs w:val="24"/>
        </w:rPr>
        <w:t>项目站区</w:t>
      </w:r>
      <w:r>
        <w:rPr>
          <w:rFonts w:ascii="Times New Roman" w:hAnsi="Times New Roman" w:eastAsia="宋体" w:cs="Times New Roman"/>
          <w:color w:val="262626"/>
          <w:sz w:val="24"/>
          <w:szCs w:val="24"/>
        </w:rPr>
        <w:t>周边配套设施完善</w:t>
      </w:r>
      <w:r>
        <w:rPr>
          <w:rFonts w:hint="eastAsia" w:ascii="Times New Roman" w:hAnsi="Times New Roman" w:eastAsia="宋体" w:cs="Times New Roman"/>
          <w:color w:val="262626"/>
          <w:sz w:val="24"/>
          <w:szCs w:val="24"/>
        </w:rPr>
        <w:t>，故</w:t>
      </w:r>
      <w:r>
        <w:rPr>
          <w:rFonts w:ascii="Times New Roman" w:hAnsi="Times New Roman" w:eastAsia="宋体" w:cs="Times New Roman"/>
          <w:color w:val="262626"/>
          <w:sz w:val="24"/>
          <w:szCs w:val="24"/>
        </w:rPr>
        <w:t>施工机械清洗不在施工场地内进行，定期委托相关</w:t>
      </w:r>
      <w:r>
        <w:rPr>
          <w:rFonts w:hint="eastAsia" w:ascii="Times New Roman" w:hAnsi="Times New Roman" w:eastAsia="宋体" w:cs="Times New Roman"/>
          <w:color w:val="262626"/>
          <w:sz w:val="24"/>
          <w:szCs w:val="24"/>
        </w:rPr>
        <w:t>单位</w:t>
      </w:r>
      <w:r>
        <w:rPr>
          <w:rFonts w:ascii="Times New Roman" w:hAnsi="Times New Roman" w:eastAsia="宋体" w:cs="Times New Roman"/>
          <w:color w:val="262626"/>
          <w:sz w:val="24"/>
          <w:szCs w:val="24"/>
        </w:rPr>
        <w:t>对本项目施工机械进行定期清洗，因此，本项目</w:t>
      </w:r>
      <w:r>
        <w:rPr>
          <w:rFonts w:hint="eastAsia" w:ascii="Times New Roman" w:hAnsi="Times New Roman" w:eastAsia="宋体" w:cs="Times New Roman"/>
          <w:color w:val="262626"/>
          <w:sz w:val="24"/>
          <w:szCs w:val="24"/>
        </w:rPr>
        <w:t>无施工机械清洗废水</w:t>
      </w:r>
      <w:r>
        <w:rPr>
          <w:rFonts w:ascii="Times New Roman" w:hAnsi="Times New Roman" w:eastAsia="宋体" w:cs="Times New Roman"/>
          <w:color w:val="262626"/>
          <w:sz w:val="24"/>
          <w:szCs w:val="24"/>
        </w:rPr>
        <w:t>产生。</w:t>
      </w:r>
    </w:p>
    <w:p w14:paraId="27B1F239">
      <w:pPr>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项目</w:t>
      </w:r>
      <w:r>
        <w:rPr>
          <w:rFonts w:ascii="Times New Roman" w:hAnsi="Times New Roman" w:eastAsia="宋体" w:cs="Times New Roman"/>
          <w:color w:val="262626"/>
          <w:sz w:val="24"/>
          <w:szCs w:val="24"/>
        </w:rPr>
        <w:t>施工</w:t>
      </w:r>
      <w:r>
        <w:rPr>
          <w:rFonts w:hint="eastAsia" w:ascii="Times New Roman" w:hAnsi="Times New Roman" w:eastAsia="宋体" w:cs="Times New Roman"/>
          <w:color w:val="262626"/>
          <w:sz w:val="24"/>
          <w:szCs w:val="24"/>
        </w:rPr>
        <w:t>过程中</w:t>
      </w:r>
      <w:r>
        <w:rPr>
          <w:rFonts w:ascii="Times New Roman" w:hAnsi="Times New Roman" w:eastAsia="宋体" w:cs="Times New Roman"/>
          <w:color w:val="262626"/>
          <w:sz w:val="24"/>
          <w:szCs w:val="24"/>
        </w:rPr>
        <w:t>会</w:t>
      </w:r>
      <w:r>
        <w:rPr>
          <w:rFonts w:hint="eastAsia" w:ascii="Times New Roman" w:hAnsi="Times New Roman" w:eastAsia="宋体" w:cs="Times New Roman"/>
          <w:color w:val="262626"/>
          <w:sz w:val="24"/>
          <w:szCs w:val="24"/>
        </w:rPr>
        <w:t>在</w:t>
      </w:r>
      <w:r>
        <w:rPr>
          <w:rFonts w:ascii="Times New Roman" w:hAnsi="Times New Roman" w:eastAsia="宋体" w:cs="Times New Roman"/>
          <w:color w:val="262626"/>
          <w:sz w:val="24"/>
          <w:szCs w:val="24"/>
        </w:rPr>
        <w:t>作业面</w:t>
      </w:r>
      <w:r>
        <w:rPr>
          <w:rFonts w:hint="eastAsia" w:ascii="Times New Roman" w:hAnsi="Times New Roman" w:eastAsia="宋体" w:cs="Times New Roman"/>
          <w:color w:val="262626"/>
          <w:sz w:val="24"/>
          <w:szCs w:val="24"/>
        </w:rPr>
        <w:t>进行</w:t>
      </w:r>
      <w:r>
        <w:rPr>
          <w:rFonts w:ascii="Times New Roman" w:hAnsi="Times New Roman" w:eastAsia="宋体" w:cs="Times New Roman"/>
          <w:color w:val="262626"/>
          <w:sz w:val="24"/>
          <w:szCs w:val="24"/>
        </w:rPr>
        <w:t>洒水，</w:t>
      </w:r>
      <w:r>
        <w:rPr>
          <w:rFonts w:hint="eastAsia" w:ascii="Times New Roman" w:hAnsi="Times New Roman" w:eastAsia="宋体" w:cs="Times New Roman"/>
          <w:color w:val="262626"/>
          <w:sz w:val="24"/>
          <w:szCs w:val="24"/>
        </w:rPr>
        <w:t>洒水量</w:t>
      </w:r>
      <w:r>
        <w:rPr>
          <w:rFonts w:ascii="Times New Roman" w:hAnsi="Times New Roman" w:eastAsia="宋体" w:cs="Times New Roman"/>
          <w:color w:val="262626"/>
          <w:sz w:val="24"/>
          <w:szCs w:val="24"/>
        </w:rPr>
        <w:t>约为</w:t>
      </w:r>
      <w:r>
        <w:rPr>
          <w:rFonts w:hint="eastAsia" w:ascii="Times New Roman" w:hAnsi="Times New Roman" w:eastAsia="宋体" w:cs="Times New Roman"/>
          <w:color w:val="262626"/>
          <w:sz w:val="24"/>
          <w:szCs w:val="24"/>
        </w:rPr>
        <w:t>1L/</w:t>
      </w:r>
      <w:r>
        <w:rPr>
          <w:rFonts w:ascii="Times New Roman" w:hAnsi="Times New Roman" w:eastAsia="宋体" w:cs="Times New Roman"/>
          <w:color w:val="262626"/>
          <w:sz w:val="24"/>
          <w:szCs w:val="24"/>
        </w:rPr>
        <w:t>m</w:t>
      </w:r>
      <w:r>
        <w:rPr>
          <w:rFonts w:ascii="Times New Roman" w:hAnsi="Times New Roman" w:eastAsia="宋体" w:cs="Times New Roman"/>
          <w:color w:val="262626"/>
          <w:sz w:val="24"/>
          <w:szCs w:val="24"/>
          <w:vertAlign w:val="superscript"/>
        </w:rPr>
        <w:t>2</w:t>
      </w:r>
      <w:r>
        <w:rPr>
          <w:rFonts w:hint="eastAsia" w:ascii="Times New Roman" w:hAnsi="Times New Roman" w:eastAsia="宋体" w:cs="Times New Roman"/>
          <w:color w:val="262626"/>
          <w:sz w:val="24"/>
          <w:szCs w:val="24"/>
        </w:rPr>
        <w:t>，</w:t>
      </w:r>
      <w:r>
        <w:rPr>
          <w:rFonts w:ascii="Times New Roman" w:hAnsi="Times New Roman" w:eastAsia="宋体" w:cs="Times New Roman"/>
          <w:color w:val="262626"/>
          <w:sz w:val="24"/>
          <w:szCs w:val="24"/>
        </w:rPr>
        <w:t>该部分水量较少，经渗透、蒸发后无废水</w:t>
      </w:r>
      <w:r>
        <w:rPr>
          <w:rFonts w:hint="eastAsia" w:ascii="Times New Roman" w:hAnsi="Times New Roman" w:eastAsia="宋体" w:cs="Times New Roman"/>
          <w:color w:val="262626"/>
          <w:sz w:val="24"/>
          <w:szCs w:val="24"/>
        </w:rPr>
        <w:t>产生</w:t>
      </w:r>
      <w:r>
        <w:rPr>
          <w:rFonts w:ascii="Times New Roman" w:hAnsi="Times New Roman" w:eastAsia="宋体" w:cs="Times New Roman"/>
          <w:color w:val="262626"/>
          <w:sz w:val="24"/>
          <w:szCs w:val="24"/>
        </w:rPr>
        <w:t>。</w:t>
      </w:r>
    </w:p>
    <w:p w14:paraId="10033D94">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（2）生活污水</w:t>
      </w:r>
    </w:p>
    <w:p w14:paraId="06CCD62C">
      <w:pPr>
        <w:pStyle w:val="315"/>
        <w:rPr>
          <w:rFonts w:hint="eastAsia"/>
          <w:lang w:eastAsia="zh-CN"/>
        </w:rPr>
      </w:pPr>
      <w:r>
        <w:rPr>
          <w:rFonts w:hint="eastAsia" w:ascii="Times New Roman" w:hAnsi="Times New Roman" w:eastAsia="宋体" w:cs="Times New Roman"/>
          <w:color w:val="262626"/>
          <w:sz w:val="24"/>
          <w:szCs w:val="24"/>
        </w:rPr>
        <w:t>项目</w:t>
      </w:r>
      <w:r>
        <w:rPr>
          <w:rFonts w:ascii="Times New Roman" w:hAnsi="Times New Roman" w:eastAsia="宋体" w:cs="Times New Roman"/>
          <w:color w:val="262626"/>
          <w:sz w:val="24"/>
          <w:szCs w:val="24"/>
        </w:rPr>
        <w:t>整改</w:t>
      </w:r>
      <w:r>
        <w:rPr>
          <w:rFonts w:hint="eastAsia" w:ascii="Times New Roman" w:hAnsi="Times New Roman" w:eastAsia="宋体" w:cs="Times New Roman"/>
          <w:color w:val="262626"/>
          <w:sz w:val="24"/>
          <w:szCs w:val="24"/>
        </w:rPr>
        <w:t>工程</w:t>
      </w:r>
      <w:r>
        <w:rPr>
          <w:rFonts w:ascii="Times New Roman" w:hAnsi="Times New Roman" w:eastAsia="宋体" w:cs="Times New Roman"/>
          <w:color w:val="262626"/>
          <w:sz w:val="24"/>
          <w:szCs w:val="24"/>
        </w:rPr>
        <w:t>施工施工</w:t>
      </w:r>
      <w:r>
        <w:rPr>
          <w:rFonts w:hint="eastAsia" w:ascii="Times New Roman" w:hAnsi="Times New Roman" w:eastAsia="宋体" w:cs="Times New Roman"/>
          <w:color w:val="262626"/>
          <w:sz w:val="24"/>
          <w:szCs w:val="24"/>
        </w:rPr>
        <w:t>人员约为10人</w:t>
      </w:r>
      <w:r>
        <w:rPr>
          <w:rFonts w:ascii="Times New Roman" w:hAnsi="Times New Roman" w:eastAsia="宋体" w:cs="Times New Roman"/>
          <w:color w:val="262626"/>
          <w:sz w:val="24"/>
          <w:szCs w:val="24"/>
        </w:rPr>
        <w:t>，</w:t>
      </w:r>
      <w:r>
        <w:rPr>
          <w:rFonts w:hint="eastAsia" w:ascii="Times New Roman" w:hAnsi="Times New Roman" w:eastAsia="宋体" w:cs="Times New Roman"/>
          <w:color w:val="262626"/>
          <w:sz w:val="24"/>
          <w:szCs w:val="24"/>
        </w:rPr>
        <w:t>均</w:t>
      </w:r>
      <w:r>
        <w:rPr>
          <w:rFonts w:ascii="Times New Roman" w:hAnsi="Times New Roman" w:eastAsia="宋体" w:cs="Times New Roman"/>
          <w:color w:val="262626"/>
          <w:sz w:val="24"/>
          <w:szCs w:val="24"/>
        </w:rPr>
        <w:t>不在</w:t>
      </w:r>
      <w:r>
        <w:rPr>
          <w:rFonts w:hint="eastAsia" w:ascii="Times New Roman" w:hAnsi="Times New Roman" w:eastAsia="宋体" w:cs="Times New Roman"/>
          <w:color w:val="262626"/>
          <w:sz w:val="24"/>
          <w:szCs w:val="24"/>
        </w:rPr>
        <w:t>站内食宿，施工人员产生</w:t>
      </w:r>
      <w:r>
        <w:rPr>
          <w:rFonts w:ascii="Times New Roman" w:hAnsi="Times New Roman" w:eastAsia="宋体" w:cs="Times New Roman"/>
          <w:color w:val="262626"/>
          <w:sz w:val="24"/>
          <w:szCs w:val="24"/>
        </w:rPr>
        <w:t>的</w:t>
      </w:r>
      <w:r>
        <w:rPr>
          <w:rFonts w:hint="eastAsia" w:ascii="Times New Roman" w:hAnsi="Times New Roman" w:eastAsia="宋体" w:cs="Times New Roman"/>
          <w:color w:val="262626"/>
          <w:sz w:val="24"/>
          <w:szCs w:val="24"/>
        </w:rPr>
        <w:t>废水</w:t>
      </w:r>
      <w:r>
        <w:rPr>
          <w:rFonts w:ascii="Times New Roman" w:hAnsi="Times New Roman" w:eastAsia="宋体" w:cs="Times New Roman"/>
          <w:color w:val="262626"/>
          <w:sz w:val="24"/>
          <w:szCs w:val="24"/>
        </w:rPr>
        <w:t>主要为洗手等清洁废水</w:t>
      </w:r>
      <w:r>
        <w:rPr>
          <w:rFonts w:hint="eastAsia" w:ascii="Times New Roman" w:hAnsi="Times New Roman" w:eastAsia="宋体" w:cs="Times New Roman"/>
          <w:color w:val="262626"/>
          <w:sz w:val="24"/>
          <w:szCs w:val="24"/>
        </w:rPr>
        <w:t>，</w:t>
      </w:r>
      <w:r>
        <w:rPr>
          <w:rFonts w:ascii="Times New Roman" w:hAnsi="Times New Roman" w:eastAsia="宋体" w:cs="Times New Roman"/>
          <w:color w:val="262626"/>
          <w:sz w:val="24"/>
          <w:szCs w:val="24"/>
        </w:rPr>
        <w:t>清洁用水量约为5L/人·d，用水量为0.05m</w:t>
      </w:r>
      <w:r>
        <w:rPr>
          <w:rFonts w:ascii="Times New Roman" w:hAnsi="Times New Roman" w:eastAsia="宋体" w:cs="Times New Roman"/>
          <w:color w:val="262626"/>
          <w:sz w:val="24"/>
          <w:szCs w:val="24"/>
          <w:vertAlign w:val="superscript"/>
        </w:rPr>
        <w:t>3</w:t>
      </w:r>
      <w:r>
        <w:rPr>
          <w:rFonts w:ascii="Times New Roman" w:hAnsi="Times New Roman" w:eastAsia="宋体" w:cs="Times New Roman"/>
          <w:color w:val="262626"/>
          <w:sz w:val="24"/>
          <w:szCs w:val="24"/>
        </w:rPr>
        <w:t>/d，排水量按80%计算，</w:t>
      </w:r>
      <w:r>
        <w:rPr>
          <w:rFonts w:hint="eastAsia" w:ascii="Times New Roman" w:hAnsi="Times New Roman" w:eastAsia="宋体" w:cs="Times New Roman"/>
          <w:color w:val="262626"/>
          <w:sz w:val="24"/>
          <w:szCs w:val="24"/>
        </w:rPr>
        <w:t>清洁废水</w:t>
      </w:r>
      <w:r>
        <w:rPr>
          <w:rFonts w:ascii="Times New Roman" w:hAnsi="Times New Roman" w:eastAsia="宋体" w:cs="Times New Roman"/>
          <w:color w:val="262626"/>
          <w:sz w:val="24"/>
          <w:szCs w:val="24"/>
        </w:rPr>
        <w:t>产生量为0.04m</w:t>
      </w:r>
      <w:r>
        <w:rPr>
          <w:rFonts w:ascii="Times New Roman" w:hAnsi="Times New Roman" w:eastAsia="宋体" w:cs="Times New Roman"/>
          <w:color w:val="262626"/>
          <w:sz w:val="24"/>
          <w:szCs w:val="24"/>
          <w:vertAlign w:val="superscript"/>
        </w:rPr>
        <w:t>3</w:t>
      </w:r>
      <w:r>
        <w:rPr>
          <w:rFonts w:ascii="Times New Roman" w:hAnsi="Times New Roman" w:eastAsia="宋体" w:cs="Times New Roman"/>
          <w:color w:val="262626"/>
          <w:sz w:val="24"/>
          <w:szCs w:val="24"/>
        </w:rPr>
        <w:t>/d</w:t>
      </w:r>
      <w:r>
        <w:rPr>
          <w:rFonts w:hint="eastAsia" w:ascii="Times New Roman" w:hAnsi="Times New Roman" w:eastAsia="宋体" w:cs="Times New Roman"/>
          <w:color w:val="262626"/>
          <w:sz w:val="24"/>
          <w:szCs w:val="24"/>
        </w:rPr>
        <w:t>，由于废水量较少，水质清洁，</w:t>
      </w:r>
      <w:r>
        <w:t>可排入场地</w:t>
      </w:r>
      <w:r>
        <w:rPr>
          <w:rFonts w:hint="eastAsia"/>
          <w:lang w:val="en-US" w:eastAsia="zh-CN"/>
        </w:rPr>
        <w:t>化粪池集中处理达标排放</w:t>
      </w:r>
      <w:r>
        <w:rPr>
          <w:rFonts w:hint="eastAsia"/>
          <w:lang w:eastAsia="zh-CN"/>
        </w:rPr>
        <w:t>。</w:t>
      </w:r>
    </w:p>
    <w:p w14:paraId="2C397EBA">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（3）暴雨径流</w:t>
      </w:r>
    </w:p>
    <w:p w14:paraId="3A1531C1">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暴雨地表径流与施工期间天气状况有较大的关系，难以定量分析。雨季暴雨径流含有大量泥沙，直接外排会使周围水体的悬浮物含量增加。</w:t>
      </w:r>
    </w:p>
    <w:p w14:paraId="4500192F">
      <w:pPr>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由于项目施工开挖</w:t>
      </w:r>
      <w:r>
        <w:rPr>
          <w:rFonts w:ascii="Times New Roman" w:hAnsi="Times New Roman" w:eastAsia="宋体" w:cs="Times New Roman"/>
          <w:color w:val="262626"/>
          <w:sz w:val="24"/>
          <w:szCs w:val="24"/>
        </w:rPr>
        <w:t>区域较小，</w:t>
      </w:r>
      <w:r>
        <w:rPr>
          <w:rFonts w:hint="eastAsia" w:ascii="Times New Roman" w:hAnsi="Times New Roman" w:eastAsia="宋体" w:cs="Times New Roman"/>
          <w:color w:val="262626"/>
          <w:sz w:val="24"/>
          <w:szCs w:val="24"/>
        </w:rPr>
        <w:t>故</w:t>
      </w:r>
      <w:r>
        <w:rPr>
          <w:rFonts w:ascii="Times New Roman" w:hAnsi="Times New Roman" w:eastAsia="宋体" w:cs="Times New Roman"/>
          <w:color w:val="262626"/>
          <w:sz w:val="24"/>
          <w:szCs w:val="24"/>
        </w:rPr>
        <w:t>暴雨径流量极少，</w:t>
      </w:r>
      <w:r>
        <w:rPr>
          <w:rFonts w:hint="eastAsia" w:ascii="Times New Roman" w:hAnsi="Times New Roman" w:eastAsia="宋体" w:cs="Times New Roman"/>
          <w:color w:val="262626"/>
          <w:sz w:val="24"/>
          <w:szCs w:val="24"/>
          <w:lang w:val="en-US" w:eastAsia="zh-CN"/>
        </w:rPr>
        <w:t>经过简单沉淀处理后</w:t>
      </w:r>
      <w:r>
        <w:rPr>
          <w:rFonts w:hint="eastAsia" w:ascii="Times New Roman" w:hAnsi="Times New Roman" w:eastAsia="宋体" w:cs="Times New Roman"/>
          <w:color w:val="262626"/>
          <w:sz w:val="24"/>
          <w:szCs w:val="24"/>
        </w:rPr>
        <w:t>回用于施工场地洒水降尘。</w:t>
      </w:r>
    </w:p>
    <w:p w14:paraId="1DDD561F">
      <w:pPr>
        <w:widowControl w:val="0"/>
        <w:spacing w:line="360" w:lineRule="auto"/>
        <w:ind w:firstLine="482"/>
        <w:jc w:val="both"/>
        <w:rPr>
          <w:rFonts w:ascii="Times New Roman" w:hAnsi="Times New Roman" w:eastAsia="宋体" w:cs="Times New Roman"/>
          <w:color w:val="262626"/>
          <w:sz w:val="24"/>
          <w:szCs w:val="24"/>
          <w:lang w:val="en-US" w:eastAsia="zh-CN" w:bidi="ar-SA"/>
        </w:rPr>
      </w:pPr>
      <w:r>
        <w:rPr>
          <w:rFonts w:ascii="Times New Roman" w:hAnsi="Times New Roman" w:eastAsia="宋体" w:cs="Times New Roman"/>
          <w:color w:val="262626"/>
          <w:sz w:val="24"/>
          <w:szCs w:val="24"/>
          <w:lang w:val="en-US" w:eastAsia="zh-CN" w:bidi="ar-SA"/>
        </w:rPr>
        <w:t>3、噪声</w:t>
      </w:r>
    </w:p>
    <w:p w14:paraId="6B2BA216">
      <w:pPr>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本项目</w:t>
      </w:r>
      <w:r>
        <w:rPr>
          <w:rFonts w:ascii="Times New Roman" w:hAnsi="Times New Roman" w:eastAsia="宋体" w:cs="Times New Roman"/>
          <w:color w:val="262626"/>
          <w:sz w:val="24"/>
          <w:szCs w:val="24"/>
        </w:rPr>
        <w:t>施工期的噪声主要可分为施工作业噪声和施工车辆噪声。机械噪声主要由施工机械所造成，如：挖土机械、</w:t>
      </w:r>
      <w:r>
        <w:rPr>
          <w:rFonts w:hint="eastAsia" w:ascii="Times New Roman" w:hAnsi="Times New Roman" w:eastAsia="宋体" w:cs="Times New Roman"/>
          <w:color w:val="262626"/>
          <w:sz w:val="24"/>
          <w:szCs w:val="24"/>
        </w:rPr>
        <w:t>装载机</w:t>
      </w:r>
      <w:r>
        <w:rPr>
          <w:rFonts w:ascii="Times New Roman" w:hAnsi="Times New Roman" w:eastAsia="宋体" w:cs="Times New Roman"/>
          <w:color w:val="262626"/>
          <w:sz w:val="24"/>
          <w:szCs w:val="24"/>
        </w:rPr>
        <w:t>等，多为点声源；施工作业噪声主要指一些零星的敲打声、装卸车辆的撞击声、拆装模板的撞击声等，多为瞬间噪声；施工车辆的噪声属于交通噪声。在这些施工噪声中对声环境影响最大的是机械施工噪声。参照同类型项目施工噪声源强值，项目各施工机械噪声源的噪声值见表</w:t>
      </w:r>
      <w:r>
        <w:rPr>
          <w:rFonts w:hint="eastAsia" w:ascii="Times New Roman" w:hAnsi="Times New Roman" w:eastAsia="宋体" w:cs="Times New Roman"/>
          <w:color w:val="262626"/>
          <w:sz w:val="24"/>
          <w:szCs w:val="24"/>
          <w:lang w:val="en-US" w:eastAsia="zh-CN"/>
        </w:rPr>
        <w:t>4.3-1</w:t>
      </w:r>
      <w:r>
        <w:rPr>
          <w:rFonts w:ascii="Times New Roman" w:hAnsi="Times New Roman" w:eastAsia="宋体" w:cs="Times New Roman"/>
          <w:color w:val="262626"/>
          <w:sz w:val="24"/>
          <w:szCs w:val="24"/>
        </w:rPr>
        <w:t>。</w:t>
      </w:r>
    </w:p>
    <w:p w14:paraId="66AA6B8C">
      <w:pPr>
        <w:widowControl w:val="0"/>
        <w:spacing w:line="480" w:lineRule="exact"/>
        <w:ind w:firstLine="573"/>
        <w:jc w:val="center"/>
        <w:rPr>
          <w:rFonts w:ascii="Times New Roman" w:hAnsi="Times New Roman" w:eastAsia="宋体" w:cs="Times New Roman"/>
          <w:b/>
          <w:bCs/>
          <w:color w:val="262626"/>
          <w:sz w:val="24"/>
          <w:szCs w:val="24"/>
        </w:rPr>
      </w:pPr>
      <w:r>
        <w:rPr>
          <w:rFonts w:ascii="Times New Roman" w:hAnsi="Times New Roman" w:eastAsia="宋体" w:cs="Times New Roman"/>
          <w:b/>
          <w:bCs/>
          <w:color w:val="262626"/>
          <w:sz w:val="24"/>
          <w:szCs w:val="24"/>
        </w:rPr>
        <w:t>表</w:t>
      </w:r>
      <w:r>
        <w:rPr>
          <w:rFonts w:hint="eastAsia" w:ascii="Times New Roman" w:hAnsi="Times New Roman" w:eastAsia="宋体" w:cs="Times New Roman"/>
          <w:b/>
          <w:bCs/>
          <w:color w:val="262626"/>
          <w:sz w:val="24"/>
          <w:szCs w:val="24"/>
          <w:lang w:val="en-US" w:eastAsia="zh-CN"/>
        </w:rPr>
        <w:t>4.3</w:t>
      </w:r>
      <w:r>
        <w:rPr>
          <w:rFonts w:hint="eastAsia" w:ascii="Times New Roman" w:hAnsi="Times New Roman" w:eastAsia="宋体" w:cs="Times New Roman"/>
          <w:b/>
          <w:bCs/>
          <w:color w:val="262626"/>
          <w:sz w:val="24"/>
          <w:szCs w:val="24"/>
        </w:rPr>
        <w:t>-</w:t>
      </w:r>
      <w:r>
        <w:rPr>
          <w:rFonts w:hint="eastAsia" w:ascii="Times New Roman" w:hAnsi="Times New Roman" w:eastAsia="宋体" w:cs="Times New Roman"/>
          <w:b/>
          <w:bCs/>
          <w:color w:val="262626"/>
          <w:sz w:val="24"/>
          <w:szCs w:val="24"/>
          <w:lang w:val="en-US" w:eastAsia="zh-CN"/>
        </w:rPr>
        <w:t>1</w:t>
      </w:r>
      <w:r>
        <w:rPr>
          <w:rFonts w:ascii="Times New Roman" w:hAnsi="Times New Roman" w:eastAsia="宋体" w:cs="Times New Roman"/>
          <w:b/>
          <w:bCs/>
          <w:color w:val="262626"/>
          <w:sz w:val="24"/>
          <w:szCs w:val="24"/>
        </w:rPr>
        <w:t xml:space="preserve">  施工期主要施工设备噪声源强值</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979"/>
        <w:gridCol w:w="3559"/>
        <w:gridCol w:w="2922"/>
      </w:tblGrid>
      <w:tr w14:paraId="1D46A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21" w:hRule="atLeast"/>
          <w:jc w:val="center"/>
        </w:trPr>
        <w:tc>
          <w:tcPr>
            <w:tcW w:w="1979" w:type="dxa"/>
            <w:noWrap w:val="0"/>
            <w:vAlign w:val="center"/>
          </w:tcPr>
          <w:p w14:paraId="7A06776C">
            <w:pPr>
              <w:widowControl w:val="0"/>
              <w:spacing w:after="120" w:line="480" w:lineRule="exact"/>
              <w:ind w:firstLine="0"/>
              <w:jc w:val="center"/>
              <w:rPr>
                <w:rFonts w:ascii="Times New Roman" w:hAnsi="Times New Roman" w:eastAsia="宋体" w:cs="Times New Roman"/>
                <w:b/>
                <w:bCs/>
                <w:color w:val="262626"/>
                <w:sz w:val="21"/>
              </w:rPr>
            </w:pPr>
            <w:r>
              <w:rPr>
                <w:rFonts w:ascii="Times New Roman" w:hAnsi="Times New Roman" w:eastAsia="宋体" w:cs="Times New Roman"/>
                <w:b/>
                <w:bCs/>
                <w:color w:val="262626"/>
                <w:sz w:val="21"/>
              </w:rPr>
              <w:t>施工阶段</w:t>
            </w:r>
          </w:p>
        </w:tc>
        <w:tc>
          <w:tcPr>
            <w:tcW w:w="3559" w:type="dxa"/>
            <w:noWrap w:val="0"/>
            <w:vAlign w:val="center"/>
          </w:tcPr>
          <w:p w14:paraId="5A2DE4A7">
            <w:pPr>
              <w:widowControl w:val="0"/>
              <w:spacing w:after="120" w:line="480" w:lineRule="exact"/>
              <w:ind w:left="480" w:firstLine="0"/>
              <w:jc w:val="center"/>
              <w:rPr>
                <w:rFonts w:ascii="Times New Roman" w:hAnsi="Times New Roman" w:eastAsia="宋体" w:cs="Times New Roman"/>
                <w:b/>
                <w:bCs/>
                <w:color w:val="262626"/>
                <w:sz w:val="21"/>
              </w:rPr>
            </w:pPr>
            <w:r>
              <w:rPr>
                <w:rFonts w:ascii="Times New Roman" w:hAnsi="Times New Roman" w:eastAsia="宋体" w:cs="Times New Roman"/>
                <w:b/>
                <w:bCs/>
                <w:color w:val="262626"/>
                <w:sz w:val="21"/>
              </w:rPr>
              <w:t>主要噪声源</w:t>
            </w:r>
          </w:p>
        </w:tc>
        <w:tc>
          <w:tcPr>
            <w:tcW w:w="2922" w:type="dxa"/>
            <w:noWrap w:val="0"/>
            <w:vAlign w:val="center"/>
          </w:tcPr>
          <w:p w14:paraId="1D82ADCF">
            <w:pPr>
              <w:widowControl w:val="0"/>
              <w:spacing w:after="120" w:line="480" w:lineRule="exact"/>
              <w:ind w:left="480" w:firstLine="0"/>
              <w:jc w:val="center"/>
              <w:rPr>
                <w:rFonts w:ascii="Times New Roman" w:hAnsi="Times New Roman" w:eastAsia="宋体" w:cs="Times New Roman"/>
                <w:b/>
                <w:bCs/>
                <w:color w:val="262626"/>
                <w:sz w:val="21"/>
              </w:rPr>
            </w:pPr>
            <w:r>
              <w:rPr>
                <w:rFonts w:ascii="Times New Roman" w:hAnsi="Times New Roman" w:eastAsia="宋体" w:cs="Times New Roman"/>
                <w:b/>
                <w:bCs/>
                <w:color w:val="262626"/>
                <w:sz w:val="21"/>
              </w:rPr>
              <w:t>声功率级别dB(A)</w:t>
            </w:r>
          </w:p>
        </w:tc>
      </w:tr>
      <w:tr w14:paraId="7537E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21" w:hRule="atLeast"/>
          <w:jc w:val="center"/>
        </w:trPr>
        <w:tc>
          <w:tcPr>
            <w:tcW w:w="1979" w:type="dxa"/>
            <w:noWrap w:val="0"/>
            <w:vAlign w:val="center"/>
          </w:tcPr>
          <w:p w14:paraId="6C7EBD9C">
            <w:pPr>
              <w:widowControl w:val="0"/>
              <w:spacing w:after="120" w:line="480" w:lineRule="exact"/>
              <w:ind w:firstLine="0"/>
              <w:jc w:val="center"/>
              <w:rPr>
                <w:rFonts w:ascii="Times New Roman" w:hAnsi="Times New Roman" w:eastAsia="宋体" w:cs="Times New Roman"/>
                <w:color w:val="262626"/>
                <w:sz w:val="21"/>
              </w:rPr>
            </w:pPr>
            <w:r>
              <w:rPr>
                <w:rFonts w:hint="eastAsia" w:ascii="Times New Roman" w:hAnsi="Times New Roman" w:eastAsia="宋体" w:cs="Times New Roman"/>
                <w:color w:val="262626"/>
                <w:sz w:val="21"/>
              </w:rPr>
              <w:t>基础施工</w:t>
            </w:r>
            <w:r>
              <w:rPr>
                <w:rFonts w:ascii="Times New Roman" w:hAnsi="Times New Roman" w:eastAsia="宋体" w:cs="Times New Roman"/>
                <w:color w:val="262626"/>
                <w:sz w:val="21"/>
              </w:rPr>
              <w:t>阶段</w:t>
            </w:r>
          </w:p>
        </w:tc>
        <w:tc>
          <w:tcPr>
            <w:tcW w:w="3559" w:type="dxa"/>
            <w:noWrap w:val="0"/>
            <w:vAlign w:val="center"/>
          </w:tcPr>
          <w:p w14:paraId="3993973A">
            <w:pPr>
              <w:widowControl w:val="0"/>
              <w:spacing w:after="120" w:line="480" w:lineRule="exact"/>
              <w:ind w:firstLine="0"/>
              <w:jc w:val="center"/>
              <w:rPr>
                <w:rFonts w:hint="eastAsia" w:ascii="Times New Roman" w:hAnsi="Times New Roman" w:eastAsia="宋体" w:cs="Times New Roman"/>
                <w:color w:val="262626"/>
                <w:sz w:val="21"/>
              </w:rPr>
            </w:pPr>
            <w:r>
              <w:rPr>
                <w:rFonts w:ascii="Times New Roman" w:hAnsi="Times New Roman" w:eastAsia="宋体" w:cs="Times New Roman"/>
                <w:color w:val="262626"/>
                <w:sz w:val="21"/>
              </w:rPr>
              <w:t>挖掘机、装载机和运输车辆</w:t>
            </w:r>
            <w:r>
              <w:rPr>
                <w:rFonts w:hint="eastAsia" w:ascii="Times New Roman" w:hAnsi="Times New Roman" w:eastAsia="宋体" w:cs="Times New Roman"/>
                <w:color w:val="262626"/>
                <w:sz w:val="21"/>
              </w:rPr>
              <w:t>等</w:t>
            </w:r>
          </w:p>
        </w:tc>
        <w:tc>
          <w:tcPr>
            <w:tcW w:w="2922" w:type="dxa"/>
            <w:noWrap w:val="0"/>
            <w:vAlign w:val="center"/>
          </w:tcPr>
          <w:p w14:paraId="0B0ED2F4">
            <w:pPr>
              <w:widowControl w:val="0"/>
              <w:spacing w:after="120" w:line="480" w:lineRule="exact"/>
              <w:ind w:left="480" w:firstLine="0"/>
              <w:jc w:val="center"/>
              <w:rPr>
                <w:rFonts w:ascii="Times New Roman" w:hAnsi="Times New Roman" w:eastAsia="宋体" w:cs="Times New Roman"/>
                <w:color w:val="262626"/>
                <w:sz w:val="21"/>
              </w:rPr>
            </w:pPr>
            <w:r>
              <w:rPr>
                <w:rFonts w:hint="eastAsia" w:ascii="Times New Roman" w:hAnsi="Times New Roman" w:eastAsia="宋体" w:cs="Times New Roman"/>
                <w:color w:val="262626"/>
                <w:sz w:val="21"/>
              </w:rPr>
              <w:t>80</w:t>
            </w:r>
            <w:r>
              <w:rPr>
                <w:rFonts w:ascii="Times New Roman" w:hAnsi="Times New Roman" w:eastAsia="宋体" w:cs="Times New Roman"/>
                <w:color w:val="262626"/>
                <w:sz w:val="21"/>
              </w:rPr>
              <w:t>～</w:t>
            </w:r>
            <w:r>
              <w:rPr>
                <w:rFonts w:hint="eastAsia" w:ascii="Times New Roman" w:hAnsi="Times New Roman" w:eastAsia="宋体" w:cs="Times New Roman"/>
                <w:color w:val="262626"/>
                <w:sz w:val="21"/>
              </w:rPr>
              <w:t>95</w:t>
            </w:r>
          </w:p>
        </w:tc>
      </w:tr>
      <w:tr w14:paraId="0BBD6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30" w:hRule="atLeast"/>
          <w:jc w:val="center"/>
        </w:trPr>
        <w:tc>
          <w:tcPr>
            <w:tcW w:w="1979" w:type="dxa"/>
            <w:noWrap w:val="0"/>
            <w:vAlign w:val="center"/>
          </w:tcPr>
          <w:p w14:paraId="11380FD0">
            <w:pPr>
              <w:widowControl w:val="0"/>
              <w:spacing w:after="120" w:line="480" w:lineRule="exact"/>
              <w:ind w:firstLine="0"/>
              <w:jc w:val="center"/>
              <w:rPr>
                <w:rFonts w:ascii="Times New Roman" w:hAnsi="Times New Roman" w:eastAsia="宋体" w:cs="Times New Roman"/>
                <w:color w:val="262626"/>
                <w:sz w:val="21"/>
              </w:rPr>
            </w:pPr>
            <w:r>
              <w:rPr>
                <w:rFonts w:hint="eastAsia" w:ascii="Times New Roman" w:hAnsi="Times New Roman" w:eastAsia="宋体" w:cs="Times New Roman"/>
                <w:color w:val="262626"/>
                <w:sz w:val="21"/>
              </w:rPr>
              <w:t>设备安装</w:t>
            </w:r>
            <w:r>
              <w:rPr>
                <w:rFonts w:ascii="Times New Roman" w:hAnsi="Times New Roman" w:eastAsia="宋体" w:cs="Times New Roman"/>
                <w:color w:val="262626"/>
                <w:sz w:val="21"/>
              </w:rPr>
              <w:t>阶段</w:t>
            </w:r>
          </w:p>
        </w:tc>
        <w:tc>
          <w:tcPr>
            <w:tcW w:w="3559" w:type="dxa"/>
            <w:noWrap w:val="0"/>
            <w:vAlign w:val="center"/>
          </w:tcPr>
          <w:p w14:paraId="5C434EEF">
            <w:pPr>
              <w:widowControl w:val="0"/>
              <w:spacing w:after="120" w:line="480" w:lineRule="exact"/>
              <w:ind w:left="480" w:firstLine="0"/>
              <w:jc w:val="center"/>
              <w:rPr>
                <w:rFonts w:hint="eastAsia" w:ascii="Times New Roman" w:hAnsi="Times New Roman" w:eastAsia="宋体" w:cs="Times New Roman"/>
                <w:color w:val="262626"/>
                <w:sz w:val="21"/>
              </w:rPr>
            </w:pPr>
            <w:r>
              <w:rPr>
                <w:rFonts w:hint="eastAsia" w:ascii="Times New Roman" w:hAnsi="Times New Roman" w:eastAsia="宋体" w:cs="Times New Roman"/>
                <w:color w:val="262626"/>
                <w:sz w:val="21"/>
              </w:rPr>
              <w:t>吊机、焊接机等</w:t>
            </w:r>
          </w:p>
        </w:tc>
        <w:tc>
          <w:tcPr>
            <w:tcW w:w="2922" w:type="dxa"/>
            <w:noWrap w:val="0"/>
            <w:vAlign w:val="center"/>
          </w:tcPr>
          <w:p w14:paraId="3A2D4868">
            <w:pPr>
              <w:widowControl w:val="0"/>
              <w:spacing w:after="120" w:line="480" w:lineRule="exact"/>
              <w:ind w:left="480" w:firstLine="0"/>
              <w:jc w:val="center"/>
              <w:rPr>
                <w:rFonts w:ascii="Times New Roman" w:hAnsi="Times New Roman" w:eastAsia="宋体" w:cs="Times New Roman"/>
                <w:color w:val="262626"/>
                <w:sz w:val="21"/>
              </w:rPr>
            </w:pPr>
            <w:r>
              <w:rPr>
                <w:rFonts w:ascii="Times New Roman" w:hAnsi="Times New Roman" w:eastAsia="宋体" w:cs="Times New Roman"/>
                <w:color w:val="262626"/>
                <w:sz w:val="21"/>
              </w:rPr>
              <w:t>90～100</w:t>
            </w:r>
          </w:p>
        </w:tc>
      </w:tr>
    </w:tbl>
    <w:p w14:paraId="63BF1C7D">
      <w:pPr>
        <w:widowControl w:val="0"/>
        <w:spacing w:before="156" w:line="360" w:lineRule="auto"/>
        <w:ind w:firstLine="482"/>
        <w:jc w:val="both"/>
        <w:rPr>
          <w:rFonts w:ascii="Times New Roman" w:hAnsi="Times New Roman" w:eastAsia="宋体" w:cs="Times New Roman"/>
          <w:color w:val="262626"/>
          <w:sz w:val="24"/>
          <w:szCs w:val="24"/>
          <w:lang w:val="en-US" w:eastAsia="zh-CN" w:bidi="ar-SA"/>
        </w:rPr>
      </w:pPr>
      <w:r>
        <w:rPr>
          <w:rFonts w:ascii="Times New Roman" w:hAnsi="Times New Roman" w:eastAsia="宋体" w:cs="Times New Roman"/>
          <w:color w:val="262626"/>
          <w:sz w:val="24"/>
          <w:szCs w:val="24"/>
          <w:lang w:val="en-US" w:eastAsia="zh-CN" w:bidi="ar-SA"/>
        </w:rPr>
        <w:t>4、固体废弃物</w:t>
      </w:r>
    </w:p>
    <w:p w14:paraId="2F1B5F2F">
      <w:pPr>
        <w:keepNext/>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（1</w:t>
      </w:r>
      <w:r>
        <w:rPr>
          <w:rFonts w:ascii="Times New Roman" w:hAnsi="Times New Roman" w:eastAsia="宋体" w:cs="Times New Roman"/>
          <w:color w:val="262626"/>
          <w:sz w:val="24"/>
          <w:szCs w:val="24"/>
        </w:rPr>
        <w:t>）</w:t>
      </w:r>
      <w:r>
        <w:rPr>
          <w:rFonts w:hint="eastAsia" w:ascii="Times New Roman" w:hAnsi="Times New Roman" w:eastAsia="宋体" w:cs="Times New Roman"/>
          <w:color w:val="262626"/>
          <w:sz w:val="24"/>
          <w:szCs w:val="24"/>
        </w:rPr>
        <w:t>建筑垃圾：施工期建筑垃圾产生量不大，可进行分类处理，分别捡出具有回收价值的废钢筋、废木材、废塑料、废包装材料等，送废品收购站回收利用；无回收价值的由施工方负责清运，禁止与生活垃圾混合处置，禁止随意丢弃。</w:t>
      </w:r>
    </w:p>
    <w:p w14:paraId="62D76DB5">
      <w:pPr>
        <w:keepNext/>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（2</w:t>
      </w:r>
      <w:r>
        <w:rPr>
          <w:rFonts w:ascii="Times New Roman" w:hAnsi="Times New Roman" w:eastAsia="宋体" w:cs="Times New Roman"/>
          <w:color w:val="262626"/>
          <w:sz w:val="24"/>
          <w:szCs w:val="24"/>
        </w:rPr>
        <w:t>）土石方</w:t>
      </w:r>
      <w:r>
        <w:rPr>
          <w:rFonts w:hint="eastAsia" w:ascii="Times New Roman" w:hAnsi="Times New Roman" w:eastAsia="宋体" w:cs="Times New Roman"/>
          <w:color w:val="262626"/>
          <w:sz w:val="24"/>
          <w:szCs w:val="24"/>
        </w:rPr>
        <w:t>：项目整改</w:t>
      </w:r>
      <w:r>
        <w:rPr>
          <w:rFonts w:ascii="Times New Roman" w:hAnsi="Times New Roman" w:eastAsia="宋体" w:cs="Times New Roman"/>
          <w:color w:val="262626"/>
          <w:sz w:val="24"/>
          <w:szCs w:val="24"/>
        </w:rPr>
        <w:t>工程</w:t>
      </w:r>
      <w:r>
        <w:rPr>
          <w:rFonts w:hint="eastAsia" w:ascii="Times New Roman" w:hAnsi="Times New Roman" w:eastAsia="宋体" w:cs="Times New Roman"/>
          <w:color w:val="262626"/>
          <w:sz w:val="24"/>
          <w:szCs w:val="24"/>
        </w:rPr>
        <w:t>建设是在现有的厂区内进行，根据企业提供的设计资料及现场调查，本工程建设区域地势平坦，土石方开挖量不大，可以做到挖填平衡，无废弃的土石方产生。</w:t>
      </w:r>
    </w:p>
    <w:p w14:paraId="7AB83BFF">
      <w:pPr>
        <w:pStyle w:val="315"/>
      </w:pPr>
      <w:r>
        <w:rPr>
          <w:rFonts w:hint="eastAsia" w:ascii="Times New Roman" w:hAnsi="Times New Roman" w:eastAsia="宋体" w:cs="Times New Roman"/>
          <w:color w:val="262626"/>
          <w:sz w:val="24"/>
          <w:szCs w:val="24"/>
        </w:rPr>
        <w:t>（3</w:t>
      </w:r>
      <w:r>
        <w:rPr>
          <w:rFonts w:ascii="Times New Roman" w:hAnsi="Times New Roman" w:eastAsia="宋体" w:cs="Times New Roman"/>
          <w:color w:val="262626"/>
          <w:sz w:val="24"/>
          <w:szCs w:val="24"/>
        </w:rPr>
        <w:t>）生活垃圾</w:t>
      </w:r>
      <w:r>
        <w:rPr>
          <w:rFonts w:hint="eastAsia" w:ascii="Times New Roman" w:hAnsi="Times New Roman" w:eastAsia="宋体" w:cs="Times New Roman"/>
          <w:color w:val="262626"/>
          <w:sz w:val="24"/>
          <w:szCs w:val="24"/>
        </w:rPr>
        <w:t>：项目整改</w:t>
      </w:r>
      <w:r>
        <w:rPr>
          <w:rFonts w:ascii="Times New Roman" w:hAnsi="Times New Roman" w:eastAsia="宋体" w:cs="Times New Roman"/>
          <w:color w:val="262626"/>
          <w:sz w:val="24"/>
          <w:szCs w:val="24"/>
        </w:rPr>
        <w:t>工程施工</w:t>
      </w:r>
      <w:r>
        <w:rPr>
          <w:rFonts w:hint="eastAsia" w:ascii="Times New Roman" w:hAnsi="Times New Roman" w:eastAsia="宋体" w:cs="Times New Roman"/>
          <w:color w:val="262626"/>
          <w:sz w:val="24"/>
          <w:szCs w:val="24"/>
        </w:rPr>
        <w:t>人员约为</w:t>
      </w:r>
      <w:r>
        <w:rPr>
          <w:rFonts w:ascii="Times New Roman" w:hAnsi="Times New Roman" w:eastAsia="宋体" w:cs="Times New Roman"/>
          <w:color w:val="262626"/>
          <w:sz w:val="24"/>
          <w:szCs w:val="24"/>
        </w:rPr>
        <w:t>10</w:t>
      </w:r>
      <w:r>
        <w:rPr>
          <w:rFonts w:hint="eastAsia" w:ascii="Times New Roman" w:hAnsi="Times New Roman" w:eastAsia="宋体" w:cs="Times New Roman"/>
          <w:color w:val="262626"/>
          <w:sz w:val="24"/>
          <w:szCs w:val="24"/>
        </w:rPr>
        <w:t>人</w:t>
      </w:r>
      <w:r>
        <w:rPr>
          <w:rFonts w:ascii="Times New Roman" w:hAnsi="Times New Roman" w:eastAsia="宋体" w:cs="Times New Roman"/>
          <w:color w:val="262626"/>
          <w:sz w:val="24"/>
          <w:szCs w:val="24"/>
        </w:rPr>
        <w:t>，</w:t>
      </w:r>
      <w:r>
        <w:rPr>
          <w:rFonts w:hint="eastAsia" w:ascii="Times New Roman" w:hAnsi="Times New Roman" w:eastAsia="宋体" w:cs="Times New Roman"/>
          <w:color w:val="262626"/>
          <w:sz w:val="24"/>
          <w:szCs w:val="24"/>
        </w:rPr>
        <w:t>均</w:t>
      </w:r>
      <w:r>
        <w:rPr>
          <w:rFonts w:ascii="Times New Roman" w:hAnsi="Times New Roman" w:eastAsia="宋体" w:cs="Times New Roman"/>
          <w:color w:val="262626"/>
          <w:sz w:val="24"/>
          <w:szCs w:val="24"/>
        </w:rPr>
        <w:t>不在</w:t>
      </w:r>
      <w:r>
        <w:rPr>
          <w:rFonts w:hint="eastAsia" w:ascii="Times New Roman" w:hAnsi="Times New Roman" w:eastAsia="宋体" w:cs="Times New Roman"/>
          <w:color w:val="262626"/>
          <w:sz w:val="24"/>
          <w:szCs w:val="24"/>
        </w:rPr>
        <w:t>施工场地内食宿，</w:t>
      </w:r>
      <w:r>
        <w:rPr>
          <w:rFonts w:ascii="Times New Roman" w:hAnsi="Times New Roman" w:eastAsia="宋体" w:cs="Times New Roman"/>
          <w:color w:val="262626"/>
          <w:sz w:val="24"/>
          <w:szCs w:val="24"/>
        </w:rPr>
        <w:t>不会产生较多的生活垃圾。施工人员垃圾产生量</w:t>
      </w:r>
      <w:r>
        <w:rPr>
          <w:rFonts w:hint="eastAsia" w:ascii="Times New Roman" w:hAnsi="Times New Roman" w:eastAsia="宋体" w:cs="Times New Roman"/>
          <w:color w:val="262626"/>
          <w:sz w:val="24"/>
          <w:szCs w:val="24"/>
        </w:rPr>
        <w:t>按</w:t>
      </w:r>
      <w:r>
        <w:rPr>
          <w:rFonts w:ascii="Times New Roman" w:hAnsi="Times New Roman" w:eastAsia="宋体" w:cs="Times New Roman"/>
          <w:color w:val="262626"/>
          <w:sz w:val="24"/>
          <w:szCs w:val="24"/>
        </w:rPr>
        <w:t>0.1kg/d▪</w:t>
      </w:r>
      <w:r>
        <w:rPr>
          <w:rFonts w:hint="eastAsia" w:ascii="Times New Roman" w:hAnsi="Times New Roman" w:eastAsia="宋体" w:cs="Times New Roman"/>
          <w:color w:val="262626"/>
          <w:sz w:val="24"/>
          <w:szCs w:val="24"/>
        </w:rPr>
        <w:t>人</w:t>
      </w:r>
      <w:r>
        <w:rPr>
          <w:rFonts w:ascii="Times New Roman" w:hAnsi="Times New Roman" w:eastAsia="宋体" w:cs="Times New Roman"/>
          <w:color w:val="262626"/>
          <w:sz w:val="24"/>
          <w:szCs w:val="24"/>
        </w:rPr>
        <w:t>计算，施工人员生活垃圾约为1kg/d</w:t>
      </w:r>
      <w:r>
        <w:rPr>
          <w:rFonts w:hint="eastAsia" w:ascii="Times New Roman" w:hAnsi="Times New Roman" w:eastAsia="宋体" w:cs="Times New Roman"/>
          <w:color w:val="262626"/>
          <w:sz w:val="24"/>
          <w:szCs w:val="24"/>
        </w:rPr>
        <w:t>，</w:t>
      </w:r>
      <w:r>
        <w:rPr>
          <w:lang w:val="en-US" w:eastAsia="zh-CN"/>
        </w:rPr>
        <w:t>采用垃圾桶收集后</w:t>
      </w:r>
      <w:r>
        <w:t>，由</w:t>
      </w:r>
      <w:r>
        <w:rPr>
          <w:lang w:val="en-US" w:eastAsia="zh-CN"/>
        </w:rPr>
        <w:t>当地</w:t>
      </w:r>
      <w:r>
        <w:t>环卫部门清运处置。</w:t>
      </w:r>
    </w:p>
    <w:p w14:paraId="7AA836CB">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5、生态</w:t>
      </w:r>
    </w:p>
    <w:p w14:paraId="55AD9031">
      <w:pPr>
        <w:widowControl w:val="0"/>
        <w:spacing w:line="360" w:lineRule="auto"/>
        <w:ind w:firstLine="482"/>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本项目建设过程中对的生态环境的影响主要为：地表土壤、植被的扰动破坏、水土流失加剧危害周边生态环境。本项目通过排水沟以及厂区绿化、地面硬化等措施减缓了水土流失，厂区绿化，在一定程度上弥补了植被损坏而造成的影响。</w:t>
      </w:r>
    </w:p>
    <w:p w14:paraId="36FC932C">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6、小结</w:t>
      </w:r>
    </w:p>
    <w:p w14:paraId="7257EC29">
      <w:pPr>
        <w:widowControl w:val="0"/>
        <w:spacing w:line="360" w:lineRule="auto"/>
        <w:ind w:right="-101" w:firstLine="512"/>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综上所述，施工污染存在于整个施工过程，但不同污染因子在不同施工阶段污染强度不同，随着施工期的结束，对环境的影响也随之消失。</w:t>
      </w:r>
    </w:p>
    <w:p w14:paraId="63A81A3B">
      <w:pPr>
        <w:pStyle w:val="188"/>
      </w:pPr>
      <w:r>
        <w:rPr>
          <w:rFonts w:hint="eastAsia"/>
          <w:lang w:val="en-US" w:eastAsia="zh-CN"/>
        </w:rPr>
        <w:t>4.3</w:t>
      </w:r>
      <w:r>
        <w:rPr>
          <w:rFonts w:hint="eastAsia"/>
        </w:rPr>
        <w:t>.2 运营期污染因素分析</w:t>
      </w:r>
    </w:p>
    <w:p w14:paraId="45CC5FCA">
      <w:pPr>
        <w:pStyle w:val="282"/>
      </w:pPr>
      <w:r>
        <w:rPr>
          <w:rFonts w:hint="eastAsia"/>
          <w:lang w:val="en-US" w:eastAsia="zh-CN"/>
        </w:rPr>
        <w:t>4.3</w:t>
      </w:r>
      <w:r>
        <w:t>.2.1废气污染源分析</w:t>
      </w:r>
    </w:p>
    <w:p w14:paraId="514ACFC9">
      <w:pPr>
        <w:spacing w:line="360" w:lineRule="auto"/>
        <w:ind w:firstLine="480"/>
        <w:rPr>
          <w:color w:val="000000"/>
          <w:sz w:val="24"/>
        </w:rPr>
      </w:pPr>
      <w:r>
        <w:rPr>
          <w:rFonts w:hint="eastAsia"/>
          <w:sz w:val="24"/>
          <w:szCs w:val="24"/>
          <w:lang w:val="en-US" w:eastAsia="zh-CN"/>
        </w:rPr>
        <w:t>根据产排污分析，项目产生的废气</w:t>
      </w:r>
      <w:r>
        <w:rPr>
          <w:color w:val="000000"/>
          <w:sz w:val="24"/>
        </w:rPr>
        <w:t>主要为：热能中心废气（</w:t>
      </w:r>
      <w:r>
        <w:rPr>
          <w:rFonts w:hint="eastAsia"/>
          <w:color w:val="000000"/>
          <w:sz w:val="24"/>
        </w:rPr>
        <w:t>烟尘</w:t>
      </w:r>
      <w:r>
        <w:rPr>
          <w:color w:val="000000"/>
          <w:sz w:val="24"/>
        </w:rPr>
        <w:t>、SO</w:t>
      </w:r>
      <w:r>
        <w:rPr>
          <w:color w:val="000000"/>
          <w:sz w:val="24"/>
          <w:vertAlign w:val="subscript"/>
        </w:rPr>
        <w:t>2</w:t>
      </w:r>
      <w:r>
        <w:rPr>
          <w:color w:val="000000"/>
          <w:sz w:val="24"/>
        </w:rPr>
        <w:t>、NOx）、</w:t>
      </w:r>
      <w:r>
        <w:rPr>
          <w:rFonts w:hint="eastAsia"/>
          <w:color w:val="000000"/>
          <w:sz w:val="24"/>
          <w:lang w:val="en-US" w:eastAsia="zh-CN"/>
        </w:rPr>
        <w:t>板材加工过程中的粉尘和甲醛废气</w:t>
      </w:r>
      <w:r>
        <w:rPr>
          <w:color w:val="000000"/>
          <w:sz w:val="24"/>
        </w:rPr>
        <w:t>、制胶过程产生的甲醛废气</w:t>
      </w:r>
      <w:r>
        <w:rPr>
          <w:rFonts w:hint="eastAsia"/>
          <w:color w:val="000000"/>
          <w:sz w:val="24"/>
          <w:lang w:val="en-US" w:eastAsia="zh-CN"/>
        </w:rPr>
        <w:t>、异味、</w:t>
      </w:r>
      <w:r>
        <w:rPr>
          <w:color w:val="000000"/>
          <w:sz w:val="24"/>
        </w:rPr>
        <w:t>食堂油烟</w:t>
      </w:r>
      <w:r>
        <w:rPr>
          <w:rFonts w:hint="eastAsia"/>
          <w:color w:val="000000"/>
          <w:sz w:val="24"/>
          <w:lang w:eastAsia="zh-CN"/>
        </w:rPr>
        <w:t>、</w:t>
      </w:r>
      <w:r>
        <w:rPr>
          <w:rFonts w:hint="eastAsia"/>
          <w:color w:val="000000"/>
          <w:sz w:val="24"/>
          <w:lang w:val="en-US" w:eastAsia="zh-CN"/>
        </w:rPr>
        <w:t>柴油发电机燃油废气及运输车辆尾气</w:t>
      </w:r>
      <w:r>
        <w:rPr>
          <w:color w:val="000000"/>
          <w:sz w:val="24"/>
        </w:rPr>
        <w:t>等。</w:t>
      </w:r>
    </w:p>
    <w:p w14:paraId="7FE7AA07">
      <w:pPr>
        <w:keepNext w:val="0"/>
        <w:keepLines w:val="0"/>
        <w:pageBreakBefore w:val="0"/>
        <w:widowControl w:val="0"/>
        <w:spacing w:after="0" w:line="360" w:lineRule="auto"/>
        <w:ind w:left="0" w:right="0"/>
        <w:jc w:val="both"/>
        <w:rPr>
          <w:rFonts w:hint="eastAsia" w:ascii="Times New Roman" w:hAnsi="宋体" w:eastAsia="Times New Roman" w:cs="宋体"/>
          <w:sz w:val="24"/>
          <w:szCs w:val="24"/>
          <w:lang w:val="en-US" w:eastAsia="zh-CN" w:bidi="zh-CN"/>
        </w:rPr>
      </w:pPr>
      <w:r>
        <w:rPr>
          <w:rFonts w:hint="eastAsia" w:ascii="Times New Roman" w:hAnsi="宋体" w:eastAsia="Times New Roman" w:cs="宋体"/>
          <w:sz w:val="24"/>
          <w:szCs w:val="24"/>
          <w:lang w:val="en-US" w:eastAsia="zh-CN" w:bidi="zh-CN"/>
        </w:rPr>
        <w:t xml:space="preserve">1、板材生产线废气 </w:t>
      </w:r>
    </w:p>
    <w:p w14:paraId="3FEBC8C4">
      <w:pPr>
        <w:keepNext w:val="0"/>
        <w:keepLines w:val="0"/>
        <w:pageBreakBefore w:val="0"/>
        <w:widowControl w:val="0"/>
        <w:spacing w:after="0" w:line="360" w:lineRule="auto"/>
        <w:ind w:left="0" w:right="0"/>
        <w:jc w:val="both"/>
        <w:rPr>
          <w:rFonts w:ascii="Times New Roman" w:hAnsi="宋体" w:eastAsia="Times New Roman" w:cs="宋体"/>
          <w:sz w:val="24"/>
          <w:szCs w:val="24"/>
          <w:lang w:val="en-US" w:eastAsia="zh-CN" w:bidi="zh-CN"/>
        </w:rPr>
      </w:pPr>
      <w:r>
        <w:rPr>
          <w:rFonts w:hint="eastAsia" w:ascii="Times New Roman" w:hAnsi="宋体" w:eastAsia="Times New Roman" w:cs="宋体"/>
          <w:sz w:val="24"/>
          <w:szCs w:val="24"/>
          <w:lang w:val="en-US" w:eastAsia="zh-CN" w:bidi="zh-CN"/>
        </w:rPr>
        <w:t xml:space="preserve"> （1）断竹粉尘（G1）</w:t>
      </w:r>
    </w:p>
    <w:p w14:paraId="5C610423">
      <w:pPr>
        <w:spacing w:line="360" w:lineRule="auto"/>
        <w:ind w:firstLine="480"/>
        <w:rPr>
          <w:rFonts w:eastAsia="宋体"/>
          <w:sz w:val="24"/>
          <w:szCs w:val="24"/>
          <w:lang w:val="en-US" w:eastAsia="zh-CN"/>
        </w:rPr>
      </w:pPr>
      <w:r>
        <w:rPr>
          <w:rFonts w:hint="eastAsia"/>
          <w:sz w:val="24"/>
          <w:szCs w:val="24"/>
        </w:rPr>
        <w:t>经过</w:t>
      </w:r>
      <w:r>
        <w:rPr>
          <w:rFonts w:hint="eastAsia"/>
          <w:sz w:val="24"/>
          <w:szCs w:val="24"/>
          <w:lang w:val="en-US" w:eastAsia="zh-CN"/>
        </w:rPr>
        <w:t>对其他木材加工厂</w:t>
      </w:r>
      <w:r>
        <w:rPr>
          <w:rFonts w:hint="eastAsia"/>
          <w:sz w:val="24"/>
          <w:szCs w:val="24"/>
        </w:rPr>
        <w:t>现场勘查及类比同类企业，</w:t>
      </w:r>
      <w:r>
        <w:rPr>
          <w:rFonts w:hint="eastAsia"/>
          <w:sz w:val="24"/>
          <w:szCs w:val="24"/>
          <w:lang w:val="en-US" w:eastAsia="zh-CN"/>
        </w:rPr>
        <w:t>断竹机在加工</w:t>
      </w:r>
      <w:r>
        <w:rPr>
          <w:rFonts w:hint="eastAsia"/>
          <w:sz w:val="24"/>
          <w:szCs w:val="24"/>
        </w:rPr>
        <w:t>过程中，</w:t>
      </w:r>
      <w:r>
        <w:rPr>
          <w:sz w:val="24"/>
          <w:szCs w:val="24"/>
        </w:rPr>
        <w:t>会产生一定量的粉尘和锯末，</w:t>
      </w:r>
      <w:r>
        <w:rPr>
          <w:rFonts w:hint="eastAsia"/>
          <w:sz w:val="24"/>
          <w:szCs w:val="24"/>
        </w:rPr>
        <w:t>由于</w:t>
      </w:r>
      <w:r>
        <w:rPr>
          <w:rFonts w:hint="eastAsia"/>
          <w:sz w:val="24"/>
          <w:szCs w:val="24"/>
          <w:lang w:val="en-US" w:eastAsia="zh-CN"/>
        </w:rPr>
        <w:t>竹子</w:t>
      </w:r>
      <w:r>
        <w:rPr>
          <w:rFonts w:hint="eastAsia"/>
          <w:sz w:val="24"/>
          <w:szCs w:val="24"/>
        </w:rPr>
        <w:t>本身含水率较高，在</w:t>
      </w:r>
      <w:r>
        <w:rPr>
          <w:rFonts w:hint="eastAsia"/>
          <w:sz w:val="24"/>
          <w:szCs w:val="24"/>
          <w:lang w:val="en-US" w:eastAsia="zh-CN"/>
        </w:rPr>
        <w:t>断竹</w:t>
      </w:r>
      <w:r>
        <w:rPr>
          <w:rFonts w:hint="eastAsia"/>
          <w:sz w:val="24"/>
          <w:szCs w:val="24"/>
        </w:rPr>
        <w:t>过程中产生的木屑湿度较大，</w:t>
      </w:r>
      <w:r>
        <w:rPr>
          <w:sz w:val="24"/>
          <w:szCs w:val="24"/>
        </w:rPr>
        <w:t>锯末占总量的90%以上，且锯末颗粒较大，90%会立刻沉积在机械下方，其余悬浮锯末也会随即沉降，空气中锯末量很少。</w:t>
      </w:r>
      <w:r>
        <w:rPr>
          <w:rFonts w:hint="eastAsia"/>
          <w:sz w:val="24"/>
          <w:szCs w:val="24"/>
          <w:lang w:val="en-US" w:eastAsia="zh-CN"/>
        </w:rPr>
        <w:t>因此本次环评不再对断竹工序粉尘进行定量分析。</w:t>
      </w:r>
    </w:p>
    <w:p w14:paraId="2126FA63">
      <w:pPr>
        <w:keepNext w:val="0"/>
        <w:keepLines w:val="0"/>
        <w:pageBreakBefore w:val="0"/>
        <w:widowControl w:val="0"/>
        <w:spacing w:after="0" w:line="360" w:lineRule="auto"/>
        <w:ind w:right="0"/>
        <w:jc w:val="both"/>
        <w:rPr>
          <w:rFonts w:ascii="Times New Roman" w:hAnsi="宋体" w:eastAsia="Times New Roman" w:cs="宋体"/>
          <w:sz w:val="24"/>
          <w:szCs w:val="24"/>
          <w:lang w:val="en-US" w:eastAsia="zh-CN" w:bidi="zh-CN"/>
        </w:rPr>
      </w:pPr>
      <w:r>
        <w:rPr>
          <w:rFonts w:hint="eastAsia" w:ascii="宋体" w:hAnsi="宋体" w:eastAsia="宋体" w:cs="宋体"/>
          <w:sz w:val="24"/>
          <w:szCs w:val="24"/>
          <w:lang w:val="en-US" w:eastAsia="zh-CN" w:bidi="zh-CN"/>
        </w:rPr>
        <w:t>（2）</w:t>
      </w:r>
      <w:r>
        <w:rPr>
          <w:rFonts w:hint="eastAsia" w:ascii="Times New Roman" w:hAnsi="宋体" w:eastAsia="Times New Roman" w:cs="宋体"/>
          <w:sz w:val="24"/>
          <w:szCs w:val="24"/>
          <w:lang w:val="en-US" w:eastAsia="zh-CN" w:bidi="zh-CN"/>
        </w:rPr>
        <w:t>刨片粉尘（G2）</w:t>
      </w:r>
    </w:p>
    <w:p w14:paraId="6AD7C321">
      <w:pPr>
        <w:spacing w:line="360" w:lineRule="auto"/>
        <w:rPr>
          <w:rFonts w:ascii="Times New Roman" w:hAnsi="宋体" w:eastAsia="Times New Roman" w:cs="宋体"/>
          <w:sz w:val="24"/>
          <w:szCs w:val="24"/>
          <w:lang w:val="en-US" w:eastAsia="zh-CN" w:bidi="zh-CN"/>
        </w:rPr>
      </w:pPr>
      <w:r>
        <w:rPr>
          <w:rFonts w:hint="eastAsia" w:ascii="Times New Roman" w:hAnsi="宋体" w:eastAsia="Times New Roman" w:cs="宋体"/>
          <w:sz w:val="24"/>
          <w:szCs w:val="24"/>
          <w:lang w:val="en-US" w:eastAsia="zh-CN" w:bidi="zh-CN"/>
        </w:rPr>
        <w:t>本项目竹子在刨片过程中会产生少量的粉尘，粉尘的起尘点为刨片机出料口，类比</w:t>
      </w:r>
      <w:r>
        <w:rPr>
          <w:rFonts w:hint="eastAsia"/>
          <w:color w:val="000000"/>
          <w:sz w:val="24"/>
          <w:szCs w:val="22"/>
          <w:lang w:val="en-US" w:eastAsia="zh-CN"/>
        </w:rPr>
        <w:t>《云南新泽兴人造板有限公司环保刨花板生产线项目环境影响评价补充报告》中的监测结果，该项目年原料用量为14.5万t，刨片工段采用旋风除尘器除尘效率为70%，粉尘排放量为0.55kg/h，年工作300天，每天24小时，则粉尘产生量</w:t>
      </w:r>
      <w:r>
        <w:rPr>
          <w:rFonts w:hint="eastAsia" w:ascii="Times New Roman" w:hAnsi="宋体" w:eastAsia="Times New Roman" w:cs="宋体"/>
          <w:sz w:val="24"/>
          <w:szCs w:val="24"/>
          <w:lang w:val="en-US" w:eastAsia="zh-CN" w:bidi="zh-CN"/>
        </w:rPr>
        <w:t>为0.09kg/t.原料，本项目竹子用量约25万t/a，则经过类比核算，刨片粉尘产生量约22.5t/a。目前在刨片区仅环刨机设置1套旋风除尘器，后期经过整改后将旋风除尘器更换为布袋收尘装置，无呈组织排放；其余刨片机在出料口增设自制的小型布袋除尘器，除尘效率为99%，则无组织粉尘排放量0.225t/a，0.03kg/h。</w:t>
      </w:r>
    </w:p>
    <w:p w14:paraId="2E1E1908">
      <w:pPr>
        <w:keepNext w:val="0"/>
        <w:keepLines w:val="0"/>
        <w:pageBreakBefore w:val="0"/>
        <w:widowControl w:val="0"/>
        <w:spacing w:after="0" w:line="360" w:lineRule="auto"/>
        <w:ind w:left="0" w:right="0" w:firstLine="480"/>
        <w:jc w:val="both"/>
        <w:rPr>
          <w:rFonts w:ascii="Times New Roman" w:hAnsi="宋体" w:eastAsia="Times New Roman" w:cs="宋体"/>
          <w:sz w:val="24"/>
          <w:szCs w:val="24"/>
          <w:lang w:val="en-US" w:eastAsia="zh-CN" w:bidi="zh-CN"/>
        </w:rPr>
      </w:pPr>
      <w:r>
        <w:rPr>
          <w:rFonts w:hint="eastAsia" w:ascii="Times New Roman" w:hAnsi="Times New Roman" w:eastAsia="宋体" w:cs="Times New Roman"/>
          <w:sz w:val="24"/>
          <w:szCs w:val="24"/>
          <w:lang w:val="en-US" w:eastAsia="zh-CN" w:bidi="zh-CN"/>
        </w:rPr>
        <w:t>（3）</w:t>
      </w:r>
      <w:r>
        <w:rPr>
          <w:rFonts w:ascii="Times New Roman" w:hAnsi="Times New Roman" w:eastAsia="宋体" w:cs="Times New Roman"/>
          <w:sz w:val="24"/>
          <w:szCs w:val="24"/>
          <w:lang w:val="en-US" w:eastAsia="zh-CN" w:bidi="zh-CN"/>
        </w:rPr>
        <w:t>干燥</w:t>
      </w:r>
      <w:r>
        <w:rPr>
          <w:rFonts w:hint="eastAsia" w:ascii="Times New Roman" w:hAnsi="宋体" w:eastAsia="Times New Roman" w:cs="宋体"/>
          <w:sz w:val="24"/>
          <w:szCs w:val="24"/>
          <w:lang w:val="en-US" w:eastAsia="zh-CN" w:bidi="zh-CN"/>
        </w:rPr>
        <w:t>下料过程产生的粉尘（G3）</w:t>
      </w:r>
    </w:p>
    <w:p w14:paraId="25EDB607">
      <w:pPr>
        <w:keepNext w:val="0"/>
        <w:keepLines w:val="0"/>
        <w:pageBreakBefore w:val="0"/>
        <w:widowControl w:val="0"/>
        <w:spacing w:after="0" w:line="360" w:lineRule="auto"/>
        <w:ind w:left="0" w:right="0"/>
        <w:jc w:val="both"/>
        <w:rPr>
          <w:rFonts w:hint="eastAsia" w:ascii="Times New Roman" w:hAnsi="宋体" w:eastAsia="Times New Roman" w:cs="宋体"/>
          <w:sz w:val="24"/>
          <w:szCs w:val="24"/>
          <w:lang w:val="en-US" w:eastAsia="zh-CN" w:bidi="zh-CN"/>
        </w:rPr>
      </w:pPr>
      <w:r>
        <w:rPr>
          <w:rFonts w:hint="eastAsia" w:ascii="Times New Roman" w:hAnsi="宋体" w:eastAsia="Times New Roman" w:cs="宋体"/>
          <w:sz w:val="24"/>
          <w:szCs w:val="24"/>
          <w:lang w:val="en-US" w:eastAsia="zh-CN" w:bidi="zh-CN"/>
        </w:rPr>
        <w:t>本项目干燥为封闭型机器，干燥机的换热面采用膜式壁结构，膜式壁将设备内部分成若干个烘干室。需要干燥已粉碎的刨花由皮带输送机送到料斗，然后经料斗的加料机通过加料管道进入加料端。类比《广州市隆和木业有限公司年产6万立方米刨花板改扩建项目》，此过程粉尘产生量约占原板材用量的0.2%，则此过程粉尘产生量约500t/a。烘干机的起尘点为物料的输入口，在进料端设置风管，粉尘废气经风管引入除尘器，集气效率为100%，整个烘干过程产生的废气呈有组织排放。粉尘经风管收集后进入现有的旋风除尘器，旋风除尘器除尘效率为70%，本环评要求建设方在旋风除尘器后端增加一套布袋除尘器进一步处理，布袋除尘器的除尘效率约99%，则总除尘效率为99.7%，风量为20000m</w:t>
      </w:r>
      <w:r>
        <w:rPr>
          <w:rFonts w:hint="eastAsia" w:ascii="Times New Roman" w:hAnsi="宋体" w:eastAsia="Times New Roman" w:cs="宋体"/>
          <w:sz w:val="24"/>
          <w:szCs w:val="24"/>
          <w:vertAlign w:val="superscript"/>
          <w:lang w:val="en-US" w:eastAsia="zh-CN" w:bidi="zh-CN"/>
        </w:rPr>
        <w:t>3</w:t>
      </w:r>
      <w:r>
        <w:rPr>
          <w:rFonts w:hint="eastAsia" w:ascii="Times New Roman" w:hAnsi="宋体" w:eastAsia="Times New Roman" w:cs="宋体"/>
          <w:sz w:val="24"/>
          <w:szCs w:val="24"/>
          <w:lang w:val="en-US" w:eastAsia="zh-CN" w:bidi="zh-CN"/>
        </w:rPr>
        <w:t>/h，每天运行24h，每年运行300d，则粉尘的产生浓度约3472.2mg/m</w:t>
      </w:r>
      <w:r>
        <w:rPr>
          <w:rFonts w:hint="eastAsia" w:ascii="Times New Roman" w:hAnsi="宋体" w:eastAsia="Times New Roman" w:cs="宋体"/>
          <w:sz w:val="24"/>
          <w:szCs w:val="24"/>
          <w:vertAlign w:val="superscript"/>
          <w:lang w:val="en-US" w:eastAsia="zh-CN" w:bidi="zh-CN"/>
        </w:rPr>
        <w:t>3</w:t>
      </w:r>
      <w:r>
        <w:rPr>
          <w:rFonts w:hint="eastAsia" w:ascii="Times New Roman" w:hAnsi="宋体" w:eastAsia="Times New Roman" w:cs="宋体"/>
          <w:sz w:val="24"/>
          <w:szCs w:val="24"/>
          <w:lang w:val="en-US" w:eastAsia="zh-CN" w:bidi="zh-CN"/>
        </w:rPr>
        <w:t>，经过布袋除尘器处理后，粉尘有组织的排放浓度为10.4mg/m</w:t>
      </w:r>
      <w:r>
        <w:rPr>
          <w:rFonts w:hint="eastAsia" w:ascii="Times New Roman" w:hAnsi="宋体" w:eastAsia="Times New Roman" w:cs="宋体"/>
          <w:b w:val="0"/>
          <w:bCs w:val="0"/>
          <w:sz w:val="24"/>
          <w:szCs w:val="24"/>
          <w:vertAlign w:val="superscript"/>
          <w:lang w:val="en-US" w:eastAsia="zh-CN" w:bidi="zh-CN"/>
        </w:rPr>
        <w:t>3</w:t>
      </w:r>
      <w:r>
        <w:rPr>
          <w:rFonts w:hint="eastAsia" w:ascii="Times New Roman" w:hAnsi="宋体" w:eastAsia="Times New Roman" w:cs="宋体"/>
          <w:sz w:val="24"/>
          <w:szCs w:val="24"/>
          <w:lang w:val="en-US" w:eastAsia="zh-CN" w:bidi="zh-CN"/>
        </w:rPr>
        <w:t>，排放速率为0.21kg/h，排放量为1.5t/a，可满足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表2中颗粒物最高允许排放浓度限值120mg/m</w:t>
      </w:r>
      <w:r>
        <w:rPr>
          <w:rFonts w:hint="eastAsia" w:eastAsia="宋体"/>
          <w:color w:val="000000"/>
          <w:sz w:val="24"/>
          <w:szCs w:val="24"/>
          <w:vertAlign w:val="superscript"/>
          <w:lang w:val="en-US" w:eastAsia="zh-CN"/>
        </w:rPr>
        <w:t>3</w:t>
      </w:r>
      <w:r>
        <w:rPr>
          <w:rFonts w:hint="eastAsia" w:eastAsia="宋体"/>
          <w:color w:val="000000"/>
          <w:sz w:val="24"/>
          <w:szCs w:val="24"/>
          <w:vertAlign w:val="baseline"/>
          <w:lang w:val="en-US" w:eastAsia="zh-CN"/>
        </w:rPr>
        <w:t>，</w:t>
      </w:r>
      <w:r>
        <w:rPr>
          <w:rFonts w:hint="eastAsia" w:ascii="Times New Roman" w:hAnsi="宋体" w:eastAsia="Times New Roman" w:cs="宋体"/>
          <w:sz w:val="24"/>
          <w:szCs w:val="24"/>
          <w:lang w:val="en-US" w:eastAsia="zh-CN" w:bidi="zh-CN"/>
        </w:rPr>
        <w:t>处理后的粉尘由管道引至屋顶排放，排放口高度为15m。（排气筒编号P1）</w:t>
      </w:r>
    </w:p>
    <w:p w14:paraId="54212374">
      <w:pPr>
        <w:pStyle w:val="2"/>
        <w:numPr>
          <w:ilvl w:val="0"/>
          <w:numId w:val="0"/>
        </w:numPr>
        <w:ind w:firstLine="480"/>
        <w:rPr>
          <w:rFonts w:ascii="Times New Roman" w:hAnsi="宋体" w:eastAsia="Times New Roman" w:cs="宋体"/>
          <w:sz w:val="24"/>
          <w:szCs w:val="24"/>
          <w:lang w:val="en-US" w:eastAsia="zh-CN" w:bidi="zh-CN"/>
        </w:rPr>
      </w:pPr>
      <w:r>
        <w:rPr>
          <w:rFonts w:ascii="Times New Roman" w:hAnsi="Times New Roman" w:eastAsia="宋体" w:cs="Times New Roman"/>
          <w:sz w:val="24"/>
          <w:szCs w:val="24"/>
          <w:lang w:val="en-US" w:eastAsia="zh-CN" w:bidi="zh-CN"/>
        </w:rPr>
        <w:t>（4）筛分</w:t>
      </w:r>
      <w:r>
        <w:rPr>
          <w:rFonts w:hint="eastAsia" w:ascii="Times New Roman" w:hAnsi="宋体" w:eastAsia="Times New Roman" w:cs="宋体"/>
          <w:sz w:val="24"/>
          <w:szCs w:val="24"/>
          <w:lang w:val="en-US" w:eastAsia="zh-CN" w:bidi="zh-CN"/>
        </w:rPr>
        <w:t>粉尘（G4）</w:t>
      </w:r>
    </w:p>
    <w:p w14:paraId="17E4C9C4">
      <w:pPr>
        <w:pStyle w:val="452"/>
        <w:ind w:firstLine="480"/>
        <w:rPr>
          <w:color w:val="000000"/>
          <w:sz w:val="24"/>
          <w:szCs w:val="22"/>
          <w:lang w:val="en-US" w:eastAsia="zh-CN"/>
        </w:rPr>
      </w:pPr>
      <w:r>
        <w:rPr>
          <w:rFonts w:hint="eastAsia" w:ascii="Times New Roman" w:hAnsi="宋体" w:eastAsia="Times New Roman" w:cs="宋体"/>
          <w:sz w:val="24"/>
          <w:szCs w:val="24"/>
          <w:lang w:val="en-US" w:eastAsia="zh-CN" w:bidi="zh-CN"/>
        </w:rPr>
        <w:t xml:space="preserve"> 本项目</w:t>
      </w:r>
      <w:r>
        <w:rPr>
          <w:rFonts w:ascii="Times New Roman" w:hAnsi="Times New Roman" w:cs="Times New Roman"/>
          <w:bCs/>
        </w:rPr>
        <w:t>干燥后的竹片通过输送皮带进入筛选机，筛选机将竹片中的细渣子、锯末等筛选出来，合格的竹片通过皮带进入干料仓。</w:t>
      </w:r>
      <w:r>
        <w:rPr>
          <w:rFonts w:hint="eastAsia" w:ascii="Times New Roman" w:hAnsi="Times New Roman" w:cs="Times New Roman"/>
          <w:bCs/>
          <w:lang w:val="en-US" w:eastAsia="zh-CN"/>
        </w:rPr>
        <w:t>因此在这个过程中有产生一定量的粉尘，类比</w:t>
      </w:r>
      <w:r>
        <w:rPr>
          <w:rFonts w:hint="eastAsia"/>
          <w:color w:val="000000"/>
          <w:sz w:val="24"/>
          <w:szCs w:val="22"/>
          <w:lang w:val="en-US" w:eastAsia="zh-CN"/>
        </w:rPr>
        <w:t>《云南新泽兴人造板有限公司环保刨花板生产线项目环境影响评价补充报告》中监测数据，该项目年原料用量为14.5万t，筛分工段采用布袋除尘器除尘效率为99%，粉尘排放量为0.33kg/h，年工作300天，每天24小时，则粉尘产生量为1.65kg/t.原料，经过类比，本项目年原料用量为25万t/a，则粉尘产生量为412.5t/a，目前未采取任何除尘措施，本次环评建议将筛分工序粉尘采用风管引至干燥段的布袋除尘器合并处理，除尘效率为99%，风量为20000</w:t>
      </w:r>
      <w:r>
        <w:rPr>
          <w:rFonts w:hint="eastAsia" w:ascii="Times New Roman" w:hAnsi="宋体" w:eastAsia="Times New Roman" w:cs="宋体"/>
          <w:sz w:val="24"/>
          <w:szCs w:val="24"/>
          <w:lang w:val="en-US" w:eastAsia="zh-CN" w:bidi="zh-CN"/>
        </w:rPr>
        <w:t>m</w:t>
      </w:r>
      <w:r>
        <w:rPr>
          <w:rFonts w:hint="eastAsia" w:ascii="Times New Roman" w:hAnsi="宋体" w:eastAsia="Times New Roman" w:cs="宋体"/>
          <w:sz w:val="24"/>
          <w:szCs w:val="24"/>
          <w:vertAlign w:val="superscript"/>
          <w:lang w:val="en-US" w:eastAsia="zh-CN" w:bidi="zh-CN"/>
        </w:rPr>
        <w:t>3</w:t>
      </w:r>
      <w:r>
        <w:rPr>
          <w:rFonts w:hint="eastAsia" w:ascii="Times New Roman" w:hAnsi="宋体" w:eastAsia="Times New Roman" w:cs="宋体"/>
          <w:sz w:val="24"/>
          <w:szCs w:val="24"/>
          <w:lang w:val="en-US" w:eastAsia="zh-CN" w:bidi="zh-CN"/>
        </w:rPr>
        <w:t>/h，</w:t>
      </w:r>
      <w:r>
        <w:rPr>
          <w:rFonts w:hint="eastAsia"/>
          <w:color w:val="000000"/>
          <w:sz w:val="24"/>
          <w:szCs w:val="22"/>
          <w:lang w:val="en-US" w:eastAsia="zh-CN"/>
        </w:rPr>
        <w:t>则通过整改后，项目筛分工段的粉尘排放量为4.1t/a，排放速率为0.57kg/h，排放浓度为28.5mg/m</w:t>
      </w:r>
      <w:r>
        <w:rPr>
          <w:rFonts w:hint="eastAsia"/>
          <w:color w:val="000000"/>
          <w:sz w:val="24"/>
          <w:szCs w:val="22"/>
          <w:vertAlign w:val="superscript"/>
          <w:lang w:val="en-US" w:eastAsia="zh-CN"/>
        </w:rPr>
        <w:t>3</w:t>
      </w:r>
      <w:r>
        <w:rPr>
          <w:rFonts w:hint="eastAsia"/>
          <w:color w:val="000000"/>
          <w:sz w:val="24"/>
          <w:szCs w:val="22"/>
          <w:lang w:val="en-US" w:eastAsia="zh-CN"/>
        </w:rPr>
        <w:t>，</w:t>
      </w:r>
      <w:r>
        <w:rPr>
          <w:rFonts w:hint="eastAsia" w:ascii="Times New Roman" w:hAnsi="宋体" w:eastAsia="Times New Roman" w:cs="宋体"/>
          <w:sz w:val="24"/>
          <w:szCs w:val="24"/>
          <w:lang w:val="en-US" w:eastAsia="zh-CN" w:bidi="zh-CN"/>
        </w:rPr>
        <w:t>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表2中颗粒物最高允许排放浓度限值120mg/m</w:t>
      </w:r>
      <w:r>
        <w:rPr>
          <w:rFonts w:hint="eastAsia" w:eastAsia="宋体"/>
          <w:color w:val="000000"/>
          <w:sz w:val="24"/>
          <w:szCs w:val="24"/>
          <w:vertAlign w:val="superscript"/>
          <w:lang w:val="en-US" w:eastAsia="zh-CN"/>
        </w:rPr>
        <w:t>3</w:t>
      </w:r>
      <w:r>
        <w:rPr>
          <w:rFonts w:hint="eastAsia" w:eastAsia="宋体"/>
          <w:color w:val="000000"/>
          <w:sz w:val="24"/>
          <w:szCs w:val="24"/>
          <w:vertAlign w:val="baseline"/>
          <w:lang w:val="en-US" w:eastAsia="zh-CN"/>
        </w:rPr>
        <w:t>，</w:t>
      </w:r>
      <w:r>
        <w:rPr>
          <w:rFonts w:hint="eastAsia"/>
          <w:color w:val="000000"/>
          <w:sz w:val="24"/>
          <w:szCs w:val="22"/>
          <w:lang w:val="en-US" w:eastAsia="zh-CN"/>
        </w:rPr>
        <w:t>处理后的粉尘通过15m高排气筒排放。（排气筒编号P1）</w:t>
      </w:r>
    </w:p>
    <w:p w14:paraId="07D88BB7">
      <w:pPr>
        <w:pStyle w:val="2"/>
        <w:numPr>
          <w:ilvl w:val="0"/>
          <w:numId w:val="0"/>
        </w:numPr>
        <w:rPr>
          <w:rFonts w:ascii="Times New Roman" w:hAnsi="Times New Roman" w:eastAsia="宋体" w:cs="Times New Roman"/>
          <w:sz w:val="24"/>
          <w:szCs w:val="24"/>
          <w:lang w:val="en-US" w:eastAsia="zh-CN" w:bidi="zh-CN"/>
        </w:rPr>
      </w:pPr>
      <w:r>
        <w:rPr>
          <w:rFonts w:hint="eastAsia" w:ascii="Times New Roman" w:hAnsi="宋体" w:eastAsia="Times New Roman" w:cs="宋体"/>
          <w:sz w:val="24"/>
          <w:szCs w:val="24"/>
          <w:lang w:val="en-US" w:eastAsia="zh-CN" w:bidi="zh-CN"/>
        </w:rPr>
        <w:t xml:space="preserve"> </w:t>
      </w:r>
      <w:r>
        <w:rPr>
          <w:rFonts w:hint="eastAsia" w:ascii="华文宋体" w:hAnsi="华文宋体" w:eastAsia="华文宋体" w:cs="华文宋体"/>
          <w:sz w:val="24"/>
          <w:szCs w:val="24"/>
          <w:lang w:val="en-US" w:eastAsia="zh-CN" w:bidi="zh-CN"/>
        </w:rPr>
        <w:t xml:space="preserve">   </w:t>
      </w:r>
      <w:r>
        <w:rPr>
          <w:rFonts w:hint="eastAsia" w:ascii="Times New Roman" w:hAnsi="Times New Roman" w:eastAsia="宋体" w:cs="Times New Roman"/>
          <w:sz w:val="24"/>
          <w:szCs w:val="24"/>
          <w:lang w:val="en-US" w:eastAsia="zh-CN" w:bidi="zh-CN"/>
        </w:rPr>
        <w:t>（5）</w:t>
      </w:r>
      <w:r>
        <w:rPr>
          <w:rFonts w:ascii="Times New Roman" w:hAnsi="Times New Roman" w:eastAsia="宋体" w:cs="Times New Roman"/>
          <w:sz w:val="24"/>
          <w:szCs w:val="24"/>
          <w:lang w:val="en-US" w:eastAsia="zh-CN" w:bidi="zh-CN"/>
        </w:rPr>
        <w:t>铺装粉尘（G7）</w:t>
      </w:r>
    </w:p>
    <w:p w14:paraId="15AE0C42">
      <w:pPr>
        <w:pStyle w:val="452"/>
        <w:ind w:firstLine="480"/>
        <w:rPr>
          <w:color w:val="000000"/>
          <w:sz w:val="24"/>
          <w:szCs w:val="22"/>
          <w:lang w:val="en-US" w:eastAsia="zh-CN"/>
        </w:rPr>
      </w:pPr>
      <w:r>
        <w:rPr>
          <w:rFonts w:hint="eastAsia" w:ascii="Times New Roman" w:hAnsi="Times New Roman" w:cs="Times New Roman"/>
          <w:bCs/>
          <w:lang w:val="en-US" w:eastAsia="zh-CN"/>
        </w:rPr>
        <w:t>本项目在铺装过程需要进行切边，会产生一定量的粉尘，类比</w:t>
      </w:r>
      <w:r>
        <w:rPr>
          <w:rFonts w:hint="eastAsia"/>
          <w:color w:val="000000"/>
          <w:sz w:val="24"/>
          <w:szCs w:val="22"/>
          <w:lang w:val="en-US" w:eastAsia="zh-CN"/>
        </w:rPr>
        <w:t>《云南新泽兴人造板有限公司环保刨花板生产线项目环境影响评价补充报告》中监测数据，该项目年原料用量为14.5万t，铺装工段采用布袋除尘器除尘效率为99%，粉尘排放量为0.81kg/h，年工作300天，每天24小时，则粉尘产生量为4.05kg/t.原料，经过类比，本项目年原料用量为25万t/a，则粉尘产生量为1012.5t/a，目前采用1套旋风除尘器+8m高排气筒，本次环评建议将经旋风除尘后的粉尘引至干燥段增设的布袋除尘器合并处理，总除尘效率为99.7%，风量为20000</w:t>
      </w:r>
      <w:r>
        <w:rPr>
          <w:rFonts w:hint="eastAsia" w:ascii="Times New Roman" w:hAnsi="宋体" w:eastAsia="Times New Roman" w:cs="宋体"/>
          <w:sz w:val="24"/>
          <w:szCs w:val="24"/>
          <w:lang w:val="en-US" w:eastAsia="zh-CN" w:bidi="zh-CN"/>
        </w:rPr>
        <w:t>m</w:t>
      </w:r>
      <w:r>
        <w:rPr>
          <w:rFonts w:hint="eastAsia" w:ascii="Times New Roman" w:hAnsi="宋体" w:eastAsia="Times New Roman" w:cs="宋体"/>
          <w:sz w:val="24"/>
          <w:szCs w:val="24"/>
          <w:vertAlign w:val="superscript"/>
          <w:lang w:val="en-US" w:eastAsia="zh-CN" w:bidi="zh-CN"/>
        </w:rPr>
        <w:t>3</w:t>
      </w:r>
      <w:r>
        <w:rPr>
          <w:rFonts w:hint="eastAsia" w:ascii="Times New Roman" w:hAnsi="宋体" w:eastAsia="Times New Roman" w:cs="宋体"/>
          <w:sz w:val="24"/>
          <w:szCs w:val="24"/>
          <w:lang w:val="en-US" w:eastAsia="zh-CN" w:bidi="zh-CN"/>
        </w:rPr>
        <w:t>/h，</w:t>
      </w:r>
      <w:r>
        <w:rPr>
          <w:rFonts w:hint="eastAsia"/>
          <w:color w:val="000000"/>
          <w:sz w:val="24"/>
          <w:szCs w:val="22"/>
          <w:lang w:val="en-US" w:eastAsia="zh-CN"/>
        </w:rPr>
        <w:t>则通过整改后，项目筛分工段的粉尘排放量为3.04t/a，排放速率为0.42kg/h，排放浓度为21.0mg/m</w:t>
      </w:r>
      <w:r>
        <w:rPr>
          <w:rFonts w:hint="eastAsia"/>
          <w:color w:val="000000"/>
          <w:sz w:val="24"/>
          <w:szCs w:val="22"/>
          <w:vertAlign w:val="superscript"/>
          <w:lang w:val="en-US" w:eastAsia="zh-CN"/>
        </w:rPr>
        <w:t>3</w:t>
      </w:r>
      <w:r>
        <w:rPr>
          <w:rFonts w:hint="eastAsia"/>
          <w:color w:val="000000"/>
          <w:sz w:val="24"/>
          <w:szCs w:val="22"/>
          <w:lang w:val="en-US" w:eastAsia="zh-CN"/>
        </w:rPr>
        <w:t>，</w:t>
      </w:r>
      <w:r>
        <w:rPr>
          <w:rFonts w:hint="eastAsia" w:ascii="Times New Roman" w:hAnsi="宋体" w:eastAsia="Times New Roman" w:cs="宋体"/>
          <w:sz w:val="24"/>
          <w:szCs w:val="24"/>
          <w:lang w:val="en-US" w:eastAsia="zh-CN" w:bidi="zh-CN"/>
        </w:rPr>
        <w:t>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表2中颗粒物最高允许排放浓度限值120mg/m</w:t>
      </w:r>
      <w:r>
        <w:rPr>
          <w:rFonts w:hint="eastAsia" w:eastAsia="宋体"/>
          <w:color w:val="000000"/>
          <w:sz w:val="24"/>
          <w:szCs w:val="24"/>
          <w:vertAlign w:val="superscript"/>
          <w:lang w:val="en-US" w:eastAsia="zh-CN"/>
        </w:rPr>
        <w:t>3</w:t>
      </w:r>
      <w:r>
        <w:rPr>
          <w:rFonts w:hint="eastAsia" w:eastAsia="宋体"/>
          <w:color w:val="000000"/>
          <w:sz w:val="24"/>
          <w:szCs w:val="24"/>
          <w:vertAlign w:val="baseline"/>
          <w:lang w:val="en-US" w:eastAsia="zh-CN"/>
        </w:rPr>
        <w:t>，</w:t>
      </w:r>
      <w:r>
        <w:rPr>
          <w:rFonts w:hint="eastAsia"/>
          <w:color w:val="000000"/>
          <w:sz w:val="24"/>
          <w:szCs w:val="22"/>
          <w:lang w:val="en-US" w:eastAsia="zh-CN"/>
        </w:rPr>
        <w:t>处理后的粉尘通过15m高排气筒排放。（排气筒编号P1）</w:t>
      </w:r>
    </w:p>
    <w:p w14:paraId="508D3E88">
      <w:pPr>
        <w:numPr>
          <w:ilvl w:val="0"/>
          <w:numId w:val="0"/>
        </w:numPr>
        <w:spacing w:line="360" w:lineRule="auto"/>
        <w:ind w:firstLine="480"/>
        <w:rPr>
          <w:rFonts w:hint="eastAsia" w:eastAsia="宋体"/>
          <w:sz w:val="24"/>
          <w:szCs w:val="24"/>
          <w:lang w:eastAsia="zh-CN"/>
        </w:rPr>
      </w:pPr>
      <w:r>
        <w:rPr>
          <w:rFonts w:hint="eastAsia" w:ascii="Times New Roman" w:hAnsi="宋体" w:eastAsia="Times New Roman" w:cs="宋体"/>
          <w:sz w:val="24"/>
          <w:szCs w:val="24"/>
          <w:lang w:val="en-US" w:eastAsia="zh-CN" w:bidi="zh-CN"/>
        </w:rPr>
        <w:t xml:space="preserve"> </w:t>
      </w:r>
      <w:r>
        <w:rPr>
          <w:rFonts w:hint="eastAsia" w:ascii="宋体" w:hAnsi="宋体" w:eastAsia="宋体" w:cs="宋体"/>
          <w:sz w:val="24"/>
          <w:szCs w:val="24"/>
          <w:lang w:val="en-US" w:eastAsia="zh-CN" w:bidi="zh-CN"/>
        </w:rPr>
        <w:t>（6）</w:t>
      </w:r>
      <w:r>
        <w:rPr>
          <w:rFonts w:hint="eastAsia"/>
          <w:sz w:val="24"/>
          <w:szCs w:val="24"/>
          <w:lang w:val="en-US" w:eastAsia="zh-CN"/>
        </w:rPr>
        <w:t>锯边、砂光、开槽</w:t>
      </w:r>
      <w:r>
        <w:rPr>
          <w:sz w:val="24"/>
          <w:szCs w:val="24"/>
        </w:rPr>
        <w:t>粉尘</w:t>
      </w:r>
      <w:r>
        <w:rPr>
          <w:rFonts w:hint="eastAsia"/>
          <w:sz w:val="24"/>
          <w:szCs w:val="24"/>
          <w:lang w:eastAsia="zh-CN"/>
        </w:rPr>
        <w:t>（</w:t>
      </w:r>
      <w:r>
        <w:rPr>
          <w:rFonts w:hint="eastAsia"/>
          <w:sz w:val="24"/>
          <w:szCs w:val="24"/>
          <w:lang w:val="en-US" w:eastAsia="zh-CN"/>
        </w:rPr>
        <w:t>G9、G12、G13、G16、G17</w:t>
      </w:r>
      <w:r>
        <w:rPr>
          <w:rFonts w:hint="eastAsia"/>
          <w:sz w:val="24"/>
          <w:szCs w:val="24"/>
          <w:lang w:eastAsia="zh-CN"/>
        </w:rPr>
        <w:t>）</w:t>
      </w:r>
    </w:p>
    <w:p w14:paraId="53EC8FDB">
      <w:pPr>
        <w:spacing w:line="360" w:lineRule="auto"/>
        <w:ind w:firstLine="480"/>
        <w:rPr>
          <w:rFonts w:ascii="宋体" w:hAnsi="宋体" w:eastAsia="宋体"/>
          <w:sz w:val="24"/>
          <w:szCs w:val="24"/>
          <w:lang w:val="en-US" w:eastAsia="zh-CN"/>
        </w:rPr>
      </w:pPr>
      <w:r>
        <w:rPr>
          <w:rFonts w:hint="eastAsia"/>
          <w:sz w:val="24"/>
          <w:szCs w:val="24"/>
        </w:rPr>
        <w:t xml:space="preserve">  本项目</w:t>
      </w:r>
      <w:r>
        <w:rPr>
          <w:rFonts w:hint="eastAsia"/>
          <w:sz w:val="24"/>
          <w:szCs w:val="24"/>
          <w:lang w:val="en-US" w:eastAsia="zh-CN"/>
        </w:rPr>
        <w:t>在锯边、</w:t>
      </w:r>
      <w:r>
        <w:rPr>
          <w:rFonts w:hint="eastAsia"/>
          <w:sz w:val="24"/>
          <w:szCs w:val="24"/>
        </w:rPr>
        <w:t>砂光、</w:t>
      </w:r>
      <w:r>
        <w:rPr>
          <w:rFonts w:hint="eastAsia"/>
          <w:sz w:val="24"/>
          <w:szCs w:val="24"/>
          <w:lang w:val="en-US" w:eastAsia="zh-CN"/>
        </w:rPr>
        <w:t>开槽</w:t>
      </w:r>
      <w:r>
        <w:rPr>
          <w:sz w:val="24"/>
          <w:szCs w:val="24"/>
        </w:rPr>
        <w:t>等</w:t>
      </w:r>
      <w:r>
        <w:rPr>
          <w:rFonts w:hint="eastAsia"/>
          <w:sz w:val="24"/>
          <w:szCs w:val="24"/>
        </w:rPr>
        <w:t>工序</w:t>
      </w:r>
      <w:r>
        <w:rPr>
          <w:rFonts w:hint="eastAsia"/>
          <w:sz w:val="24"/>
          <w:szCs w:val="24"/>
          <w:lang w:val="en-US" w:eastAsia="zh-CN"/>
        </w:rPr>
        <w:t>均产生粉尘</w:t>
      </w:r>
      <w:r>
        <w:rPr>
          <w:sz w:val="24"/>
          <w:szCs w:val="24"/>
        </w:rPr>
        <w:t>。</w:t>
      </w:r>
      <w:r>
        <w:rPr>
          <w:rFonts w:hint="eastAsia"/>
          <w:sz w:val="24"/>
          <w:szCs w:val="24"/>
        </w:rPr>
        <w:t>本环评依据《全国污染源普查工业污染源产排污系数手册·第四分册》中</w:t>
      </w:r>
      <w:r>
        <w:rPr>
          <w:sz w:val="24"/>
          <w:szCs w:val="24"/>
        </w:rPr>
        <w:t>锯材加工业产排污系数表</w:t>
      </w:r>
      <w:r>
        <w:rPr>
          <w:rFonts w:hint="eastAsia" w:ascii="仿宋_GB2312"/>
          <w:sz w:val="24"/>
          <w:szCs w:val="21"/>
        </w:rPr>
        <w:t>的相关说明</w:t>
      </w:r>
      <w:r>
        <w:rPr>
          <w:sz w:val="24"/>
          <w:szCs w:val="24"/>
        </w:rPr>
        <w:t>，</w:t>
      </w:r>
      <w:r>
        <w:rPr>
          <w:rFonts w:hint="eastAsia"/>
          <w:sz w:val="24"/>
          <w:szCs w:val="24"/>
        </w:rPr>
        <w:t>对木材加工过程中粉尘产生量进行核算。</w:t>
      </w:r>
    </w:p>
    <w:p w14:paraId="03504C32">
      <w:pPr>
        <w:spacing w:line="360" w:lineRule="auto"/>
        <w:ind w:firstLine="480"/>
        <w:rPr>
          <w:rFonts w:hint="eastAsia" w:ascii="宋体" w:hAnsi="宋体"/>
          <w:sz w:val="24"/>
          <w:szCs w:val="24"/>
        </w:rPr>
      </w:pPr>
      <w:r>
        <w:rPr>
          <w:rFonts w:hint="eastAsia"/>
          <w:sz w:val="24"/>
          <w:szCs w:val="24"/>
        </w:rPr>
        <w:t>经过核算本项</w:t>
      </w:r>
      <w:r>
        <w:rPr>
          <w:sz w:val="24"/>
          <w:szCs w:val="24"/>
        </w:rPr>
        <w:t>目</w:t>
      </w:r>
      <w:r>
        <w:rPr>
          <w:rFonts w:hint="eastAsia"/>
          <w:sz w:val="24"/>
          <w:szCs w:val="24"/>
        </w:rPr>
        <w:t>在</w:t>
      </w:r>
      <w:r>
        <w:rPr>
          <w:rFonts w:hint="eastAsia"/>
          <w:sz w:val="24"/>
          <w:szCs w:val="24"/>
          <w:lang w:val="en-US" w:eastAsia="zh-CN"/>
        </w:rPr>
        <w:t>锯边、砂光、开槽</w:t>
      </w:r>
      <w:r>
        <w:rPr>
          <w:rFonts w:hint="eastAsia"/>
          <w:sz w:val="24"/>
          <w:szCs w:val="24"/>
        </w:rPr>
        <w:t>加工过程中</w:t>
      </w:r>
      <w:r>
        <w:rPr>
          <w:sz w:val="24"/>
          <w:szCs w:val="24"/>
        </w:rPr>
        <w:t>产生粉尘量约</w:t>
      </w:r>
      <w:r>
        <w:rPr>
          <w:rFonts w:hint="eastAsia"/>
          <w:sz w:val="24"/>
          <w:szCs w:val="24"/>
          <w:lang w:val="en-US" w:eastAsia="zh-CN"/>
        </w:rPr>
        <w:t>582.1</w:t>
      </w:r>
      <w:r>
        <w:rPr>
          <w:sz w:val="24"/>
          <w:szCs w:val="24"/>
        </w:rPr>
        <w:t>t</w:t>
      </w:r>
      <w:r>
        <w:rPr>
          <w:rFonts w:hint="eastAsia"/>
          <w:sz w:val="24"/>
          <w:szCs w:val="24"/>
        </w:rPr>
        <w:t>，</w:t>
      </w:r>
      <w:r>
        <w:rPr>
          <w:sz w:val="24"/>
          <w:szCs w:val="24"/>
        </w:rPr>
        <w:t>见表</w:t>
      </w:r>
      <w:r>
        <w:rPr>
          <w:rFonts w:hint="eastAsia"/>
          <w:sz w:val="24"/>
          <w:szCs w:val="24"/>
          <w:lang w:val="en-US" w:eastAsia="zh-CN"/>
        </w:rPr>
        <w:t>4.3</w:t>
      </w:r>
      <w:r>
        <w:rPr>
          <w:sz w:val="24"/>
          <w:szCs w:val="24"/>
        </w:rPr>
        <w:t>-</w:t>
      </w:r>
      <w:r>
        <w:rPr>
          <w:rFonts w:hint="eastAsia"/>
          <w:sz w:val="24"/>
          <w:szCs w:val="24"/>
          <w:lang w:val="en-US" w:eastAsia="zh-CN"/>
        </w:rPr>
        <w:t>2</w:t>
      </w:r>
      <w:r>
        <w:rPr>
          <w:rFonts w:hint="eastAsia"/>
          <w:sz w:val="24"/>
          <w:szCs w:val="24"/>
        </w:rPr>
        <w:t>。</w:t>
      </w:r>
    </w:p>
    <w:p w14:paraId="26825FE4">
      <w:pPr>
        <w:spacing w:line="360" w:lineRule="auto"/>
        <w:ind w:firstLine="602"/>
        <w:jc w:val="center"/>
        <w:rPr>
          <w:b/>
          <w:sz w:val="24"/>
          <w:szCs w:val="24"/>
        </w:rPr>
      </w:pPr>
      <w:r>
        <w:rPr>
          <w:rFonts w:hAnsi="宋体"/>
          <w:b/>
          <w:sz w:val="24"/>
          <w:szCs w:val="24"/>
        </w:rPr>
        <w:t>表</w:t>
      </w:r>
      <w:r>
        <w:rPr>
          <w:rFonts w:hint="eastAsia"/>
          <w:b/>
          <w:sz w:val="24"/>
          <w:szCs w:val="24"/>
          <w:lang w:val="en-US" w:eastAsia="zh-CN"/>
        </w:rPr>
        <w:t>4.3</w:t>
      </w:r>
      <w:r>
        <w:rPr>
          <w:b/>
          <w:sz w:val="24"/>
          <w:szCs w:val="24"/>
        </w:rPr>
        <w:t>-</w:t>
      </w:r>
      <w:r>
        <w:rPr>
          <w:rFonts w:hint="eastAsia"/>
          <w:b/>
          <w:sz w:val="24"/>
          <w:szCs w:val="24"/>
          <w:lang w:val="en-US" w:eastAsia="zh-CN"/>
        </w:rPr>
        <w:t>2</w:t>
      </w:r>
      <w:r>
        <w:rPr>
          <w:rFonts w:hint="eastAsia"/>
          <w:b/>
          <w:sz w:val="24"/>
          <w:szCs w:val="24"/>
        </w:rPr>
        <w:t xml:space="preserve"> </w:t>
      </w:r>
      <w:r>
        <w:rPr>
          <w:rFonts w:hAnsi="宋体"/>
          <w:b/>
          <w:sz w:val="24"/>
          <w:szCs w:val="24"/>
        </w:rPr>
        <w:t>锯材加工业产排污系数表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1284"/>
        <w:gridCol w:w="1388"/>
        <w:gridCol w:w="1167"/>
        <w:gridCol w:w="1418"/>
        <w:gridCol w:w="1949"/>
      </w:tblGrid>
      <w:tr w14:paraId="4A820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noWrap w:val="0"/>
            <w:vAlign w:val="top"/>
          </w:tcPr>
          <w:p w14:paraId="0728D23C">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名称</w:t>
            </w:r>
          </w:p>
        </w:tc>
        <w:tc>
          <w:tcPr>
            <w:tcW w:w="1284" w:type="dxa"/>
            <w:noWrap w:val="0"/>
            <w:vAlign w:val="top"/>
          </w:tcPr>
          <w:p w14:paraId="55473E79">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污染物指标</w:t>
            </w:r>
          </w:p>
        </w:tc>
        <w:tc>
          <w:tcPr>
            <w:tcW w:w="1388" w:type="dxa"/>
            <w:noWrap w:val="0"/>
            <w:vAlign w:val="top"/>
          </w:tcPr>
          <w:p w14:paraId="666CB8CA">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单位</w:t>
            </w:r>
          </w:p>
        </w:tc>
        <w:tc>
          <w:tcPr>
            <w:tcW w:w="1167" w:type="dxa"/>
            <w:noWrap w:val="0"/>
            <w:vAlign w:val="top"/>
          </w:tcPr>
          <w:p w14:paraId="0F8CC6EB">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污染系数</w:t>
            </w:r>
          </w:p>
        </w:tc>
        <w:tc>
          <w:tcPr>
            <w:tcW w:w="1418" w:type="dxa"/>
            <w:noWrap w:val="0"/>
            <w:vAlign w:val="top"/>
          </w:tcPr>
          <w:p w14:paraId="60EF3706">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产品年产量</w:t>
            </w:r>
          </w:p>
        </w:tc>
        <w:tc>
          <w:tcPr>
            <w:tcW w:w="1949" w:type="dxa"/>
            <w:noWrap w:val="0"/>
            <w:vAlign w:val="top"/>
          </w:tcPr>
          <w:p w14:paraId="59D19B62">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粉尘产生量</w:t>
            </w:r>
          </w:p>
        </w:tc>
      </w:tr>
      <w:tr w14:paraId="67759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noWrap w:val="0"/>
            <w:vAlign w:val="top"/>
          </w:tcPr>
          <w:p w14:paraId="0261C955">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锯材（锯材厚度≤35毫米）</w:t>
            </w:r>
          </w:p>
        </w:tc>
        <w:tc>
          <w:tcPr>
            <w:tcW w:w="1284" w:type="dxa"/>
            <w:noWrap w:val="0"/>
            <w:vAlign w:val="center"/>
          </w:tcPr>
          <w:p w14:paraId="6AC10AEE">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工业粉尘</w:t>
            </w:r>
          </w:p>
        </w:tc>
        <w:tc>
          <w:tcPr>
            <w:tcW w:w="1388" w:type="dxa"/>
            <w:noWrap w:val="0"/>
            <w:vAlign w:val="center"/>
          </w:tcPr>
          <w:p w14:paraId="10B43222">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kg/m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-产品</w:t>
            </w:r>
          </w:p>
        </w:tc>
        <w:tc>
          <w:tcPr>
            <w:tcW w:w="1167" w:type="dxa"/>
            <w:noWrap w:val="0"/>
            <w:vAlign w:val="center"/>
          </w:tcPr>
          <w:p w14:paraId="0CE3541B">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0.321</w:t>
            </w:r>
          </w:p>
        </w:tc>
        <w:tc>
          <w:tcPr>
            <w:tcW w:w="1418" w:type="dxa"/>
            <w:noWrap w:val="0"/>
            <w:vAlign w:val="center"/>
          </w:tcPr>
          <w:p w14:paraId="015A4D99">
            <w:pPr>
              <w:widowControl w:val="0"/>
              <w:spacing w:line="240" w:lineRule="auto"/>
              <w:ind w:firstLine="0"/>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100000</w:t>
            </w:r>
            <w:r>
              <w:rPr>
                <w:rFonts w:hint="eastAsia" w:ascii="Times New Roman" w:hAnsi="Times New Roman" w:eastAsia="宋体" w:cs="Times New Roman"/>
                <w:bCs/>
                <w:color w:val="000000"/>
                <w:sz w:val="21"/>
                <w:szCs w:val="21"/>
              </w:rPr>
              <w:t>m</w:t>
            </w:r>
            <w:r>
              <w:rPr>
                <w:rFonts w:hint="eastAsia" w:ascii="Times New Roman" w:hAnsi="Times New Roman" w:eastAsia="宋体" w:cs="Times New Roman"/>
                <w:bCs/>
                <w:color w:val="000000"/>
                <w:sz w:val="21"/>
                <w:szCs w:val="21"/>
                <w:vertAlign w:val="superscript"/>
              </w:rPr>
              <w:t>3</w:t>
            </w:r>
          </w:p>
        </w:tc>
        <w:tc>
          <w:tcPr>
            <w:tcW w:w="1949" w:type="dxa"/>
            <w:noWrap w:val="0"/>
            <w:vAlign w:val="center"/>
          </w:tcPr>
          <w:p w14:paraId="2F5B79CA">
            <w:pPr>
              <w:widowControl w:val="0"/>
              <w:spacing w:line="240" w:lineRule="auto"/>
              <w:ind w:firstLine="0"/>
              <w:jc w:val="center"/>
              <w:rPr>
                <w:rFonts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32.1t/a</w:t>
            </w:r>
          </w:p>
        </w:tc>
      </w:tr>
      <w:tr w14:paraId="4A3E8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noWrap w:val="0"/>
            <w:vAlign w:val="top"/>
          </w:tcPr>
          <w:p w14:paraId="151FEF4B">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砂光</w:t>
            </w:r>
          </w:p>
        </w:tc>
        <w:tc>
          <w:tcPr>
            <w:tcW w:w="1284" w:type="dxa"/>
            <w:noWrap w:val="0"/>
            <w:vAlign w:val="top"/>
          </w:tcPr>
          <w:p w14:paraId="615F72BD">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工业粉尘</w:t>
            </w:r>
          </w:p>
        </w:tc>
        <w:tc>
          <w:tcPr>
            <w:tcW w:w="1388" w:type="dxa"/>
            <w:noWrap w:val="0"/>
            <w:vAlign w:val="center"/>
          </w:tcPr>
          <w:p w14:paraId="164CC7A7">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kg/m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-产品</w:t>
            </w:r>
          </w:p>
        </w:tc>
        <w:tc>
          <w:tcPr>
            <w:tcW w:w="1167" w:type="dxa"/>
            <w:noWrap w:val="0"/>
            <w:vAlign w:val="center"/>
          </w:tcPr>
          <w:p w14:paraId="54924BCF">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5.5</w:t>
            </w:r>
          </w:p>
        </w:tc>
        <w:tc>
          <w:tcPr>
            <w:tcW w:w="1418" w:type="dxa"/>
            <w:noWrap w:val="0"/>
            <w:vAlign w:val="center"/>
          </w:tcPr>
          <w:p w14:paraId="296DD442">
            <w:pPr>
              <w:widowControl w:val="0"/>
              <w:spacing w:line="240" w:lineRule="auto"/>
              <w:ind w:firstLine="0"/>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100000</w:t>
            </w:r>
            <w:r>
              <w:rPr>
                <w:rFonts w:hint="eastAsia" w:ascii="Times New Roman" w:hAnsi="Times New Roman" w:eastAsia="宋体" w:cs="Times New Roman"/>
                <w:bCs/>
                <w:color w:val="000000"/>
                <w:sz w:val="21"/>
                <w:szCs w:val="21"/>
              </w:rPr>
              <w:t>m</w:t>
            </w:r>
            <w:r>
              <w:rPr>
                <w:rFonts w:hint="eastAsia" w:ascii="Times New Roman" w:hAnsi="Times New Roman" w:eastAsia="宋体" w:cs="Times New Roman"/>
                <w:bCs/>
                <w:color w:val="000000"/>
                <w:sz w:val="21"/>
                <w:szCs w:val="21"/>
                <w:vertAlign w:val="superscript"/>
              </w:rPr>
              <w:t>3</w:t>
            </w:r>
          </w:p>
        </w:tc>
        <w:tc>
          <w:tcPr>
            <w:tcW w:w="1949" w:type="dxa"/>
            <w:noWrap w:val="0"/>
            <w:vAlign w:val="center"/>
          </w:tcPr>
          <w:p w14:paraId="24CBE070">
            <w:pPr>
              <w:widowControl w:val="0"/>
              <w:spacing w:line="240" w:lineRule="auto"/>
              <w:ind w:firstLine="0"/>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550t/a</w:t>
            </w:r>
          </w:p>
        </w:tc>
      </w:tr>
      <w:tr w14:paraId="3163D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799" w:type="dxa"/>
            <w:gridSpan w:val="2"/>
            <w:noWrap w:val="0"/>
            <w:vAlign w:val="top"/>
          </w:tcPr>
          <w:p w14:paraId="0F73A1C4">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工业粉尘t/a</w:t>
            </w:r>
          </w:p>
        </w:tc>
        <w:tc>
          <w:tcPr>
            <w:tcW w:w="1388" w:type="dxa"/>
            <w:noWrap w:val="0"/>
            <w:vAlign w:val="top"/>
          </w:tcPr>
          <w:p w14:paraId="2B936CB5">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w:t>
            </w:r>
          </w:p>
        </w:tc>
        <w:tc>
          <w:tcPr>
            <w:tcW w:w="1167" w:type="dxa"/>
            <w:noWrap w:val="0"/>
            <w:vAlign w:val="top"/>
          </w:tcPr>
          <w:p w14:paraId="1DE76ECA">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w:t>
            </w:r>
          </w:p>
        </w:tc>
        <w:tc>
          <w:tcPr>
            <w:tcW w:w="1418" w:type="dxa"/>
            <w:noWrap w:val="0"/>
            <w:vAlign w:val="top"/>
          </w:tcPr>
          <w:p w14:paraId="23F121E3">
            <w:pPr>
              <w:widowControl w:val="0"/>
              <w:spacing w:line="240" w:lineRule="auto"/>
              <w:ind w:firstLine="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w:t>
            </w:r>
          </w:p>
        </w:tc>
        <w:tc>
          <w:tcPr>
            <w:tcW w:w="1949" w:type="dxa"/>
            <w:noWrap w:val="0"/>
            <w:vAlign w:val="top"/>
          </w:tcPr>
          <w:p w14:paraId="459D1B3D">
            <w:pPr>
              <w:widowControl w:val="0"/>
              <w:spacing w:line="240" w:lineRule="auto"/>
              <w:ind w:firstLine="0"/>
              <w:jc w:val="center"/>
              <w:rPr>
                <w:rFonts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582.1t/a</w:t>
            </w:r>
          </w:p>
        </w:tc>
      </w:tr>
    </w:tbl>
    <w:p w14:paraId="7177DC6D">
      <w:pPr>
        <w:spacing w:line="360" w:lineRule="auto"/>
        <w:ind w:firstLine="480"/>
        <w:rPr>
          <w:color w:val="000000"/>
          <w:sz w:val="24"/>
        </w:rPr>
      </w:pPr>
      <w:r>
        <w:rPr>
          <w:rFonts w:hint="eastAsia"/>
          <w:color w:val="000000"/>
          <w:sz w:val="24"/>
          <w:szCs w:val="24"/>
          <w:lang w:val="en-US" w:eastAsia="zh-CN"/>
        </w:rPr>
        <w:t>目前建设方已经设置1套正压布袋除尘器（1备1用）对该部分粉尘进行收集净化处理，除尘效率为99.9%，则无组织粉尘排放量0.58t/a，0.08kg/h。</w:t>
      </w:r>
    </w:p>
    <w:p w14:paraId="24885720">
      <w:pPr>
        <w:spacing w:line="360" w:lineRule="auto"/>
        <w:ind w:firstLine="480"/>
        <w:rPr>
          <w:rFonts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7</w:t>
      </w:r>
      <w:r>
        <w:rPr>
          <w:rFonts w:hint="eastAsia" w:ascii="Times New Roman" w:hAnsi="Times New Roman" w:eastAsia="宋体" w:cs="Times New Roman"/>
          <w:color w:val="000000"/>
          <w:sz w:val="24"/>
          <w:lang w:eastAsia="zh-CN"/>
        </w:rPr>
        <w:t>）</w:t>
      </w:r>
      <w:r>
        <w:rPr>
          <w:rFonts w:ascii="Times New Roman" w:hAnsi="Times New Roman" w:cs="Times New Roman"/>
          <w:color w:val="000000"/>
          <w:sz w:val="24"/>
        </w:rPr>
        <w:t>甲醛废气</w:t>
      </w:r>
      <w:r>
        <w:rPr>
          <w:rFonts w:ascii="Times New Roman" w:hAnsi="Times New Roman" w:cs="Times New Roman"/>
          <w:color w:val="000000"/>
          <w:sz w:val="24"/>
          <w:lang w:eastAsia="zh-CN"/>
        </w:rPr>
        <w:t>（</w:t>
      </w:r>
      <w:r>
        <w:rPr>
          <w:rFonts w:ascii="Times New Roman" w:hAnsi="Times New Roman" w:cs="Times New Roman"/>
          <w:color w:val="000000"/>
          <w:sz w:val="24"/>
          <w:lang w:val="en-US" w:eastAsia="zh-CN"/>
        </w:rPr>
        <w:t>G5、G8、G10、G11、G14、G15</w:t>
      </w:r>
      <w:r>
        <w:rPr>
          <w:rFonts w:ascii="Times New Roman" w:hAnsi="Times New Roman" w:cs="Times New Roman"/>
          <w:color w:val="000000"/>
          <w:sz w:val="24"/>
          <w:lang w:eastAsia="zh-CN"/>
        </w:rPr>
        <w:t>）</w:t>
      </w:r>
    </w:p>
    <w:p w14:paraId="3296517A">
      <w:pPr>
        <w:spacing w:line="360" w:lineRule="auto"/>
        <w:ind w:firstLine="480"/>
        <w:rPr>
          <w:rFonts w:ascii="Times New Roman" w:hAnsi="Times New Roman" w:cs="Times New Roman"/>
          <w:color w:val="000000"/>
          <w:sz w:val="24"/>
          <w:lang w:val="en-US" w:eastAsia="zh-CN"/>
        </w:rPr>
      </w:pPr>
      <w:r>
        <w:rPr>
          <w:rFonts w:ascii="Times New Roman" w:hAnsi="Times New Roman" w:cs="Times New Roman"/>
          <w:color w:val="000000"/>
          <w:sz w:val="24"/>
        </w:rPr>
        <w:t>甲醛气产生的工序包括</w:t>
      </w:r>
      <w:r>
        <w:rPr>
          <w:rFonts w:ascii="Times New Roman" w:hAnsi="Times New Roman" w:cs="Times New Roman"/>
          <w:color w:val="000000"/>
          <w:sz w:val="24"/>
          <w:lang w:val="en-US" w:eastAsia="zh-CN"/>
        </w:rPr>
        <w:t>施胶</w:t>
      </w:r>
      <w:r>
        <w:rPr>
          <w:rFonts w:ascii="Times New Roman" w:hAnsi="Times New Roman" w:cs="Times New Roman"/>
          <w:color w:val="000000"/>
          <w:sz w:val="24"/>
        </w:rPr>
        <w:t>、热压</w:t>
      </w:r>
      <w:r>
        <w:rPr>
          <w:rFonts w:ascii="Times New Roman" w:hAnsi="Times New Roman" w:cs="Times New Roman"/>
          <w:color w:val="000000"/>
          <w:sz w:val="24"/>
          <w:lang w:eastAsia="zh-CN"/>
        </w:rPr>
        <w:t>、</w:t>
      </w:r>
      <w:r>
        <w:rPr>
          <w:rFonts w:ascii="Times New Roman" w:hAnsi="Times New Roman" w:cs="Times New Roman"/>
          <w:color w:val="000000"/>
          <w:sz w:val="24"/>
          <w:lang w:val="en-US" w:eastAsia="zh-CN"/>
        </w:rPr>
        <w:t>贴面、调胶等工序</w:t>
      </w:r>
      <w:r>
        <w:rPr>
          <w:rFonts w:hint="eastAsia" w:ascii="Times New Roman" w:hAnsi="Times New Roman" w:cs="Times New Roman"/>
          <w:color w:val="000000"/>
          <w:sz w:val="24"/>
          <w:lang w:val="en-US" w:eastAsia="zh-CN"/>
        </w:rPr>
        <w:t>。其中铺装施胶、调胶工序均采用脲醛树脂胶、酚醛树脂胶，</w:t>
      </w:r>
      <w:r>
        <w:rPr>
          <w:rFonts w:ascii="Times New Roman" w:hAnsi="Times New Roman" w:cs="Times New Roman"/>
          <w:color w:val="000000"/>
          <w:sz w:val="24"/>
          <w:lang w:val="en-US" w:eastAsia="zh-CN"/>
        </w:rPr>
        <w:t>由于在铺装过程中拌胶机封闭进行，</w:t>
      </w:r>
      <w:r>
        <w:rPr>
          <w:rFonts w:hint="eastAsia" w:ascii="Times New Roman" w:hAnsi="Times New Roman" w:cs="Times New Roman"/>
          <w:color w:val="000000"/>
          <w:sz w:val="24"/>
          <w:lang w:val="en-US" w:eastAsia="zh-CN"/>
        </w:rPr>
        <w:t>仅少量散逸，</w:t>
      </w:r>
      <w:r>
        <w:rPr>
          <w:rFonts w:ascii="Times New Roman" w:hAnsi="Times New Roman" w:cs="Times New Roman"/>
          <w:color w:val="000000"/>
          <w:sz w:val="24"/>
          <w:lang w:val="en-US" w:eastAsia="zh-CN"/>
        </w:rPr>
        <w:t>因此</w:t>
      </w:r>
      <w:r>
        <w:rPr>
          <w:rFonts w:hint="eastAsia" w:ascii="Times New Roman" w:hAnsi="Times New Roman" w:cs="Times New Roman"/>
          <w:color w:val="000000"/>
          <w:sz w:val="24"/>
          <w:lang w:val="en-US" w:eastAsia="zh-CN"/>
        </w:rPr>
        <w:t>该工序</w:t>
      </w:r>
      <w:r>
        <w:rPr>
          <w:rFonts w:ascii="Times New Roman" w:hAnsi="Times New Roman" w:cs="Times New Roman"/>
          <w:color w:val="000000"/>
          <w:sz w:val="24"/>
          <w:lang w:val="en-US" w:eastAsia="zh-CN"/>
        </w:rPr>
        <w:t>甲醛废气排放量不大。</w:t>
      </w:r>
    </w:p>
    <w:p w14:paraId="0468CB19">
      <w:pPr>
        <w:pStyle w:val="2"/>
        <w:numPr>
          <w:ilvl w:val="0"/>
          <w:numId w:val="0"/>
        </w:numPr>
        <w:spacing w:line="360" w:lineRule="auto"/>
        <w:ind w:firstLine="480"/>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项目所使用胶粘剂为脲醛树脂胶及酚醛树脂胶，</w:t>
      </w:r>
      <w:r>
        <w:rPr>
          <w:rFonts w:ascii="Times New Roman" w:hAnsi="Times New Roman" w:eastAsia="宋体" w:cs="Times New Roman"/>
          <w:color w:val="000000"/>
          <w:sz w:val="24"/>
          <w:szCs w:val="24"/>
          <w:lang w:eastAsia="zh-CN"/>
        </w:rPr>
        <w:t>根据建设单位提供资料，</w:t>
      </w:r>
      <w:r>
        <w:rPr>
          <w:rFonts w:hint="eastAsia" w:ascii="Times New Roman" w:hAnsi="Times New Roman" w:eastAsia="宋体" w:cs="Times New Roman"/>
          <w:color w:val="000000"/>
          <w:sz w:val="24"/>
          <w:szCs w:val="24"/>
          <w:lang w:val="en-US" w:eastAsia="zh-CN"/>
        </w:rPr>
        <w:t>部分自制，不够情况外购，</w:t>
      </w:r>
      <w:r>
        <w:rPr>
          <w:rFonts w:ascii="Times New Roman" w:hAnsi="Times New Roman" w:eastAsia="宋体" w:cs="Times New Roman"/>
          <w:color w:val="000000"/>
          <w:sz w:val="24"/>
          <w:szCs w:val="24"/>
          <w:lang w:eastAsia="zh-CN"/>
        </w:rPr>
        <w:t>项目</w:t>
      </w:r>
      <w:r>
        <w:rPr>
          <w:rFonts w:hint="eastAsia" w:ascii="Times New Roman" w:hAnsi="Times New Roman" w:eastAsia="宋体" w:cs="Times New Roman"/>
          <w:color w:val="000000"/>
          <w:sz w:val="24"/>
          <w:szCs w:val="24"/>
          <w:lang w:val="en-US" w:eastAsia="zh-CN"/>
        </w:rPr>
        <w:t>扩建后，</w:t>
      </w:r>
      <w:r>
        <w:rPr>
          <w:rFonts w:ascii="Times New Roman" w:hAnsi="Times New Roman" w:eastAsia="宋体" w:cs="Times New Roman"/>
          <w:color w:val="000000"/>
          <w:sz w:val="24"/>
          <w:szCs w:val="24"/>
          <w:vertAlign w:val="baseline"/>
          <w:lang w:val="en-US" w:eastAsia="zh-CN"/>
        </w:rPr>
        <w:t>脲醛</w:t>
      </w:r>
      <w:r>
        <w:rPr>
          <w:rFonts w:hint="eastAsia" w:ascii="Times New Roman" w:hAnsi="Times New Roman" w:eastAsia="宋体" w:cs="Times New Roman"/>
          <w:color w:val="000000"/>
          <w:sz w:val="24"/>
          <w:szCs w:val="24"/>
          <w:vertAlign w:val="baseline"/>
          <w:lang w:val="en-US" w:eastAsia="zh-CN"/>
        </w:rPr>
        <w:t>树脂</w:t>
      </w:r>
      <w:r>
        <w:rPr>
          <w:rFonts w:ascii="Times New Roman" w:hAnsi="Times New Roman" w:eastAsia="宋体" w:cs="Times New Roman"/>
          <w:color w:val="000000"/>
          <w:sz w:val="24"/>
          <w:szCs w:val="24"/>
          <w:vertAlign w:val="baseline"/>
          <w:lang w:val="en-US" w:eastAsia="zh-CN"/>
        </w:rPr>
        <w:t>胶年用量为</w:t>
      </w:r>
      <w:r>
        <w:rPr>
          <w:rFonts w:hint="eastAsia" w:ascii="Times New Roman" w:hAnsi="Times New Roman" w:eastAsia="宋体" w:cs="Times New Roman"/>
          <w:color w:val="000000"/>
          <w:sz w:val="24"/>
          <w:szCs w:val="24"/>
          <w:lang w:val="en-US" w:eastAsia="zh-CN"/>
        </w:rPr>
        <w:t>6000</w:t>
      </w:r>
      <w:r>
        <w:rPr>
          <w:rFonts w:ascii="Times New Roman" w:hAnsi="Times New Roman" w:eastAsia="宋体" w:cs="Times New Roman"/>
          <w:color w:val="000000"/>
          <w:sz w:val="24"/>
          <w:szCs w:val="24"/>
        </w:rPr>
        <w:t>t/a</w:t>
      </w:r>
      <w:r>
        <w:rPr>
          <w:rFonts w:ascii="Times New Roman" w:hAnsi="Times New Roman" w:eastAsia="宋体" w:cs="Times New Roman"/>
          <w:color w:val="000000"/>
          <w:sz w:val="24"/>
          <w:szCs w:val="24"/>
          <w:lang w:eastAsia="zh-CN"/>
        </w:rPr>
        <w:t>，酚醛</w:t>
      </w:r>
      <w:r>
        <w:rPr>
          <w:rFonts w:hint="eastAsia" w:ascii="Times New Roman" w:hAnsi="Times New Roman" w:eastAsia="宋体" w:cs="Times New Roman"/>
          <w:color w:val="000000"/>
          <w:sz w:val="24"/>
          <w:szCs w:val="24"/>
          <w:lang w:val="en-US" w:eastAsia="zh-CN"/>
        </w:rPr>
        <w:t>树脂</w:t>
      </w:r>
      <w:r>
        <w:rPr>
          <w:rFonts w:ascii="Times New Roman" w:hAnsi="Times New Roman" w:eastAsia="宋体" w:cs="Times New Roman"/>
          <w:color w:val="000000"/>
          <w:sz w:val="24"/>
          <w:szCs w:val="24"/>
          <w:lang w:eastAsia="zh-CN"/>
        </w:rPr>
        <w:t>胶年用量为</w:t>
      </w:r>
      <w:r>
        <w:rPr>
          <w:rFonts w:hint="eastAsia" w:ascii="Times New Roman" w:hAnsi="Times New Roman" w:eastAsia="宋体" w:cs="Times New Roman"/>
          <w:color w:val="000000"/>
          <w:sz w:val="24"/>
          <w:szCs w:val="24"/>
          <w:lang w:val="en-US" w:eastAsia="zh-CN"/>
        </w:rPr>
        <w:t>3000</w:t>
      </w:r>
      <w:r>
        <w:rPr>
          <w:rFonts w:ascii="Times New Roman" w:hAnsi="Times New Roman" w:eastAsia="宋体" w:cs="Times New Roman"/>
          <w:color w:val="000000"/>
          <w:sz w:val="24"/>
          <w:szCs w:val="24"/>
        </w:rPr>
        <w:t>t/a</w:t>
      </w:r>
      <w:r>
        <w:rPr>
          <w:rFonts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总用胶量为9000t/a。</w:t>
      </w:r>
    </w:p>
    <w:p w14:paraId="6A2E6044">
      <w:pPr>
        <w:pStyle w:val="2"/>
        <w:numPr>
          <w:ilvl w:val="0"/>
          <w:numId w:val="0"/>
        </w:numPr>
        <w:spacing w:line="360" w:lineRule="auto"/>
        <w:ind w:firstLine="480"/>
        <w:rPr>
          <w:color w:val="000000"/>
          <w:sz w:val="24"/>
          <w:szCs w:val="24"/>
          <w:lang w:val="en-US" w:eastAsia="zh-CN"/>
        </w:rPr>
      </w:pPr>
      <w:r>
        <w:rPr>
          <w:rFonts w:ascii="Times New Roman" w:hAnsi="Times New Roman" w:eastAsia="宋体" w:cs="Times New Roman"/>
          <w:color w:val="000000"/>
          <w:sz w:val="24"/>
          <w:szCs w:val="24"/>
          <w:lang w:val="en-US" w:eastAsia="zh-CN"/>
        </w:rPr>
        <w:t>涂过胶粘剂的板胚在热</w:t>
      </w:r>
      <w:r>
        <w:rPr>
          <w:rFonts w:hint="eastAsia"/>
          <w:color w:val="000000"/>
          <w:sz w:val="24"/>
          <w:szCs w:val="24"/>
          <w:lang w:val="en-US" w:eastAsia="zh-CN"/>
        </w:rPr>
        <w:t>压过程中板胚温度升高，胶层固化。木板本身含有的有机物受热释放出含有气态污染物非甲烷总烃的挥发性有机物气体；同时胶粘剂受热胶粘剂中含有的游离态甲醛、游离态苯酚也逸散出来，产生主要含有甲醛、酚类及非甲烷总烃的废气。</w:t>
      </w:r>
    </w:p>
    <w:p w14:paraId="3D7F0394">
      <w:pPr>
        <w:pStyle w:val="315"/>
        <w:rPr>
          <w:rFonts w:hAnsi="宋体" w:eastAsia="宋体"/>
          <w:color w:val="000000"/>
          <w:sz w:val="24"/>
          <w:szCs w:val="24"/>
          <w:lang w:val="en-US" w:eastAsia="zh-CN"/>
        </w:rPr>
      </w:pPr>
      <w:r>
        <w:rPr>
          <w:rFonts w:hint="eastAsia" w:hAnsi="宋体"/>
          <w:color w:val="000000"/>
          <w:sz w:val="24"/>
          <w:szCs w:val="24"/>
        </w:rPr>
        <w:t>根据《木材工业胶粘剂用脲醛、酚醛、三聚氰胺甲醛树脂》（GB/T14732-20</w:t>
      </w:r>
      <w:r>
        <w:rPr>
          <w:rFonts w:hint="eastAsia" w:hAnsi="宋体"/>
          <w:color w:val="000000"/>
          <w:sz w:val="24"/>
          <w:szCs w:val="24"/>
          <w:lang w:val="en-US" w:eastAsia="zh-CN"/>
        </w:rPr>
        <w:t>17</w:t>
      </w:r>
      <w:r>
        <w:rPr>
          <w:rFonts w:hint="eastAsia" w:hAnsi="宋体"/>
          <w:color w:val="000000"/>
          <w:sz w:val="24"/>
          <w:szCs w:val="24"/>
        </w:rPr>
        <w:t>）的要求，项目使用的脲醛树脂</w:t>
      </w:r>
      <w:r>
        <w:rPr>
          <w:rFonts w:hint="eastAsia" w:hAnsi="宋体"/>
          <w:color w:val="000000"/>
          <w:sz w:val="24"/>
          <w:szCs w:val="24"/>
          <w:lang w:val="en-US" w:eastAsia="zh-CN"/>
        </w:rPr>
        <w:t>胶、酚醛树脂胶</w:t>
      </w:r>
      <w:r>
        <w:rPr>
          <w:rFonts w:hint="eastAsia" w:hAnsi="宋体"/>
          <w:color w:val="000000"/>
          <w:sz w:val="24"/>
          <w:szCs w:val="24"/>
        </w:rPr>
        <w:t>中游离甲醛含量≤0.3%</w:t>
      </w:r>
      <w:r>
        <w:rPr>
          <w:rFonts w:hint="eastAsia" w:hAnsi="宋体"/>
          <w:color w:val="000000"/>
          <w:sz w:val="24"/>
          <w:szCs w:val="24"/>
          <w:lang w:eastAsia="zh-CN"/>
        </w:rPr>
        <w:t>，</w:t>
      </w:r>
      <w:r>
        <w:rPr>
          <w:rFonts w:hint="eastAsia" w:hAnsi="宋体"/>
          <w:color w:val="000000"/>
          <w:sz w:val="24"/>
          <w:szCs w:val="24"/>
          <w:lang w:val="en-US" w:eastAsia="zh-CN"/>
        </w:rPr>
        <w:t>酚醛树脂胶中游离的苯酚含量为1.0%，</w:t>
      </w:r>
      <w:r>
        <w:rPr>
          <w:rFonts w:hint="eastAsia" w:hAnsi="宋体" w:eastAsia="宋体"/>
          <w:color w:val="000000"/>
          <w:sz w:val="24"/>
          <w:szCs w:val="28"/>
          <w:lang w:val="en-US" w:eastAsia="zh-CN"/>
        </w:rPr>
        <w:t>根据类比约70</w:t>
      </w:r>
      <w:r>
        <w:rPr>
          <w:rFonts w:hint="eastAsia" w:hAnsi="宋体"/>
          <w:color w:val="000000"/>
          <w:sz w:val="24"/>
          <w:szCs w:val="24"/>
        </w:rPr>
        <w:t>%的游离</w:t>
      </w:r>
      <w:r>
        <w:rPr>
          <w:rFonts w:hint="eastAsia" w:hAnsi="宋体"/>
          <w:color w:val="000000"/>
          <w:sz w:val="24"/>
          <w:szCs w:val="24"/>
          <w:lang w:val="en-US" w:eastAsia="zh-CN"/>
        </w:rPr>
        <w:t>甲醛、苯酚</w:t>
      </w:r>
      <w:r>
        <w:rPr>
          <w:rFonts w:hint="eastAsia" w:hAnsi="宋体"/>
          <w:color w:val="000000"/>
          <w:sz w:val="24"/>
          <w:szCs w:val="24"/>
        </w:rPr>
        <w:t>保留于产品中，</w:t>
      </w:r>
      <w:r>
        <w:rPr>
          <w:rFonts w:hint="eastAsia" w:hAnsi="宋体"/>
          <w:color w:val="000000"/>
          <w:sz w:val="24"/>
          <w:szCs w:val="24"/>
          <w:lang w:val="en-US" w:eastAsia="zh-CN"/>
        </w:rPr>
        <w:t>30</w:t>
      </w:r>
      <w:r>
        <w:rPr>
          <w:rFonts w:hint="eastAsia" w:hAnsi="宋体"/>
          <w:color w:val="000000"/>
          <w:sz w:val="24"/>
          <w:szCs w:val="24"/>
        </w:rPr>
        <w:t>%的游离甲醛</w:t>
      </w:r>
      <w:r>
        <w:rPr>
          <w:rFonts w:hint="eastAsia" w:hAnsi="宋体"/>
          <w:color w:val="000000"/>
          <w:sz w:val="24"/>
          <w:szCs w:val="24"/>
          <w:lang w:eastAsia="zh-CN"/>
        </w:rPr>
        <w:t>、</w:t>
      </w:r>
      <w:r>
        <w:rPr>
          <w:rFonts w:hint="eastAsia" w:hAnsi="宋体"/>
          <w:color w:val="000000"/>
          <w:sz w:val="24"/>
          <w:szCs w:val="24"/>
          <w:lang w:val="en-US" w:eastAsia="zh-CN"/>
        </w:rPr>
        <w:t>苯酚</w:t>
      </w:r>
      <w:r>
        <w:rPr>
          <w:rFonts w:hint="eastAsia" w:hAnsi="宋体"/>
          <w:color w:val="000000"/>
          <w:sz w:val="24"/>
          <w:szCs w:val="24"/>
        </w:rPr>
        <w:t>在生产过程中挥发</w:t>
      </w:r>
      <w:r>
        <w:rPr>
          <w:rFonts w:hAnsi="宋体" w:eastAsia="宋体"/>
          <w:color w:val="000000"/>
          <w:sz w:val="24"/>
          <w:szCs w:val="28"/>
        </w:rPr>
        <w:t>计算，</w:t>
      </w:r>
      <w:r>
        <w:rPr>
          <w:rFonts w:hint="eastAsia" w:hAnsi="宋体"/>
          <w:color w:val="000000"/>
          <w:sz w:val="24"/>
          <w:szCs w:val="24"/>
          <w:lang w:eastAsia="zh-CN"/>
        </w:rPr>
        <w:t>则</w:t>
      </w:r>
      <w:r>
        <w:rPr>
          <w:rFonts w:hint="eastAsia" w:hAnsi="宋体"/>
          <w:color w:val="000000"/>
          <w:sz w:val="24"/>
          <w:szCs w:val="24"/>
          <w:lang w:val="en-US" w:eastAsia="zh-CN"/>
        </w:rPr>
        <w:t>项目热压、贴面过程</w:t>
      </w:r>
      <w:r>
        <w:rPr>
          <w:rFonts w:hint="eastAsia" w:hAnsi="宋体"/>
          <w:color w:val="000000"/>
          <w:sz w:val="24"/>
          <w:szCs w:val="24"/>
        </w:rPr>
        <w:t>中</w:t>
      </w:r>
      <w:r>
        <w:rPr>
          <w:rFonts w:hint="eastAsia" w:hAnsi="宋体"/>
          <w:color w:val="000000"/>
          <w:sz w:val="24"/>
          <w:szCs w:val="24"/>
          <w:lang w:eastAsia="zh-CN"/>
        </w:rPr>
        <w:t>甲醛产生量为</w:t>
      </w:r>
      <w:r>
        <w:rPr>
          <w:rFonts w:hint="eastAsia" w:hAnsi="宋体"/>
          <w:color w:val="000000"/>
          <w:sz w:val="24"/>
          <w:szCs w:val="24"/>
          <w:lang w:val="en-US" w:eastAsia="zh-CN"/>
        </w:rPr>
        <w:t>8.1t</w:t>
      </w:r>
      <w:r>
        <w:rPr>
          <w:rFonts w:hint="eastAsia" w:hAnsi="宋体"/>
          <w:color w:val="000000"/>
          <w:sz w:val="24"/>
          <w:szCs w:val="24"/>
        </w:rPr>
        <w:t>/a</w:t>
      </w:r>
      <w:r>
        <w:rPr>
          <w:rFonts w:hint="eastAsia" w:hAnsi="宋体"/>
          <w:color w:val="000000"/>
          <w:sz w:val="24"/>
          <w:szCs w:val="24"/>
          <w:lang w:eastAsia="zh-CN"/>
        </w:rPr>
        <w:t>、</w:t>
      </w:r>
      <w:r>
        <w:rPr>
          <w:rFonts w:hint="eastAsia" w:hAnsi="宋体"/>
          <w:color w:val="000000"/>
          <w:sz w:val="24"/>
          <w:szCs w:val="24"/>
          <w:lang w:val="en-US" w:eastAsia="zh-CN"/>
        </w:rPr>
        <w:t>酚类产生量为9t/a</w:t>
      </w:r>
      <w:r>
        <w:rPr>
          <w:rFonts w:hint="eastAsia" w:hAnsi="宋体"/>
          <w:color w:val="000000"/>
          <w:sz w:val="24"/>
          <w:szCs w:val="24"/>
          <w:lang w:eastAsia="zh-CN"/>
        </w:rPr>
        <w:t>；</w:t>
      </w:r>
      <w:r>
        <w:rPr>
          <w:rFonts w:hint="eastAsia"/>
          <w:szCs w:val="22"/>
          <w:lang w:val="en-US" w:eastAsia="zh-CN"/>
        </w:rPr>
        <w:t>树脂胶废气中排放的 VOCs 主要为非甲烷总烃，根据</w:t>
      </w:r>
      <w:r>
        <w:rPr>
          <w:szCs w:val="22"/>
          <w:lang w:val="zh-CN" w:eastAsia="zh-CN"/>
        </w:rPr>
        <w:t>《合成树脂工业污染物排放标准》（GB31572-2015）表4</w:t>
      </w:r>
      <w:r>
        <w:rPr>
          <w:rFonts w:hint="eastAsia"/>
          <w:szCs w:val="22"/>
          <w:lang w:val="en-US" w:eastAsia="zh-CN"/>
        </w:rPr>
        <w:t>单位产品非甲烷总烃排放量为0.2kg/t</w:t>
      </w:r>
      <w:r>
        <w:rPr>
          <w:rFonts w:hint="eastAsia"/>
          <w:szCs w:val="22"/>
          <w:lang w:val="zh-CN" w:eastAsia="zh-CN"/>
        </w:rPr>
        <w:t>，</w:t>
      </w:r>
      <w:r>
        <w:rPr>
          <w:rFonts w:hint="eastAsia"/>
          <w:szCs w:val="22"/>
          <w:lang w:val="en-US" w:eastAsia="zh-CN"/>
        </w:rPr>
        <w:t>因此 VOCs 产生量为1.8t/a。</w:t>
      </w:r>
      <w:r>
        <w:rPr>
          <w:rFonts w:hint="eastAsia"/>
          <w:sz w:val="24"/>
          <w:szCs w:val="24"/>
          <w:lang w:val="en-US" w:eastAsia="zh-CN"/>
        </w:rPr>
        <w:t>环</w:t>
      </w:r>
      <w:r>
        <w:rPr>
          <w:rFonts w:hint="eastAsia"/>
          <w:color w:val="FF0000"/>
          <w:sz w:val="24"/>
          <w:szCs w:val="24"/>
          <w:lang w:val="en-US" w:eastAsia="zh-CN"/>
        </w:rPr>
        <w:t>评要求与制胶废气共用</w:t>
      </w:r>
      <w:r>
        <w:rPr>
          <w:rFonts w:hint="eastAsia" w:ascii="Times New Roman" w:hAnsi="Times New Roman" w:eastAsia="宋体" w:cs="Times New Roman"/>
          <w:bCs w:val="0"/>
          <w:color w:val="FF0000"/>
          <w:sz w:val="24"/>
          <w:szCs w:val="24"/>
          <w:lang w:val="en-US" w:eastAsia="zh-CN" w:bidi="ar-SA"/>
        </w:rPr>
        <w:t>1套UV光催化活性炭吸附一体设备收集废气</w:t>
      </w:r>
      <w:r>
        <w:rPr>
          <w:rFonts w:hint="eastAsia" w:ascii="Times New Roman" w:hAnsi="Times New Roman" w:eastAsia="宋体" w:cs="Times New Roman"/>
          <w:bCs w:val="0"/>
          <w:color w:val="000000"/>
          <w:sz w:val="24"/>
          <w:szCs w:val="24"/>
          <w:lang w:val="en-US" w:eastAsia="zh-CN" w:bidi="ar-SA"/>
        </w:rPr>
        <w:t>，风量为10000m</w:t>
      </w:r>
      <w:r>
        <w:rPr>
          <w:rFonts w:hint="eastAsia" w:ascii="Times New Roman" w:hAnsi="Times New Roman" w:eastAsia="宋体" w:cs="Times New Roman"/>
          <w:bCs w:val="0"/>
          <w:color w:val="000000"/>
          <w:sz w:val="24"/>
          <w:szCs w:val="24"/>
          <w:vertAlign w:val="superscript"/>
          <w:lang w:val="en-US" w:eastAsia="zh-CN" w:bidi="ar-SA"/>
        </w:rPr>
        <w:t>3</w:t>
      </w:r>
      <w:r>
        <w:rPr>
          <w:rFonts w:hint="eastAsia" w:ascii="Times New Roman" w:hAnsi="Times New Roman" w:eastAsia="宋体" w:cs="Times New Roman"/>
          <w:bCs w:val="0"/>
          <w:color w:val="000000"/>
          <w:sz w:val="24"/>
          <w:szCs w:val="24"/>
          <w:lang w:val="en-US" w:eastAsia="zh-CN" w:bidi="ar-SA"/>
        </w:rPr>
        <w:t>/h，处理后废气通过1根</w:t>
      </w:r>
      <w:r>
        <w:rPr>
          <w:rFonts w:hint="eastAsia" w:ascii="Times New Roman" w:hAnsi="Times New Roman" w:eastAsia="宋体" w:cs="Times New Roman"/>
          <w:color w:val="000000"/>
          <w:sz w:val="24"/>
          <w:szCs w:val="24"/>
          <w:lang w:val="en-US" w:eastAsia="zh-CN" w:bidi="ar-SA"/>
        </w:rPr>
        <w:t>15m高排气筒</w:t>
      </w:r>
      <w:r>
        <w:rPr>
          <w:rFonts w:hint="eastAsia"/>
          <w:sz w:val="24"/>
          <w:szCs w:val="24"/>
          <w:lang w:val="en-US" w:eastAsia="zh-CN"/>
        </w:rPr>
        <w:t>排放（</w:t>
      </w:r>
      <w:r>
        <w:rPr>
          <w:rFonts w:hint="eastAsia"/>
          <w:color w:val="FF0000"/>
          <w:sz w:val="24"/>
          <w:szCs w:val="24"/>
          <w:lang w:val="en-US" w:eastAsia="zh-CN"/>
        </w:rPr>
        <w:t>编号P2</w:t>
      </w:r>
      <w:r>
        <w:rPr>
          <w:rFonts w:hint="eastAsia"/>
          <w:sz w:val="24"/>
          <w:szCs w:val="24"/>
          <w:lang w:val="en-US" w:eastAsia="zh-CN"/>
        </w:rPr>
        <w:t>）。净化效率为90%，经过净化处理后的甲醛排放量为0.81t/a，排放速率为0.11kg/h，排放浓度为11mg/m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sz w:val="24"/>
          <w:szCs w:val="24"/>
          <w:lang w:val="en-US" w:eastAsia="zh-CN"/>
        </w:rPr>
        <w:t>苯酚排放量为0.9t/a，排放速率为0.1kg/h，排放浓度为10mg/m</w:t>
      </w:r>
      <w:r>
        <w:rPr>
          <w:rFonts w:hint="eastAsia"/>
          <w:sz w:val="24"/>
          <w:szCs w:val="24"/>
          <w:vertAlign w:val="superscript"/>
          <w:lang w:val="en-US" w:eastAsia="zh-CN"/>
        </w:rPr>
        <w:t>3</w:t>
      </w:r>
      <w:r>
        <w:rPr>
          <w:rFonts w:hint="eastAsia"/>
          <w:sz w:val="24"/>
          <w:szCs w:val="24"/>
          <w:vertAlign w:val="baseline"/>
          <w:lang w:val="en-US" w:eastAsia="zh-CN"/>
        </w:rPr>
        <w:t>，VOCs排放量为0.18t/a，排放速率0.025</w:t>
      </w:r>
      <w:r>
        <w:rPr>
          <w:rFonts w:hint="eastAsia"/>
          <w:sz w:val="24"/>
          <w:szCs w:val="24"/>
          <w:lang w:val="en-US" w:eastAsia="zh-CN"/>
        </w:rPr>
        <w:t>kg/h，排放浓度为2.5mg/m</w:t>
      </w:r>
      <w:r>
        <w:rPr>
          <w:rFonts w:hint="eastAsia"/>
          <w:sz w:val="24"/>
          <w:szCs w:val="24"/>
          <w:vertAlign w:val="superscript"/>
          <w:lang w:val="en-US" w:eastAsia="zh-CN"/>
        </w:rPr>
        <w:t>3</w:t>
      </w:r>
      <w:r>
        <w:rPr>
          <w:rFonts w:hint="eastAsia"/>
          <w:sz w:val="24"/>
          <w:szCs w:val="24"/>
          <w:vertAlign w:val="baseline"/>
          <w:lang w:val="en-US" w:eastAsia="zh-CN"/>
        </w:rPr>
        <w:t>；能够满足</w:t>
      </w:r>
      <w:r>
        <w:rPr>
          <w:rFonts w:hint="eastAsia" w:ascii="Calibri" w:hAnsi="Calibri" w:eastAsia="宋体" w:cs="Calibri"/>
          <w:sz w:val="24"/>
          <w:szCs w:val="24"/>
          <w:lang w:val="en-US" w:eastAsia="zh-CN"/>
        </w:rPr>
        <w:t>《大气污染物综合排放标准》（GB16297-1996）表2甲醛</w:t>
      </w:r>
      <w:r>
        <w:rPr>
          <w:rFonts w:ascii="Arial" w:hAnsi="Arial" w:eastAsia="宋体" w:cs="Arial"/>
          <w:sz w:val="24"/>
          <w:szCs w:val="24"/>
          <w:lang w:val="en-US" w:eastAsia="zh-CN"/>
        </w:rPr>
        <w:t>≤</w:t>
      </w:r>
      <w:r>
        <w:rPr>
          <w:rFonts w:hint="eastAsia" w:ascii="Calibri" w:hAnsi="Calibri" w:eastAsia="宋体" w:cs="Calibri"/>
          <w:sz w:val="24"/>
          <w:szCs w:val="24"/>
          <w:lang w:val="en-US" w:eastAsia="zh-CN"/>
        </w:rPr>
        <w:t>25</w:t>
      </w:r>
      <w:r>
        <w:rPr>
          <w:rFonts w:hint="eastAsia"/>
          <w:sz w:val="24"/>
          <w:szCs w:val="24"/>
          <w:lang w:val="en-US" w:eastAsia="zh-CN"/>
        </w:rPr>
        <w:t>mg/m</w:t>
      </w:r>
      <w:r>
        <w:rPr>
          <w:rFonts w:hint="eastAsia"/>
          <w:sz w:val="24"/>
          <w:szCs w:val="24"/>
          <w:vertAlign w:val="superscript"/>
          <w:lang w:val="en-US" w:eastAsia="zh-CN"/>
        </w:rPr>
        <w:t>3</w:t>
      </w:r>
      <w:r>
        <w:rPr>
          <w:rFonts w:hint="eastAsia" w:ascii="Calibri" w:hAnsi="Calibri" w:eastAsia="宋体" w:cs="Calibri"/>
          <w:sz w:val="24"/>
          <w:szCs w:val="24"/>
          <w:lang w:val="en-US" w:eastAsia="zh-CN"/>
        </w:rPr>
        <w:t>、酚类</w:t>
      </w:r>
      <w:r>
        <w:rPr>
          <w:rFonts w:ascii="Arial" w:hAnsi="Arial" w:eastAsia="宋体" w:cs="Arial"/>
          <w:sz w:val="24"/>
          <w:szCs w:val="24"/>
          <w:lang w:val="en-US" w:eastAsia="zh-CN"/>
        </w:rPr>
        <w:t>≤</w:t>
      </w:r>
      <w:r>
        <w:rPr>
          <w:rFonts w:hint="eastAsia" w:ascii="Calibri" w:hAnsi="Calibri" w:eastAsia="宋体" w:cs="Calibri"/>
          <w:sz w:val="24"/>
          <w:szCs w:val="24"/>
          <w:lang w:val="en-US" w:eastAsia="zh-CN"/>
        </w:rPr>
        <w:t>100</w:t>
      </w:r>
      <w:r>
        <w:rPr>
          <w:rFonts w:hint="eastAsia"/>
          <w:sz w:val="24"/>
          <w:szCs w:val="24"/>
          <w:lang w:val="en-US" w:eastAsia="zh-CN"/>
        </w:rPr>
        <w:t>mg/m</w:t>
      </w:r>
      <w:r>
        <w:rPr>
          <w:rFonts w:hint="eastAsia"/>
          <w:sz w:val="24"/>
          <w:szCs w:val="24"/>
          <w:vertAlign w:val="superscript"/>
          <w:lang w:val="en-US" w:eastAsia="zh-CN"/>
        </w:rPr>
        <w:t>3</w:t>
      </w:r>
      <w:r>
        <w:rPr>
          <w:rFonts w:hint="eastAsia"/>
          <w:sz w:val="24"/>
          <w:szCs w:val="24"/>
          <w:vertAlign w:val="baseline"/>
          <w:lang w:val="en-US" w:eastAsia="zh-CN"/>
        </w:rPr>
        <w:t>、非甲烷总烃</w:t>
      </w:r>
      <w:r>
        <w:rPr>
          <w:rFonts w:ascii="Arial" w:hAnsi="Arial" w:eastAsia="宋体" w:cs="Arial"/>
          <w:sz w:val="24"/>
          <w:szCs w:val="24"/>
          <w:lang w:val="en-US" w:eastAsia="zh-CN"/>
        </w:rPr>
        <w:t>≤</w:t>
      </w:r>
      <w:r>
        <w:rPr>
          <w:rFonts w:hint="eastAsia" w:ascii="Calibri" w:hAnsi="Calibri" w:eastAsia="宋体" w:cs="Calibri"/>
          <w:sz w:val="24"/>
          <w:szCs w:val="24"/>
          <w:lang w:val="en-US" w:eastAsia="zh-CN"/>
        </w:rPr>
        <w:t>120</w:t>
      </w:r>
      <w:r>
        <w:rPr>
          <w:rFonts w:hint="eastAsia"/>
          <w:sz w:val="24"/>
          <w:szCs w:val="24"/>
          <w:lang w:val="en-US" w:eastAsia="zh-CN"/>
        </w:rPr>
        <w:t>mg/m</w:t>
      </w:r>
      <w:r>
        <w:rPr>
          <w:rFonts w:hint="eastAsia"/>
          <w:sz w:val="24"/>
          <w:szCs w:val="24"/>
          <w:vertAlign w:val="superscript"/>
          <w:lang w:val="en-US" w:eastAsia="zh-CN"/>
        </w:rPr>
        <w:t>3</w:t>
      </w:r>
      <w:r>
        <w:rPr>
          <w:rFonts w:hint="eastAsia" w:ascii="Calibri" w:hAnsi="Calibri" w:eastAsia="宋体" w:cs="Calibri"/>
          <w:sz w:val="24"/>
          <w:szCs w:val="24"/>
          <w:lang w:val="en-US" w:eastAsia="zh-CN"/>
        </w:rPr>
        <w:t>标准限值。</w:t>
      </w:r>
    </w:p>
    <w:p w14:paraId="242AC1B2">
      <w:pPr>
        <w:ind w:left="-2" w:firstLine="480"/>
        <w:rPr>
          <w:rFonts w:eastAsia="宋体"/>
          <w:lang w:val="en-US" w:eastAsia="zh-CN"/>
        </w:rPr>
      </w:pPr>
      <w:r>
        <w:rPr>
          <w:rFonts w:hint="eastAsia"/>
          <w:lang w:val="en-US" w:eastAsia="zh-CN"/>
        </w:rPr>
        <w:t>2、供热系统废气（G6）</w:t>
      </w:r>
    </w:p>
    <w:p w14:paraId="51ABEC2C">
      <w:pPr>
        <w:ind w:right="192"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本项目采用1台</w:t>
      </w:r>
      <w:r>
        <w:rPr>
          <w:rFonts w:ascii="Times New Roman" w:hAnsi="Times New Roman" w:eastAsia="宋体" w:cs="Times New Roman"/>
          <w:color w:val="000000"/>
          <w:sz w:val="24"/>
          <w:szCs w:val="24"/>
          <w:lang w:val="en-US" w:eastAsia="zh-CN"/>
        </w:rPr>
        <w:t>型号为</w:t>
      </w:r>
      <w:r>
        <w:rPr>
          <w:rFonts w:ascii="Times New Roman" w:hAnsi="Times New Roman" w:eastAsia="宋体" w:cs="Times New Roman"/>
          <w:color w:val="000000"/>
          <w:sz w:val="24"/>
          <w:szCs w:val="24"/>
        </w:rPr>
        <w:t>YGL-12000</w:t>
      </w:r>
      <w:r>
        <w:rPr>
          <w:rFonts w:ascii="Times New Roman" w:hAnsi="Times New Roman" w:eastAsia="宋体" w:cs="Times New Roman"/>
          <w:color w:val="000000"/>
          <w:sz w:val="24"/>
          <w:szCs w:val="24"/>
          <w:lang w:val="en-US" w:eastAsia="zh-CN"/>
        </w:rPr>
        <w:t>有机热载体炉和1台6t/h蒸汽锅炉（备用），为本项目提供导热油及</w:t>
      </w:r>
      <w:r>
        <w:rPr>
          <w:rFonts w:ascii="Times New Roman" w:hAnsi="Times New Roman" w:eastAsia="宋体" w:cs="Times New Roman"/>
          <w:color w:val="000000"/>
          <w:sz w:val="24"/>
          <w:szCs w:val="24"/>
        </w:rPr>
        <w:t>蒸汽</w:t>
      </w:r>
      <w:r>
        <w:rPr>
          <w:rFonts w:ascii="Times New Roman" w:hAnsi="Times New Roman" w:eastAsia="宋体" w:cs="Times New Roman"/>
          <w:color w:val="000000"/>
          <w:sz w:val="24"/>
          <w:szCs w:val="24"/>
          <w:lang w:val="en-US" w:eastAsia="zh-CN"/>
        </w:rPr>
        <w:t>作为热源</w:t>
      </w:r>
      <w:r>
        <w:rPr>
          <w:rFonts w:ascii="Times New Roman" w:hAnsi="Times New Roman" w:eastAsia="宋体" w:cs="Times New Roman"/>
          <w:color w:val="000000"/>
          <w:sz w:val="24"/>
          <w:szCs w:val="24"/>
        </w:rPr>
        <w:t>，根据</w:t>
      </w:r>
      <w:r>
        <w:rPr>
          <w:rFonts w:ascii="Times New Roman" w:hAnsi="Times New Roman" w:eastAsia="宋体" w:cs="Times New Roman"/>
          <w:color w:val="000000"/>
          <w:sz w:val="24"/>
          <w:szCs w:val="24"/>
          <w:lang w:val="en-US" w:eastAsia="zh-CN"/>
        </w:rPr>
        <w:t>建设方</w:t>
      </w:r>
      <w:r>
        <w:rPr>
          <w:rFonts w:ascii="Times New Roman" w:hAnsi="Times New Roman" w:eastAsia="宋体" w:cs="Times New Roman"/>
          <w:color w:val="000000"/>
          <w:sz w:val="24"/>
          <w:szCs w:val="24"/>
        </w:rPr>
        <w:t>提供的资料，</w:t>
      </w:r>
      <w:r>
        <w:rPr>
          <w:rFonts w:ascii="Times New Roman" w:hAnsi="Times New Roman" w:eastAsia="宋体" w:cs="Times New Roman"/>
          <w:color w:val="000000"/>
          <w:sz w:val="24"/>
          <w:szCs w:val="24"/>
          <w:lang w:val="en-US" w:eastAsia="zh-CN"/>
        </w:rPr>
        <w:t>项目采用废边角料作为燃料，属于生物质燃料，</w:t>
      </w:r>
      <w:r>
        <w:rPr>
          <w:rFonts w:ascii="Times New Roman" w:hAnsi="Times New Roman" w:eastAsia="宋体" w:cs="Times New Roman"/>
          <w:color w:val="000000"/>
          <w:sz w:val="24"/>
          <w:szCs w:val="24"/>
        </w:rPr>
        <w:t>每</w:t>
      </w:r>
      <w:r>
        <w:rPr>
          <w:rFonts w:ascii="Times New Roman" w:hAnsi="Times New Roman" w:eastAsia="宋体" w:cs="Times New Roman"/>
          <w:color w:val="000000"/>
          <w:sz w:val="24"/>
          <w:szCs w:val="24"/>
          <w:lang w:val="en-US" w:eastAsia="zh-CN"/>
        </w:rPr>
        <w:t>日用量为30t，平均1250</w:t>
      </w:r>
      <w:r>
        <w:rPr>
          <w:rFonts w:ascii="Times New Roman" w:hAnsi="Times New Roman" w:eastAsia="宋体" w:cs="Times New Roman"/>
          <w:color w:val="000000"/>
          <w:sz w:val="24"/>
          <w:szCs w:val="24"/>
        </w:rPr>
        <w:t>kg</w:t>
      </w:r>
      <w:r>
        <w:rPr>
          <w:rFonts w:ascii="Times New Roman" w:hAnsi="Times New Roman" w:eastAsia="宋体" w:cs="Times New Roman"/>
          <w:color w:val="000000"/>
          <w:sz w:val="24"/>
          <w:szCs w:val="24"/>
          <w:lang w:val="en-US" w:eastAsia="zh-CN"/>
        </w:rPr>
        <w:t>/小时</w:t>
      </w:r>
      <w:r>
        <w:rPr>
          <w:rFonts w:ascii="Times New Roman" w:hAnsi="Times New Roman" w:eastAsia="宋体" w:cs="Times New Roman"/>
          <w:color w:val="000000"/>
          <w:sz w:val="24"/>
          <w:szCs w:val="24"/>
        </w:rPr>
        <w:t>，本次环评对</w:t>
      </w:r>
      <w:r>
        <w:rPr>
          <w:rFonts w:ascii="Times New Roman" w:hAnsi="Times New Roman" w:eastAsia="宋体" w:cs="Times New Roman"/>
          <w:color w:val="000000"/>
          <w:sz w:val="24"/>
          <w:szCs w:val="24"/>
          <w:lang w:val="en-US" w:eastAsia="zh-CN"/>
        </w:rPr>
        <w:t>供热系统的</w:t>
      </w:r>
      <w:r>
        <w:rPr>
          <w:rFonts w:ascii="Times New Roman" w:hAnsi="Times New Roman" w:eastAsia="宋体" w:cs="Times New Roman"/>
          <w:color w:val="000000"/>
          <w:sz w:val="24"/>
          <w:szCs w:val="24"/>
        </w:rPr>
        <w:t>废气量按照满负荷运行</w:t>
      </w:r>
      <w:r>
        <w:rPr>
          <w:rFonts w:ascii="Times New Roman" w:hAnsi="Times New Roman" w:eastAsia="宋体" w:cs="Times New Roman"/>
          <w:color w:val="000000"/>
          <w:sz w:val="24"/>
          <w:szCs w:val="24"/>
          <w:lang w:val="en-US" w:eastAsia="zh-CN"/>
        </w:rPr>
        <w:t>最大量</w:t>
      </w:r>
      <w:r>
        <w:rPr>
          <w:rFonts w:ascii="Times New Roman" w:hAnsi="Times New Roman" w:eastAsia="宋体" w:cs="Times New Roman"/>
          <w:color w:val="000000"/>
          <w:sz w:val="24"/>
          <w:szCs w:val="24"/>
        </w:rPr>
        <w:t>来进行核算，运行300天，每天运行24小时，则用量约为</w:t>
      </w:r>
      <w:r>
        <w:rPr>
          <w:rFonts w:ascii="Times New Roman" w:hAnsi="Times New Roman" w:eastAsia="宋体" w:cs="Times New Roman"/>
          <w:color w:val="000000"/>
          <w:sz w:val="24"/>
          <w:szCs w:val="24"/>
          <w:lang w:val="en-US" w:eastAsia="zh-CN"/>
        </w:rPr>
        <w:t>9000</w:t>
      </w:r>
      <w:r>
        <w:rPr>
          <w:rFonts w:ascii="Times New Roman" w:hAnsi="Times New Roman" w:eastAsia="宋体" w:cs="Times New Roman"/>
          <w:color w:val="000000"/>
          <w:sz w:val="24"/>
          <w:szCs w:val="24"/>
        </w:rPr>
        <w:t>t/a。</w:t>
      </w:r>
    </w:p>
    <w:p w14:paraId="681AEA51">
      <w:pPr>
        <w:ind w:right="192" w:firstLine="480"/>
        <w:rPr>
          <w:rFonts w:eastAsia="宋体"/>
          <w:szCs w:val="24"/>
          <w:lang w:val="en-US" w:eastAsia="zh-CN"/>
        </w:rPr>
      </w:pPr>
      <w:r>
        <w:rPr>
          <w:szCs w:val="24"/>
        </w:rPr>
        <w:t>根据</w:t>
      </w:r>
      <w:r>
        <w:rPr>
          <w:rFonts w:hint="eastAsia"/>
          <w:szCs w:val="24"/>
          <w:lang w:val="en-US" w:eastAsia="zh-CN"/>
        </w:rPr>
        <w:t>2016年6月22日保山谱利分析测试有限公司出具的年检报告（谱利检字[2016]-018号），锅炉经过水膜除尘器后的烟气的检测结果如下：</w:t>
      </w:r>
    </w:p>
    <w:p w14:paraId="409BF993">
      <w:pPr>
        <w:ind w:right="192" w:firstLine="480"/>
        <w:jc w:val="center"/>
        <w:rPr>
          <w:rFonts w:hint="eastAsia"/>
          <w:b/>
          <w:bCs/>
          <w:szCs w:val="24"/>
          <w:lang w:val="en-US" w:eastAsia="zh-CN"/>
        </w:rPr>
      </w:pPr>
      <w:r>
        <w:rPr>
          <w:rFonts w:hint="eastAsia"/>
          <w:b/>
          <w:bCs/>
          <w:szCs w:val="24"/>
          <w:lang w:val="en-US" w:eastAsia="zh-CN"/>
        </w:rPr>
        <w:t>表4.3-3   锅炉烟气监测结果表（2016年）</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1823"/>
        <w:gridCol w:w="1328"/>
        <w:gridCol w:w="863"/>
        <w:gridCol w:w="869"/>
        <w:gridCol w:w="957"/>
        <w:gridCol w:w="1029"/>
        <w:gridCol w:w="1029"/>
        <w:gridCol w:w="941"/>
      </w:tblGrid>
      <w:tr w14:paraId="44044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noWrap w:val="0"/>
            <w:vAlign w:val="center"/>
          </w:tcPr>
          <w:p w14:paraId="5415C732">
            <w:pPr>
              <w:widowControl w:val="0"/>
              <w:ind w:left="0" w:right="192"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采样点位</w:t>
            </w:r>
          </w:p>
        </w:tc>
        <w:tc>
          <w:tcPr>
            <w:tcW w:w="1823" w:type="dxa"/>
            <w:vMerge w:val="restart"/>
            <w:noWrap w:val="0"/>
            <w:vAlign w:val="center"/>
          </w:tcPr>
          <w:p w14:paraId="456FA89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样品编号</w:t>
            </w:r>
          </w:p>
        </w:tc>
        <w:tc>
          <w:tcPr>
            <w:tcW w:w="1328" w:type="dxa"/>
            <w:vMerge w:val="restart"/>
            <w:noWrap w:val="0"/>
            <w:vAlign w:val="center"/>
          </w:tcPr>
          <w:p w14:paraId="32B3AFD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采样日期</w:t>
            </w:r>
          </w:p>
        </w:tc>
        <w:tc>
          <w:tcPr>
            <w:tcW w:w="863" w:type="dxa"/>
            <w:vMerge w:val="restart"/>
            <w:noWrap w:val="0"/>
            <w:vAlign w:val="center"/>
          </w:tcPr>
          <w:p w14:paraId="36D3FA6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采样频次</w:t>
            </w:r>
          </w:p>
        </w:tc>
        <w:tc>
          <w:tcPr>
            <w:tcW w:w="869" w:type="dxa"/>
            <w:vMerge w:val="restart"/>
            <w:noWrap w:val="0"/>
            <w:vAlign w:val="center"/>
          </w:tcPr>
          <w:p w14:paraId="0E0FB74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项目名称</w:t>
            </w:r>
          </w:p>
        </w:tc>
        <w:tc>
          <w:tcPr>
            <w:tcW w:w="3956" w:type="dxa"/>
            <w:gridSpan w:val="4"/>
            <w:noWrap w:val="0"/>
            <w:vAlign w:val="center"/>
          </w:tcPr>
          <w:p w14:paraId="2810C13A">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监测结果</w:t>
            </w:r>
          </w:p>
        </w:tc>
      </w:tr>
      <w:tr w14:paraId="4CC09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53005F16">
            <w:pPr>
              <w:widowControl w:val="0"/>
              <w:ind w:right="192"/>
              <w:jc w:val="center"/>
              <w:rPr>
                <w:rFonts w:ascii="Times New Roman" w:hAnsi="Times New Roman" w:eastAsia="宋体" w:cs="Times New Roman"/>
                <w:sz w:val="21"/>
                <w:szCs w:val="21"/>
                <w:vertAlign w:val="baseline"/>
              </w:rPr>
            </w:pPr>
          </w:p>
        </w:tc>
        <w:tc>
          <w:tcPr>
            <w:tcW w:w="1823" w:type="dxa"/>
            <w:vMerge w:val="continue"/>
            <w:noWrap w:val="0"/>
            <w:vAlign w:val="center"/>
          </w:tcPr>
          <w:p w14:paraId="42BAF80B">
            <w:pPr>
              <w:widowControl w:val="0"/>
              <w:ind w:right="192"/>
              <w:jc w:val="center"/>
              <w:rPr>
                <w:rFonts w:ascii="Times New Roman" w:hAnsi="Times New Roman" w:eastAsia="宋体" w:cs="Times New Roman"/>
                <w:sz w:val="21"/>
                <w:szCs w:val="21"/>
                <w:vertAlign w:val="baseline"/>
              </w:rPr>
            </w:pPr>
          </w:p>
        </w:tc>
        <w:tc>
          <w:tcPr>
            <w:tcW w:w="1328" w:type="dxa"/>
            <w:vMerge w:val="continue"/>
            <w:noWrap w:val="0"/>
            <w:vAlign w:val="center"/>
          </w:tcPr>
          <w:p w14:paraId="2667C301">
            <w:pPr>
              <w:widowControl w:val="0"/>
              <w:ind w:right="192"/>
              <w:jc w:val="center"/>
              <w:rPr>
                <w:rFonts w:ascii="Times New Roman" w:hAnsi="Times New Roman" w:eastAsia="宋体" w:cs="Times New Roman"/>
                <w:sz w:val="21"/>
                <w:szCs w:val="21"/>
                <w:vertAlign w:val="baseline"/>
              </w:rPr>
            </w:pPr>
          </w:p>
        </w:tc>
        <w:tc>
          <w:tcPr>
            <w:tcW w:w="863" w:type="dxa"/>
            <w:vMerge w:val="continue"/>
            <w:noWrap w:val="0"/>
            <w:vAlign w:val="center"/>
          </w:tcPr>
          <w:p w14:paraId="7CA941A8">
            <w:pPr>
              <w:widowControl w:val="0"/>
              <w:ind w:right="192"/>
              <w:jc w:val="center"/>
              <w:rPr>
                <w:rFonts w:ascii="Times New Roman" w:hAnsi="Times New Roman" w:eastAsia="宋体" w:cs="Times New Roman"/>
                <w:sz w:val="21"/>
                <w:szCs w:val="21"/>
                <w:vertAlign w:val="baseline"/>
              </w:rPr>
            </w:pPr>
          </w:p>
        </w:tc>
        <w:tc>
          <w:tcPr>
            <w:tcW w:w="869" w:type="dxa"/>
            <w:vMerge w:val="continue"/>
            <w:noWrap w:val="0"/>
            <w:vAlign w:val="center"/>
          </w:tcPr>
          <w:p w14:paraId="34C21E34">
            <w:pPr>
              <w:widowControl w:val="0"/>
              <w:ind w:right="192"/>
              <w:jc w:val="center"/>
              <w:rPr>
                <w:rFonts w:ascii="Times New Roman" w:hAnsi="Times New Roman" w:eastAsia="宋体" w:cs="Times New Roman"/>
                <w:sz w:val="21"/>
                <w:szCs w:val="21"/>
                <w:vertAlign w:val="baseline"/>
              </w:rPr>
            </w:pPr>
          </w:p>
        </w:tc>
        <w:tc>
          <w:tcPr>
            <w:tcW w:w="957" w:type="dxa"/>
            <w:noWrap w:val="0"/>
            <w:vAlign w:val="center"/>
          </w:tcPr>
          <w:p w14:paraId="339910D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标况流量m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vertAlign w:val="baseline"/>
                <w:lang w:val="en-US" w:eastAsia="zh-CN"/>
              </w:rPr>
              <w:t>/h</w:t>
            </w:r>
          </w:p>
        </w:tc>
        <w:tc>
          <w:tcPr>
            <w:tcW w:w="1029" w:type="dxa"/>
            <w:noWrap w:val="0"/>
            <w:vAlign w:val="center"/>
          </w:tcPr>
          <w:p w14:paraId="5F9DF21B">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实测浓度mg/m</w:t>
            </w:r>
            <w:r>
              <w:rPr>
                <w:rFonts w:hint="eastAsia" w:ascii="Times New Roman" w:hAnsi="Times New Roman" w:eastAsia="宋体" w:cs="Times New Roman"/>
                <w:sz w:val="21"/>
                <w:szCs w:val="21"/>
                <w:vertAlign w:val="superscript"/>
                <w:lang w:val="en-US" w:eastAsia="zh-CN"/>
              </w:rPr>
              <w:t>3</w:t>
            </w:r>
          </w:p>
        </w:tc>
        <w:tc>
          <w:tcPr>
            <w:tcW w:w="1029" w:type="dxa"/>
            <w:noWrap w:val="0"/>
            <w:vAlign w:val="center"/>
          </w:tcPr>
          <w:p w14:paraId="58B1042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排放浓度mg/m</w:t>
            </w:r>
            <w:r>
              <w:rPr>
                <w:rFonts w:hint="eastAsia" w:ascii="Times New Roman" w:hAnsi="Times New Roman" w:eastAsia="宋体" w:cs="Times New Roman"/>
                <w:sz w:val="21"/>
                <w:szCs w:val="21"/>
                <w:vertAlign w:val="superscript"/>
                <w:lang w:val="en-US" w:eastAsia="zh-CN"/>
              </w:rPr>
              <w:t>3</w:t>
            </w:r>
          </w:p>
        </w:tc>
        <w:tc>
          <w:tcPr>
            <w:tcW w:w="941" w:type="dxa"/>
            <w:noWrap w:val="0"/>
            <w:vAlign w:val="center"/>
          </w:tcPr>
          <w:p w14:paraId="689D60F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排放量kg/h</w:t>
            </w:r>
          </w:p>
        </w:tc>
      </w:tr>
      <w:tr w14:paraId="0B4E4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noWrap w:val="0"/>
            <w:vAlign w:val="center"/>
          </w:tcPr>
          <w:p w14:paraId="2E600B2B">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锅炉（除尘器后）</w:t>
            </w:r>
          </w:p>
        </w:tc>
        <w:tc>
          <w:tcPr>
            <w:tcW w:w="1823" w:type="dxa"/>
            <w:noWrap w:val="0"/>
            <w:vAlign w:val="center"/>
          </w:tcPr>
          <w:p w14:paraId="4696C83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FQ160317-A-01</w:t>
            </w:r>
          </w:p>
        </w:tc>
        <w:tc>
          <w:tcPr>
            <w:tcW w:w="1328" w:type="dxa"/>
            <w:vMerge w:val="restart"/>
            <w:noWrap w:val="0"/>
            <w:vAlign w:val="center"/>
          </w:tcPr>
          <w:p w14:paraId="3DF95B7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2016-03-17</w:t>
            </w:r>
          </w:p>
        </w:tc>
        <w:tc>
          <w:tcPr>
            <w:tcW w:w="863" w:type="dxa"/>
            <w:noWrap w:val="0"/>
            <w:vAlign w:val="center"/>
          </w:tcPr>
          <w:p w14:paraId="2116786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869" w:type="dxa"/>
            <w:vMerge w:val="restart"/>
            <w:noWrap w:val="0"/>
            <w:vAlign w:val="center"/>
          </w:tcPr>
          <w:p w14:paraId="57190B89">
            <w:pPr>
              <w:widowControl w:val="0"/>
              <w:ind w:left="0" w:right="192"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烟尘</w:t>
            </w:r>
          </w:p>
        </w:tc>
        <w:tc>
          <w:tcPr>
            <w:tcW w:w="957" w:type="dxa"/>
            <w:noWrap w:val="0"/>
            <w:vAlign w:val="center"/>
          </w:tcPr>
          <w:p w14:paraId="06C54A1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21243</w:t>
            </w:r>
          </w:p>
        </w:tc>
        <w:tc>
          <w:tcPr>
            <w:tcW w:w="1029" w:type="dxa"/>
            <w:noWrap w:val="0"/>
            <w:vAlign w:val="center"/>
          </w:tcPr>
          <w:p w14:paraId="6D3D114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77.9</w:t>
            </w:r>
          </w:p>
        </w:tc>
        <w:tc>
          <w:tcPr>
            <w:tcW w:w="1029" w:type="dxa"/>
            <w:noWrap w:val="0"/>
            <w:vAlign w:val="center"/>
          </w:tcPr>
          <w:p w14:paraId="190FF74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128.6</w:t>
            </w:r>
          </w:p>
        </w:tc>
        <w:tc>
          <w:tcPr>
            <w:tcW w:w="941" w:type="dxa"/>
            <w:noWrap w:val="0"/>
            <w:vAlign w:val="center"/>
          </w:tcPr>
          <w:p w14:paraId="665A595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1.66</w:t>
            </w:r>
          </w:p>
        </w:tc>
      </w:tr>
      <w:tr w14:paraId="0147C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59D06B5B">
            <w:pPr>
              <w:widowControl w:val="0"/>
              <w:ind w:right="192"/>
              <w:jc w:val="center"/>
              <w:rPr>
                <w:rFonts w:ascii="Times New Roman" w:hAnsi="Times New Roman" w:eastAsia="宋体" w:cs="Times New Roman"/>
                <w:sz w:val="21"/>
                <w:szCs w:val="21"/>
                <w:vertAlign w:val="baseline"/>
              </w:rPr>
            </w:pPr>
          </w:p>
        </w:tc>
        <w:tc>
          <w:tcPr>
            <w:tcW w:w="1823" w:type="dxa"/>
            <w:noWrap w:val="0"/>
            <w:vAlign w:val="center"/>
          </w:tcPr>
          <w:p w14:paraId="1F0AD15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FQ160317-A-02</w:t>
            </w:r>
          </w:p>
        </w:tc>
        <w:tc>
          <w:tcPr>
            <w:tcW w:w="1328" w:type="dxa"/>
            <w:vMerge w:val="continue"/>
            <w:noWrap w:val="0"/>
            <w:vAlign w:val="center"/>
          </w:tcPr>
          <w:p w14:paraId="58CA1D89">
            <w:pPr>
              <w:widowControl w:val="0"/>
              <w:ind w:left="0" w:right="192" w:firstLine="0"/>
              <w:jc w:val="center"/>
              <w:rPr>
                <w:rFonts w:ascii="Times New Roman" w:hAnsi="Times New Roman" w:eastAsia="宋体" w:cs="Times New Roman"/>
                <w:sz w:val="21"/>
                <w:szCs w:val="21"/>
                <w:vertAlign w:val="baseline"/>
                <w:lang w:val="en-US" w:eastAsia="zh-CN"/>
              </w:rPr>
            </w:pPr>
          </w:p>
        </w:tc>
        <w:tc>
          <w:tcPr>
            <w:tcW w:w="863" w:type="dxa"/>
            <w:noWrap w:val="0"/>
            <w:vAlign w:val="center"/>
          </w:tcPr>
          <w:p w14:paraId="3C49045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第二次</w:t>
            </w:r>
          </w:p>
        </w:tc>
        <w:tc>
          <w:tcPr>
            <w:tcW w:w="869" w:type="dxa"/>
            <w:vMerge w:val="continue"/>
            <w:noWrap w:val="0"/>
            <w:vAlign w:val="top"/>
          </w:tcPr>
          <w:p w14:paraId="5B3E4F33">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4BD139D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21428</w:t>
            </w:r>
          </w:p>
        </w:tc>
        <w:tc>
          <w:tcPr>
            <w:tcW w:w="1029" w:type="dxa"/>
            <w:noWrap w:val="0"/>
            <w:vAlign w:val="center"/>
          </w:tcPr>
          <w:p w14:paraId="7D43FAC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70.1</w:t>
            </w:r>
          </w:p>
        </w:tc>
        <w:tc>
          <w:tcPr>
            <w:tcW w:w="1029" w:type="dxa"/>
            <w:noWrap w:val="0"/>
            <w:vAlign w:val="center"/>
          </w:tcPr>
          <w:p w14:paraId="1FBE1FD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128.9</w:t>
            </w:r>
          </w:p>
        </w:tc>
        <w:tc>
          <w:tcPr>
            <w:tcW w:w="941" w:type="dxa"/>
            <w:noWrap w:val="0"/>
            <w:vAlign w:val="center"/>
          </w:tcPr>
          <w:p w14:paraId="6693676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1.50</w:t>
            </w:r>
          </w:p>
        </w:tc>
      </w:tr>
      <w:tr w14:paraId="16943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43AC255E">
            <w:pPr>
              <w:widowControl w:val="0"/>
              <w:ind w:right="192"/>
              <w:jc w:val="center"/>
              <w:rPr>
                <w:rFonts w:ascii="Times New Roman" w:hAnsi="Times New Roman" w:eastAsia="宋体" w:cs="Times New Roman"/>
                <w:sz w:val="21"/>
                <w:szCs w:val="21"/>
                <w:vertAlign w:val="baseline"/>
              </w:rPr>
            </w:pPr>
          </w:p>
        </w:tc>
        <w:tc>
          <w:tcPr>
            <w:tcW w:w="1823" w:type="dxa"/>
            <w:noWrap w:val="0"/>
            <w:vAlign w:val="center"/>
          </w:tcPr>
          <w:p w14:paraId="4B6E91F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FQ160317-A-03</w:t>
            </w:r>
          </w:p>
        </w:tc>
        <w:tc>
          <w:tcPr>
            <w:tcW w:w="1328" w:type="dxa"/>
            <w:vMerge w:val="continue"/>
            <w:noWrap w:val="0"/>
            <w:vAlign w:val="center"/>
          </w:tcPr>
          <w:p w14:paraId="208836B1">
            <w:pPr>
              <w:widowControl w:val="0"/>
              <w:ind w:left="0" w:right="192" w:firstLine="0"/>
              <w:jc w:val="center"/>
              <w:rPr>
                <w:rFonts w:ascii="Times New Roman" w:hAnsi="Times New Roman" w:eastAsia="宋体" w:cs="Times New Roman"/>
                <w:sz w:val="21"/>
                <w:szCs w:val="21"/>
                <w:vertAlign w:val="baseline"/>
                <w:lang w:val="en-US" w:eastAsia="zh-CN"/>
              </w:rPr>
            </w:pPr>
          </w:p>
        </w:tc>
        <w:tc>
          <w:tcPr>
            <w:tcW w:w="863" w:type="dxa"/>
            <w:noWrap w:val="0"/>
            <w:vAlign w:val="center"/>
          </w:tcPr>
          <w:p w14:paraId="407601D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第三次</w:t>
            </w:r>
          </w:p>
        </w:tc>
        <w:tc>
          <w:tcPr>
            <w:tcW w:w="869" w:type="dxa"/>
            <w:vMerge w:val="continue"/>
            <w:noWrap w:val="0"/>
            <w:vAlign w:val="top"/>
          </w:tcPr>
          <w:p w14:paraId="52406D8E">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273C8C2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21334</w:t>
            </w:r>
          </w:p>
        </w:tc>
        <w:tc>
          <w:tcPr>
            <w:tcW w:w="1029" w:type="dxa"/>
            <w:noWrap w:val="0"/>
            <w:vAlign w:val="center"/>
          </w:tcPr>
          <w:p w14:paraId="34BCDFB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80.4</w:t>
            </w:r>
          </w:p>
        </w:tc>
        <w:tc>
          <w:tcPr>
            <w:tcW w:w="1029" w:type="dxa"/>
            <w:noWrap w:val="0"/>
            <w:vAlign w:val="center"/>
          </w:tcPr>
          <w:p w14:paraId="3FF5C62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137.4</w:t>
            </w:r>
          </w:p>
        </w:tc>
        <w:tc>
          <w:tcPr>
            <w:tcW w:w="941" w:type="dxa"/>
            <w:noWrap w:val="0"/>
            <w:vAlign w:val="center"/>
          </w:tcPr>
          <w:p w14:paraId="130F72E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1.71</w:t>
            </w:r>
          </w:p>
        </w:tc>
      </w:tr>
      <w:tr w14:paraId="332CF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6C04F625">
            <w:pPr>
              <w:widowControl w:val="0"/>
              <w:ind w:right="192"/>
              <w:jc w:val="center"/>
              <w:rPr>
                <w:rFonts w:ascii="Times New Roman" w:hAnsi="Times New Roman" w:eastAsia="宋体" w:cs="Times New Roman"/>
                <w:sz w:val="21"/>
                <w:szCs w:val="21"/>
                <w:vertAlign w:val="baseline"/>
              </w:rPr>
            </w:pPr>
          </w:p>
        </w:tc>
        <w:tc>
          <w:tcPr>
            <w:tcW w:w="1823" w:type="dxa"/>
            <w:noWrap w:val="0"/>
            <w:vAlign w:val="center"/>
          </w:tcPr>
          <w:p w14:paraId="41E601D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FQ160317-A-04</w:t>
            </w:r>
          </w:p>
        </w:tc>
        <w:tc>
          <w:tcPr>
            <w:tcW w:w="1328" w:type="dxa"/>
            <w:vMerge w:val="continue"/>
            <w:noWrap w:val="0"/>
            <w:vAlign w:val="center"/>
          </w:tcPr>
          <w:p w14:paraId="45620A77">
            <w:pPr>
              <w:widowControl w:val="0"/>
              <w:ind w:left="0" w:right="192" w:firstLine="0"/>
              <w:jc w:val="center"/>
              <w:rPr>
                <w:rFonts w:ascii="Times New Roman" w:hAnsi="Times New Roman" w:eastAsia="宋体" w:cs="Times New Roman"/>
                <w:sz w:val="21"/>
                <w:szCs w:val="21"/>
                <w:vertAlign w:val="baseline"/>
                <w:lang w:val="en-US" w:eastAsia="zh-CN"/>
              </w:rPr>
            </w:pPr>
          </w:p>
        </w:tc>
        <w:tc>
          <w:tcPr>
            <w:tcW w:w="863" w:type="dxa"/>
            <w:noWrap w:val="0"/>
            <w:vAlign w:val="center"/>
          </w:tcPr>
          <w:p w14:paraId="1E320B0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第四次</w:t>
            </w:r>
          </w:p>
        </w:tc>
        <w:tc>
          <w:tcPr>
            <w:tcW w:w="869" w:type="dxa"/>
            <w:vMerge w:val="continue"/>
            <w:noWrap w:val="0"/>
            <w:vAlign w:val="top"/>
          </w:tcPr>
          <w:p w14:paraId="4B35B8AA">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205ACF1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21701</w:t>
            </w:r>
          </w:p>
        </w:tc>
        <w:tc>
          <w:tcPr>
            <w:tcW w:w="1029" w:type="dxa"/>
            <w:noWrap w:val="0"/>
            <w:vAlign w:val="center"/>
          </w:tcPr>
          <w:p w14:paraId="10EA5B6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67.2</w:t>
            </w:r>
          </w:p>
        </w:tc>
        <w:tc>
          <w:tcPr>
            <w:tcW w:w="1029" w:type="dxa"/>
            <w:noWrap w:val="0"/>
            <w:vAlign w:val="center"/>
          </w:tcPr>
          <w:p w14:paraId="4CF4CFA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120.2</w:t>
            </w:r>
          </w:p>
        </w:tc>
        <w:tc>
          <w:tcPr>
            <w:tcW w:w="941" w:type="dxa"/>
            <w:noWrap w:val="0"/>
            <w:vAlign w:val="center"/>
          </w:tcPr>
          <w:p w14:paraId="350358C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1.46</w:t>
            </w:r>
          </w:p>
        </w:tc>
      </w:tr>
      <w:tr w14:paraId="08A57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0552C52F">
            <w:pPr>
              <w:widowControl w:val="0"/>
              <w:ind w:right="192"/>
              <w:rPr>
                <w:rFonts w:ascii="Times New Roman" w:hAnsi="Times New Roman" w:eastAsia="宋体" w:cs="Times New Roman"/>
                <w:sz w:val="21"/>
                <w:szCs w:val="21"/>
                <w:vertAlign w:val="baseline"/>
              </w:rPr>
            </w:pPr>
          </w:p>
        </w:tc>
        <w:tc>
          <w:tcPr>
            <w:tcW w:w="1823" w:type="dxa"/>
            <w:noWrap w:val="0"/>
            <w:vAlign w:val="top"/>
          </w:tcPr>
          <w:p w14:paraId="3A04E557">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平均值</w:t>
            </w:r>
          </w:p>
        </w:tc>
        <w:tc>
          <w:tcPr>
            <w:tcW w:w="1328" w:type="dxa"/>
            <w:noWrap w:val="0"/>
            <w:vAlign w:val="top"/>
          </w:tcPr>
          <w:p w14:paraId="5E3C7440">
            <w:pPr>
              <w:widowControl w:val="0"/>
              <w:ind w:left="0" w:right="192" w:firstLine="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863" w:type="dxa"/>
            <w:noWrap w:val="0"/>
            <w:vAlign w:val="top"/>
          </w:tcPr>
          <w:p w14:paraId="6C492E43">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869" w:type="dxa"/>
            <w:noWrap w:val="0"/>
            <w:vAlign w:val="top"/>
          </w:tcPr>
          <w:p w14:paraId="1A1AA9A3">
            <w:pPr>
              <w:widowControl w:val="0"/>
              <w:ind w:left="0" w:right="192" w:firstLine="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957" w:type="dxa"/>
            <w:noWrap w:val="0"/>
            <w:vAlign w:val="top"/>
          </w:tcPr>
          <w:p w14:paraId="10831FEE">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21427</w:t>
            </w:r>
          </w:p>
        </w:tc>
        <w:tc>
          <w:tcPr>
            <w:tcW w:w="1029" w:type="dxa"/>
            <w:noWrap w:val="0"/>
            <w:vAlign w:val="top"/>
          </w:tcPr>
          <w:p w14:paraId="5599D8F1">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73.9</w:t>
            </w:r>
          </w:p>
        </w:tc>
        <w:tc>
          <w:tcPr>
            <w:tcW w:w="1029" w:type="dxa"/>
            <w:noWrap w:val="0"/>
            <w:vAlign w:val="top"/>
          </w:tcPr>
          <w:p w14:paraId="77864E8E">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128.8</w:t>
            </w:r>
          </w:p>
        </w:tc>
        <w:tc>
          <w:tcPr>
            <w:tcW w:w="941" w:type="dxa"/>
            <w:noWrap w:val="0"/>
            <w:vAlign w:val="top"/>
          </w:tcPr>
          <w:p w14:paraId="564E5570">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1.58</w:t>
            </w:r>
          </w:p>
        </w:tc>
      </w:tr>
      <w:tr w14:paraId="35E19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963" w:type="dxa"/>
            <w:vMerge w:val="continue"/>
            <w:noWrap w:val="0"/>
            <w:vAlign w:val="top"/>
          </w:tcPr>
          <w:p w14:paraId="340D13AE">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2DC573E6">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FQ160317-A-01</w:t>
            </w:r>
          </w:p>
        </w:tc>
        <w:tc>
          <w:tcPr>
            <w:tcW w:w="1328" w:type="dxa"/>
            <w:vMerge w:val="restart"/>
            <w:noWrap w:val="0"/>
            <w:vAlign w:val="center"/>
          </w:tcPr>
          <w:p w14:paraId="1D9241E7">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2016-03-17</w:t>
            </w:r>
          </w:p>
        </w:tc>
        <w:tc>
          <w:tcPr>
            <w:tcW w:w="863" w:type="dxa"/>
            <w:noWrap w:val="0"/>
            <w:vAlign w:val="center"/>
          </w:tcPr>
          <w:p w14:paraId="52892FFB">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第一次</w:t>
            </w:r>
          </w:p>
        </w:tc>
        <w:tc>
          <w:tcPr>
            <w:tcW w:w="869" w:type="dxa"/>
            <w:vMerge w:val="restart"/>
            <w:noWrap w:val="0"/>
            <w:vAlign w:val="center"/>
          </w:tcPr>
          <w:p w14:paraId="37C7263E">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二氧化硫</w:t>
            </w:r>
          </w:p>
        </w:tc>
        <w:tc>
          <w:tcPr>
            <w:tcW w:w="957" w:type="dxa"/>
            <w:noWrap w:val="0"/>
            <w:vAlign w:val="top"/>
          </w:tcPr>
          <w:p w14:paraId="17B5B3D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21243</w:t>
            </w:r>
          </w:p>
        </w:tc>
        <w:tc>
          <w:tcPr>
            <w:tcW w:w="1029" w:type="dxa"/>
            <w:noWrap w:val="0"/>
            <w:vAlign w:val="top"/>
          </w:tcPr>
          <w:p w14:paraId="550897E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23</w:t>
            </w:r>
          </w:p>
        </w:tc>
        <w:tc>
          <w:tcPr>
            <w:tcW w:w="1029" w:type="dxa"/>
            <w:noWrap w:val="0"/>
            <w:vAlign w:val="top"/>
          </w:tcPr>
          <w:p w14:paraId="06A296A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38</w:t>
            </w:r>
          </w:p>
        </w:tc>
        <w:tc>
          <w:tcPr>
            <w:tcW w:w="941" w:type="dxa"/>
            <w:noWrap w:val="0"/>
            <w:vAlign w:val="top"/>
          </w:tcPr>
          <w:p w14:paraId="58CD07EB">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0.49</w:t>
            </w:r>
          </w:p>
        </w:tc>
      </w:tr>
      <w:tr w14:paraId="01906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365C621F">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0B5FD87B">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FQ160317-A-02</w:t>
            </w:r>
          </w:p>
        </w:tc>
        <w:tc>
          <w:tcPr>
            <w:tcW w:w="1328" w:type="dxa"/>
            <w:vMerge w:val="continue"/>
            <w:noWrap w:val="0"/>
            <w:vAlign w:val="center"/>
          </w:tcPr>
          <w:p w14:paraId="6249FFB9">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78460EEC">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第二次</w:t>
            </w:r>
          </w:p>
        </w:tc>
        <w:tc>
          <w:tcPr>
            <w:tcW w:w="869" w:type="dxa"/>
            <w:vMerge w:val="continue"/>
            <w:noWrap w:val="0"/>
            <w:vAlign w:val="top"/>
          </w:tcPr>
          <w:p w14:paraId="2B163388">
            <w:pPr>
              <w:widowControl w:val="0"/>
              <w:ind w:left="0" w:right="192" w:firstLine="0"/>
              <w:jc w:val="center"/>
              <w:rPr>
                <w:rFonts w:ascii="Times New Roman" w:hAnsi="Times New Roman" w:eastAsia="宋体" w:cs="Times New Roman"/>
                <w:sz w:val="21"/>
                <w:szCs w:val="21"/>
                <w:vertAlign w:val="baseline"/>
              </w:rPr>
            </w:pPr>
          </w:p>
        </w:tc>
        <w:tc>
          <w:tcPr>
            <w:tcW w:w="957" w:type="dxa"/>
            <w:noWrap w:val="0"/>
            <w:vAlign w:val="top"/>
          </w:tcPr>
          <w:p w14:paraId="33C6E49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21428</w:t>
            </w:r>
          </w:p>
        </w:tc>
        <w:tc>
          <w:tcPr>
            <w:tcW w:w="1029" w:type="dxa"/>
            <w:noWrap w:val="0"/>
            <w:vAlign w:val="top"/>
          </w:tcPr>
          <w:p w14:paraId="5D0E7C2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14</w:t>
            </w:r>
          </w:p>
        </w:tc>
        <w:tc>
          <w:tcPr>
            <w:tcW w:w="1029" w:type="dxa"/>
            <w:noWrap w:val="0"/>
            <w:vAlign w:val="top"/>
          </w:tcPr>
          <w:p w14:paraId="5C62FDE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25.8</w:t>
            </w:r>
          </w:p>
        </w:tc>
        <w:tc>
          <w:tcPr>
            <w:tcW w:w="941" w:type="dxa"/>
            <w:noWrap w:val="0"/>
            <w:vAlign w:val="top"/>
          </w:tcPr>
          <w:p w14:paraId="6CB602B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0.30</w:t>
            </w:r>
          </w:p>
        </w:tc>
      </w:tr>
      <w:tr w14:paraId="58EA2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72768955">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23101E23">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FQ160317-A-03</w:t>
            </w:r>
          </w:p>
        </w:tc>
        <w:tc>
          <w:tcPr>
            <w:tcW w:w="1328" w:type="dxa"/>
            <w:vMerge w:val="continue"/>
            <w:noWrap w:val="0"/>
            <w:vAlign w:val="center"/>
          </w:tcPr>
          <w:p w14:paraId="44006E25">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77D5B637">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第三次</w:t>
            </w:r>
          </w:p>
        </w:tc>
        <w:tc>
          <w:tcPr>
            <w:tcW w:w="869" w:type="dxa"/>
            <w:vMerge w:val="continue"/>
            <w:noWrap w:val="0"/>
            <w:vAlign w:val="top"/>
          </w:tcPr>
          <w:p w14:paraId="3DEA1FB4">
            <w:pPr>
              <w:widowControl w:val="0"/>
              <w:ind w:left="0" w:right="192" w:firstLine="0"/>
              <w:jc w:val="center"/>
              <w:rPr>
                <w:rFonts w:ascii="Times New Roman" w:hAnsi="Times New Roman" w:eastAsia="宋体" w:cs="Times New Roman"/>
                <w:sz w:val="21"/>
                <w:szCs w:val="21"/>
                <w:vertAlign w:val="baseline"/>
              </w:rPr>
            </w:pPr>
          </w:p>
        </w:tc>
        <w:tc>
          <w:tcPr>
            <w:tcW w:w="957" w:type="dxa"/>
            <w:noWrap w:val="0"/>
            <w:vAlign w:val="top"/>
          </w:tcPr>
          <w:p w14:paraId="2C10703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21334</w:t>
            </w:r>
          </w:p>
        </w:tc>
        <w:tc>
          <w:tcPr>
            <w:tcW w:w="1029" w:type="dxa"/>
            <w:noWrap w:val="0"/>
            <w:vAlign w:val="top"/>
          </w:tcPr>
          <w:p w14:paraId="69105E8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29</w:t>
            </w:r>
          </w:p>
        </w:tc>
        <w:tc>
          <w:tcPr>
            <w:tcW w:w="1029" w:type="dxa"/>
            <w:noWrap w:val="0"/>
            <w:vAlign w:val="top"/>
          </w:tcPr>
          <w:p w14:paraId="31C5824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49.6</w:t>
            </w:r>
          </w:p>
        </w:tc>
        <w:tc>
          <w:tcPr>
            <w:tcW w:w="941" w:type="dxa"/>
            <w:noWrap w:val="0"/>
            <w:vAlign w:val="top"/>
          </w:tcPr>
          <w:p w14:paraId="0EF3801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0.62</w:t>
            </w:r>
          </w:p>
        </w:tc>
      </w:tr>
      <w:tr w14:paraId="64A56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3280EEED">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2110D3EC">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FQ160317-A-04</w:t>
            </w:r>
          </w:p>
        </w:tc>
        <w:tc>
          <w:tcPr>
            <w:tcW w:w="1328" w:type="dxa"/>
            <w:vMerge w:val="continue"/>
            <w:noWrap w:val="0"/>
            <w:vAlign w:val="center"/>
          </w:tcPr>
          <w:p w14:paraId="21CB963B">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2AB68C65">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第四次</w:t>
            </w:r>
          </w:p>
        </w:tc>
        <w:tc>
          <w:tcPr>
            <w:tcW w:w="869" w:type="dxa"/>
            <w:vMerge w:val="continue"/>
            <w:noWrap w:val="0"/>
            <w:vAlign w:val="top"/>
          </w:tcPr>
          <w:p w14:paraId="03D807BA">
            <w:pPr>
              <w:widowControl w:val="0"/>
              <w:ind w:left="0" w:right="192" w:firstLine="0"/>
              <w:jc w:val="center"/>
              <w:rPr>
                <w:rFonts w:ascii="Times New Roman" w:hAnsi="Times New Roman" w:eastAsia="宋体" w:cs="Times New Roman"/>
                <w:sz w:val="21"/>
                <w:szCs w:val="21"/>
                <w:vertAlign w:val="baseline"/>
              </w:rPr>
            </w:pPr>
          </w:p>
        </w:tc>
        <w:tc>
          <w:tcPr>
            <w:tcW w:w="957" w:type="dxa"/>
            <w:noWrap w:val="0"/>
            <w:vAlign w:val="top"/>
          </w:tcPr>
          <w:p w14:paraId="770B9BF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21701</w:t>
            </w:r>
          </w:p>
        </w:tc>
        <w:tc>
          <w:tcPr>
            <w:tcW w:w="1029" w:type="dxa"/>
            <w:noWrap w:val="0"/>
            <w:vAlign w:val="top"/>
          </w:tcPr>
          <w:p w14:paraId="016E0D9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38</w:t>
            </w:r>
          </w:p>
        </w:tc>
        <w:tc>
          <w:tcPr>
            <w:tcW w:w="1029" w:type="dxa"/>
            <w:noWrap w:val="0"/>
            <w:vAlign w:val="top"/>
          </w:tcPr>
          <w:p w14:paraId="0D3828C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68.0</w:t>
            </w:r>
          </w:p>
        </w:tc>
        <w:tc>
          <w:tcPr>
            <w:tcW w:w="941" w:type="dxa"/>
            <w:noWrap w:val="0"/>
            <w:vAlign w:val="top"/>
          </w:tcPr>
          <w:p w14:paraId="0507D8D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0.82</w:t>
            </w:r>
          </w:p>
        </w:tc>
      </w:tr>
      <w:tr w14:paraId="56EDC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71482E44">
            <w:pPr>
              <w:widowControl w:val="0"/>
              <w:ind w:right="192"/>
              <w:rPr>
                <w:rFonts w:ascii="Times New Roman" w:hAnsi="Times New Roman" w:eastAsia="宋体" w:cs="Times New Roman"/>
                <w:b/>
                <w:bCs/>
                <w:sz w:val="21"/>
                <w:szCs w:val="21"/>
                <w:vertAlign w:val="baseline"/>
              </w:rPr>
            </w:pPr>
          </w:p>
        </w:tc>
        <w:tc>
          <w:tcPr>
            <w:tcW w:w="1823" w:type="dxa"/>
            <w:noWrap w:val="0"/>
            <w:vAlign w:val="top"/>
          </w:tcPr>
          <w:p w14:paraId="2352D5D4">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平均值</w:t>
            </w:r>
          </w:p>
        </w:tc>
        <w:tc>
          <w:tcPr>
            <w:tcW w:w="1328" w:type="dxa"/>
            <w:noWrap w:val="0"/>
            <w:vAlign w:val="top"/>
          </w:tcPr>
          <w:p w14:paraId="368A8784">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w:t>
            </w:r>
          </w:p>
        </w:tc>
        <w:tc>
          <w:tcPr>
            <w:tcW w:w="863" w:type="dxa"/>
            <w:noWrap w:val="0"/>
            <w:vAlign w:val="top"/>
          </w:tcPr>
          <w:p w14:paraId="133C20B8">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w:t>
            </w:r>
          </w:p>
        </w:tc>
        <w:tc>
          <w:tcPr>
            <w:tcW w:w="869" w:type="dxa"/>
            <w:noWrap w:val="0"/>
            <w:vAlign w:val="top"/>
          </w:tcPr>
          <w:p w14:paraId="74497E87">
            <w:pPr>
              <w:widowControl w:val="0"/>
              <w:ind w:left="0" w:right="192" w:firstLine="0"/>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w:t>
            </w:r>
          </w:p>
        </w:tc>
        <w:tc>
          <w:tcPr>
            <w:tcW w:w="957" w:type="dxa"/>
            <w:noWrap w:val="0"/>
            <w:vAlign w:val="top"/>
          </w:tcPr>
          <w:p w14:paraId="641216EA">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21427</w:t>
            </w:r>
          </w:p>
        </w:tc>
        <w:tc>
          <w:tcPr>
            <w:tcW w:w="1029" w:type="dxa"/>
            <w:noWrap w:val="0"/>
            <w:vAlign w:val="top"/>
          </w:tcPr>
          <w:p w14:paraId="40746860">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26</w:t>
            </w:r>
          </w:p>
        </w:tc>
        <w:tc>
          <w:tcPr>
            <w:tcW w:w="1029" w:type="dxa"/>
            <w:noWrap w:val="0"/>
            <w:vAlign w:val="top"/>
          </w:tcPr>
          <w:p w14:paraId="00A6B8D9">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45.4</w:t>
            </w:r>
          </w:p>
        </w:tc>
        <w:tc>
          <w:tcPr>
            <w:tcW w:w="941" w:type="dxa"/>
            <w:noWrap w:val="0"/>
            <w:vAlign w:val="top"/>
          </w:tcPr>
          <w:p w14:paraId="2A3D66DE">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0.56</w:t>
            </w:r>
          </w:p>
        </w:tc>
      </w:tr>
      <w:tr w14:paraId="162AA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963" w:type="dxa"/>
            <w:vMerge w:val="continue"/>
            <w:noWrap w:val="0"/>
            <w:vAlign w:val="top"/>
          </w:tcPr>
          <w:p w14:paraId="76722741">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6E5652EC">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FQ160317-A-01</w:t>
            </w:r>
          </w:p>
        </w:tc>
        <w:tc>
          <w:tcPr>
            <w:tcW w:w="1328" w:type="dxa"/>
            <w:vMerge w:val="restart"/>
            <w:noWrap w:val="0"/>
            <w:vAlign w:val="center"/>
          </w:tcPr>
          <w:p w14:paraId="01A8EB78">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2016-03-17</w:t>
            </w:r>
          </w:p>
        </w:tc>
        <w:tc>
          <w:tcPr>
            <w:tcW w:w="863" w:type="dxa"/>
            <w:noWrap w:val="0"/>
            <w:vAlign w:val="center"/>
          </w:tcPr>
          <w:p w14:paraId="223643C2">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第一次</w:t>
            </w:r>
          </w:p>
        </w:tc>
        <w:tc>
          <w:tcPr>
            <w:tcW w:w="869" w:type="dxa"/>
            <w:vMerge w:val="restart"/>
            <w:noWrap w:val="0"/>
            <w:vAlign w:val="center"/>
          </w:tcPr>
          <w:p w14:paraId="17CBDFF3">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氮氧化物</w:t>
            </w:r>
          </w:p>
        </w:tc>
        <w:tc>
          <w:tcPr>
            <w:tcW w:w="957" w:type="dxa"/>
            <w:noWrap w:val="0"/>
            <w:vAlign w:val="top"/>
          </w:tcPr>
          <w:p w14:paraId="1B9794F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21243</w:t>
            </w:r>
          </w:p>
        </w:tc>
        <w:tc>
          <w:tcPr>
            <w:tcW w:w="1029" w:type="dxa"/>
            <w:noWrap w:val="0"/>
            <w:vAlign w:val="top"/>
          </w:tcPr>
          <w:p w14:paraId="4FED95AB">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74</w:t>
            </w:r>
          </w:p>
        </w:tc>
        <w:tc>
          <w:tcPr>
            <w:tcW w:w="1029" w:type="dxa"/>
            <w:noWrap w:val="0"/>
            <w:vAlign w:val="top"/>
          </w:tcPr>
          <w:p w14:paraId="0C3B5F7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122.1</w:t>
            </w:r>
          </w:p>
        </w:tc>
        <w:tc>
          <w:tcPr>
            <w:tcW w:w="941" w:type="dxa"/>
            <w:noWrap w:val="0"/>
            <w:vAlign w:val="top"/>
          </w:tcPr>
          <w:p w14:paraId="49E328C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1.57</w:t>
            </w:r>
          </w:p>
        </w:tc>
      </w:tr>
      <w:tr w14:paraId="622EA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797EA45C">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009B8897">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FQ160317-A-02</w:t>
            </w:r>
          </w:p>
        </w:tc>
        <w:tc>
          <w:tcPr>
            <w:tcW w:w="1328" w:type="dxa"/>
            <w:vMerge w:val="continue"/>
            <w:noWrap w:val="0"/>
            <w:vAlign w:val="center"/>
          </w:tcPr>
          <w:p w14:paraId="2E87ED0A">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06DB6645">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第二次</w:t>
            </w:r>
          </w:p>
        </w:tc>
        <w:tc>
          <w:tcPr>
            <w:tcW w:w="869" w:type="dxa"/>
            <w:vMerge w:val="continue"/>
            <w:noWrap w:val="0"/>
            <w:vAlign w:val="top"/>
          </w:tcPr>
          <w:p w14:paraId="56413A85">
            <w:pPr>
              <w:widowControl w:val="0"/>
              <w:ind w:left="0" w:right="192" w:firstLine="0"/>
              <w:jc w:val="center"/>
              <w:rPr>
                <w:rFonts w:ascii="Times New Roman" w:hAnsi="Times New Roman" w:eastAsia="宋体" w:cs="Times New Roman"/>
                <w:sz w:val="21"/>
                <w:szCs w:val="21"/>
                <w:vertAlign w:val="baseline"/>
              </w:rPr>
            </w:pPr>
          </w:p>
        </w:tc>
        <w:tc>
          <w:tcPr>
            <w:tcW w:w="957" w:type="dxa"/>
            <w:noWrap w:val="0"/>
            <w:vAlign w:val="top"/>
          </w:tcPr>
          <w:p w14:paraId="0C2908B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21428</w:t>
            </w:r>
          </w:p>
        </w:tc>
        <w:tc>
          <w:tcPr>
            <w:tcW w:w="1029" w:type="dxa"/>
            <w:noWrap w:val="0"/>
            <w:vAlign w:val="top"/>
          </w:tcPr>
          <w:p w14:paraId="2AD3E96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110</w:t>
            </w:r>
          </w:p>
        </w:tc>
        <w:tc>
          <w:tcPr>
            <w:tcW w:w="1029" w:type="dxa"/>
            <w:noWrap w:val="0"/>
            <w:vAlign w:val="top"/>
          </w:tcPr>
          <w:p w14:paraId="165F8E7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202.4</w:t>
            </w:r>
          </w:p>
        </w:tc>
        <w:tc>
          <w:tcPr>
            <w:tcW w:w="941" w:type="dxa"/>
            <w:noWrap w:val="0"/>
            <w:vAlign w:val="top"/>
          </w:tcPr>
          <w:p w14:paraId="7928108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2.36</w:t>
            </w:r>
          </w:p>
        </w:tc>
      </w:tr>
      <w:tr w14:paraId="68647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31AB6EF6">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63B9EBEF">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FQ160317-A-03</w:t>
            </w:r>
          </w:p>
        </w:tc>
        <w:tc>
          <w:tcPr>
            <w:tcW w:w="1328" w:type="dxa"/>
            <w:vMerge w:val="continue"/>
            <w:noWrap w:val="0"/>
            <w:vAlign w:val="center"/>
          </w:tcPr>
          <w:p w14:paraId="72889EEC">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498CB51A">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第三次</w:t>
            </w:r>
          </w:p>
        </w:tc>
        <w:tc>
          <w:tcPr>
            <w:tcW w:w="869" w:type="dxa"/>
            <w:vMerge w:val="continue"/>
            <w:noWrap w:val="0"/>
            <w:vAlign w:val="top"/>
          </w:tcPr>
          <w:p w14:paraId="0ECB18F8">
            <w:pPr>
              <w:widowControl w:val="0"/>
              <w:ind w:left="0" w:right="192" w:firstLine="0"/>
              <w:jc w:val="center"/>
              <w:rPr>
                <w:rFonts w:ascii="Times New Roman" w:hAnsi="Times New Roman" w:eastAsia="宋体" w:cs="Times New Roman"/>
                <w:sz w:val="21"/>
                <w:szCs w:val="21"/>
                <w:vertAlign w:val="baseline"/>
              </w:rPr>
            </w:pPr>
          </w:p>
        </w:tc>
        <w:tc>
          <w:tcPr>
            <w:tcW w:w="957" w:type="dxa"/>
            <w:noWrap w:val="0"/>
            <w:vAlign w:val="top"/>
          </w:tcPr>
          <w:p w14:paraId="50B559F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21334</w:t>
            </w:r>
          </w:p>
        </w:tc>
        <w:tc>
          <w:tcPr>
            <w:tcW w:w="1029" w:type="dxa"/>
            <w:noWrap w:val="0"/>
            <w:vAlign w:val="top"/>
          </w:tcPr>
          <w:p w14:paraId="1CE63BD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c>
          <w:tcPr>
            <w:tcW w:w="1029" w:type="dxa"/>
            <w:noWrap w:val="0"/>
            <w:vAlign w:val="top"/>
          </w:tcPr>
          <w:p w14:paraId="27A97F5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153.9</w:t>
            </w:r>
          </w:p>
        </w:tc>
        <w:tc>
          <w:tcPr>
            <w:tcW w:w="941" w:type="dxa"/>
            <w:noWrap w:val="0"/>
            <w:vAlign w:val="top"/>
          </w:tcPr>
          <w:p w14:paraId="24257CCF">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1.92</w:t>
            </w:r>
          </w:p>
        </w:tc>
      </w:tr>
      <w:tr w14:paraId="73058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45D37EE6">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417AAB59">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FQ160317-A-04</w:t>
            </w:r>
          </w:p>
        </w:tc>
        <w:tc>
          <w:tcPr>
            <w:tcW w:w="1328" w:type="dxa"/>
            <w:vMerge w:val="continue"/>
            <w:noWrap w:val="0"/>
            <w:vAlign w:val="center"/>
          </w:tcPr>
          <w:p w14:paraId="4F812843">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5E63E71D">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第四次</w:t>
            </w:r>
          </w:p>
        </w:tc>
        <w:tc>
          <w:tcPr>
            <w:tcW w:w="869" w:type="dxa"/>
            <w:vMerge w:val="continue"/>
            <w:noWrap w:val="0"/>
            <w:vAlign w:val="top"/>
          </w:tcPr>
          <w:p w14:paraId="5EC4EE17">
            <w:pPr>
              <w:widowControl w:val="0"/>
              <w:ind w:left="0" w:right="192" w:firstLine="0"/>
              <w:jc w:val="center"/>
              <w:rPr>
                <w:rFonts w:ascii="Times New Roman" w:hAnsi="Times New Roman" w:eastAsia="宋体" w:cs="Times New Roman"/>
                <w:sz w:val="21"/>
                <w:szCs w:val="21"/>
                <w:vertAlign w:val="baseline"/>
              </w:rPr>
            </w:pPr>
          </w:p>
        </w:tc>
        <w:tc>
          <w:tcPr>
            <w:tcW w:w="957" w:type="dxa"/>
            <w:noWrap w:val="0"/>
            <w:vAlign w:val="top"/>
          </w:tcPr>
          <w:p w14:paraId="3E050FF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21701</w:t>
            </w:r>
          </w:p>
        </w:tc>
        <w:tc>
          <w:tcPr>
            <w:tcW w:w="1029" w:type="dxa"/>
            <w:noWrap w:val="0"/>
            <w:vAlign w:val="top"/>
          </w:tcPr>
          <w:p w14:paraId="743EE784">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106</w:t>
            </w:r>
          </w:p>
        </w:tc>
        <w:tc>
          <w:tcPr>
            <w:tcW w:w="1029" w:type="dxa"/>
            <w:noWrap w:val="0"/>
            <w:vAlign w:val="top"/>
          </w:tcPr>
          <w:p w14:paraId="4BB4A99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189.6</w:t>
            </w:r>
          </w:p>
        </w:tc>
        <w:tc>
          <w:tcPr>
            <w:tcW w:w="941" w:type="dxa"/>
            <w:noWrap w:val="0"/>
            <w:vAlign w:val="top"/>
          </w:tcPr>
          <w:p w14:paraId="4740B0A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2.03</w:t>
            </w:r>
          </w:p>
        </w:tc>
      </w:tr>
      <w:tr w14:paraId="54C38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1043B6F4">
            <w:pPr>
              <w:widowControl w:val="0"/>
              <w:ind w:right="192"/>
              <w:rPr>
                <w:rFonts w:ascii="Times New Roman" w:hAnsi="Times New Roman" w:eastAsia="宋体" w:cs="Times New Roman"/>
                <w:sz w:val="21"/>
                <w:szCs w:val="21"/>
                <w:vertAlign w:val="baseline"/>
              </w:rPr>
            </w:pPr>
          </w:p>
        </w:tc>
        <w:tc>
          <w:tcPr>
            <w:tcW w:w="1823" w:type="dxa"/>
            <w:noWrap w:val="0"/>
            <w:vAlign w:val="top"/>
          </w:tcPr>
          <w:p w14:paraId="01F27522">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平均值</w:t>
            </w:r>
          </w:p>
        </w:tc>
        <w:tc>
          <w:tcPr>
            <w:tcW w:w="1328" w:type="dxa"/>
            <w:noWrap w:val="0"/>
            <w:vAlign w:val="top"/>
          </w:tcPr>
          <w:p w14:paraId="27F0CBE0">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w:t>
            </w:r>
          </w:p>
        </w:tc>
        <w:tc>
          <w:tcPr>
            <w:tcW w:w="863" w:type="dxa"/>
            <w:noWrap w:val="0"/>
            <w:vAlign w:val="top"/>
          </w:tcPr>
          <w:p w14:paraId="49541B52">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w:t>
            </w:r>
          </w:p>
        </w:tc>
        <w:tc>
          <w:tcPr>
            <w:tcW w:w="869" w:type="dxa"/>
            <w:noWrap w:val="0"/>
            <w:vAlign w:val="top"/>
          </w:tcPr>
          <w:p w14:paraId="6206BD10">
            <w:pPr>
              <w:widowControl w:val="0"/>
              <w:ind w:left="0" w:right="192" w:firstLine="0"/>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eastAsia="zh-CN"/>
              </w:rPr>
              <w:t>——</w:t>
            </w:r>
          </w:p>
        </w:tc>
        <w:tc>
          <w:tcPr>
            <w:tcW w:w="957" w:type="dxa"/>
            <w:noWrap w:val="0"/>
            <w:vAlign w:val="top"/>
          </w:tcPr>
          <w:p w14:paraId="37CA9E8C">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21427</w:t>
            </w:r>
          </w:p>
        </w:tc>
        <w:tc>
          <w:tcPr>
            <w:tcW w:w="1029" w:type="dxa"/>
            <w:noWrap w:val="0"/>
            <w:vAlign w:val="top"/>
          </w:tcPr>
          <w:p w14:paraId="2474760A">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95</w:t>
            </w:r>
          </w:p>
        </w:tc>
        <w:tc>
          <w:tcPr>
            <w:tcW w:w="1029" w:type="dxa"/>
            <w:noWrap w:val="0"/>
            <w:vAlign w:val="top"/>
          </w:tcPr>
          <w:p w14:paraId="4D2B8D8B">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167.0</w:t>
            </w:r>
          </w:p>
        </w:tc>
        <w:tc>
          <w:tcPr>
            <w:tcW w:w="941" w:type="dxa"/>
            <w:noWrap w:val="0"/>
            <w:vAlign w:val="top"/>
          </w:tcPr>
          <w:p w14:paraId="1564470B">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2.04</w:t>
            </w:r>
          </w:p>
        </w:tc>
      </w:tr>
    </w:tbl>
    <w:p w14:paraId="4BDEEBE1">
      <w:pPr>
        <w:spacing w:before="120"/>
        <w:ind w:firstLine="480"/>
        <w:rPr>
          <w:rFonts w:hint="eastAsia"/>
        </w:rPr>
      </w:pPr>
      <w:r>
        <w:rPr>
          <w:rFonts w:hint="eastAsia"/>
          <w:szCs w:val="24"/>
          <w:lang w:val="en-US" w:eastAsia="zh-CN"/>
        </w:rPr>
        <w:t>根据2016年检测结果，项目锅炉经过水膜除尘器后烟尘的排放浓度为128.8mg/m</w:t>
      </w:r>
      <w:r>
        <w:rPr>
          <w:rFonts w:hint="eastAsia"/>
          <w:szCs w:val="24"/>
          <w:vertAlign w:val="superscript"/>
          <w:lang w:val="en-US" w:eastAsia="zh-CN"/>
        </w:rPr>
        <w:t>3</w:t>
      </w:r>
      <w:r>
        <w:rPr>
          <w:rFonts w:hint="eastAsia"/>
          <w:szCs w:val="24"/>
          <w:lang w:val="en-US" w:eastAsia="zh-CN"/>
        </w:rPr>
        <w:t>，排放量为1.58kg/h，11.376t/a；SO</w:t>
      </w:r>
      <w:r>
        <w:rPr>
          <w:rFonts w:hint="eastAsia"/>
          <w:szCs w:val="24"/>
          <w:vertAlign w:val="subscript"/>
          <w:lang w:val="en-US" w:eastAsia="zh-CN"/>
        </w:rPr>
        <w:t>2</w:t>
      </w:r>
      <w:r>
        <w:rPr>
          <w:rFonts w:hint="eastAsia"/>
          <w:szCs w:val="24"/>
          <w:lang w:val="en-US" w:eastAsia="zh-CN"/>
        </w:rPr>
        <w:t>排放浓度为45.4mg/m</w:t>
      </w:r>
      <w:r>
        <w:rPr>
          <w:rFonts w:hint="eastAsia"/>
          <w:szCs w:val="24"/>
          <w:vertAlign w:val="superscript"/>
          <w:lang w:val="en-US" w:eastAsia="zh-CN"/>
        </w:rPr>
        <w:t>3</w:t>
      </w:r>
      <w:r>
        <w:rPr>
          <w:rFonts w:hint="eastAsia"/>
          <w:szCs w:val="24"/>
          <w:lang w:val="en-US" w:eastAsia="zh-CN"/>
        </w:rPr>
        <w:t>，排放量为0.56kg/h，4.032t/a；NOx排放浓度为167mg/m</w:t>
      </w:r>
      <w:r>
        <w:rPr>
          <w:rFonts w:hint="eastAsia"/>
          <w:szCs w:val="24"/>
          <w:vertAlign w:val="superscript"/>
          <w:lang w:val="en-US" w:eastAsia="zh-CN"/>
        </w:rPr>
        <w:t>3</w:t>
      </w:r>
      <w:r>
        <w:rPr>
          <w:rFonts w:hint="eastAsia"/>
          <w:szCs w:val="24"/>
          <w:lang w:val="en-US" w:eastAsia="zh-CN"/>
        </w:rPr>
        <w:t>，排放量为2.04kg/h，14.688t/a。不能满足</w:t>
      </w:r>
      <w:r>
        <w:rPr>
          <w:rFonts w:hint="eastAsia"/>
        </w:rPr>
        <w:t>《锅炉大气污染物排放标准》（GB13271－2014）中表2规定的大气污染物排放限值，烟尘排放浓度≤50mg/m</w:t>
      </w:r>
      <w:r>
        <w:rPr>
          <w:rFonts w:hint="eastAsia"/>
          <w:vertAlign w:val="superscript"/>
        </w:rPr>
        <w:t>3</w:t>
      </w:r>
      <w:r>
        <w:rPr>
          <w:rFonts w:hint="eastAsia"/>
        </w:rPr>
        <w:t>；NO</w:t>
      </w:r>
      <w:r>
        <w:rPr>
          <w:rFonts w:hint="eastAsia"/>
          <w:vertAlign w:val="subscript"/>
        </w:rPr>
        <w:t>X</w:t>
      </w:r>
      <w:r>
        <w:rPr>
          <w:rFonts w:hint="eastAsia"/>
        </w:rPr>
        <w:t>排放浓度≤300mg/m</w:t>
      </w:r>
      <w:r>
        <w:rPr>
          <w:rFonts w:hint="eastAsia"/>
          <w:vertAlign w:val="superscript"/>
        </w:rPr>
        <w:t>3</w:t>
      </w:r>
      <w:r>
        <w:rPr>
          <w:rFonts w:hint="eastAsia"/>
        </w:rPr>
        <w:t>；SO</w:t>
      </w:r>
      <w:r>
        <w:rPr>
          <w:rFonts w:hint="eastAsia"/>
          <w:vertAlign w:val="subscript"/>
        </w:rPr>
        <w:t>2</w:t>
      </w:r>
      <w:r>
        <w:rPr>
          <w:rFonts w:hint="eastAsia"/>
        </w:rPr>
        <w:t>排放浓度≤300mg/m</w:t>
      </w:r>
      <w:r>
        <w:rPr>
          <w:rFonts w:hint="eastAsia"/>
          <w:vertAlign w:val="superscript"/>
        </w:rPr>
        <w:t>3</w:t>
      </w:r>
      <w:r>
        <w:rPr>
          <w:rFonts w:hint="eastAsia"/>
        </w:rPr>
        <w:t>。</w:t>
      </w:r>
    </w:p>
    <w:p w14:paraId="089687E4">
      <w:pPr>
        <w:ind w:right="192" w:firstLine="480"/>
        <w:rPr>
          <w:rFonts w:hint="eastAsia"/>
          <w:szCs w:val="24"/>
          <w:lang w:val="en-US" w:eastAsia="zh-CN"/>
        </w:rPr>
      </w:pPr>
      <w:r>
        <w:rPr>
          <w:rFonts w:hint="eastAsia"/>
          <w:szCs w:val="24"/>
          <w:lang w:val="en-US" w:eastAsia="zh-CN"/>
        </w:rPr>
        <w:t>2019年建设单位在水膜除尘器的末端又加装了电离捕捉器，于2019年12月28日委托保山谱利分析测试有限公司对有组织锅炉烟气进行了监测（谱利检字[2019]-12048号），具体监测结果如下：</w:t>
      </w:r>
    </w:p>
    <w:p w14:paraId="629CC0F8">
      <w:pPr>
        <w:ind w:right="192" w:firstLine="480"/>
        <w:jc w:val="center"/>
        <w:rPr>
          <w:rFonts w:hint="eastAsia"/>
          <w:b/>
          <w:bCs/>
          <w:szCs w:val="24"/>
          <w:lang w:val="en-US" w:eastAsia="zh-CN"/>
        </w:rPr>
      </w:pPr>
      <w:r>
        <w:rPr>
          <w:rFonts w:hint="eastAsia"/>
          <w:b/>
          <w:bCs/>
          <w:szCs w:val="24"/>
          <w:lang w:val="en-US" w:eastAsia="zh-CN"/>
        </w:rPr>
        <w:t>表4.3-4   锅炉烟气监测结果表（2019年）</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1823"/>
        <w:gridCol w:w="1328"/>
        <w:gridCol w:w="863"/>
        <w:gridCol w:w="869"/>
        <w:gridCol w:w="957"/>
        <w:gridCol w:w="1029"/>
        <w:gridCol w:w="1029"/>
        <w:gridCol w:w="941"/>
      </w:tblGrid>
      <w:tr w14:paraId="75B49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noWrap w:val="0"/>
            <w:vAlign w:val="center"/>
          </w:tcPr>
          <w:p w14:paraId="4E3148E3">
            <w:pPr>
              <w:widowControl w:val="0"/>
              <w:ind w:left="0" w:right="192" w:firstLine="0"/>
              <w:jc w:val="center"/>
              <w:rPr>
                <w:rFonts w:ascii="Times New Roman" w:hAnsi="Times New Roman" w:eastAsia="宋体" w:cs="Times New Roman"/>
                <w:sz w:val="21"/>
                <w:szCs w:val="21"/>
                <w:vertAlign w:val="baseline"/>
                <w:lang w:val="en-US" w:eastAsia="zh-CN"/>
              </w:rPr>
            </w:pPr>
            <w:r>
              <w:rPr>
                <w:rFonts w:ascii="Times New Roman" w:hAnsi="Times New Roman" w:eastAsia="宋体" w:cs="Times New Roman"/>
                <w:sz w:val="21"/>
                <w:szCs w:val="21"/>
                <w:vertAlign w:val="baseline"/>
                <w:lang w:val="en-US" w:eastAsia="zh-CN"/>
              </w:rPr>
              <w:t>采样点位</w:t>
            </w:r>
          </w:p>
        </w:tc>
        <w:tc>
          <w:tcPr>
            <w:tcW w:w="1823" w:type="dxa"/>
            <w:vMerge w:val="restart"/>
            <w:noWrap w:val="0"/>
            <w:vAlign w:val="center"/>
          </w:tcPr>
          <w:p w14:paraId="565A0B9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样品编号</w:t>
            </w:r>
          </w:p>
        </w:tc>
        <w:tc>
          <w:tcPr>
            <w:tcW w:w="1328" w:type="dxa"/>
            <w:vMerge w:val="restart"/>
            <w:noWrap w:val="0"/>
            <w:vAlign w:val="center"/>
          </w:tcPr>
          <w:p w14:paraId="3B5CD22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采样日期</w:t>
            </w:r>
          </w:p>
        </w:tc>
        <w:tc>
          <w:tcPr>
            <w:tcW w:w="863" w:type="dxa"/>
            <w:vMerge w:val="restart"/>
            <w:noWrap w:val="0"/>
            <w:vAlign w:val="center"/>
          </w:tcPr>
          <w:p w14:paraId="18BBEEE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采样频次</w:t>
            </w:r>
          </w:p>
        </w:tc>
        <w:tc>
          <w:tcPr>
            <w:tcW w:w="869" w:type="dxa"/>
            <w:vMerge w:val="restart"/>
            <w:noWrap w:val="0"/>
            <w:vAlign w:val="center"/>
          </w:tcPr>
          <w:p w14:paraId="30027DA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项目名称</w:t>
            </w:r>
          </w:p>
        </w:tc>
        <w:tc>
          <w:tcPr>
            <w:tcW w:w="3956" w:type="dxa"/>
            <w:gridSpan w:val="4"/>
            <w:noWrap w:val="0"/>
            <w:vAlign w:val="center"/>
          </w:tcPr>
          <w:p w14:paraId="13C6375B">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监测结果</w:t>
            </w:r>
          </w:p>
        </w:tc>
      </w:tr>
      <w:tr w14:paraId="6297F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30E5D0DC">
            <w:pPr>
              <w:widowControl w:val="0"/>
              <w:ind w:right="192"/>
              <w:jc w:val="center"/>
              <w:rPr>
                <w:rFonts w:ascii="Times New Roman" w:hAnsi="Times New Roman" w:eastAsia="宋体" w:cs="Times New Roman"/>
                <w:sz w:val="21"/>
                <w:szCs w:val="21"/>
                <w:vertAlign w:val="baseline"/>
              </w:rPr>
            </w:pPr>
          </w:p>
        </w:tc>
        <w:tc>
          <w:tcPr>
            <w:tcW w:w="1823" w:type="dxa"/>
            <w:vMerge w:val="continue"/>
            <w:noWrap w:val="0"/>
            <w:vAlign w:val="center"/>
          </w:tcPr>
          <w:p w14:paraId="4D06AB5B">
            <w:pPr>
              <w:widowControl w:val="0"/>
              <w:ind w:right="192"/>
              <w:jc w:val="center"/>
              <w:rPr>
                <w:rFonts w:ascii="Times New Roman" w:hAnsi="Times New Roman" w:eastAsia="宋体" w:cs="Times New Roman"/>
                <w:sz w:val="21"/>
                <w:szCs w:val="21"/>
                <w:vertAlign w:val="baseline"/>
              </w:rPr>
            </w:pPr>
          </w:p>
        </w:tc>
        <w:tc>
          <w:tcPr>
            <w:tcW w:w="1328" w:type="dxa"/>
            <w:vMerge w:val="continue"/>
            <w:noWrap w:val="0"/>
            <w:vAlign w:val="center"/>
          </w:tcPr>
          <w:p w14:paraId="7A7F9BF7">
            <w:pPr>
              <w:widowControl w:val="0"/>
              <w:ind w:right="192"/>
              <w:jc w:val="center"/>
              <w:rPr>
                <w:rFonts w:ascii="Times New Roman" w:hAnsi="Times New Roman" w:eastAsia="宋体" w:cs="Times New Roman"/>
                <w:sz w:val="21"/>
                <w:szCs w:val="21"/>
                <w:vertAlign w:val="baseline"/>
              </w:rPr>
            </w:pPr>
          </w:p>
        </w:tc>
        <w:tc>
          <w:tcPr>
            <w:tcW w:w="863" w:type="dxa"/>
            <w:vMerge w:val="continue"/>
            <w:noWrap w:val="0"/>
            <w:vAlign w:val="center"/>
          </w:tcPr>
          <w:p w14:paraId="1B6FEA76">
            <w:pPr>
              <w:widowControl w:val="0"/>
              <w:ind w:right="192"/>
              <w:jc w:val="center"/>
              <w:rPr>
                <w:rFonts w:ascii="Times New Roman" w:hAnsi="Times New Roman" w:eastAsia="宋体" w:cs="Times New Roman"/>
                <w:sz w:val="21"/>
                <w:szCs w:val="21"/>
                <w:vertAlign w:val="baseline"/>
              </w:rPr>
            </w:pPr>
          </w:p>
        </w:tc>
        <w:tc>
          <w:tcPr>
            <w:tcW w:w="869" w:type="dxa"/>
            <w:vMerge w:val="continue"/>
            <w:noWrap w:val="0"/>
            <w:vAlign w:val="center"/>
          </w:tcPr>
          <w:p w14:paraId="5875295D">
            <w:pPr>
              <w:widowControl w:val="0"/>
              <w:ind w:right="192"/>
              <w:jc w:val="center"/>
              <w:rPr>
                <w:rFonts w:ascii="Times New Roman" w:hAnsi="Times New Roman" w:eastAsia="宋体" w:cs="Times New Roman"/>
                <w:sz w:val="21"/>
                <w:szCs w:val="21"/>
                <w:vertAlign w:val="baseline"/>
              </w:rPr>
            </w:pPr>
          </w:p>
        </w:tc>
        <w:tc>
          <w:tcPr>
            <w:tcW w:w="957" w:type="dxa"/>
            <w:noWrap w:val="0"/>
            <w:vAlign w:val="center"/>
          </w:tcPr>
          <w:p w14:paraId="6476E2E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标况流量m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vertAlign w:val="baseline"/>
                <w:lang w:val="en-US" w:eastAsia="zh-CN"/>
              </w:rPr>
              <w:t>/h</w:t>
            </w:r>
          </w:p>
        </w:tc>
        <w:tc>
          <w:tcPr>
            <w:tcW w:w="1029" w:type="dxa"/>
            <w:noWrap w:val="0"/>
            <w:vAlign w:val="center"/>
          </w:tcPr>
          <w:p w14:paraId="41DC904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实测浓度mg/m</w:t>
            </w:r>
            <w:r>
              <w:rPr>
                <w:rFonts w:hint="eastAsia" w:ascii="Times New Roman" w:hAnsi="Times New Roman" w:eastAsia="宋体" w:cs="Times New Roman"/>
                <w:sz w:val="21"/>
                <w:szCs w:val="21"/>
                <w:vertAlign w:val="superscript"/>
                <w:lang w:val="en-US" w:eastAsia="zh-CN"/>
              </w:rPr>
              <w:t>3</w:t>
            </w:r>
          </w:p>
        </w:tc>
        <w:tc>
          <w:tcPr>
            <w:tcW w:w="1029" w:type="dxa"/>
            <w:noWrap w:val="0"/>
            <w:vAlign w:val="center"/>
          </w:tcPr>
          <w:p w14:paraId="5DB0E5C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排放浓度mg/m</w:t>
            </w:r>
            <w:r>
              <w:rPr>
                <w:rFonts w:hint="eastAsia" w:ascii="Times New Roman" w:hAnsi="Times New Roman" w:eastAsia="宋体" w:cs="Times New Roman"/>
                <w:sz w:val="21"/>
                <w:szCs w:val="21"/>
                <w:vertAlign w:val="superscript"/>
                <w:lang w:val="en-US" w:eastAsia="zh-CN"/>
              </w:rPr>
              <w:t>3</w:t>
            </w:r>
          </w:p>
        </w:tc>
        <w:tc>
          <w:tcPr>
            <w:tcW w:w="941" w:type="dxa"/>
            <w:noWrap w:val="0"/>
            <w:vAlign w:val="center"/>
          </w:tcPr>
          <w:p w14:paraId="623B55E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排放量kg/h</w:t>
            </w:r>
          </w:p>
        </w:tc>
      </w:tr>
      <w:tr w14:paraId="268F4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noWrap w:val="0"/>
            <w:vAlign w:val="center"/>
          </w:tcPr>
          <w:p w14:paraId="6139010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锅炉（水膜除尘+电离心捕捉器后）</w:t>
            </w:r>
          </w:p>
        </w:tc>
        <w:tc>
          <w:tcPr>
            <w:tcW w:w="1823" w:type="dxa"/>
            <w:noWrap w:val="0"/>
            <w:vAlign w:val="center"/>
          </w:tcPr>
          <w:p w14:paraId="51A024F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FQ191216-B01-01</w:t>
            </w:r>
          </w:p>
        </w:tc>
        <w:tc>
          <w:tcPr>
            <w:tcW w:w="1328" w:type="dxa"/>
            <w:vMerge w:val="restart"/>
            <w:noWrap w:val="0"/>
            <w:vAlign w:val="center"/>
          </w:tcPr>
          <w:p w14:paraId="5853C70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2019-12-16</w:t>
            </w:r>
          </w:p>
        </w:tc>
        <w:tc>
          <w:tcPr>
            <w:tcW w:w="863" w:type="dxa"/>
            <w:noWrap w:val="0"/>
            <w:vAlign w:val="center"/>
          </w:tcPr>
          <w:p w14:paraId="45484DE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869" w:type="dxa"/>
            <w:vMerge w:val="restart"/>
            <w:noWrap w:val="0"/>
            <w:vAlign w:val="center"/>
          </w:tcPr>
          <w:p w14:paraId="5992E592">
            <w:pPr>
              <w:widowControl w:val="0"/>
              <w:ind w:left="0" w:right="192" w:firstLine="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烟尘</w:t>
            </w:r>
          </w:p>
        </w:tc>
        <w:tc>
          <w:tcPr>
            <w:tcW w:w="957" w:type="dxa"/>
            <w:noWrap w:val="0"/>
            <w:vAlign w:val="center"/>
          </w:tcPr>
          <w:p w14:paraId="7556852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33693</w:t>
            </w:r>
          </w:p>
        </w:tc>
        <w:tc>
          <w:tcPr>
            <w:tcW w:w="1029" w:type="dxa"/>
            <w:noWrap w:val="0"/>
            <w:vAlign w:val="center"/>
          </w:tcPr>
          <w:p w14:paraId="7620C5E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17.7</w:t>
            </w:r>
          </w:p>
        </w:tc>
        <w:tc>
          <w:tcPr>
            <w:tcW w:w="1029" w:type="dxa"/>
            <w:noWrap w:val="0"/>
            <w:vAlign w:val="center"/>
          </w:tcPr>
          <w:p w14:paraId="0CADFD6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44.3</w:t>
            </w:r>
          </w:p>
        </w:tc>
        <w:tc>
          <w:tcPr>
            <w:tcW w:w="941" w:type="dxa"/>
            <w:noWrap w:val="0"/>
            <w:vAlign w:val="center"/>
          </w:tcPr>
          <w:p w14:paraId="27634CE9">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0.60</w:t>
            </w:r>
          </w:p>
        </w:tc>
      </w:tr>
      <w:tr w14:paraId="50C19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68ADABA6">
            <w:pPr>
              <w:widowControl w:val="0"/>
              <w:ind w:right="192"/>
              <w:jc w:val="center"/>
              <w:rPr>
                <w:rFonts w:ascii="Times New Roman" w:hAnsi="Times New Roman" w:eastAsia="宋体" w:cs="Times New Roman"/>
                <w:sz w:val="21"/>
                <w:szCs w:val="21"/>
                <w:vertAlign w:val="baseline"/>
              </w:rPr>
            </w:pPr>
          </w:p>
        </w:tc>
        <w:tc>
          <w:tcPr>
            <w:tcW w:w="1823" w:type="dxa"/>
            <w:noWrap w:val="0"/>
            <w:vAlign w:val="center"/>
          </w:tcPr>
          <w:p w14:paraId="5E2E00E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FQ191216-B01-02</w:t>
            </w:r>
          </w:p>
        </w:tc>
        <w:tc>
          <w:tcPr>
            <w:tcW w:w="1328" w:type="dxa"/>
            <w:vMerge w:val="continue"/>
            <w:noWrap w:val="0"/>
            <w:vAlign w:val="center"/>
          </w:tcPr>
          <w:p w14:paraId="647B10AB">
            <w:pPr>
              <w:widowControl w:val="0"/>
              <w:ind w:left="0" w:right="192" w:firstLine="0"/>
              <w:jc w:val="center"/>
              <w:rPr>
                <w:rFonts w:ascii="Times New Roman" w:hAnsi="Times New Roman" w:eastAsia="宋体" w:cs="Times New Roman"/>
                <w:sz w:val="21"/>
                <w:szCs w:val="21"/>
                <w:vertAlign w:val="baseline"/>
                <w:lang w:val="en-US" w:eastAsia="zh-CN"/>
              </w:rPr>
            </w:pPr>
          </w:p>
        </w:tc>
        <w:tc>
          <w:tcPr>
            <w:tcW w:w="863" w:type="dxa"/>
            <w:noWrap w:val="0"/>
            <w:vAlign w:val="center"/>
          </w:tcPr>
          <w:p w14:paraId="3451F67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第二次</w:t>
            </w:r>
          </w:p>
        </w:tc>
        <w:tc>
          <w:tcPr>
            <w:tcW w:w="869" w:type="dxa"/>
            <w:vMerge w:val="continue"/>
            <w:noWrap w:val="0"/>
            <w:vAlign w:val="center"/>
          </w:tcPr>
          <w:p w14:paraId="10A0A2B7">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73E2826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33759</w:t>
            </w:r>
          </w:p>
        </w:tc>
        <w:tc>
          <w:tcPr>
            <w:tcW w:w="1029" w:type="dxa"/>
            <w:noWrap w:val="0"/>
            <w:vAlign w:val="center"/>
          </w:tcPr>
          <w:p w14:paraId="4FE7382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15.9</w:t>
            </w:r>
          </w:p>
        </w:tc>
        <w:tc>
          <w:tcPr>
            <w:tcW w:w="1029" w:type="dxa"/>
            <w:noWrap w:val="0"/>
            <w:vAlign w:val="center"/>
          </w:tcPr>
          <w:p w14:paraId="0B37D6D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45.3</w:t>
            </w:r>
          </w:p>
        </w:tc>
        <w:tc>
          <w:tcPr>
            <w:tcW w:w="941" w:type="dxa"/>
            <w:noWrap w:val="0"/>
            <w:vAlign w:val="center"/>
          </w:tcPr>
          <w:p w14:paraId="4DE5E7F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0.54</w:t>
            </w:r>
          </w:p>
        </w:tc>
      </w:tr>
      <w:tr w14:paraId="176E2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4295DD80">
            <w:pPr>
              <w:widowControl w:val="0"/>
              <w:ind w:right="192"/>
              <w:jc w:val="center"/>
              <w:rPr>
                <w:rFonts w:ascii="Times New Roman" w:hAnsi="Times New Roman" w:eastAsia="宋体" w:cs="Times New Roman"/>
                <w:sz w:val="21"/>
                <w:szCs w:val="21"/>
                <w:vertAlign w:val="baseline"/>
              </w:rPr>
            </w:pPr>
          </w:p>
        </w:tc>
        <w:tc>
          <w:tcPr>
            <w:tcW w:w="1823" w:type="dxa"/>
            <w:noWrap w:val="0"/>
            <w:vAlign w:val="center"/>
          </w:tcPr>
          <w:p w14:paraId="6D3093E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FQ191216-B01-03</w:t>
            </w:r>
          </w:p>
        </w:tc>
        <w:tc>
          <w:tcPr>
            <w:tcW w:w="1328" w:type="dxa"/>
            <w:vMerge w:val="continue"/>
            <w:noWrap w:val="0"/>
            <w:vAlign w:val="center"/>
          </w:tcPr>
          <w:p w14:paraId="16967BC8">
            <w:pPr>
              <w:widowControl w:val="0"/>
              <w:ind w:left="0" w:right="192" w:firstLine="0"/>
              <w:jc w:val="center"/>
              <w:rPr>
                <w:rFonts w:ascii="Times New Roman" w:hAnsi="Times New Roman" w:eastAsia="宋体" w:cs="Times New Roman"/>
                <w:sz w:val="21"/>
                <w:szCs w:val="21"/>
                <w:vertAlign w:val="baseline"/>
                <w:lang w:val="en-US" w:eastAsia="zh-CN"/>
              </w:rPr>
            </w:pPr>
          </w:p>
        </w:tc>
        <w:tc>
          <w:tcPr>
            <w:tcW w:w="863" w:type="dxa"/>
            <w:noWrap w:val="0"/>
            <w:vAlign w:val="center"/>
          </w:tcPr>
          <w:p w14:paraId="62A5951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第三次</w:t>
            </w:r>
          </w:p>
        </w:tc>
        <w:tc>
          <w:tcPr>
            <w:tcW w:w="869" w:type="dxa"/>
            <w:vMerge w:val="continue"/>
            <w:noWrap w:val="0"/>
            <w:vAlign w:val="center"/>
          </w:tcPr>
          <w:p w14:paraId="0203E353">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7A534B6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34295</w:t>
            </w:r>
          </w:p>
        </w:tc>
        <w:tc>
          <w:tcPr>
            <w:tcW w:w="1029" w:type="dxa"/>
            <w:noWrap w:val="0"/>
            <w:vAlign w:val="center"/>
          </w:tcPr>
          <w:p w14:paraId="77E6FE7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14.1</w:t>
            </w:r>
          </w:p>
        </w:tc>
        <w:tc>
          <w:tcPr>
            <w:tcW w:w="1029" w:type="dxa"/>
            <w:noWrap w:val="0"/>
            <w:vAlign w:val="center"/>
          </w:tcPr>
          <w:p w14:paraId="4BFA19C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42.2</w:t>
            </w:r>
          </w:p>
        </w:tc>
        <w:tc>
          <w:tcPr>
            <w:tcW w:w="941" w:type="dxa"/>
            <w:noWrap w:val="0"/>
            <w:vAlign w:val="center"/>
          </w:tcPr>
          <w:p w14:paraId="608CFD0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0.48</w:t>
            </w:r>
          </w:p>
        </w:tc>
      </w:tr>
      <w:tr w14:paraId="5B963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7B0E6B6B">
            <w:pPr>
              <w:widowControl w:val="0"/>
              <w:ind w:right="192"/>
              <w:jc w:val="center"/>
              <w:rPr>
                <w:rFonts w:ascii="Times New Roman" w:hAnsi="Times New Roman" w:eastAsia="宋体" w:cs="Times New Roman"/>
                <w:sz w:val="21"/>
                <w:szCs w:val="21"/>
                <w:vertAlign w:val="baseline"/>
              </w:rPr>
            </w:pPr>
          </w:p>
        </w:tc>
        <w:tc>
          <w:tcPr>
            <w:tcW w:w="1823" w:type="dxa"/>
            <w:noWrap w:val="0"/>
            <w:vAlign w:val="center"/>
          </w:tcPr>
          <w:p w14:paraId="778D68B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FQ191216-B01-04</w:t>
            </w:r>
          </w:p>
        </w:tc>
        <w:tc>
          <w:tcPr>
            <w:tcW w:w="1328" w:type="dxa"/>
            <w:vMerge w:val="continue"/>
            <w:noWrap w:val="0"/>
            <w:vAlign w:val="center"/>
          </w:tcPr>
          <w:p w14:paraId="0BEDA9AE">
            <w:pPr>
              <w:widowControl w:val="0"/>
              <w:ind w:left="0" w:right="192" w:firstLine="0"/>
              <w:jc w:val="center"/>
              <w:rPr>
                <w:rFonts w:ascii="Times New Roman" w:hAnsi="Times New Roman" w:eastAsia="宋体" w:cs="Times New Roman"/>
                <w:sz w:val="21"/>
                <w:szCs w:val="21"/>
                <w:vertAlign w:val="baseline"/>
                <w:lang w:val="en-US" w:eastAsia="zh-CN"/>
              </w:rPr>
            </w:pPr>
          </w:p>
        </w:tc>
        <w:tc>
          <w:tcPr>
            <w:tcW w:w="863" w:type="dxa"/>
            <w:noWrap w:val="0"/>
            <w:vAlign w:val="center"/>
          </w:tcPr>
          <w:p w14:paraId="0D4FAA5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第四次</w:t>
            </w:r>
          </w:p>
        </w:tc>
        <w:tc>
          <w:tcPr>
            <w:tcW w:w="869" w:type="dxa"/>
            <w:vMerge w:val="continue"/>
            <w:noWrap w:val="0"/>
            <w:vAlign w:val="center"/>
          </w:tcPr>
          <w:p w14:paraId="5A59D810">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44BA3B7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34109</w:t>
            </w:r>
          </w:p>
        </w:tc>
        <w:tc>
          <w:tcPr>
            <w:tcW w:w="1029" w:type="dxa"/>
            <w:noWrap w:val="0"/>
            <w:vAlign w:val="center"/>
          </w:tcPr>
          <w:p w14:paraId="1B3142A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17.3</w:t>
            </w:r>
          </w:p>
        </w:tc>
        <w:tc>
          <w:tcPr>
            <w:tcW w:w="1029" w:type="dxa"/>
            <w:noWrap w:val="0"/>
            <w:vAlign w:val="center"/>
          </w:tcPr>
          <w:p w14:paraId="081E4FA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41.5</w:t>
            </w:r>
          </w:p>
        </w:tc>
        <w:tc>
          <w:tcPr>
            <w:tcW w:w="941" w:type="dxa"/>
            <w:noWrap w:val="0"/>
            <w:vAlign w:val="center"/>
          </w:tcPr>
          <w:p w14:paraId="7DA6412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0.59</w:t>
            </w:r>
          </w:p>
        </w:tc>
      </w:tr>
      <w:tr w14:paraId="5A3F8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5F98DE7C">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38B7555B">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平均值</w:t>
            </w:r>
          </w:p>
        </w:tc>
        <w:tc>
          <w:tcPr>
            <w:tcW w:w="1328" w:type="dxa"/>
            <w:noWrap w:val="0"/>
            <w:vAlign w:val="center"/>
          </w:tcPr>
          <w:p w14:paraId="617E8089">
            <w:pPr>
              <w:widowControl w:val="0"/>
              <w:ind w:left="0" w:right="192" w:firstLine="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863" w:type="dxa"/>
            <w:noWrap w:val="0"/>
            <w:vAlign w:val="center"/>
          </w:tcPr>
          <w:p w14:paraId="17F92451">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869" w:type="dxa"/>
            <w:noWrap w:val="0"/>
            <w:vAlign w:val="center"/>
          </w:tcPr>
          <w:p w14:paraId="0F838FC3">
            <w:pPr>
              <w:widowControl w:val="0"/>
              <w:ind w:left="0" w:right="192" w:firstLine="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957" w:type="dxa"/>
            <w:noWrap w:val="0"/>
            <w:vAlign w:val="center"/>
          </w:tcPr>
          <w:p w14:paraId="5798DF11">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33964</w:t>
            </w:r>
          </w:p>
        </w:tc>
        <w:tc>
          <w:tcPr>
            <w:tcW w:w="1029" w:type="dxa"/>
            <w:noWrap w:val="0"/>
            <w:vAlign w:val="center"/>
          </w:tcPr>
          <w:p w14:paraId="1F0E59C4">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16.2</w:t>
            </w:r>
          </w:p>
        </w:tc>
        <w:tc>
          <w:tcPr>
            <w:tcW w:w="1029" w:type="dxa"/>
            <w:noWrap w:val="0"/>
            <w:vAlign w:val="center"/>
          </w:tcPr>
          <w:p w14:paraId="08E349C4">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43.3</w:t>
            </w:r>
          </w:p>
        </w:tc>
        <w:tc>
          <w:tcPr>
            <w:tcW w:w="941" w:type="dxa"/>
            <w:noWrap w:val="0"/>
            <w:vAlign w:val="center"/>
          </w:tcPr>
          <w:p w14:paraId="53F282C6">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0.55</w:t>
            </w:r>
          </w:p>
        </w:tc>
      </w:tr>
      <w:tr w14:paraId="1344A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963" w:type="dxa"/>
            <w:vMerge w:val="continue"/>
            <w:noWrap w:val="0"/>
            <w:vAlign w:val="top"/>
          </w:tcPr>
          <w:p w14:paraId="30D03816">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1B61ED1D">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FQ191216-B01-01</w:t>
            </w:r>
          </w:p>
        </w:tc>
        <w:tc>
          <w:tcPr>
            <w:tcW w:w="1328" w:type="dxa"/>
            <w:vMerge w:val="restart"/>
            <w:noWrap w:val="0"/>
            <w:vAlign w:val="center"/>
          </w:tcPr>
          <w:p w14:paraId="1262FE0F">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2019-12-16</w:t>
            </w:r>
          </w:p>
        </w:tc>
        <w:tc>
          <w:tcPr>
            <w:tcW w:w="863" w:type="dxa"/>
            <w:noWrap w:val="0"/>
            <w:vAlign w:val="center"/>
          </w:tcPr>
          <w:p w14:paraId="0B82BF3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869" w:type="dxa"/>
            <w:vMerge w:val="restart"/>
            <w:noWrap w:val="0"/>
            <w:vAlign w:val="center"/>
          </w:tcPr>
          <w:p w14:paraId="5CE0083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二氧化硫</w:t>
            </w:r>
          </w:p>
        </w:tc>
        <w:tc>
          <w:tcPr>
            <w:tcW w:w="957" w:type="dxa"/>
            <w:noWrap w:val="0"/>
            <w:vAlign w:val="center"/>
          </w:tcPr>
          <w:p w14:paraId="5D1D33B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33693</w:t>
            </w:r>
          </w:p>
        </w:tc>
        <w:tc>
          <w:tcPr>
            <w:tcW w:w="1029" w:type="dxa"/>
            <w:noWrap w:val="0"/>
            <w:vAlign w:val="center"/>
          </w:tcPr>
          <w:p w14:paraId="2D942D0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029" w:type="dxa"/>
            <w:noWrap w:val="0"/>
            <w:vAlign w:val="center"/>
          </w:tcPr>
          <w:p w14:paraId="7CB9377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w:t>
            </w:r>
          </w:p>
        </w:tc>
        <w:tc>
          <w:tcPr>
            <w:tcW w:w="941" w:type="dxa"/>
            <w:noWrap w:val="0"/>
            <w:vAlign w:val="center"/>
          </w:tcPr>
          <w:p w14:paraId="595DBA2F">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0.17</w:t>
            </w:r>
          </w:p>
        </w:tc>
      </w:tr>
      <w:tr w14:paraId="54F11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628E6A08">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7EF8AF76">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FQ191216-B01-02</w:t>
            </w:r>
          </w:p>
        </w:tc>
        <w:tc>
          <w:tcPr>
            <w:tcW w:w="1328" w:type="dxa"/>
            <w:vMerge w:val="continue"/>
            <w:noWrap w:val="0"/>
            <w:vAlign w:val="center"/>
          </w:tcPr>
          <w:p w14:paraId="6927DAAF">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5086DC6B">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第二次</w:t>
            </w:r>
          </w:p>
        </w:tc>
        <w:tc>
          <w:tcPr>
            <w:tcW w:w="869" w:type="dxa"/>
            <w:vMerge w:val="continue"/>
            <w:noWrap w:val="0"/>
            <w:vAlign w:val="center"/>
          </w:tcPr>
          <w:p w14:paraId="03249990">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19809FD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33759</w:t>
            </w:r>
          </w:p>
        </w:tc>
        <w:tc>
          <w:tcPr>
            <w:tcW w:w="1029" w:type="dxa"/>
            <w:noWrap w:val="0"/>
            <w:vAlign w:val="center"/>
          </w:tcPr>
          <w:p w14:paraId="09358EF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029" w:type="dxa"/>
            <w:noWrap w:val="0"/>
            <w:vAlign w:val="center"/>
          </w:tcPr>
          <w:p w14:paraId="0315F70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941" w:type="dxa"/>
            <w:noWrap w:val="0"/>
            <w:vAlign w:val="center"/>
          </w:tcPr>
          <w:p w14:paraId="4E7C24F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0.10</w:t>
            </w:r>
          </w:p>
        </w:tc>
      </w:tr>
      <w:tr w14:paraId="4FBE0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10D6D6A9">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56E1E79F">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FQ191216-B01-03</w:t>
            </w:r>
          </w:p>
        </w:tc>
        <w:tc>
          <w:tcPr>
            <w:tcW w:w="1328" w:type="dxa"/>
            <w:vMerge w:val="continue"/>
            <w:noWrap w:val="0"/>
            <w:vAlign w:val="center"/>
          </w:tcPr>
          <w:p w14:paraId="53884CF9">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3C72B1A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第三次</w:t>
            </w:r>
          </w:p>
        </w:tc>
        <w:tc>
          <w:tcPr>
            <w:tcW w:w="869" w:type="dxa"/>
            <w:vMerge w:val="continue"/>
            <w:noWrap w:val="0"/>
            <w:vAlign w:val="center"/>
          </w:tcPr>
          <w:p w14:paraId="58CE8135">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7FB1294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34295</w:t>
            </w:r>
          </w:p>
        </w:tc>
        <w:tc>
          <w:tcPr>
            <w:tcW w:w="1029" w:type="dxa"/>
            <w:noWrap w:val="0"/>
            <w:vAlign w:val="center"/>
          </w:tcPr>
          <w:p w14:paraId="6999CC5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029" w:type="dxa"/>
            <w:noWrap w:val="0"/>
            <w:vAlign w:val="center"/>
          </w:tcPr>
          <w:p w14:paraId="10C8361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941" w:type="dxa"/>
            <w:noWrap w:val="0"/>
            <w:vAlign w:val="center"/>
          </w:tcPr>
          <w:p w14:paraId="6A50EDB2">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0.17</w:t>
            </w:r>
          </w:p>
        </w:tc>
      </w:tr>
      <w:tr w14:paraId="562AA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31D4FE83">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05B7409D">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FQ191216-B01-04</w:t>
            </w:r>
          </w:p>
        </w:tc>
        <w:tc>
          <w:tcPr>
            <w:tcW w:w="1328" w:type="dxa"/>
            <w:vMerge w:val="continue"/>
            <w:noWrap w:val="0"/>
            <w:vAlign w:val="center"/>
          </w:tcPr>
          <w:p w14:paraId="716C249C">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41BED79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第四次</w:t>
            </w:r>
          </w:p>
        </w:tc>
        <w:tc>
          <w:tcPr>
            <w:tcW w:w="869" w:type="dxa"/>
            <w:vMerge w:val="continue"/>
            <w:noWrap w:val="0"/>
            <w:vAlign w:val="center"/>
          </w:tcPr>
          <w:p w14:paraId="69726797">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53290E3C">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34109</w:t>
            </w:r>
          </w:p>
        </w:tc>
        <w:tc>
          <w:tcPr>
            <w:tcW w:w="1029" w:type="dxa"/>
            <w:noWrap w:val="0"/>
            <w:vAlign w:val="center"/>
          </w:tcPr>
          <w:p w14:paraId="19C8835A">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1029" w:type="dxa"/>
            <w:noWrap w:val="0"/>
            <w:vAlign w:val="center"/>
          </w:tcPr>
          <w:p w14:paraId="0D8153F5">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941" w:type="dxa"/>
            <w:noWrap w:val="0"/>
            <w:vAlign w:val="center"/>
          </w:tcPr>
          <w:p w14:paraId="0435403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0.14</w:t>
            </w:r>
          </w:p>
        </w:tc>
      </w:tr>
      <w:tr w14:paraId="10551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26409B6E">
            <w:pPr>
              <w:widowControl w:val="0"/>
              <w:ind w:right="192"/>
              <w:rPr>
                <w:rFonts w:ascii="Times New Roman" w:hAnsi="Times New Roman" w:eastAsia="宋体" w:cs="Times New Roman"/>
                <w:sz w:val="21"/>
                <w:szCs w:val="21"/>
                <w:vertAlign w:val="baseline"/>
              </w:rPr>
            </w:pPr>
          </w:p>
        </w:tc>
        <w:tc>
          <w:tcPr>
            <w:tcW w:w="1823" w:type="dxa"/>
            <w:noWrap w:val="0"/>
            <w:vAlign w:val="top"/>
          </w:tcPr>
          <w:p w14:paraId="1F9E0E86">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平均值</w:t>
            </w:r>
          </w:p>
        </w:tc>
        <w:tc>
          <w:tcPr>
            <w:tcW w:w="1328" w:type="dxa"/>
            <w:noWrap w:val="0"/>
            <w:vAlign w:val="top"/>
          </w:tcPr>
          <w:p w14:paraId="58B85E6C">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w:t>
            </w:r>
          </w:p>
        </w:tc>
        <w:tc>
          <w:tcPr>
            <w:tcW w:w="863" w:type="dxa"/>
            <w:noWrap w:val="0"/>
            <w:vAlign w:val="center"/>
          </w:tcPr>
          <w:p w14:paraId="7508C209">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869" w:type="dxa"/>
            <w:noWrap w:val="0"/>
            <w:vAlign w:val="center"/>
          </w:tcPr>
          <w:p w14:paraId="019A15BE">
            <w:pPr>
              <w:widowControl w:val="0"/>
              <w:ind w:left="0" w:right="192" w:firstLine="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957" w:type="dxa"/>
            <w:noWrap w:val="0"/>
            <w:vAlign w:val="center"/>
          </w:tcPr>
          <w:p w14:paraId="3A7500F1">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33964</w:t>
            </w:r>
          </w:p>
        </w:tc>
        <w:tc>
          <w:tcPr>
            <w:tcW w:w="1029" w:type="dxa"/>
            <w:noWrap w:val="0"/>
            <w:vAlign w:val="center"/>
          </w:tcPr>
          <w:p w14:paraId="6AF79B19">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4</w:t>
            </w:r>
          </w:p>
        </w:tc>
        <w:tc>
          <w:tcPr>
            <w:tcW w:w="1029" w:type="dxa"/>
            <w:noWrap w:val="0"/>
            <w:vAlign w:val="center"/>
          </w:tcPr>
          <w:p w14:paraId="2A7AA839">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12</w:t>
            </w:r>
          </w:p>
        </w:tc>
        <w:tc>
          <w:tcPr>
            <w:tcW w:w="941" w:type="dxa"/>
            <w:noWrap w:val="0"/>
            <w:vAlign w:val="center"/>
          </w:tcPr>
          <w:p w14:paraId="618974A6">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0.14</w:t>
            </w:r>
          </w:p>
        </w:tc>
      </w:tr>
      <w:tr w14:paraId="4628C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963" w:type="dxa"/>
            <w:vMerge w:val="continue"/>
            <w:noWrap w:val="0"/>
            <w:vAlign w:val="top"/>
          </w:tcPr>
          <w:p w14:paraId="683F6F50">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2DA72017">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FQ191216-B01-01</w:t>
            </w:r>
          </w:p>
        </w:tc>
        <w:tc>
          <w:tcPr>
            <w:tcW w:w="1328" w:type="dxa"/>
            <w:vMerge w:val="restart"/>
            <w:noWrap w:val="0"/>
            <w:vAlign w:val="center"/>
          </w:tcPr>
          <w:p w14:paraId="0D4CE78D">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2019-12-16</w:t>
            </w:r>
          </w:p>
        </w:tc>
        <w:tc>
          <w:tcPr>
            <w:tcW w:w="863" w:type="dxa"/>
            <w:noWrap w:val="0"/>
            <w:vAlign w:val="center"/>
          </w:tcPr>
          <w:p w14:paraId="104D272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869" w:type="dxa"/>
            <w:vMerge w:val="restart"/>
            <w:noWrap w:val="0"/>
            <w:vAlign w:val="center"/>
          </w:tcPr>
          <w:p w14:paraId="6DFC11A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氮氧化物</w:t>
            </w:r>
          </w:p>
        </w:tc>
        <w:tc>
          <w:tcPr>
            <w:tcW w:w="957" w:type="dxa"/>
            <w:noWrap w:val="0"/>
            <w:vAlign w:val="center"/>
          </w:tcPr>
          <w:p w14:paraId="73A39D43">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33693</w:t>
            </w:r>
          </w:p>
        </w:tc>
        <w:tc>
          <w:tcPr>
            <w:tcW w:w="1029" w:type="dxa"/>
            <w:noWrap w:val="0"/>
            <w:vAlign w:val="center"/>
          </w:tcPr>
          <w:p w14:paraId="7164FB66">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23</w:t>
            </w:r>
          </w:p>
        </w:tc>
        <w:tc>
          <w:tcPr>
            <w:tcW w:w="1029" w:type="dxa"/>
            <w:noWrap w:val="0"/>
            <w:vAlign w:val="center"/>
          </w:tcPr>
          <w:p w14:paraId="7939778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57</w:t>
            </w:r>
          </w:p>
        </w:tc>
        <w:tc>
          <w:tcPr>
            <w:tcW w:w="941" w:type="dxa"/>
            <w:noWrap w:val="0"/>
            <w:vAlign w:val="center"/>
          </w:tcPr>
          <w:p w14:paraId="41E506C4">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0.77</w:t>
            </w:r>
          </w:p>
        </w:tc>
      </w:tr>
      <w:tr w14:paraId="52C56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25C022C5">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674775FE">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FQ191216-B01-02</w:t>
            </w:r>
          </w:p>
        </w:tc>
        <w:tc>
          <w:tcPr>
            <w:tcW w:w="1328" w:type="dxa"/>
            <w:vMerge w:val="continue"/>
            <w:noWrap w:val="0"/>
            <w:vAlign w:val="center"/>
          </w:tcPr>
          <w:p w14:paraId="73445D5A">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18A24A0F">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第二次</w:t>
            </w:r>
          </w:p>
        </w:tc>
        <w:tc>
          <w:tcPr>
            <w:tcW w:w="869" w:type="dxa"/>
            <w:vMerge w:val="continue"/>
            <w:noWrap w:val="0"/>
            <w:vAlign w:val="center"/>
          </w:tcPr>
          <w:p w14:paraId="72D4D39D">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7B22766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33759</w:t>
            </w:r>
          </w:p>
        </w:tc>
        <w:tc>
          <w:tcPr>
            <w:tcW w:w="1029" w:type="dxa"/>
            <w:noWrap w:val="0"/>
            <w:vAlign w:val="center"/>
          </w:tcPr>
          <w:p w14:paraId="54293950">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29</w:t>
            </w:r>
          </w:p>
        </w:tc>
        <w:tc>
          <w:tcPr>
            <w:tcW w:w="1029" w:type="dxa"/>
            <w:noWrap w:val="0"/>
            <w:vAlign w:val="center"/>
          </w:tcPr>
          <w:p w14:paraId="7F3D1A3F">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82</w:t>
            </w:r>
          </w:p>
        </w:tc>
        <w:tc>
          <w:tcPr>
            <w:tcW w:w="941" w:type="dxa"/>
            <w:noWrap w:val="0"/>
            <w:vAlign w:val="center"/>
          </w:tcPr>
          <w:p w14:paraId="768412D7">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0.98</w:t>
            </w:r>
          </w:p>
        </w:tc>
      </w:tr>
      <w:tr w14:paraId="4BF00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2366BE49">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13ECA3A2">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FQ191216-B01-03</w:t>
            </w:r>
          </w:p>
        </w:tc>
        <w:tc>
          <w:tcPr>
            <w:tcW w:w="1328" w:type="dxa"/>
            <w:vMerge w:val="continue"/>
            <w:noWrap w:val="0"/>
            <w:vAlign w:val="center"/>
          </w:tcPr>
          <w:p w14:paraId="422D88F3">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62E76374">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第三次</w:t>
            </w:r>
          </w:p>
        </w:tc>
        <w:tc>
          <w:tcPr>
            <w:tcW w:w="869" w:type="dxa"/>
            <w:vMerge w:val="continue"/>
            <w:noWrap w:val="0"/>
            <w:vAlign w:val="center"/>
          </w:tcPr>
          <w:p w14:paraId="1B203F63">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69AE549D">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34295</w:t>
            </w:r>
          </w:p>
        </w:tc>
        <w:tc>
          <w:tcPr>
            <w:tcW w:w="1029" w:type="dxa"/>
            <w:noWrap w:val="0"/>
            <w:vAlign w:val="center"/>
          </w:tcPr>
          <w:p w14:paraId="1C0EC83B">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w:t>
            </w:r>
          </w:p>
        </w:tc>
        <w:tc>
          <w:tcPr>
            <w:tcW w:w="1029" w:type="dxa"/>
            <w:noWrap w:val="0"/>
            <w:vAlign w:val="center"/>
          </w:tcPr>
          <w:p w14:paraId="772A245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78</w:t>
            </w:r>
          </w:p>
        </w:tc>
        <w:tc>
          <w:tcPr>
            <w:tcW w:w="941" w:type="dxa"/>
            <w:noWrap w:val="0"/>
            <w:vAlign w:val="center"/>
          </w:tcPr>
          <w:p w14:paraId="14F65AE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0.89</w:t>
            </w:r>
          </w:p>
        </w:tc>
      </w:tr>
      <w:tr w14:paraId="42907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2D8B6C1E">
            <w:pPr>
              <w:widowControl w:val="0"/>
              <w:ind w:right="192"/>
              <w:rPr>
                <w:rFonts w:ascii="Times New Roman" w:hAnsi="Times New Roman" w:eastAsia="宋体" w:cs="Times New Roman"/>
                <w:sz w:val="21"/>
                <w:szCs w:val="21"/>
                <w:vertAlign w:val="baseline"/>
              </w:rPr>
            </w:pPr>
          </w:p>
        </w:tc>
        <w:tc>
          <w:tcPr>
            <w:tcW w:w="1823" w:type="dxa"/>
            <w:noWrap w:val="0"/>
            <w:vAlign w:val="center"/>
          </w:tcPr>
          <w:p w14:paraId="6B88126E">
            <w:pPr>
              <w:widowControl w:val="0"/>
              <w:ind w:left="0" w:right="192" w:firstLine="0"/>
              <w:jc w:val="center"/>
              <w:rPr>
                <w:rFonts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FQ191216-B01-04</w:t>
            </w:r>
          </w:p>
        </w:tc>
        <w:tc>
          <w:tcPr>
            <w:tcW w:w="1328" w:type="dxa"/>
            <w:vMerge w:val="continue"/>
            <w:noWrap w:val="0"/>
            <w:vAlign w:val="center"/>
          </w:tcPr>
          <w:p w14:paraId="0068AE4A">
            <w:pPr>
              <w:widowControl w:val="0"/>
              <w:ind w:left="0" w:right="192" w:firstLine="0"/>
              <w:jc w:val="center"/>
              <w:rPr>
                <w:rFonts w:ascii="Times New Roman" w:hAnsi="Times New Roman" w:eastAsia="宋体" w:cs="Times New Roman"/>
                <w:sz w:val="21"/>
                <w:szCs w:val="21"/>
                <w:vertAlign w:val="baseline"/>
              </w:rPr>
            </w:pPr>
          </w:p>
        </w:tc>
        <w:tc>
          <w:tcPr>
            <w:tcW w:w="863" w:type="dxa"/>
            <w:noWrap w:val="0"/>
            <w:vAlign w:val="center"/>
          </w:tcPr>
          <w:p w14:paraId="6807B858">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第四次</w:t>
            </w:r>
          </w:p>
        </w:tc>
        <w:tc>
          <w:tcPr>
            <w:tcW w:w="869" w:type="dxa"/>
            <w:vMerge w:val="continue"/>
            <w:noWrap w:val="0"/>
            <w:vAlign w:val="center"/>
          </w:tcPr>
          <w:p w14:paraId="436B28B5">
            <w:pPr>
              <w:widowControl w:val="0"/>
              <w:ind w:left="0" w:right="192" w:firstLine="0"/>
              <w:jc w:val="center"/>
              <w:rPr>
                <w:rFonts w:ascii="Times New Roman" w:hAnsi="Times New Roman" w:eastAsia="宋体" w:cs="Times New Roman"/>
                <w:sz w:val="21"/>
                <w:szCs w:val="21"/>
                <w:vertAlign w:val="baseline"/>
                <w:lang w:val="en-US" w:eastAsia="zh-CN"/>
              </w:rPr>
            </w:pPr>
          </w:p>
        </w:tc>
        <w:tc>
          <w:tcPr>
            <w:tcW w:w="957" w:type="dxa"/>
            <w:noWrap w:val="0"/>
            <w:vAlign w:val="center"/>
          </w:tcPr>
          <w:p w14:paraId="5CB012D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34109</w:t>
            </w:r>
          </w:p>
        </w:tc>
        <w:tc>
          <w:tcPr>
            <w:tcW w:w="1029" w:type="dxa"/>
            <w:noWrap w:val="0"/>
            <w:vAlign w:val="center"/>
          </w:tcPr>
          <w:p w14:paraId="573C8A91">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c>
          <w:tcPr>
            <w:tcW w:w="1029" w:type="dxa"/>
            <w:noWrap w:val="0"/>
            <w:vAlign w:val="center"/>
          </w:tcPr>
          <w:p w14:paraId="1A6BD26E">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48</w:t>
            </w:r>
          </w:p>
        </w:tc>
        <w:tc>
          <w:tcPr>
            <w:tcW w:w="941" w:type="dxa"/>
            <w:noWrap w:val="0"/>
            <w:vAlign w:val="center"/>
          </w:tcPr>
          <w:p w14:paraId="5F928274">
            <w:pPr>
              <w:widowControl w:val="0"/>
              <w:ind w:left="0" w:right="192" w:firstLine="0"/>
              <w:jc w:val="center"/>
              <w:rPr>
                <w:rFonts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0.68</w:t>
            </w:r>
          </w:p>
        </w:tc>
      </w:tr>
      <w:tr w14:paraId="035FC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top"/>
          </w:tcPr>
          <w:p w14:paraId="62336707">
            <w:pPr>
              <w:widowControl w:val="0"/>
              <w:ind w:right="192"/>
              <w:rPr>
                <w:rFonts w:ascii="Times New Roman" w:hAnsi="Times New Roman" w:eastAsia="宋体" w:cs="Times New Roman"/>
                <w:sz w:val="21"/>
                <w:szCs w:val="21"/>
                <w:vertAlign w:val="baseline"/>
              </w:rPr>
            </w:pPr>
          </w:p>
        </w:tc>
        <w:tc>
          <w:tcPr>
            <w:tcW w:w="1823" w:type="dxa"/>
            <w:noWrap w:val="0"/>
            <w:vAlign w:val="top"/>
          </w:tcPr>
          <w:p w14:paraId="7021814A">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平均值</w:t>
            </w:r>
          </w:p>
        </w:tc>
        <w:tc>
          <w:tcPr>
            <w:tcW w:w="1328" w:type="dxa"/>
            <w:noWrap w:val="0"/>
            <w:vAlign w:val="top"/>
          </w:tcPr>
          <w:p w14:paraId="32338E79">
            <w:pPr>
              <w:widowControl w:val="0"/>
              <w:ind w:left="0" w:right="192" w:firstLine="0"/>
              <w:jc w:val="center"/>
              <w:rPr>
                <w:rFonts w:ascii="Times New Roman" w:hAnsi="Times New Roman" w:eastAsia="宋体" w:cs="Times New Roman"/>
                <w:b/>
                <w:bCs/>
                <w:sz w:val="21"/>
                <w:szCs w:val="21"/>
                <w:vertAlign w:val="baseline"/>
              </w:rPr>
            </w:pPr>
            <w:r>
              <w:rPr>
                <w:rFonts w:hint="eastAsia" w:ascii="Times New Roman" w:hAnsi="Times New Roman" w:eastAsia="宋体" w:cs="Times New Roman"/>
                <w:b/>
                <w:bCs/>
                <w:sz w:val="21"/>
                <w:szCs w:val="21"/>
                <w:vertAlign w:val="baseline"/>
                <w:lang w:val="en-US" w:eastAsia="zh-CN"/>
              </w:rPr>
              <w:t>——</w:t>
            </w:r>
          </w:p>
        </w:tc>
        <w:tc>
          <w:tcPr>
            <w:tcW w:w="863" w:type="dxa"/>
            <w:noWrap w:val="0"/>
            <w:vAlign w:val="center"/>
          </w:tcPr>
          <w:p w14:paraId="76B5666F">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869" w:type="dxa"/>
            <w:noWrap w:val="0"/>
            <w:vAlign w:val="center"/>
          </w:tcPr>
          <w:p w14:paraId="78B6D0EF">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957" w:type="dxa"/>
            <w:noWrap w:val="0"/>
            <w:vAlign w:val="center"/>
          </w:tcPr>
          <w:p w14:paraId="797CD424">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33964</w:t>
            </w:r>
          </w:p>
        </w:tc>
        <w:tc>
          <w:tcPr>
            <w:tcW w:w="1029" w:type="dxa"/>
            <w:noWrap w:val="0"/>
            <w:vAlign w:val="center"/>
          </w:tcPr>
          <w:p w14:paraId="4B2473C7">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24</w:t>
            </w:r>
          </w:p>
        </w:tc>
        <w:tc>
          <w:tcPr>
            <w:tcW w:w="1029" w:type="dxa"/>
            <w:noWrap w:val="0"/>
            <w:vAlign w:val="center"/>
          </w:tcPr>
          <w:p w14:paraId="0645D27B">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66</w:t>
            </w:r>
          </w:p>
        </w:tc>
        <w:tc>
          <w:tcPr>
            <w:tcW w:w="941" w:type="dxa"/>
            <w:noWrap w:val="0"/>
            <w:vAlign w:val="center"/>
          </w:tcPr>
          <w:p w14:paraId="4D9BBB8E">
            <w:pPr>
              <w:widowControl w:val="0"/>
              <w:ind w:left="0" w:right="192" w:firstLine="0"/>
              <w:jc w:val="center"/>
              <w:rPr>
                <w:rFonts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0.83</w:t>
            </w:r>
          </w:p>
        </w:tc>
      </w:tr>
    </w:tbl>
    <w:p w14:paraId="070A30CC">
      <w:pPr>
        <w:spacing w:before="120"/>
        <w:ind w:firstLine="480"/>
        <w:rPr>
          <w:rFonts w:hint="eastAsia"/>
        </w:rPr>
      </w:pPr>
      <w:r>
        <w:rPr>
          <w:rFonts w:hint="eastAsia"/>
          <w:szCs w:val="24"/>
          <w:lang w:val="en-US" w:eastAsia="zh-CN"/>
        </w:rPr>
        <w:t>根据2019年检测结果，项目锅炉经过水膜除尘器+电离捕捉器后烟尘的排放浓度为43.3mg/m</w:t>
      </w:r>
      <w:r>
        <w:rPr>
          <w:rFonts w:hint="eastAsia"/>
          <w:szCs w:val="24"/>
          <w:vertAlign w:val="superscript"/>
          <w:lang w:val="en-US" w:eastAsia="zh-CN"/>
        </w:rPr>
        <w:t>3</w:t>
      </w:r>
      <w:r>
        <w:rPr>
          <w:rFonts w:hint="eastAsia"/>
          <w:szCs w:val="24"/>
          <w:lang w:val="en-US" w:eastAsia="zh-CN"/>
        </w:rPr>
        <w:t>，排放量为0.55kg/h，3.96t/a；SO</w:t>
      </w:r>
      <w:r>
        <w:rPr>
          <w:rFonts w:hint="eastAsia"/>
          <w:szCs w:val="24"/>
          <w:vertAlign w:val="subscript"/>
          <w:lang w:val="en-US" w:eastAsia="zh-CN"/>
        </w:rPr>
        <w:t>2</w:t>
      </w:r>
      <w:r>
        <w:rPr>
          <w:rFonts w:hint="eastAsia"/>
          <w:szCs w:val="24"/>
          <w:lang w:val="en-US" w:eastAsia="zh-CN"/>
        </w:rPr>
        <w:t>排放浓度为12mg/m</w:t>
      </w:r>
      <w:r>
        <w:rPr>
          <w:rFonts w:hint="eastAsia"/>
          <w:szCs w:val="24"/>
          <w:vertAlign w:val="superscript"/>
          <w:lang w:val="en-US" w:eastAsia="zh-CN"/>
        </w:rPr>
        <w:t>3</w:t>
      </w:r>
      <w:r>
        <w:rPr>
          <w:rFonts w:hint="eastAsia"/>
          <w:szCs w:val="24"/>
          <w:lang w:val="en-US" w:eastAsia="zh-CN"/>
        </w:rPr>
        <w:t>，排放量为0.14kg/h，1.0t/a；NOx排放浓度为66mg/m</w:t>
      </w:r>
      <w:r>
        <w:rPr>
          <w:rFonts w:hint="eastAsia"/>
          <w:szCs w:val="24"/>
          <w:vertAlign w:val="superscript"/>
          <w:lang w:val="en-US" w:eastAsia="zh-CN"/>
        </w:rPr>
        <w:t>3</w:t>
      </w:r>
      <w:r>
        <w:rPr>
          <w:rFonts w:hint="eastAsia"/>
          <w:szCs w:val="24"/>
          <w:lang w:val="en-US" w:eastAsia="zh-CN"/>
        </w:rPr>
        <w:t>，排放量为0.83kg/h，5.976t/a。外排烟气中各污染物均满足</w:t>
      </w:r>
      <w:r>
        <w:rPr>
          <w:rFonts w:hint="eastAsia"/>
        </w:rPr>
        <w:t>《锅炉大气污染物排放标准》（GB13271－2014）中表2规定的大气污染物排放限值，烟尘排放浓度≤50mg/m</w:t>
      </w:r>
      <w:r>
        <w:rPr>
          <w:rFonts w:hint="eastAsia"/>
          <w:vertAlign w:val="superscript"/>
        </w:rPr>
        <w:t>3</w:t>
      </w:r>
      <w:r>
        <w:rPr>
          <w:rFonts w:hint="eastAsia"/>
        </w:rPr>
        <w:t>；NO</w:t>
      </w:r>
      <w:r>
        <w:rPr>
          <w:rFonts w:hint="eastAsia"/>
          <w:vertAlign w:val="subscript"/>
        </w:rPr>
        <w:t>X</w:t>
      </w:r>
      <w:r>
        <w:rPr>
          <w:rFonts w:hint="eastAsia"/>
        </w:rPr>
        <w:t>排放浓度≤300mg/m</w:t>
      </w:r>
      <w:r>
        <w:rPr>
          <w:rFonts w:hint="eastAsia"/>
          <w:vertAlign w:val="superscript"/>
        </w:rPr>
        <w:t>3</w:t>
      </w:r>
      <w:r>
        <w:rPr>
          <w:rFonts w:hint="eastAsia"/>
        </w:rPr>
        <w:t>；SO</w:t>
      </w:r>
      <w:r>
        <w:rPr>
          <w:rFonts w:hint="eastAsia"/>
          <w:vertAlign w:val="subscript"/>
        </w:rPr>
        <w:t>2</w:t>
      </w:r>
      <w:r>
        <w:rPr>
          <w:rFonts w:hint="eastAsia"/>
        </w:rPr>
        <w:t>排放浓度≤300mg/m</w:t>
      </w:r>
      <w:r>
        <w:rPr>
          <w:rFonts w:hint="eastAsia"/>
          <w:vertAlign w:val="superscript"/>
        </w:rPr>
        <w:t>3</w:t>
      </w:r>
      <w:r>
        <w:rPr>
          <w:rFonts w:hint="eastAsia"/>
        </w:rPr>
        <w:t>。</w:t>
      </w:r>
    </w:p>
    <w:p w14:paraId="312A00DC">
      <w:pPr>
        <w:ind w:right="192" w:firstLine="480"/>
        <w:rPr>
          <w:rFonts w:eastAsia="宋体"/>
          <w:szCs w:val="24"/>
          <w:lang w:val="en-US" w:eastAsia="zh-CN"/>
        </w:rPr>
      </w:pPr>
      <w:r>
        <w:rPr>
          <w:rFonts w:hint="eastAsia"/>
          <w:szCs w:val="24"/>
          <w:lang w:val="en-US" w:eastAsia="zh-CN"/>
        </w:rPr>
        <w:t>本次环评建议后期将备用6t/h蒸汽锅炉水膜除尘器处理的后的烟气引至热载体炉新增的电离捕捉器进行二次净化处理后</w:t>
      </w:r>
      <w:r>
        <w:rPr>
          <w:rFonts w:hint="eastAsia"/>
          <w:color w:val="FF0000"/>
          <w:szCs w:val="24"/>
          <w:lang w:val="en-US" w:eastAsia="zh-CN"/>
        </w:rPr>
        <w:t>，与热载体炉共用1根25m高的</w:t>
      </w:r>
      <w:r>
        <w:rPr>
          <w:rFonts w:hint="eastAsia"/>
          <w:szCs w:val="24"/>
          <w:lang w:val="en-US" w:eastAsia="zh-CN"/>
        </w:rPr>
        <w:t>排气筒排放。（</w:t>
      </w:r>
      <w:r>
        <w:rPr>
          <w:rFonts w:hint="eastAsia"/>
          <w:color w:val="FF0000"/>
          <w:szCs w:val="24"/>
          <w:lang w:val="en-US" w:eastAsia="zh-CN"/>
        </w:rPr>
        <w:t>排气筒编号P3）</w:t>
      </w:r>
    </w:p>
    <w:p w14:paraId="35B35ECC">
      <w:pPr>
        <w:pStyle w:val="315"/>
        <w:rPr>
          <w:rFonts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3、制胶废气</w:t>
      </w:r>
    </w:p>
    <w:p w14:paraId="3A6A109F">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运营期废气污染源产生主要来源于胶粘剂生产、物料运输和储存。项目使用的原料通过槽车运输，卸车采用密闭卸车方式；危险储罐区物料装卸采用独立的泵。储罐物料通过管道直接运送到生产车间，全过程密闭安全。项目胶粘剂生产工艺简单，生产过程具有自动化、封闭式等特点，所有物料均采用密闭管路输送，并在密闭的反应釜中反应，反应釜产生的废气采用负压收集至冷凝器回收、处理后排放，无组织气体排放量极少，在此不做定量评价。</w:t>
      </w:r>
    </w:p>
    <w:p w14:paraId="3DD39414">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（1）胶粘剂生产废气（G19-G22、G24-G27）</w:t>
      </w:r>
    </w:p>
    <w:p w14:paraId="3A4EB1F1">
      <w:pPr>
        <w:pStyle w:val="315"/>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项目制胶采用低浓度的甲醛溶液，制胶过程挥发的废气主要为甲醛、氨、酚类、VOCs 等，目前项目制胶生产线设置有冷凝器，制胶废气呈无组织排</w:t>
      </w:r>
      <w:r>
        <w:rPr>
          <w:rFonts w:hint="eastAsia" w:ascii="Times New Roman" w:hAnsi="Times New Roman" w:eastAsia="宋体" w:cs="Times New Roman"/>
          <w:color w:val="FF0000"/>
          <w:sz w:val="24"/>
          <w:szCs w:val="24"/>
          <w:lang w:val="en-US" w:eastAsia="zh-CN"/>
        </w:rPr>
        <w:t>放，环评要求增设1套</w:t>
      </w:r>
      <w:r>
        <w:rPr>
          <w:rFonts w:hint="eastAsia" w:ascii="Times New Roman" w:hAnsi="Times New Roman" w:eastAsia="宋体" w:cs="Times New Roman"/>
          <w:bCs w:val="0"/>
          <w:color w:val="FF0000"/>
          <w:sz w:val="24"/>
          <w:szCs w:val="24"/>
          <w:lang w:val="en-US" w:eastAsia="zh-CN" w:bidi="ar-SA"/>
        </w:rPr>
        <w:t>UV光催化活性炭吸附一体设备收集废气，与板材加工热压、贴面工序的有机废气共用1套净化处理设施，处理后废气通过1根</w:t>
      </w:r>
      <w:r>
        <w:rPr>
          <w:rFonts w:hint="eastAsia" w:ascii="Times New Roman" w:hAnsi="Times New Roman" w:eastAsia="宋体" w:cs="Times New Roman"/>
          <w:color w:val="FF0000"/>
          <w:sz w:val="24"/>
          <w:szCs w:val="24"/>
          <w:lang w:val="en-US" w:eastAsia="zh-CN" w:bidi="ar-SA"/>
        </w:rPr>
        <w:t>15m高排气筒</w:t>
      </w:r>
      <w:r>
        <w:rPr>
          <w:rFonts w:hint="eastAsia" w:ascii="Times New Roman" w:hAnsi="Times New Roman" w:eastAsia="宋体" w:cs="Times New Roman"/>
          <w:color w:val="FF0000"/>
          <w:sz w:val="24"/>
          <w:szCs w:val="24"/>
          <w:lang w:val="en-US" w:eastAsia="zh-CN"/>
        </w:rPr>
        <w:t>排放（编号P2）</w:t>
      </w:r>
      <w:r>
        <w:rPr>
          <w:rFonts w:hint="eastAsia" w:ascii="Times New Roman" w:hAnsi="Times New Roman" w:eastAsia="宋体" w:cs="Times New Roman"/>
          <w:sz w:val="24"/>
          <w:szCs w:val="24"/>
          <w:lang w:val="en-US" w:eastAsia="zh-CN"/>
        </w:rPr>
        <w:t>。各反应釜的过程处在不同阶段，本次评价有组织废气排放情况概化为平均排放。</w:t>
      </w:r>
    </w:p>
    <w:p w14:paraId="15804A5B">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①脲醛树脂胶废气（G19-G22）</w:t>
      </w:r>
    </w:p>
    <w:p w14:paraId="099677EE">
      <w:pPr>
        <w:pStyle w:val="315"/>
        <w:rPr>
          <w:rFonts w:ascii="Times New Roman" w:hAnsi="Times New Roman" w:eastAsia="宋体" w:cs="Times New Roman"/>
          <w:sz w:val="24"/>
          <w:szCs w:val="24"/>
        </w:rPr>
      </w:pPr>
      <w:r>
        <w:rPr>
          <w:rFonts w:hint="eastAsia" w:ascii="Times New Roman" w:hAnsi="Times New Roman" w:eastAsia="宋体" w:cs="Times New Roman"/>
          <w:szCs w:val="22"/>
          <w:lang w:val="en-US" w:eastAsia="zh-CN"/>
        </w:rPr>
        <w:t>反应釜内产生的废气通过各反应釜配套的冷凝器冷凝回流至反应釜，会有部分不凝气外排，根据工艺分析，外排</w:t>
      </w:r>
      <w:r>
        <w:rPr>
          <w:rFonts w:ascii="Times New Roman" w:hAnsi="Times New Roman" w:eastAsia="宋体" w:cs="Times New Roman"/>
          <w:sz w:val="24"/>
          <w:szCs w:val="24"/>
        </w:rPr>
        <w:t>废气</w:t>
      </w:r>
      <w:r>
        <w:rPr>
          <w:rFonts w:hint="eastAsia" w:ascii="Times New Roman" w:hAnsi="Times New Roman" w:eastAsia="宋体" w:cs="Times New Roman"/>
          <w:sz w:val="24"/>
          <w:szCs w:val="24"/>
          <w:lang w:val="en-US" w:eastAsia="zh-CN"/>
        </w:rPr>
        <w:t>中</w:t>
      </w:r>
      <w:r>
        <w:rPr>
          <w:rFonts w:ascii="Times New Roman" w:hAnsi="Times New Roman" w:eastAsia="宋体" w:cs="Times New Roman"/>
          <w:sz w:val="24"/>
          <w:szCs w:val="24"/>
        </w:rPr>
        <w:t>主要有甲醛、氨、</w:t>
      </w:r>
      <w:r>
        <w:rPr>
          <w:rFonts w:ascii="Times New Roman" w:hAnsi="Times New Roman" w:eastAsia="Times New Roman" w:cs="Times New Roman"/>
          <w:sz w:val="24"/>
          <w:szCs w:val="24"/>
        </w:rPr>
        <w:t>VOCs</w:t>
      </w:r>
      <w:r>
        <w:rPr>
          <w:rFonts w:ascii="Times New Roman" w:hAnsi="Times New Roman" w:eastAsia="宋体" w:cs="Times New Roman"/>
          <w:spacing w:val="-4"/>
          <w:sz w:val="24"/>
          <w:szCs w:val="24"/>
        </w:rPr>
        <w:t>。本项目脲醛树脂胶年产量</w:t>
      </w:r>
      <w:r>
        <w:rPr>
          <w:rFonts w:hint="eastAsia" w:ascii="Times New Roman" w:hAnsi="Times New Roman" w:eastAsia="宋体" w:cs="Times New Roman"/>
          <w:spacing w:val="-4"/>
          <w:sz w:val="24"/>
          <w:szCs w:val="24"/>
          <w:lang w:val="en-US" w:eastAsia="zh-CN"/>
        </w:rPr>
        <w:t>2500</w:t>
      </w:r>
      <w:r>
        <w:rPr>
          <w:rFonts w:ascii="Times New Roman" w:hAnsi="Times New Roman" w:eastAsia="宋体" w:cs="Times New Roman"/>
          <w:sz w:val="24"/>
          <w:szCs w:val="24"/>
        </w:rPr>
        <w:t>吨，</w:t>
      </w:r>
      <w:r>
        <w:rPr>
          <w:rFonts w:ascii="Times New Roman" w:hAnsi="Times New Roman" w:eastAsia="宋体" w:cs="Times New Roman"/>
          <w:spacing w:val="-6"/>
          <w:sz w:val="24"/>
          <w:szCs w:val="24"/>
        </w:rPr>
        <w:t xml:space="preserve">反应釜总容积为 </w:t>
      </w:r>
      <w:r>
        <w:rPr>
          <w:rFonts w:hint="eastAsia" w:ascii="Times New Roman" w:hAnsi="Times New Roman" w:eastAsia="宋体" w:cs="Times New Roman"/>
          <w:sz w:val="24"/>
          <w:szCs w:val="24"/>
          <w:lang w:val="en-US" w:eastAsia="zh-CN"/>
        </w:rPr>
        <w:t>10</w:t>
      </w:r>
      <w:r>
        <w:rPr>
          <w:rFonts w:ascii="Times New Roman" w:hAnsi="Times New Roman" w:eastAsia="Times New Roman" w:cs="Times New Roman"/>
          <w:sz w:val="24"/>
          <w:szCs w:val="24"/>
        </w:rPr>
        <w:t>t</w:t>
      </w:r>
      <w:r>
        <w:rPr>
          <w:rFonts w:ascii="Times New Roman" w:hAnsi="Times New Roman" w:eastAsia="宋体" w:cs="Times New Roman"/>
          <w:spacing w:val="-4"/>
          <w:sz w:val="24"/>
          <w:szCs w:val="24"/>
        </w:rPr>
        <w:t xml:space="preserve">，最大投料量以反应釜容积 </w:t>
      </w:r>
      <w:r>
        <w:rPr>
          <w:rFonts w:ascii="Times New Roman" w:hAnsi="Times New Roman" w:eastAsia="Times New Roman" w:cs="Times New Roman"/>
          <w:sz w:val="24"/>
          <w:szCs w:val="24"/>
        </w:rPr>
        <w:t xml:space="preserve">80% </w:t>
      </w:r>
      <w:r>
        <w:rPr>
          <w:rFonts w:ascii="Times New Roman" w:hAnsi="Times New Roman" w:eastAsia="宋体" w:cs="Times New Roman"/>
          <w:spacing w:val="-12"/>
          <w:sz w:val="24"/>
          <w:szCs w:val="24"/>
        </w:rPr>
        <w:t xml:space="preserve">计，年产 </w:t>
      </w:r>
      <w:r>
        <w:rPr>
          <w:rFonts w:hint="eastAsia" w:ascii="Times New Roman" w:hAnsi="Times New Roman" w:eastAsia="宋体" w:cs="Times New Roman"/>
          <w:sz w:val="24"/>
          <w:szCs w:val="24"/>
          <w:lang w:val="en-US" w:eastAsia="zh-CN"/>
        </w:rPr>
        <w:t>300</w:t>
      </w:r>
      <w:r>
        <w:rPr>
          <w:rFonts w:ascii="Times New Roman" w:hAnsi="Times New Roman" w:eastAsia="宋体" w:cs="Times New Roman"/>
          <w:sz w:val="24"/>
          <w:szCs w:val="24"/>
        </w:rPr>
        <w:t>批。</w:t>
      </w:r>
    </w:p>
    <w:p w14:paraId="19ABC78D">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通过查阅《浦北县昌宏木业有限公司年产 10000 吨脲醛树脂胶项目竣工环境保护验收报告》（钦环监验字[2016]038 号）（公示版）可知，甲醛排放量为 0.00094t/a，0.000094kg甲醛/t产品；通过查阅《浦北县金牛木业有限公司增建胶水生产车间项目环境保护竣工验收监测报告》（钦环验字[2015]28 号）（公示版）可知，该项目年产 10000 吨脲醛树脂胶，甲醛排放量为 0.014t/a，0.0014kg 甲醛/t产品。验收期间该项目正常生产，达到日均产量要求。甲醛产排情况采取类比法确定。</w:t>
      </w:r>
    </w:p>
    <w:p w14:paraId="34CF3F41">
      <w:pPr>
        <w:pStyle w:val="219"/>
        <w:keepNext w:val="0"/>
        <w:keepLines w:val="0"/>
        <w:pageBreakBefore w:val="0"/>
        <w:widowControl/>
        <w:spacing w:after="0" w:line="375" w:lineRule="auto"/>
        <w:ind w:left="465" w:right="300" w:firstLine="480"/>
        <w:jc w:val="center"/>
        <w:rPr>
          <w:rFonts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表4.3-5  类比情况一览表</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6"/>
        <w:gridCol w:w="1706"/>
        <w:gridCol w:w="1706"/>
        <w:gridCol w:w="1707"/>
        <w:gridCol w:w="1707"/>
      </w:tblGrid>
      <w:tr w14:paraId="33D82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706" w:type="dxa"/>
            <w:noWrap w:val="0"/>
            <w:vAlign w:val="center"/>
          </w:tcPr>
          <w:p w14:paraId="4BC95C41">
            <w:pPr>
              <w:widowControl w:val="0"/>
              <w:spacing w:line="340" w:lineRule="exact"/>
              <w:ind w:firstLine="0"/>
              <w:jc w:val="center"/>
              <w:rPr>
                <w:rFonts w:hint="eastAsia" w:ascii="Times New Roman" w:hAnsi="Times New Roman" w:eastAsia="宋体" w:cs="Times New Roman"/>
                <w:b/>
                <w:bCs/>
                <w:sz w:val="21"/>
                <w:szCs w:val="21"/>
                <w:lang w:val="en-US" w:eastAsia="zh-CN"/>
              </w:rPr>
            </w:pPr>
          </w:p>
          <w:p w14:paraId="3C6E018A">
            <w:pPr>
              <w:widowControl w:val="0"/>
              <w:spacing w:line="340" w:lineRule="exact"/>
              <w:ind w:firstLine="0"/>
              <w:jc w:val="center"/>
              <w:rPr>
                <w:rFonts w:hint="eastAsia" w:ascii="Times New Roman" w:hAnsi="Times New Roman" w:eastAsia="宋体" w:cs="Times New Roman"/>
                <w:b/>
                <w:bCs/>
                <w:sz w:val="21"/>
                <w:szCs w:val="21"/>
                <w:lang w:val="en-US" w:eastAsia="zh-CN"/>
              </w:rPr>
            </w:pPr>
          </w:p>
          <w:p w14:paraId="5AEFC05B">
            <w:pPr>
              <w:widowControl w:val="0"/>
              <w:spacing w:line="340" w:lineRule="exact"/>
              <w:ind w:firstLine="0"/>
              <w:jc w:val="center"/>
              <w:rPr>
                <w:rFonts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适用原则及说明</w:t>
            </w:r>
          </w:p>
          <w:p w14:paraId="2C520BD6">
            <w:pPr>
              <w:widowControl w:val="0"/>
              <w:spacing w:line="340" w:lineRule="exact"/>
              <w:ind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项目名称</w:t>
            </w:r>
          </w:p>
          <w:p w14:paraId="08E006D3">
            <w:pPr>
              <w:widowControl w:val="0"/>
              <w:spacing w:line="340" w:lineRule="exact"/>
              <w:ind w:firstLine="0"/>
              <w:jc w:val="center"/>
              <w:rPr>
                <w:rFonts w:hint="eastAsia" w:ascii="Times New Roman" w:hAnsi="Times New Roman" w:eastAsia="宋体" w:cs="Times New Roman"/>
                <w:b/>
                <w:bCs/>
                <w:sz w:val="21"/>
                <w:szCs w:val="21"/>
                <w:lang w:val="en-US" w:eastAsia="zh-CN"/>
              </w:rPr>
            </w:pPr>
          </w:p>
        </w:tc>
        <w:tc>
          <w:tcPr>
            <w:tcW w:w="1706" w:type="dxa"/>
            <w:noWrap w:val="0"/>
            <w:vAlign w:val="center"/>
          </w:tcPr>
          <w:p w14:paraId="31B23BA5">
            <w:pPr>
              <w:widowControl w:val="0"/>
              <w:spacing w:line="340" w:lineRule="exact"/>
              <w:ind w:firstLine="0"/>
              <w:jc w:val="center"/>
              <w:rPr>
                <w:rFonts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本项目</w:t>
            </w:r>
          </w:p>
        </w:tc>
        <w:tc>
          <w:tcPr>
            <w:tcW w:w="1706" w:type="dxa"/>
            <w:noWrap w:val="0"/>
            <w:vAlign w:val="center"/>
          </w:tcPr>
          <w:p w14:paraId="3C2465AB">
            <w:pPr>
              <w:widowControl w:val="0"/>
              <w:spacing w:line="340" w:lineRule="exact"/>
              <w:ind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浦北县昌宏木业有限公司年产10000吨脲醛树脂胶项目</w:t>
            </w:r>
          </w:p>
        </w:tc>
        <w:tc>
          <w:tcPr>
            <w:tcW w:w="1707" w:type="dxa"/>
            <w:noWrap w:val="0"/>
            <w:vAlign w:val="center"/>
          </w:tcPr>
          <w:p w14:paraId="08F09D47">
            <w:pPr>
              <w:widowControl w:val="0"/>
              <w:spacing w:line="340" w:lineRule="exact"/>
              <w:ind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浦北县金牛木业有限公司增建胶水生产车间项目</w:t>
            </w:r>
          </w:p>
        </w:tc>
        <w:tc>
          <w:tcPr>
            <w:tcW w:w="1707" w:type="dxa"/>
            <w:noWrap w:val="0"/>
            <w:vAlign w:val="center"/>
          </w:tcPr>
          <w:p w14:paraId="59447F4A">
            <w:pPr>
              <w:widowControl w:val="0"/>
              <w:spacing w:line="340" w:lineRule="exact"/>
              <w:ind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同类企业与本项目相似性</w:t>
            </w:r>
          </w:p>
        </w:tc>
      </w:tr>
      <w:tr w14:paraId="073D2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0038201F">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原辅料</w:t>
            </w:r>
          </w:p>
          <w:p w14:paraId="148B970B">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类型</w:t>
            </w:r>
          </w:p>
        </w:tc>
        <w:tc>
          <w:tcPr>
            <w:tcW w:w="1706" w:type="dxa"/>
            <w:noWrap w:val="0"/>
            <w:vAlign w:val="center"/>
          </w:tcPr>
          <w:p w14:paraId="08BECCB6">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尿素、37%甲醛溶液、聚</w:t>
            </w:r>
          </w:p>
          <w:p w14:paraId="3DF7EF13">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乙烯醇、氢氧化钠溶液</w:t>
            </w:r>
          </w:p>
        </w:tc>
        <w:tc>
          <w:tcPr>
            <w:tcW w:w="1706" w:type="dxa"/>
            <w:noWrap w:val="0"/>
            <w:vAlign w:val="center"/>
          </w:tcPr>
          <w:p w14:paraId="796DFDE0">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尿素、37%甲醛溶液、聚</w:t>
            </w:r>
          </w:p>
          <w:p w14:paraId="3908D6A0">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乙烯醇、氢氧化钠溶液</w:t>
            </w:r>
          </w:p>
        </w:tc>
        <w:tc>
          <w:tcPr>
            <w:tcW w:w="1707" w:type="dxa"/>
            <w:noWrap w:val="0"/>
            <w:vAlign w:val="center"/>
          </w:tcPr>
          <w:p w14:paraId="409BDF34">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尿素、37%甲醛溶液、聚乙</w:t>
            </w:r>
          </w:p>
          <w:p w14:paraId="473C36A5">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烯醇、氢氧化钠溶液</w:t>
            </w:r>
          </w:p>
        </w:tc>
        <w:tc>
          <w:tcPr>
            <w:tcW w:w="1707" w:type="dxa"/>
            <w:noWrap w:val="0"/>
            <w:vAlign w:val="center"/>
          </w:tcPr>
          <w:p w14:paraId="60CACEC1">
            <w:pPr>
              <w:widowControl w:val="0"/>
              <w:spacing w:line="340" w:lineRule="exact"/>
              <w:ind w:firstLine="0"/>
              <w:jc w:val="center"/>
              <w:rPr>
                <w:rFonts w:hint="eastAsia" w:ascii="Times New Roman" w:hAnsi="Times New Roman" w:eastAsia="宋体" w:cs="Times New Roman"/>
                <w:sz w:val="21"/>
                <w:szCs w:val="21"/>
                <w:lang w:val="en-US" w:eastAsia="zh-CN"/>
              </w:rPr>
            </w:pPr>
          </w:p>
          <w:p w14:paraId="56D00DE2">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相同</w:t>
            </w:r>
          </w:p>
        </w:tc>
      </w:tr>
      <w:tr w14:paraId="48BD1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326219F3">
            <w:pPr>
              <w:widowControl w:val="0"/>
              <w:spacing w:line="340" w:lineRule="exact"/>
              <w:ind w:firstLine="0"/>
              <w:jc w:val="center"/>
              <w:rPr>
                <w:rFonts w:hint="eastAsia" w:ascii="Times New Roman" w:hAnsi="Times New Roman" w:eastAsia="宋体" w:cs="Times New Roman"/>
                <w:sz w:val="21"/>
                <w:szCs w:val="21"/>
                <w:lang w:val="en-US" w:eastAsia="zh-CN"/>
              </w:rPr>
            </w:pPr>
          </w:p>
          <w:p w14:paraId="5FA1A033">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生产工艺</w:t>
            </w:r>
          </w:p>
        </w:tc>
        <w:tc>
          <w:tcPr>
            <w:tcW w:w="1706" w:type="dxa"/>
            <w:noWrap w:val="0"/>
            <w:vAlign w:val="center"/>
          </w:tcPr>
          <w:p w14:paraId="6B6DDC50">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尿素与37%甲醛溶液在酸碱的催化下发生反应产出产品</w:t>
            </w:r>
          </w:p>
        </w:tc>
        <w:tc>
          <w:tcPr>
            <w:tcW w:w="1706" w:type="dxa"/>
            <w:noWrap w:val="0"/>
            <w:vAlign w:val="center"/>
          </w:tcPr>
          <w:p w14:paraId="7FC27B0A">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尿素与37%甲醛溶液在酸碱的催化下发生反应产出产品</w:t>
            </w:r>
          </w:p>
        </w:tc>
        <w:tc>
          <w:tcPr>
            <w:tcW w:w="1707" w:type="dxa"/>
            <w:noWrap w:val="0"/>
            <w:vAlign w:val="center"/>
          </w:tcPr>
          <w:p w14:paraId="0E0EBC2B">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尿素与37%甲醛溶液在酸碱的催化下发生反应产出产品</w:t>
            </w:r>
          </w:p>
        </w:tc>
        <w:tc>
          <w:tcPr>
            <w:tcW w:w="1707" w:type="dxa"/>
            <w:noWrap w:val="0"/>
            <w:vAlign w:val="center"/>
          </w:tcPr>
          <w:p w14:paraId="4F553E0E">
            <w:pPr>
              <w:widowControl w:val="0"/>
              <w:spacing w:line="340" w:lineRule="exact"/>
              <w:ind w:firstLine="0"/>
              <w:jc w:val="center"/>
              <w:rPr>
                <w:rFonts w:hint="eastAsia" w:ascii="Times New Roman" w:hAnsi="Times New Roman" w:eastAsia="宋体" w:cs="Times New Roman"/>
                <w:sz w:val="21"/>
                <w:szCs w:val="21"/>
                <w:lang w:val="en-US" w:eastAsia="zh-CN"/>
              </w:rPr>
            </w:pPr>
          </w:p>
          <w:p w14:paraId="17C03618">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相同</w:t>
            </w:r>
          </w:p>
        </w:tc>
      </w:tr>
      <w:tr w14:paraId="2569F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724733B6">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生产规模</w:t>
            </w:r>
          </w:p>
        </w:tc>
        <w:tc>
          <w:tcPr>
            <w:tcW w:w="1706" w:type="dxa"/>
            <w:noWrap w:val="0"/>
            <w:vAlign w:val="center"/>
          </w:tcPr>
          <w:p w14:paraId="349B9C4C">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年产脲醛树脂胶2500吨</w:t>
            </w:r>
          </w:p>
        </w:tc>
        <w:tc>
          <w:tcPr>
            <w:tcW w:w="1706" w:type="dxa"/>
            <w:noWrap w:val="0"/>
            <w:vAlign w:val="center"/>
          </w:tcPr>
          <w:p w14:paraId="63CB57C0">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年产脲醛树脂胶1万吨</w:t>
            </w:r>
          </w:p>
        </w:tc>
        <w:tc>
          <w:tcPr>
            <w:tcW w:w="1707" w:type="dxa"/>
            <w:noWrap w:val="0"/>
            <w:vAlign w:val="center"/>
          </w:tcPr>
          <w:p w14:paraId="19072A26">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年产脲醛树脂胶1万吨</w:t>
            </w:r>
          </w:p>
        </w:tc>
        <w:tc>
          <w:tcPr>
            <w:tcW w:w="1707" w:type="dxa"/>
            <w:noWrap w:val="0"/>
            <w:vAlign w:val="center"/>
          </w:tcPr>
          <w:p w14:paraId="4ECB57C6">
            <w:pPr>
              <w:widowControl w:val="0"/>
              <w:spacing w:line="340" w:lineRule="exact"/>
              <w:ind w:firstLine="0"/>
              <w:jc w:val="center"/>
              <w:rPr>
                <w:rFonts w:ascii="Times New Roman" w:hAnsi="Times New Roman" w:eastAsia="宋体" w:cs="Times New Roman"/>
                <w:sz w:val="24"/>
                <w:szCs w:val="24"/>
                <w:vertAlign w:val="baseline"/>
                <w:lang w:val="en-US"/>
              </w:rPr>
            </w:pPr>
            <w:r>
              <w:rPr>
                <w:rFonts w:hint="eastAsia" w:ascii="Times New Roman" w:hAnsi="Times New Roman" w:eastAsia="宋体" w:cs="Times New Roman"/>
                <w:sz w:val="21"/>
                <w:szCs w:val="21"/>
                <w:lang w:val="en-US" w:eastAsia="zh-CN"/>
              </w:rPr>
              <w:t>本项目总产能相对小</w:t>
            </w:r>
          </w:p>
        </w:tc>
      </w:tr>
      <w:tr w14:paraId="01C19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3952B5B9">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验收工况</w:t>
            </w:r>
          </w:p>
        </w:tc>
        <w:tc>
          <w:tcPr>
            <w:tcW w:w="1706" w:type="dxa"/>
            <w:noWrap w:val="0"/>
            <w:vAlign w:val="center"/>
          </w:tcPr>
          <w:p w14:paraId="13DB9D79">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706" w:type="dxa"/>
            <w:noWrap w:val="0"/>
            <w:vAlign w:val="center"/>
          </w:tcPr>
          <w:p w14:paraId="73CB815D">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正常生产，达到日均产量要求</w:t>
            </w:r>
          </w:p>
        </w:tc>
        <w:tc>
          <w:tcPr>
            <w:tcW w:w="1707" w:type="dxa"/>
            <w:noWrap w:val="0"/>
            <w:vAlign w:val="center"/>
          </w:tcPr>
          <w:p w14:paraId="4BB03CDF">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正常生产，达到日均产量要求</w:t>
            </w:r>
          </w:p>
        </w:tc>
        <w:tc>
          <w:tcPr>
            <w:tcW w:w="1707" w:type="dxa"/>
            <w:noWrap w:val="0"/>
            <w:vAlign w:val="center"/>
          </w:tcPr>
          <w:p w14:paraId="776E3A9C">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113C2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2A32DD8A">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污染控制</w:t>
            </w:r>
          </w:p>
          <w:p w14:paraId="0740854C">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措施</w:t>
            </w:r>
          </w:p>
        </w:tc>
        <w:tc>
          <w:tcPr>
            <w:tcW w:w="1706" w:type="dxa"/>
            <w:noWrap w:val="0"/>
            <w:vAlign w:val="center"/>
          </w:tcPr>
          <w:p w14:paraId="637CEDFA">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冷凝器</w:t>
            </w:r>
          </w:p>
        </w:tc>
        <w:tc>
          <w:tcPr>
            <w:tcW w:w="1706" w:type="dxa"/>
            <w:noWrap w:val="0"/>
            <w:vAlign w:val="center"/>
          </w:tcPr>
          <w:p w14:paraId="0E3086D9">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冷凝器</w:t>
            </w:r>
          </w:p>
        </w:tc>
        <w:tc>
          <w:tcPr>
            <w:tcW w:w="1707" w:type="dxa"/>
            <w:noWrap w:val="0"/>
            <w:vAlign w:val="center"/>
          </w:tcPr>
          <w:p w14:paraId="6EE45524">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冷凝器</w:t>
            </w:r>
          </w:p>
        </w:tc>
        <w:tc>
          <w:tcPr>
            <w:tcW w:w="1707" w:type="dxa"/>
            <w:noWrap w:val="0"/>
            <w:vAlign w:val="center"/>
          </w:tcPr>
          <w:p w14:paraId="1EC12CBC">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相似</w:t>
            </w:r>
          </w:p>
        </w:tc>
      </w:tr>
      <w:tr w14:paraId="017B4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05206A54">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不凝气甲</w:t>
            </w:r>
          </w:p>
          <w:p w14:paraId="3CB9DC46">
            <w:pPr>
              <w:widowControl w:val="0"/>
              <w:spacing w:line="340" w:lineRule="exact"/>
              <w:ind w:firstLine="0"/>
              <w:jc w:val="center"/>
              <w:rPr>
                <w:rFonts w:ascii="Times New Roman" w:hAnsi="Times New Roman" w:eastAsia="宋体" w:cs="Times New Roman"/>
                <w:sz w:val="24"/>
                <w:szCs w:val="24"/>
                <w:vertAlign w:val="baseline"/>
              </w:rPr>
            </w:pPr>
            <w:r>
              <w:rPr>
                <w:rFonts w:hint="eastAsia" w:ascii="Times New Roman" w:hAnsi="Times New Roman" w:eastAsia="宋体" w:cs="Times New Roman"/>
                <w:sz w:val="21"/>
                <w:szCs w:val="21"/>
                <w:lang w:val="en-US" w:eastAsia="zh-CN"/>
              </w:rPr>
              <w:t>醛排放量</w:t>
            </w:r>
          </w:p>
        </w:tc>
        <w:tc>
          <w:tcPr>
            <w:tcW w:w="1706" w:type="dxa"/>
            <w:noWrap w:val="0"/>
            <w:vAlign w:val="center"/>
          </w:tcPr>
          <w:p w14:paraId="38E7F74D">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0.0035t/a</w:t>
            </w:r>
          </w:p>
        </w:tc>
        <w:tc>
          <w:tcPr>
            <w:tcW w:w="1706" w:type="dxa"/>
            <w:noWrap w:val="0"/>
            <w:vAlign w:val="center"/>
          </w:tcPr>
          <w:p w14:paraId="6F8C9D85">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0.00094t/a</w:t>
            </w:r>
          </w:p>
        </w:tc>
        <w:tc>
          <w:tcPr>
            <w:tcW w:w="1707" w:type="dxa"/>
            <w:noWrap w:val="0"/>
            <w:vAlign w:val="center"/>
          </w:tcPr>
          <w:p w14:paraId="5145A174">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0.014t/a</w:t>
            </w:r>
          </w:p>
        </w:tc>
        <w:tc>
          <w:tcPr>
            <w:tcW w:w="1707" w:type="dxa"/>
            <w:noWrap w:val="0"/>
            <w:vAlign w:val="center"/>
          </w:tcPr>
          <w:p w14:paraId="5DB8AA24">
            <w:pPr>
              <w:widowControl w:val="0"/>
              <w:spacing w:line="340" w:lineRule="exact"/>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1604AA76">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由上表可知，项目于同类企业的生产工艺、产品、原辅材料相同，类比企业验收期间正常生产，达到日均产量要求，类比可行。本项目目前环保措施仅设置了冷凝器，与类比企业一致，本次环评按照金牛公司年产 1 万吨脲醛树脂胶不凝气甲醛排放量 0.014t/a进行类比核算，本项目脲醛树脂胶产量2500吨，类比计算不凝气甲醛排放量0.0035t/a。</w:t>
      </w:r>
    </w:p>
    <w:p w14:paraId="7677F721">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根据《临沂悦川新材料有限公司年产 1800 万张三聚氰胺浸渍纸、600 万张建筑模板纸项目现状评估报告及监测报告》，验收工况该项目正常生产，反应釜（不设冷凝器）废气中氨的产生量约为脲醛树脂胶产生量的0.00074%，该项目脲醛树脂胶生产工艺、使用原料、设备与本项目类似，类比该项目，本项目脲醛树脂胶不凝气中氨的排放量为0.0185t/a。</w:t>
      </w:r>
    </w:p>
    <w:p w14:paraId="226831B8">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根据 VOCs 的定义，VOCs 指常温下饱和蒸汽压大于 133.32Pa、常压下沸点在50~260℃以下的有机化合物，或在常温常压下任何能挥发的有机固体或液体。结合项目使用的原辅料和产排污情况，脲醛树脂胶废气中排放的 VOCs 主要为非甲烷总烃，根据</w:t>
      </w:r>
      <w:r>
        <w:rPr>
          <w:rFonts w:ascii="Times New Roman" w:hAnsi="Times New Roman" w:eastAsia="宋体" w:cs="Times New Roman"/>
          <w:szCs w:val="22"/>
          <w:lang w:val="zh-CN" w:eastAsia="zh-CN"/>
        </w:rPr>
        <w:t>《合成树脂工业污染物排放标准》（GB31572-2015）表4</w:t>
      </w:r>
      <w:r>
        <w:rPr>
          <w:rFonts w:hint="eastAsia" w:ascii="Times New Roman" w:hAnsi="Times New Roman" w:eastAsia="宋体" w:cs="Times New Roman"/>
          <w:szCs w:val="22"/>
          <w:lang w:val="en-US" w:eastAsia="zh-CN"/>
        </w:rPr>
        <w:t>单位产品非甲烷总烃排放量为0.2kg/t</w:t>
      </w: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因此 VOCs 产生量为0.5t/a。</w:t>
      </w:r>
    </w:p>
    <w:p w14:paraId="1114B2B6">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color w:val="FF0000"/>
          <w:szCs w:val="22"/>
          <w:lang w:val="en-US" w:eastAsia="zh-CN"/>
        </w:rPr>
        <w:t>项目在采取冷凝器处理的基础上，环评要求增设1套UV光催化活性炭吸附一体设备收集废气，净化处理后废气通过1根15m高排气筒排放（排气筒编号P2），</w:t>
      </w:r>
      <w:r>
        <w:rPr>
          <w:rFonts w:hint="eastAsia" w:ascii="Times New Roman" w:hAnsi="Times New Roman" w:eastAsia="宋体" w:cs="Times New Roman"/>
          <w:szCs w:val="22"/>
          <w:lang w:val="en-US" w:eastAsia="zh-CN"/>
        </w:rPr>
        <w:t>风量5000m</w:t>
      </w:r>
      <w:r>
        <w:rPr>
          <w:rFonts w:hint="eastAsia" w:ascii="Times New Roman" w:hAnsi="Times New Roman" w:eastAsia="宋体" w:cs="Times New Roman"/>
          <w:szCs w:val="22"/>
          <w:vertAlign w:val="superscript"/>
          <w:lang w:val="en-US" w:eastAsia="zh-CN"/>
        </w:rPr>
        <w:t>3</w:t>
      </w:r>
      <w:r>
        <w:rPr>
          <w:rFonts w:hint="eastAsia" w:ascii="Times New Roman" w:hAnsi="Times New Roman" w:eastAsia="宋体" w:cs="Times New Roman"/>
          <w:szCs w:val="22"/>
          <w:lang w:val="en-US" w:eastAsia="zh-CN"/>
        </w:rPr>
        <w:t>/h</w:t>
      </w:r>
      <w:r>
        <w:rPr>
          <w:rFonts w:hint="eastAsia" w:ascii="Times New Roman" w:hAnsi="Times New Roman" w:eastAsia="宋体" w:cs="Times New Roman"/>
          <w:color w:val="000000"/>
          <w:szCs w:val="22"/>
          <w:lang w:val="en-US" w:eastAsia="zh-CN"/>
        </w:rPr>
        <w:t>，净化效率为90%</w:t>
      </w:r>
      <w:r>
        <w:rPr>
          <w:rFonts w:ascii="Times New Roman" w:hAnsi="Times New Roman" w:eastAsia="宋体" w:cs="Times New Roman"/>
          <w:color w:val="000000"/>
          <w:spacing w:val="-24"/>
          <w:sz w:val="24"/>
          <w:szCs w:val="24"/>
          <w:shd w:val="clear" w:color="auto" w:fill="auto"/>
        </w:rPr>
        <w:t>。</w:t>
      </w:r>
      <w:r>
        <w:rPr>
          <w:rFonts w:hint="eastAsia" w:ascii="Times New Roman" w:hAnsi="Times New Roman" w:eastAsia="宋体" w:cs="Times New Roman"/>
          <w:szCs w:val="22"/>
          <w:lang w:val="en-US" w:eastAsia="zh-CN"/>
        </w:rPr>
        <w:t>各污染物排放浓度见下表。</w:t>
      </w:r>
    </w:p>
    <w:p w14:paraId="144719A5">
      <w:pPr>
        <w:pStyle w:val="219"/>
        <w:tabs>
          <w:tab w:val="left" w:pos="1079"/>
        </w:tabs>
        <w:spacing w:after="28" w:line="282" w:lineRule="exact"/>
        <w:ind w:left="4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ascii="Times New Roman" w:hAnsi="Times New Roman" w:eastAsia="宋体" w:cs="Times New Roman"/>
          <w:b/>
          <w:bCs/>
          <w:spacing w:val="-61"/>
          <w:sz w:val="24"/>
          <w:szCs w:val="24"/>
        </w:rPr>
        <w:t xml:space="preserve"> </w:t>
      </w:r>
      <w:r>
        <w:rPr>
          <w:rFonts w:ascii="Times New Roman" w:hAnsi="Times New Roman" w:eastAsia="宋体" w:cs="Times New Roman"/>
          <w:b/>
          <w:bCs/>
          <w:sz w:val="24"/>
          <w:szCs w:val="24"/>
          <w:lang w:val="en-US" w:eastAsia="zh-CN"/>
        </w:rPr>
        <w:t>4.3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 xml:space="preserve">6  </w:t>
      </w:r>
      <w:r>
        <w:rPr>
          <w:rFonts w:ascii="Times New Roman" w:hAnsi="Times New Roman" w:eastAsia="宋体" w:cs="Times New Roman"/>
          <w:b/>
          <w:bCs/>
          <w:sz w:val="24"/>
          <w:szCs w:val="24"/>
          <w:lang w:val="en-US" w:eastAsia="zh-CN"/>
        </w:rPr>
        <w:t>脲醛树脂胶生产过程中</w:t>
      </w:r>
      <w:r>
        <w:rPr>
          <w:rFonts w:ascii="Times New Roman" w:hAnsi="Times New Roman" w:eastAsia="宋体" w:cs="Times New Roman"/>
          <w:b/>
          <w:bCs/>
          <w:sz w:val="24"/>
          <w:szCs w:val="24"/>
        </w:rPr>
        <w:t>污染物产生及排放情况一览表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9"/>
        <w:gridCol w:w="1329"/>
        <w:gridCol w:w="913"/>
        <w:gridCol w:w="850"/>
        <w:gridCol w:w="1138"/>
        <w:gridCol w:w="650"/>
        <w:gridCol w:w="1133"/>
        <w:gridCol w:w="1183"/>
        <w:gridCol w:w="1049"/>
      </w:tblGrid>
      <w:tr w14:paraId="50D6BA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829" w:type="dxa"/>
            <w:noWrap w:val="0"/>
            <w:vAlign w:val="center"/>
          </w:tcPr>
          <w:p w14:paraId="66892C18">
            <w:pPr>
              <w:pStyle w:val="421"/>
              <w:spacing w:before="1"/>
              <w:ind w:left="0" w:right="1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排气筒</w:t>
            </w:r>
          </w:p>
        </w:tc>
        <w:tc>
          <w:tcPr>
            <w:tcW w:w="1329" w:type="dxa"/>
            <w:noWrap w:val="0"/>
            <w:vAlign w:val="center"/>
          </w:tcPr>
          <w:p w14:paraId="0E034FDA">
            <w:pPr>
              <w:pStyle w:val="421"/>
              <w:spacing w:before="149"/>
              <w:ind w:left="0" w:right="3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污染物</w:t>
            </w:r>
          </w:p>
        </w:tc>
        <w:tc>
          <w:tcPr>
            <w:tcW w:w="913" w:type="dxa"/>
            <w:noWrap w:val="0"/>
            <w:vAlign w:val="center"/>
          </w:tcPr>
          <w:p w14:paraId="4BBF6C07">
            <w:pPr>
              <w:pStyle w:val="421"/>
              <w:spacing w:before="17"/>
              <w:ind w:left="0" w:right="67"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产生量t/a</w:t>
            </w:r>
          </w:p>
        </w:tc>
        <w:tc>
          <w:tcPr>
            <w:tcW w:w="850" w:type="dxa"/>
            <w:noWrap w:val="0"/>
            <w:vAlign w:val="center"/>
          </w:tcPr>
          <w:p w14:paraId="0A7D87B6">
            <w:pPr>
              <w:pStyle w:val="421"/>
              <w:spacing w:before="31"/>
              <w:ind w:left="0" w:right="68" w:firstLine="0"/>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净化</w:t>
            </w:r>
            <w:r>
              <w:rPr>
                <w:rFonts w:ascii="Times New Roman" w:hAnsi="Times New Roman" w:eastAsia="宋体" w:cs="Times New Roman"/>
                <w:b/>
                <w:sz w:val="21"/>
                <w:szCs w:val="21"/>
              </w:rPr>
              <w:t>效率</w:t>
            </w:r>
          </w:p>
        </w:tc>
        <w:tc>
          <w:tcPr>
            <w:tcW w:w="1138" w:type="dxa"/>
            <w:noWrap w:val="0"/>
            <w:vAlign w:val="center"/>
          </w:tcPr>
          <w:p w14:paraId="39615A7E">
            <w:pPr>
              <w:pStyle w:val="421"/>
              <w:spacing w:before="1"/>
              <w:ind w:left="0" w:right="10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风机风量m³/h</w:t>
            </w:r>
          </w:p>
        </w:tc>
        <w:tc>
          <w:tcPr>
            <w:tcW w:w="650" w:type="dxa"/>
            <w:noWrap w:val="0"/>
            <w:vAlign w:val="center"/>
          </w:tcPr>
          <w:p w14:paraId="4890E558">
            <w:pPr>
              <w:pStyle w:val="421"/>
              <w:spacing w:before="17"/>
              <w:ind w:left="0" w:right="74"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工时h</w:t>
            </w:r>
          </w:p>
        </w:tc>
        <w:tc>
          <w:tcPr>
            <w:tcW w:w="1133" w:type="dxa"/>
            <w:noWrap w:val="0"/>
            <w:vAlign w:val="center"/>
          </w:tcPr>
          <w:p w14:paraId="79C2999B">
            <w:pPr>
              <w:pStyle w:val="421"/>
              <w:spacing w:before="1"/>
              <w:ind w:left="0" w:right="103"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排放浓度mg/m³</w:t>
            </w:r>
          </w:p>
        </w:tc>
        <w:tc>
          <w:tcPr>
            <w:tcW w:w="1183" w:type="dxa"/>
            <w:noWrap w:val="0"/>
            <w:vAlign w:val="center"/>
          </w:tcPr>
          <w:p w14:paraId="781F6755">
            <w:pPr>
              <w:pStyle w:val="421"/>
              <w:spacing w:before="17"/>
              <w:ind w:left="0" w:right="130"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排放速率kg/h</w:t>
            </w:r>
          </w:p>
        </w:tc>
        <w:tc>
          <w:tcPr>
            <w:tcW w:w="1049" w:type="dxa"/>
            <w:noWrap w:val="0"/>
            <w:vAlign w:val="center"/>
          </w:tcPr>
          <w:p w14:paraId="18C91C69">
            <w:pPr>
              <w:pStyle w:val="421"/>
              <w:spacing w:before="17"/>
              <w:ind w:left="0" w:right="210"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排放量</w:t>
            </w:r>
          </w:p>
          <w:p w14:paraId="21DE4736">
            <w:pPr>
              <w:pStyle w:val="421"/>
              <w:spacing w:before="29"/>
              <w:ind w:left="0" w:right="210"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t/a</w:t>
            </w:r>
          </w:p>
        </w:tc>
      </w:tr>
      <w:tr w14:paraId="58351F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 w:hRule="atLeast"/>
          <w:jc w:val="center"/>
        </w:trPr>
        <w:tc>
          <w:tcPr>
            <w:tcW w:w="829" w:type="dxa"/>
            <w:vMerge w:val="restart"/>
            <w:noWrap w:val="0"/>
            <w:vAlign w:val="center"/>
          </w:tcPr>
          <w:p w14:paraId="402FFAE7">
            <w:pPr>
              <w:pStyle w:val="421"/>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P4</w:t>
            </w:r>
          </w:p>
        </w:tc>
        <w:tc>
          <w:tcPr>
            <w:tcW w:w="1329" w:type="dxa"/>
            <w:noWrap w:val="0"/>
            <w:vAlign w:val="center"/>
          </w:tcPr>
          <w:p w14:paraId="27CE342C">
            <w:pPr>
              <w:pStyle w:val="421"/>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甲醛</w:t>
            </w:r>
          </w:p>
        </w:tc>
        <w:tc>
          <w:tcPr>
            <w:tcW w:w="913" w:type="dxa"/>
            <w:noWrap w:val="0"/>
            <w:vAlign w:val="center"/>
          </w:tcPr>
          <w:p w14:paraId="39EB3C50">
            <w:pPr>
              <w:pStyle w:val="421"/>
              <w:spacing w:before="15"/>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0</w:t>
            </w:r>
            <w:r>
              <w:rPr>
                <w:rFonts w:ascii="Times New Roman" w:hAnsi="Times New Roman" w:eastAsia="宋体" w:cs="Times New Roman"/>
                <w:sz w:val="21"/>
                <w:szCs w:val="21"/>
              </w:rPr>
              <w:t>35</w:t>
            </w:r>
          </w:p>
        </w:tc>
        <w:tc>
          <w:tcPr>
            <w:tcW w:w="850" w:type="dxa"/>
            <w:noWrap w:val="0"/>
            <w:vAlign w:val="center"/>
          </w:tcPr>
          <w:p w14:paraId="48CE2220">
            <w:pPr>
              <w:pStyle w:val="421"/>
              <w:spacing w:before="15"/>
              <w:ind w:left="0" w:right="68"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90</w:t>
            </w:r>
            <w:r>
              <w:rPr>
                <w:rFonts w:ascii="Times New Roman" w:hAnsi="Times New Roman" w:eastAsia="宋体" w:cs="Times New Roman"/>
                <w:sz w:val="21"/>
                <w:szCs w:val="21"/>
              </w:rPr>
              <w:t>%</w:t>
            </w:r>
          </w:p>
        </w:tc>
        <w:tc>
          <w:tcPr>
            <w:tcW w:w="1138" w:type="dxa"/>
            <w:vMerge w:val="restart"/>
            <w:noWrap w:val="0"/>
            <w:vAlign w:val="center"/>
          </w:tcPr>
          <w:p w14:paraId="405716C0">
            <w:pPr>
              <w:pStyle w:val="421"/>
              <w:ind w:lef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5</w:t>
            </w:r>
            <w:r>
              <w:rPr>
                <w:rFonts w:ascii="Times New Roman" w:hAnsi="Times New Roman" w:eastAsia="宋体" w:cs="Times New Roman"/>
                <w:sz w:val="21"/>
                <w:szCs w:val="21"/>
              </w:rPr>
              <w:t>000</w:t>
            </w:r>
          </w:p>
        </w:tc>
        <w:tc>
          <w:tcPr>
            <w:tcW w:w="650" w:type="dxa"/>
            <w:vMerge w:val="restart"/>
            <w:noWrap w:val="0"/>
            <w:vAlign w:val="center"/>
          </w:tcPr>
          <w:p w14:paraId="6E7D923F">
            <w:pPr>
              <w:pStyle w:val="421"/>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7200</w:t>
            </w:r>
          </w:p>
        </w:tc>
        <w:tc>
          <w:tcPr>
            <w:tcW w:w="1133" w:type="dxa"/>
            <w:noWrap w:val="0"/>
            <w:vAlign w:val="center"/>
          </w:tcPr>
          <w:p w14:paraId="7684116E">
            <w:pPr>
              <w:pStyle w:val="421"/>
              <w:spacing w:before="15"/>
              <w:ind w:left="0" w:right="103"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01</w:t>
            </w:r>
          </w:p>
        </w:tc>
        <w:tc>
          <w:tcPr>
            <w:tcW w:w="1183" w:type="dxa"/>
            <w:noWrap w:val="0"/>
            <w:vAlign w:val="center"/>
          </w:tcPr>
          <w:p w14:paraId="6D127972">
            <w:pPr>
              <w:pStyle w:val="421"/>
              <w:spacing w:before="15"/>
              <w:ind w:left="0" w:right="334"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w:t>
            </w:r>
            <w:r>
              <w:rPr>
                <w:rFonts w:hint="eastAsia" w:ascii="Times New Roman" w:hAnsi="Times New Roman" w:eastAsia="宋体" w:cs="Times New Roman"/>
                <w:sz w:val="21"/>
                <w:szCs w:val="21"/>
                <w:lang w:val="en-US" w:eastAsia="zh-CN"/>
              </w:rPr>
              <w:t>00</w:t>
            </w:r>
            <w:r>
              <w:rPr>
                <w:rFonts w:ascii="Times New Roman" w:hAnsi="Times New Roman" w:eastAsia="宋体" w:cs="Times New Roman"/>
                <w:sz w:val="21"/>
                <w:szCs w:val="21"/>
              </w:rPr>
              <w:t>5</w:t>
            </w:r>
          </w:p>
        </w:tc>
        <w:tc>
          <w:tcPr>
            <w:tcW w:w="1049" w:type="dxa"/>
            <w:noWrap w:val="0"/>
            <w:vAlign w:val="center"/>
          </w:tcPr>
          <w:p w14:paraId="2789817E">
            <w:pPr>
              <w:pStyle w:val="421"/>
              <w:spacing w:before="15"/>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0035</w:t>
            </w:r>
          </w:p>
        </w:tc>
      </w:tr>
      <w:tr w14:paraId="297662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8" w:hRule="atLeast"/>
          <w:jc w:val="center"/>
        </w:trPr>
        <w:tc>
          <w:tcPr>
            <w:tcW w:w="829" w:type="dxa"/>
            <w:vMerge w:val="continue"/>
            <w:noWrap w:val="0"/>
            <w:vAlign w:val="center"/>
          </w:tcPr>
          <w:p w14:paraId="16CFD832">
            <w:pPr>
              <w:jc w:val="center"/>
              <w:rPr>
                <w:rFonts w:ascii="Times New Roman" w:hAnsi="Times New Roman" w:eastAsia="宋体" w:cs="Times New Roman"/>
                <w:sz w:val="21"/>
                <w:szCs w:val="21"/>
              </w:rPr>
            </w:pPr>
          </w:p>
        </w:tc>
        <w:tc>
          <w:tcPr>
            <w:tcW w:w="1329" w:type="dxa"/>
            <w:noWrap w:val="0"/>
            <w:vAlign w:val="center"/>
          </w:tcPr>
          <w:p w14:paraId="1D175801">
            <w:pPr>
              <w:pStyle w:val="421"/>
              <w:spacing w:line="25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w:t>
            </w:r>
          </w:p>
        </w:tc>
        <w:tc>
          <w:tcPr>
            <w:tcW w:w="913" w:type="dxa"/>
            <w:noWrap w:val="0"/>
            <w:vAlign w:val="center"/>
          </w:tcPr>
          <w:p w14:paraId="1243EC9D">
            <w:pPr>
              <w:pStyle w:val="421"/>
              <w:spacing w:before="4"/>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0</w:t>
            </w:r>
            <w:r>
              <w:rPr>
                <w:rFonts w:ascii="Times New Roman" w:hAnsi="Times New Roman" w:eastAsia="宋体" w:cs="Times New Roman"/>
                <w:sz w:val="21"/>
                <w:szCs w:val="21"/>
              </w:rPr>
              <w:t>185</w:t>
            </w:r>
          </w:p>
        </w:tc>
        <w:tc>
          <w:tcPr>
            <w:tcW w:w="850" w:type="dxa"/>
            <w:noWrap w:val="0"/>
            <w:vAlign w:val="center"/>
          </w:tcPr>
          <w:p w14:paraId="6848EE38">
            <w:pPr>
              <w:pStyle w:val="421"/>
              <w:spacing w:before="4"/>
              <w:ind w:left="0" w:right="68"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90</w:t>
            </w:r>
            <w:r>
              <w:rPr>
                <w:rFonts w:ascii="Times New Roman" w:hAnsi="Times New Roman" w:eastAsia="宋体" w:cs="Times New Roman"/>
                <w:sz w:val="21"/>
                <w:szCs w:val="21"/>
              </w:rPr>
              <w:t>%</w:t>
            </w:r>
          </w:p>
        </w:tc>
        <w:tc>
          <w:tcPr>
            <w:tcW w:w="1138" w:type="dxa"/>
            <w:vMerge w:val="continue"/>
            <w:noWrap w:val="0"/>
            <w:vAlign w:val="center"/>
          </w:tcPr>
          <w:p w14:paraId="3E754A6D">
            <w:pPr>
              <w:jc w:val="center"/>
              <w:rPr>
                <w:rFonts w:ascii="Times New Roman" w:hAnsi="Times New Roman" w:eastAsia="宋体" w:cs="Times New Roman"/>
                <w:sz w:val="21"/>
                <w:szCs w:val="21"/>
              </w:rPr>
            </w:pPr>
          </w:p>
        </w:tc>
        <w:tc>
          <w:tcPr>
            <w:tcW w:w="650" w:type="dxa"/>
            <w:vMerge w:val="continue"/>
            <w:noWrap w:val="0"/>
            <w:vAlign w:val="center"/>
          </w:tcPr>
          <w:p w14:paraId="4E111D4E">
            <w:pPr>
              <w:jc w:val="center"/>
              <w:rPr>
                <w:rFonts w:ascii="Times New Roman" w:hAnsi="Times New Roman" w:eastAsia="宋体" w:cs="Times New Roman"/>
                <w:sz w:val="21"/>
                <w:szCs w:val="21"/>
              </w:rPr>
            </w:pPr>
          </w:p>
        </w:tc>
        <w:tc>
          <w:tcPr>
            <w:tcW w:w="1133" w:type="dxa"/>
            <w:noWrap w:val="0"/>
            <w:vAlign w:val="center"/>
          </w:tcPr>
          <w:p w14:paraId="3F54B401">
            <w:pPr>
              <w:pStyle w:val="421"/>
              <w:spacing w:before="4"/>
              <w:ind w:left="0" w:right="103"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0.052</w:t>
            </w:r>
          </w:p>
        </w:tc>
        <w:tc>
          <w:tcPr>
            <w:tcW w:w="1183" w:type="dxa"/>
            <w:noWrap w:val="0"/>
            <w:vAlign w:val="center"/>
          </w:tcPr>
          <w:p w14:paraId="5493BF6E">
            <w:pPr>
              <w:pStyle w:val="421"/>
              <w:spacing w:before="4"/>
              <w:ind w:left="0" w:right="334"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00</w:t>
            </w:r>
            <w:r>
              <w:rPr>
                <w:rFonts w:ascii="Times New Roman" w:hAnsi="Times New Roman" w:eastAsia="宋体" w:cs="Times New Roman"/>
                <w:sz w:val="21"/>
                <w:szCs w:val="21"/>
              </w:rPr>
              <w:t>26</w:t>
            </w:r>
          </w:p>
        </w:tc>
        <w:tc>
          <w:tcPr>
            <w:tcW w:w="1049" w:type="dxa"/>
            <w:noWrap w:val="0"/>
            <w:vAlign w:val="center"/>
          </w:tcPr>
          <w:p w14:paraId="3952F919">
            <w:pPr>
              <w:pStyle w:val="421"/>
              <w:spacing w:before="4"/>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0185</w:t>
            </w:r>
          </w:p>
        </w:tc>
      </w:tr>
      <w:tr w14:paraId="2FB189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jc w:val="center"/>
        </w:trPr>
        <w:tc>
          <w:tcPr>
            <w:tcW w:w="829" w:type="dxa"/>
            <w:vMerge w:val="continue"/>
            <w:noWrap w:val="0"/>
            <w:vAlign w:val="center"/>
          </w:tcPr>
          <w:p w14:paraId="1222A540">
            <w:pPr>
              <w:jc w:val="center"/>
              <w:rPr>
                <w:rFonts w:ascii="Times New Roman" w:hAnsi="Times New Roman" w:eastAsia="宋体" w:cs="Times New Roman"/>
                <w:sz w:val="21"/>
                <w:szCs w:val="21"/>
              </w:rPr>
            </w:pPr>
          </w:p>
        </w:tc>
        <w:tc>
          <w:tcPr>
            <w:tcW w:w="1329" w:type="dxa"/>
            <w:noWrap w:val="0"/>
            <w:vAlign w:val="center"/>
          </w:tcPr>
          <w:p w14:paraId="7EDDA2E6">
            <w:pPr>
              <w:pStyle w:val="421"/>
              <w:spacing w:line="232" w:lineRule="exact"/>
              <w:ind w:left="0" w:right="382" w:firstLine="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 xml:space="preserve">  </w:t>
            </w:r>
            <w:r>
              <w:rPr>
                <w:rFonts w:ascii="Times New Roman" w:hAnsi="Times New Roman" w:eastAsia="宋体" w:cs="Times New Roman"/>
                <w:sz w:val="21"/>
                <w:szCs w:val="21"/>
              </w:rPr>
              <w:t>VOCs</w:t>
            </w:r>
          </w:p>
        </w:tc>
        <w:tc>
          <w:tcPr>
            <w:tcW w:w="913" w:type="dxa"/>
            <w:noWrap w:val="0"/>
            <w:vAlign w:val="center"/>
          </w:tcPr>
          <w:p w14:paraId="7FF199A6">
            <w:pPr>
              <w:pStyle w:val="421"/>
              <w:spacing w:line="232" w:lineRule="exact"/>
              <w:ind w:left="0" w:firstLine="0"/>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5</w:t>
            </w:r>
          </w:p>
        </w:tc>
        <w:tc>
          <w:tcPr>
            <w:tcW w:w="850" w:type="dxa"/>
            <w:noWrap w:val="0"/>
            <w:vAlign w:val="center"/>
          </w:tcPr>
          <w:p w14:paraId="0458DE03">
            <w:pPr>
              <w:pStyle w:val="421"/>
              <w:spacing w:line="232" w:lineRule="exact"/>
              <w:ind w:left="0" w:right="68"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90</w:t>
            </w:r>
            <w:r>
              <w:rPr>
                <w:rFonts w:ascii="Times New Roman" w:hAnsi="Times New Roman" w:eastAsia="宋体" w:cs="Times New Roman"/>
                <w:sz w:val="21"/>
                <w:szCs w:val="21"/>
              </w:rPr>
              <w:t>%</w:t>
            </w:r>
          </w:p>
        </w:tc>
        <w:tc>
          <w:tcPr>
            <w:tcW w:w="1138" w:type="dxa"/>
            <w:vMerge w:val="continue"/>
            <w:noWrap w:val="0"/>
            <w:vAlign w:val="center"/>
          </w:tcPr>
          <w:p w14:paraId="51537FEA">
            <w:pPr>
              <w:jc w:val="center"/>
              <w:rPr>
                <w:rFonts w:ascii="Times New Roman" w:hAnsi="Times New Roman" w:eastAsia="宋体" w:cs="Times New Roman"/>
                <w:sz w:val="21"/>
                <w:szCs w:val="21"/>
              </w:rPr>
            </w:pPr>
          </w:p>
        </w:tc>
        <w:tc>
          <w:tcPr>
            <w:tcW w:w="650" w:type="dxa"/>
            <w:vMerge w:val="continue"/>
            <w:noWrap w:val="0"/>
            <w:vAlign w:val="center"/>
          </w:tcPr>
          <w:p w14:paraId="7F09456F">
            <w:pPr>
              <w:jc w:val="center"/>
              <w:rPr>
                <w:rFonts w:ascii="Times New Roman" w:hAnsi="Times New Roman" w:eastAsia="宋体" w:cs="Times New Roman"/>
                <w:sz w:val="21"/>
                <w:szCs w:val="21"/>
              </w:rPr>
            </w:pPr>
          </w:p>
        </w:tc>
        <w:tc>
          <w:tcPr>
            <w:tcW w:w="1133" w:type="dxa"/>
            <w:noWrap w:val="0"/>
            <w:vAlign w:val="center"/>
          </w:tcPr>
          <w:p w14:paraId="3FE6F889">
            <w:pPr>
              <w:pStyle w:val="421"/>
              <w:spacing w:line="232" w:lineRule="exact"/>
              <w:ind w:left="0" w:right="103"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1183" w:type="dxa"/>
            <w:noWrap w:val="0"/>
            <w:vAlign w:val="center"/>
          </w:tcPr>
          <w:p w14:paraId="57C9A3BB">
            <w:pPr>
              <w:pStyle w:val="421"/>
              <w:spacing w:line="232" w:lineRule="exact"/>
              <w:ind w:left="0" w:right="334" w:firstLine="0"/>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0.00</w:t>
            </w:r>
            <w:r>
              <w:rPr>
                <w:rFonts w:hint="eastAsia" w:ascii="Times New Roman" w:hAnsi="Times New Roman" w:eastAsia="宋体" w:cs="Times New Roman"/>
                <w:sz w:val="21"/>
                <w:szCs w:val="21"/>
                <w:lang w:val="en-US" w:eastAsia="zh-CN"/>
              </w:rPr>
              <w:t>7</w:t>
            </w:r>
          </w:p>
        </w:tc>
        <w:tc>
          <w:tcPr>
            <w:tcW w:w="1049" w:type="dxa"/>
            <w:noWrap w:val="0"/>
            <w:vAlign w:val="center"/>
          </w:tcPr>
          <w:p w14:paraId="3A618202">
            <w:pPr>
              <w:pStyle w:val="421"/>
              <w:spacing w:line="232" w:lineRule="exact"/>
              <w:ind w:left="0" w:firstLine="0"/>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5</w:t>
            </w:r>
          </w:p>
        </w:tc>
      </w:tr>
    </w:tbl>
    <w:p w14:paraId="78A60E97">
      <w:pPr>
        <w:pStyle w:val="315"/>
        <w:keepNext w:val="0"/>
        <w:keepLines w:val="0"/>
        <w:pageBreakBefore w:val="0"/>
        <w:widowControl/>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②酚醛树脂胶废气（G24-G27）</w:t>
      </w:r>
    </w:p>
    <w:p w14:paraId="2E53B9F8">
      <w:pPr>
        <w:pStyle w:val="315"/>
        <w:keepNext w:val="0"/>
        <w:keepLines w:val="0"/>
        <w:pageBreakBefore w:val="0"/>
        <w:widowControl/>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根据工艺分析，酚醛树脂胶产生的废气主要有甲醛、酚类、VOCs。本项目酚醛树脂胶年产量2500吨。</w:t>
      </w:r>
    </w:p>
    <w:p w14:paraId="78F04EFC">
      <w:pPr>
        <w:pStyle w:val="315"/>
        <w:keepNext w:val="0"/>
        <w:keepLines w:val="0"/>
        <w:pageBreakBefore w:val="0"/>
        <w:widowControl/>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参考《河北华硕化工助剂有限公司新建冶金助剂、水处理药剂、水溶性酚醛树脂胶生产线项目竣工环境保护验收报告》（河北升泰验[2017]第005号）、《联成迈图精细化工有限公司新建公司年产 8 万吨酚醛树脂项目竣工环境保护验收报告》（镇环验[2016]26号）的相关内容，本项目酚醛树脂胶甲醛产污系数取0.87kg/t原料，酚类产污系数取0.52kg/t 原料，酚醛树脂胶甲醛用量1125t/a，苯酚用量750t/a，验收期间该项目正常生产，达到日均产量要求。经计算，项目未冷</w:t>
      </w:r>
      <w:r>
        <w:rPr>
          <w:rFonts w:hint="eastAsia" w:ascii="Times New Roman" w:hAnsi="Times New Roman" w:eastAsia="宋体" w:cs="Times New Roman"/>
          <w:color w:val="000000"/>
          <w:szCs w:val="22"/>
          <w:lang w:val="en-US" w:eastAsia="zh-CN"/>
        </w:rPr>
        <w:t>凝废气中甲醛产生量0.98t/a，酚类产生量0.39t/a。</w:t>
      </w:r>
    </w:p>
    <w:p w14:paraId="4C8B437D">
      <w:pPr>
        <w:pStyle w:val="219"/>
        <w:keepNext w:val="0"/>
        <w:keepLines w:val="0"/>
        <w:pageBreakBefore w:val="0"/>
        <w:widowControl/>
        <w:spacing w:after="0" w:line="375" w:lineRule="auto"/>
        <w:ind w:left="465" w:right="300" w:firstLine="480"/>
        <w:jc w:val="center"/>
        <w:rPr>
          <w:rFonts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表4.3-7 类比情况一览表</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6"/>
        <w:gridCol w:w="1706"/>
        <w:gridCol w:w="1706"/>
        <w:gridCol w:w="1707"/>
        <w:gridCol w:w="1707"/>
      </w:tblGrid>
      <w:tr w14:paraId="6896E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706" w:type="dxa"/>
            <w:noWrap w:val="0"/>
            <w:vAlign w:val="center"/>
          </w:tcPr>
          <w:p w14:paraId="04F10A46">
            <w:pPr>
              <w:pStyle w:val="421"/>
              <w:widowControl w:val="0"/>
              <w:spacing w:before="1" w:line="269" w:lineRule="exact"/>
              <w:ind w:left="0" w:firstLine="0"/>
              <w:jc w:val="center"/>
              <w:rPr>
                <w:rFonts w:hint="eastAsia" w:ascii="Times New Roman" w:hAnsi="Times New Roman" w:eastAsia="宋体" w:cs="Times New Roman"/>
                <w:b/>
                <w:bCs/>
                <w:sz w:val="21"/>
                <w:szCs w:val="21"/>
                <w:lang w:val="en-US" w:eastAsia="zh-CN"/>
              </w:rPr>
            </w:pPr>
          </w:p>
          <w:p w14:paraId="445F03AC">
            <w:pPr>
              <w:pStyle w:val="421"/>
              <w:widowControl w:val="0"/>
              <w:spacing w:before="1" w:line="269" w:lineRule="exact"/>
              <w:ind w:left="0" w:firstLine="0"/>
              <w:jc w:val="center"/>
              <w:rPr>
                <w:rFonts w:hint="eastAsia" w:ascii="Times New Roman" w:hAnsi="Times New Roman" w:eastAsia="宋体" w:cs="Times New Roman"/>
                <w:b/>
                <w:bCs/>
                <w:sz w:val="21"/>
                <w:szCs w:val="21"/>
                <w:lang w:val="en-US" w:eastAsia="zh-CN"/>
              </w:rPr>
            </w:pPr>
          </w:p>
          <w:p w14:paraId="6722E756">
            <w:pPr>
              <w:pStyle w:val="421"/>
              <w:widowControl w:val="0"/>
              <w:spacing w:before="1" w:line="269" w:lineRule="exact"/>
              <w:ind w:left="0" w:firstLine="0"/>
              <w:jc w:val="center"/>
              <w:rPr>
                <w:rFonts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适用原则及说明</w:t>
            </w:r>
          </w:p>
          <w:p w14:paraId="10B882FD">
            <w:pPr>
              <w:pStyle w:val="421"/>
              <w:widowControl w:val="0"/>
              <w:spacing w:before="1" w:line="269" w:lineRule="exact"/>
              <w:ind w:left="0"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项目名称</w:t>
            </w:r>
          </w:p>
          <w:p w14:paraId="708520B4">
            <w:pPr>
              <w:pStyle w:val="421"/>
              <w:widowControl w:val="0"/>
              <w:spacing w:before="1" w:line="269" w:lineRule="exact"/>
              <w:ind w:left="0" w:firstLine="0"/>
              <w:jc w:val="center"/>
              <w:rPr>
                <w:rFonts w:hint="eastAsia" w:ascii="Times New Roman" w:hAnsi="Times New Roman" w:eastAsia="宋体" w:cs="Times New Roman"/>
                <w:b/>
                <w:bCs/>
                <w:sz w:val="21"/>
                <w:szCs w:val="21"/>
                <w:lang w:val="en-US" w:eastAsia="zh-CN"/>
              </w:rPr>
            </w:pPr>
          </w:p>
        </w:tc>
        <w:tc>
          <w:tcPr>
            <w:tcW w:w="1706" w:type="dxa"/>
            <w:noWrap w:val="0"/>
            <w:vAlign w:val="center"/>
          </w:tcPr>
          <w:p w14:paraId="31B4D51E">
            <w:pPr>
              <w:pStyle w:val="421"/>
              <w:widowControl w:val="0"/>
              <w:spacing w:before="1" w:line="269" w:lineRule="exact"/>
              <w:ind w:left="0" w:firstLine="0"/>
              <w:jc w:val="center"/>
              <w:rPr>
                <w:rFonts w:ascii="Times New Roman" w:hAnsi="Times New Roman" w:eastAsia="宋体" w:cs="Times New Roman"/>
                <w:b/>
                <w:bCs/>
                <w:sz w:val="21"/>
                <w:szCs w:val="21"/>
              </w:rPr>
            </w:pPr>
          </w:p>
          <w:p w14:paraId="36ABD6D2">
            <w:pPr>
              <w:pStyle w:val="421"/>
              <w:widowControl w:val="0"/>
              <w:spacing w:before="1" w:line="269" w:lineRule="exact"/>
              <w:ind w:left="0" w:firstLine="0"/>
              <w:jc w:val="center"/>
              <w:rPr>
                <w:rFonts w:ascii="Times New Roman" w:hAnsi="Times New Roman" w:eastAsia="宋体" w:cs="Times New Roman"/>
                <w:b/>
                <w:bCs/>
                <w:sz w:val="21"/>
                <w:szCs w:val="21"/>
              </w:rPr>
            </w:pPr>
          </w:p>
          <w:p w14:paraId="7CC7CDAA">
            <w:pPr>
              <w:pStyle w:val="421"/>
              <w:widowControl w:val="0"/>
              <w:spacing w:before="1" w:line="269" w:lineRule="exact"/>
              <w:ind w:left="0" w:firstLine="0"/>
              <w:jc w:val="center"/>
              <w:rPr>
                <w:rFonts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rPr>
              <w:t>本项目</w:t>
            </w:r>
          </w:p>
        </w:tc>
        <w:tc>
          <w:tcPr>
            <w:tcW w:w="1706" w:type="dxa"/>
            <w:noWrap w:val="0"/>
            <w:vAlign w:val="center"/>
          </w:tcPr>
          <w:p w14:paraId="52F33055">
            <w:pPr>
              <w:pStyle w:val="421"/>
              <w:widowControl w:val="0"/>
              <w:spacing w:before="1" w:line="269" w:lineRule="exact"/>
              <w:ind w:left="0"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rPr>
              <w:t>河北华硕化工助剂有限公司新建冶金助剂、水处理药剂水溶性酚醛树脂胶生产线项目</w:t>
            </w:r>
          </w:p>
        </w:tc>
        <w:tc>
          <w:tcPr>
            <w:tcW w:w="1707" w:type="dxa"/>
            <w:noWrap w:val="0"/>
            <w:vAlign w:val="center"/>
          </w:tcPr>
          <w:p w14:paraId="756B4DE4">
            <w:pPr>
              <w:pStyle w:val="421"/>
              <w:widowControl w:val="0"/>
              <w:spacing w:before="1" w:line="269" w:lineRule="exact"/>
              <w:ind w:left="0"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rPr>
              <w:t>联成迈图精细化工有限公司新建公司年产</w:t>
            </w:r>
            <w:r>
              <w:rPr>
                <w:rFonts w:ascii="Times New Roman" w:hAnsi="Times New Roman" w:eastAsia="宋体" w:cs="Times New Roman"/>
                <w:b/>
                <w:bCs/>
                <w:sz w:val="21"/>
                <w:szCs w:val="21"/>
              </w:rPr>
              <w:t>8</w:t>
            </w:r>
            <w:r>
              <w:rPr>
                <w:rFonts w:hint="eastAsia" w:ascii="Times New Roman" w:hAnsi="Times New Roman" w:eastAsia="宋体" w:cs="Times New Roman"/>
                <w:b/>
                <w:bCs/>
                <w:sz w:val="21"/>
                <w:szCs w:val="21"/>
              </w:rPr>
              <w:t>万吨酚醛树脂项目</w:t>
            </w:r>
          </w:p>
        </w:tc>
        <w:tc>
          <w:tcPr>
            <w:tcW w:w="1707" w:type="dxa"/>
            <w:noWrap w:val="0"/>
            <w:vAlign w:val="center"/>
          </w:tcPr>
          <w:p w14:paraId="37C29AE7">
            <w:pPr>
              <w:pStyle w:val="421"/>
              <w:widowControl w:val="0"/>
              <w:spacing w:before="1" w:line="269" w:lineRule="exact"/>
              <w:ind w:left="0" w:firstLine="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rPr>
              <w:t>同类企业与本项目相似性</w:t>
            </w:r>
          </w:p>
        </w:tc>
      </w:tr>
      <w:tr w14:paraId="0EAB4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15599750">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原辅料</w:t>
            </w:r>
          </w:p>
          <w:p w14:paraId="0367A604">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类型</w:t>
            </w:r>
          </w:p>
        </w:tc>
        <w:tc>
          <w:tcPr>
            <w:tcW w:w="1706" w:type="dxa"/>
            <w:noWrap w:val="0"/>
            <w:vAlign w:val="center"/>
          </w:tcPr>
          <w:p w14:paraId="7AD97370">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37%甲醛、苯酚、氢氧化钠、水</w:t>
            </w:r>
          </w:p>
        </w:tc>
        <w:tc>
          <w:tcPr>
            <w:tcW w:w="1706" w:type="dxa"/>
            <w:noWrap w:val="0"/>
            <w:vAlign w:val="center"/>
          </w:tcPr>
          <w:p w14:paraId="5CB25255">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37%甲醛、苯酚、片碱、水</w:t>
            </w:r>
          </w:p>
        </w:tc>
        <w:tc>
          <w:tcPr>
            <w:tcW w:w="1707" w:type="dxa"/>
            <w:noWrap w:val="0"/>
            <w:vAlign w:val="center"/>
          </w:tcPr>
          <w:p w14:paraId="472B1F0F">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37%甲醛、苯酚、氢氧化钠、水</w:t>
            </w:r>
          </w:p>
        </w:tc>
        <w:tc>
          <w:tcPr>
            <w:tcW w:w="1707" w:type="dxa"/>
            <w:noWrap w:val="0"/>
            <w:vAlign w:val="center"/>
          </w:tcPr>
          <w:p w14:paraId="4DB20A78">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相同</w:t>
            </w:r>
          </w:p>
        </w:tc>
      </w:tr>
      <w:tr w14:paraId="1CDC9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2EE79FE8">
            <w:pPr>
              <w:pStyle w:val="421"/>
              <w:widowControl w:val="0"/>
              <w:spacing w:before="1" w:line="269" w:lineRule="exact"/>
              <w:ind w:left="0" w:firstLine="0"/>
              <w:jc w:val="center"/>
              <w:rPr>
                <w:rFonts w:ascii="Times New Roman" w:hAnsi="Times New Roman" w:eastAsia="宋体" w:cs="Times New Roman"/>
                <w:sz w:val="21"/>
                <w:szCs w:val="21"/>
                <w:lang w:val="en-US" w:eastAsia="zh-CN"/>
              </w:rPr>
            </w:pPr>
          </w:p>
          <w:p w14:paraId="5D12C149">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生产工艺</w:t>
            </w:r>
          </w:p>
        </w:tc>
        <w:tc>
          <w:tcPr>
            <w:tcW w:w="1706" w:type="dxa"/>
            <w:noWrap w:val="0"/>
            <w:vAlign w:val="center"/>
          </w:tcPr>
          <w:p w14:paraId="5D153E87">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苯酚与37%甲醛溶液在液碱碱的催化下发生反</w:t>
            </w:r>
          </w:p>
          <w:p w14:paraId="498F2237">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应产出产品</w:t>
            </w:r>
          </w:p>
        </w:tc>
        <w:tc>
          <w:tcPr>
            <w:tcW w:w="1706" w:type="dxa"/>
            <w:noWrap w:val="0"/>
            <w:vAlign w:val="center"/>
          </w:tcPr>
          <w:p w14:paraId="39A63C35">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苯酚与37%甲醛溶液在液碱的催化下发生反应产出产品</w:t>
            </w:r>
          </w:p>
        </w:tc>
        <w:tc>
          <w:tcPr>
            <w:tcW w:w="1707" w:type="dxa"/>
            <w:noWrap w:val="0"/>
            <w:vAlign w:val="center"/>
          </w:tcPr>
          <w:p w14:paraId="01FE544A">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苯酚与37%甲醛溶液在液碱碱的催化下发生反应产</w:t>
            </w:r>
          </w:p>
          <w:p w14:paraId="42EC6E6B">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出产品</w:t>
            </w:r>
          </w:p>
        </w:tc>
        <w:tc>
          <w:tcPr>
            <w:tcW w:w="1707" w:type="dxa"/>
            <w:noWrap w:val="0"/>
            <w:vAlign w:val="center"/>
          </w:tcPr>
          <w:p w14:paraId="4D6D6018">
            <w:pPr>
              <w:pStyle w:val="421"/>
              <w:widowControl w:val="0"/>
              <w:spacing w:before="1" w:line="269" w:lineRule="exact"/>
              <w:ind w:left="0" w:firstLine="0"/>
              <w:jc w:val="center"/>
              <w:rPr>
                <w:rFonts w:ascii="Times New Roman" w:hAnsi="Times New Roman" w:eastAsia="宋体" w:cs="Times New Roman"/>
                <w:sz w:val="21"/>
                <w:szCs w:val="21"/>
              </w:rPr>
            </w:pPr>
          </w:p>
          <w:p w14:paraId="2E1B12AE">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相同</w:t>
            </w:r>
          </w:p>
        </w:tc>
      </w:tr>
      <w:tr w14:paraId="2C116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0D80A125">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生产规模</w:t>
            </w:r>
          </w:p>
        </w:tc>
        <w:tc>
          <w:tcPr>
            <w:tcW w:w="1706" w:type="dxa"/>
            <w:noWrap w:val="0"/>
            <w:vAlign w:val="center"/>
          </w:tcPr>
          <w:p w14:paraId="30A33906">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年产</w:t>
            </w:r>
            <w:r>
              <w:rPr>
                <w:rFonts w:hint="eastAsia" w:ascii="Times New Roman" w:hAnsi="Times New Roman" w:eastAsia="宋体" w:cs="Times New Roman"/>
                <w:sz w:val="21"/>
                <w:szCs w:val="21"/>
                <w:lang w:val="en-US" w:eastAsia="zh-CN"/>
              </w:rPr>
              <w:t>酚醛</w:t>
            </w:r>
            <w:r>
              <w:rPr>
                <w:rFonts w:ascii="Times New Roman" w:hAnsi="Times New Roman" w:eastAsia="宋体" w:cs="Times New Roman"/>
                <w:sz w:val="21"/>
                <w:szCs w:val="21"/>
              </w:rPr>
              <w:t>树脂胶</w:t>
            </w:r>
            <w:r>
              <w:rPr>
                <w:rFonts w:hint="eastAsia" w:ascii="Times New Roman" w:hAnsi="Times New Roman" w:eastAsia="宋体" w:cs="Times New Roman"/>
                <w:sz w:val="21"/>
                <w:szCs w:val="21"/>
                <w:lang w:val="en-US" w:eastAsia="zh-CN"/>
              </w:rPr>
              <w:t>2500</w:t>
            </w:r>
            <w:r>
              <w:rPr>
                <w:rFonts w:ascii="Times New Roman" w:hAnsi="Times New Roman" w:eastAsia="宋体" w:cs="Times New Roman"/>
                <w:sz w:val="21"/>
                <w:szCs w:val="21"/>
              </w:rPr>
              <w:t>吨</w:t>
            </w:r>
          </w:p>
        </w:tc>
        <w:tc>
          <w:tcPr>
            <w:tcW w:w="1706" w:type="dxa"/>
            <w:noWrap w:val="0"/>
            <w:vAlign w:val="center"/>
          </w:tcPr>
          <w:p w14:paraId="28C1699A">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年产水溶性酚醛树脂胶3万吨</w:t>
            </w:r>
          </w:p>
        </w:tc>
        <w:tc>
          <w:tcPr>
            <w:tcW w:w="1707" w:type="dxa"/>
            <w:noWrap w:val="0"/>
            <w:vAlign w:val="center"/>
          </w:tcPr>
          <w:p w14:paraId="4260BEDB">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年产液体酚醛树脂2万吨</w:t>
            </w:r>
          </w:p>
        </w:tc>
        <w:tc>
          <w:tcPr>
            <w:tcW w:w="1707" w:type="dxa"/>
            <w:noWrap w:val="0"/>
            <w:vAlign w:val="center"/>
          </w:tcPr>
          <w:p w14:paraId="3A4DABFA">
            <w:pPr>
              <w:pStyle w:val="421"/>
              <w:widowControl w:val="0"/>
              <w:spacing w:before="1" w:line="269" w:lineRule="exact"/>
              <w:ind w:left="0" w:firstLine="0"/>
              <w:jc w:val="center"/>
              <w:rPr>
                <w:rFonts w:ascii="Times New Roman" w:hAnsi="Times New Roman" w:eastAsia="宋体" w:cs="Times New Roman"/>
                <w:sz w:val="21"/>
                <w:szCs w:val="21"/>
                <w:lang w:val="en-US"/>
              </w:rPr>
            </w:pPr>
            <w:r>
              <w:rPr>
                <w:rFonts w:ascii="Times New Roman" w:hAnsi="Times New Roman" w:eastAsia="宋体" w:cs="Times New Roman"/>
                <w:sz w:val="21"/>
                <w:szCs w:val="21"/>
              </w:rPr>
              <w:t>相似</w:t>
            </w:r>
          </w:p>
        </w:tc>
      </w:tr>
      <w:tr w14:paraId="4EF02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61AB3D55">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验收工况</w:t>
            </w:r>
          </w:p>
        </w:tc>
        <w:tc>
          <w:tcPr>
            <w:tcW w:w="1706" w:type="dxa"/>
            <w:noWrap w:val="0"/>
            <w:vAlign w:val="center"/>
          </w:tcPr>
          <w:p w14:paraId="57FCCCDD">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w:t>
            </w:r>
          </w:p>
        </w:tc>
        <w:tc>
          <w:tcPr>
            <w:tcW w:w="1706" w:type="dxa"/>
            <w:noWrap w:val="0"/>
            <w:vAlign w:val="center"/>
          </w:tcPr>
          <w:p w14:paraId="33998F86">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正常生产，达到日均产量要求</w:t>
            </w:r>
          </w:p>
        </w:tc>
        <w:tc>
          <w:tcPr>
            <w:tcW w:w="1707" w:type="dxa"/>
            <w:noWrap w:val="0"/>
            <w:vAlign w:val="center"/>
          </w:tcPr>
          <w:p w14:paraId="53264580">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正常生产，达到日均产量要求</w:t>
            </w:r>
          </w:p>
        </w:tc>
        <w:tc>
          <w:tcPr>
            <w:tcW w:w="1707" w:type="dxa"/>
            <w:noWrap w:val="0"/>
            <w:vAlign w:val="center"/>
          </w:tcPr>
          <w:p w14:paraId="6C8CD051">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w:t>
            </w:r>
          </w:p>
        </w:tc>
      </w:tr>
      <w:tr w14:paraId="04DB5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68288614">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污染控制</w:t>
            </w:r>
          </w:p>
          <w:p w14:paraId="1B4872A3">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措施</w:t>
            </w:r>
          </w:p>
        </w:tc>
        <w:tc>
          <w:tcPr>
            <w:tcW w:w="1706" w:type="dxa"/>
            <w:noWrap w:val="0"/>
            <w:vAlign w:val="center"/>
          </w:tcPr>
          <w:p w14:paraId="6E4A6286">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冷凝器+</w:t>
            </w:r>
            <w:r>
              <w:rPr>
                <w:rFonts w:ascii="Times New Roman" w:hAnsi="Times New Roman" w:eastAsia="宋体" w:cs="Times New Roman"/>
                <w:sz w:val="21"/>
                <w:szCs w:val="21"/>
                <w:lang w:val="en-US" w:eastAsia="zh-CN"/>
              </w:rPr>
              <w:t>UV光催化活性炭吸附一体设备</w:t>
            </w:r>
          </w:p>
        </w:tc>
        <w:tc>
          <w:tcPr>
            <w:tcW w:w="1706" w:type="dxa"/>
            <w:noWrap w:val="0"/>
            <w:vAlign w:val="center"/>
          </w:tcPr>
          <w:p w14:paraId="5FDA7DB2">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冷凝器+光催化</w:t>
            </w:r>
          </w:p>
        </w:tc>
        <w:tc>
          <w:tcPr>
            <w:tcW w:w="1707" w:type="dxa"/>
            <w:noWrap w:val="0"/>
            <w:vAlign w:val="center"/>
          </w:tcPr>
          <w:p w14:paraId="0E0C212C">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液碱喷淋器</w:t>
            </w:r>
          </w:p>
        </w:tc>
        <w:tc>
          <w:tcPr>
            <w:tcW w:w="1707" w:type="dxa"/>
            <w:noWrap w:val="0"/>
            <w:vAlign w:val="center"/>
          </w:tcPr>
          <w:p w14:paraId="4FE5EE64">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相似</w:t>
            </w:r>
          </w:p>
        </w:tc>
      </w:tr>
      <w:tr w14:paraId="785F6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6400E6D6">
            <w:pPr>
              <w:pStyle w:val="421"/>
              <w:widowControl w:val="0"/>
              <w:spacing w:before="1" w:line="269" w:lineRule="exact"/>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产生情况</w:t>
            </w:r>
          </w:p>
        </w:tc>
        <w:tc>
          <w:tcPr>
            <w:tcW w:w="1706" w:type="dxa"/>
            <w:noWrap w:val="0"/>
            <w:vAlign w:val="center"/>
          </w:tcPr>
          <w:p w14:paraId="76C02CEA">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甲醛：</w:t>
            </w:r>
            <w:r>
              <w:rPr>
                <w:rFonts w:hint="eastAsia" w:ascii="Times New Roman" w:hAnsi="Times New Roman" w:eastAsia="宋体" w:cs="Times New Roman"/>
                <w:sz w:val="21"/>
                <w:szCs w:val="21"/>
                <w:lang w:val="en-US" w:eastAsia="zh-CN"/>
              </w:rPr>
              <w:t>0.98</w:t>
            </w:r>
            <w:r>
              <w:rPr>
                <w:rFonts w:ascii="Times New Roman" w:hAnsi="Times New Roman" w:eastAsia="宋体" w:cs="Times New Roman"/>
                <w:sz w:val="21"/>
                <w:szCs w:val="21"/>
              </w:rPr>
              <w:t>t/a 苯酚</w:t>
            </w:r>
            <w:r>
              <w:rPr>
                <w:rFonts w:hint="eastAsia" w:ascii="Times New Roman" w:hAnsi="Times New Roman" w:eastAsia="宋体" w:cs="Times New Roman"/>
                <w:sz w:val="21"/>
                <w:szCs w:val="21"/>
                <w:lang w:val="en-US" w:eastAsia="zh-CN"/>
              </w:rPr>
              <w:t>类</w:t>
            </w:r>
            <w:r>
              <w:rPr>
                <w:rFonts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0.39</w:t>
            </w:r>
            <w:r>
              <w:rPr>
                <w:rFonts w:ascii="Times New Roman" w:hAnsi="Times New Roman" w:eastAsia="宋体" w:cs="Times New Roman"/>
                <w:sz w:val="21"/>
                <w:szCs w:val="21"/>
              </w:rPr>
              <w:t>t/a</w:t>
            </w:r>
          </w:p>
        </w:tc>
        <w:tc>
          <w:tcPr>
            <w:tcW w:w="1706" w:type="dxa"/>
            <w:noWrap w:val="0"/>
            <w:vAlign w:val="center"/>
          </w:tcPr>
          <w:p w14:paraId="06BE01BF">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甲醛：146mg/m³，10.5t/a</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酚类</w:t>
            </w:r>
            <w:r>
              <w:rPr>
                <w:rFonts w:ascii="Times New Roman" w:hAnsi="Times New Roman" w:eastAsia="宋体" w:cs="Times New Roman"/>
                <w:sz w:val="21"/>
                <w:szCs w:val="21"/>
              </w:rPr>
              <w:t>：63mg/m³，4.5t/a</w:t>
            </w:r>
          </w:p>
        </w:tc>
        <w:tc>
          <w:tcPr>
            <w:tcW w:w="1707" w:type="dxa"/>
            <w:noWrap w:val="0"/>
            <w:vAlign w:val="center"/>
          </w:tcPr>
          <w:p w14:paraId="56F0339D">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 xml:space="preserve">甲醛：1.98mg/m³，0.163t/a </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酚类</w:t>
            </w:r>
            <w:r>
              <w:rPr>
                <w:rFonts w:ascii="Times New Roman" w:hAnsi="Times New Roman" w:eastAsia="宋体" w:cs="Times New Roman"/>
                <w:sz w:val="21"/>
                <w:szCs w:val="21"/>
              </w:rPr>
              <w:t>：1.33mg/m³，0.075t/a</w:t>
            </w:r>
          </w:p>
        </w:tc>
        <w:tc>
          <w:tcPr>
            <w:tcW w:w="1707" w:type="dxa"/>
            <w:noWrap w:val="0"/>
            <w:vAlign w:val="center"/>
          </w:tcPr>
          <w:p w14:paraId="65B19948">
            <w:pPr>
              <w:pStyle w:val="421"/>
              <w:widowControl w:val="0"/>
              <w:spacing w:before="1" w:line="269" w:lineRule="exact"/>
              <w:ind w:left="0"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w:t>
            </w:r>
          </w:p>
        </w:tc>
      </w:tr>
      <w:tr w14:paraId="19ABC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6" w:type="dxa"/>
            <w:noWrap w:val="0"/>
            <w:vAlign w:val="center"/>
          </w:tcPr>
          <w:p w14:paraId="20718E18">
            <w:pPr>
              <w:pStyle w:val="421"/>
              <w:widowControl w:val="0"/>
              <w:spacing w:before="1" w:line="269" w:lineRule="exact"/>
              <w:ind w:left="0" w:firstLine="0"/>
              <w:jc w:val="center"/>
              <w:rPr>
                <w:rFonts w:ascii="Times New Roman" w:hAnsi="Times New Roman" w:eastAsia="宋体" w:cs="Times New Roman"/>
                <w:color w:val="000000"/>
                <w:sz w:val="21"/>
                <w:szCs w:val="21"/>
              </w:rPr>
            </w:pPr>
          </w:p>
          <w:p w14:paraId="222E3EBB">
            <w:pPr>
              <w:pStyle w:val="421"/>
              <w:widowControl w:val="0"/>
              <w:spacing w:before="1" w:line="269" w:lineRule="exact"/>
              <w:ind w:left="0"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排放情况</w:t>
            </w:r>
          </w:p>
        </w:tc>
        <w:tc>
          <w:tcPr>
            <w:tcW w:w="1706" w:type="dxa"/>
            <w:noWrap w:val="0"/>
            <w:vAlign w:val="center"/>
          </w:tcPr>
          <w:p w14:paraId="55C51697">
            <w:pPr>
              <w:pStyle w:val="421"/>
              <w:widowControl w:val="0"/>
              <w:spacing w:before="1" w:line="269" w:lineRule="exact"/>
              <w:ind w:left="0"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甲醛：</w:t>
            </w:r>
            <w:r>
              <w:rPr>
                <w:rFonts w:hint="eastAsia" w:ascii="Times New Roman" w:hAnsi="Times New Roman" w:eastAsia="宋体" w:cs="Times New Roman"/>
                <w:color w:val="000000"/>
                <w:sz w:val="21"/>
                <w:szCs w:val="21"/>
                <w:lang w:val="en-US" w:eastAsia="zh-CN"/>
              </w:rPr>
              <w:t>2.8</w:t>
            </w:r>
            <w:r>
              <w:rPr>
                <w:rFonts w:ascii="Times New Roman" w:hAnsi="Times New Roman" w:eastAsia="宋体" w:cs="Times New Roman"/>
                <w:color w:val="000000"/>
                <w:sz w:val="21"/>
                <w:szCs w:val="21"/>
              </w:rPr>
              <w:t>mg/m³，</w:t>
            </w:r>
          </w:p>
          <w:p w14:paraId="1E01DD3E">
            <w:pPr>
              <w:pStyle w:val="421"/>
              <w:widowControl w:val="0"/>
              <w:spacing w:before="1" w:line="269" w:lineRule="exact"/>
              <w:ind w:left="0"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0.014</w:t>
            </w:r>
            <w:r>
              <w:rPr>
                <w:rFonts w:ascii="Times New Roman" w:hAnsi="Times New Roman" w:eastAsia="宋体" w:cs="Times New Roman"/>
                <w:color w:val="000000"/>
                <w:sz w:val="21"/>
                <w:szCs w:val="21"/>
              </w:rPr>
              <w:t>t/a</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酚类</w:t>
            </w:r>
            <w:r>
              <w:rPr>
                <w:rFonts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0.11</w:t>
            </w:r>
            <w:r>
              <w:rPr>
                <w:rFonts w:ascii="Times New Roman" w:hAnsi="Times New Roman" w:eastAsia="宋体" w:cs="Times New Roman"/>
                <w:color w:val="000000"/>
                <w:sz w:val="21"/>
                <w:szCs w:val="21"/>
              </w:rPr>
              <w:t>mg/m³</w:t>
            </w:r>
          </w:p>
          <w:p w14:paraId="5F8B4BBC">
            <w:pPr>
              <w:pStyle w:val="421"/>
              <w:widowControl w:val="0"/>
              <w:spacing w:before="1" w:line="269" w:lineRule="exact"/>
              <w:ind w:left="0"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054</w:t>
            </w:r>
            <w:r>
              <w:rPr>
                <w:rFonts w:ascii="Times New Roman" w:hAnsi="Times New Roman" w:eastAsia="宋体" w:cs="Times New Roman"/>
                <w:color w:val="000000"/>
                <w:sz w:val="21"/>
                <w:szCs w:val="21"/>
              </w:rPr>
              <w:t>t/a</w:t>
            </w:r>
          </w:p>
        </w:tc>
        <w:tc>
          <w:tcPr>
            <w:tcW w:w="1706" w:type="dxa"/>
            <w:noWrap w:val="0"/>
            <w:vAlign w:val="center"/>
          </w:tcPr>
          <w:p w14:paraId="23F01BBD">
            <w:pPr>
              <w:pStyle w:val="421"/>
              <w:widowControl w:val="0"/>
              <w:spacing w:before="1" w:line="269" w:lineRule="exact"/>
              <w:ind w:left="0"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甲醛：1.3mg/m³，9.09kg/a</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酚类</w:t>
            </w:r>
            <w:r>
              <w:rPr>
                <w:rFonts w:ascii="Times New Roman" w:hAnsi="Times New Roman" w:eastAsia="宋体" w:cs="Times New Roman"/>
                <w:color w:val="000000"/>
                <w:sz w:val="21"/>
                <w:szCs w:val="21"/>
              </w:rPr>
              <w:t>：1.1mg/m³，7.66kg/a</w:t>
            </w:r>
          </w:p>
        </w:tc>
        <w:tc>
          <w:tcPr>
            <w:tcW w:w="1707" w:type="dxa"/>
            <w:noWrap w:val="0"/>
            <w:vAlign w:val="center"/>
          </w:tcPr>
          <w:p w14:paraId="3D63EE26">
            <w:pPr>
              <w:pStyle w:val="421"/>
              <w:widowControl w:val="0"/>
              <w:spacing w:before="1" w:line="269" w:lineRule="exact"/>
              <w:ind w:left="0"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甲醛：0.21mg/m³，0.025t/a</w:t>
            </w:r>
            <w:r>
              <w:rPr>
                <w:rFonts w:hint="eastAsia" w:ascii="Times New Roman" w:hAnsi="Times New Roman" w:eastAsia="宋体" w:cs="Times New Roman"/>
                <w:color w:val="000000"/>
                <w:sz w:val="21"/>
                <w:szCs w:val="21"/>
                <w:lang w:eastAsia="zh-CN"/>
              </w:rPr>
              <w:t>；</w:t>
            </w:r>
            <w:r>
              <w:rPr>
                <w:rFonts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lang w:val="en-US" w:eastAsia="zh-CN"/>
              </w:rPr>
              <w:t>酚类</w:t>
            </w:r>
            <w:r>
              <w:rPr>
                <w:rFonts w:ascii="Times New Roman" w:hAnsi="Times New Roman" w:eastAsia="宋体" w:cs="Times New Roman"/>
                <w:color w:val="000000"/>
                <w:sz w:val="21"/>
                <w:szCs w:val="21"/>
              </w:rPr>
              <w:t>：0.27mg/m³，0.006t/a</w:t>
            </w:r>
          </w:p>
        </w:tc>
        <w:tc>
          <w:tcPr>
            <w:tcW w:w="1707" w:type="dxa"/>
            <w:noWrap w:val="0"/>
            <w:vAlign w:val="center"/>
          </w:tcPr>
          <w:p w14:paraId="234C5BDB">
            <w:pPr>
              <w:pStyle w:val="421"/>
              <w:widowControl w:val="0"/>
              <w:spacing w:before="1" w:line="269" w:lineRule="exact"/>
              <w:ind w:left="0" w:firstLine="0"/>
              <w:jc w:val="center"/>
              <w:rPr>
                <w:rFonts w:ascii="Times New Roman" w:hAnsi="Times New Roman" w:eastAsia="宋体" w:cs="Times New Roman"/>
                <w:color w:val="000000"/>
                <w:sz w:val="21"/>
                <w:szCs w:val="21"/>
              </w:rPr>
            </w:pPr>
          </w:p>
          <w:p w14:paraId="7E0A73C1">
            <w:pPr>
              <w:pStyle w:val="421"/>
              <w:widowControl w:val="0"/>
              <w:spacing w:before="1" w:line="269" w:lineRule="exact"/>
              <w:ind w:left="0"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bl>
    <w:p w14:paraId="0C26A9A2">
      <w:pPr>
        <w:pStyle w:val="219"/>
        <w:spacing w:after="29" w:line="283" w:lineRule="exact"/>
        <w:ind w:left="40"/>
        <w:jc w:val="center"/>
        <w:rPr>
          <w:rFonts w:hint="eastAsia" w:ascii="黑体" w:hAnsi="Times New Roman" w:eastAsia="黑体" w:cs="Times New Roman"/>
          <w:sz w:val="24"/>
          <w:szCs w:val="24"/>
        </w:rPr>
      </w:pPr>
    </w:p>
    <w:p w14:paraId="1FDEFAD9">
      <w:pPr>
        <w:keepNext w:val="0"/>
        <w:keepLines w:val="0"/>
        <w:widowControl/>
        <w:suppressLineNumbers w:val="0"/>
        <w:jc w:val="left"/>
        <w:rPr>
          <w:rFonts w:ascii="Times New Roman" w:hAnsi="Times New Roman" w:eastAsia="宋体" w:cs="Times New Roman"/>
        </w:rPr>
      </w:pPr>
      <w:r>
        <w:rPr>
          <w:rFonts w:ascii="Times New Roman" w:hAnsi="Times New Roman" w:eastAsia="宋体" w:cs="Times New Roman"/>
          <w:color w:val="000000"/>
          <w:sz w:val="24"/>
          <w:szCs w:val="24"/>
        </w:rPr>
        <w:t>注：本项目废气经冷凝器冷凝处理后，甲醛排放量考虑最大影响按同类企业排放量的最大值计酚醛树脂胶反应釜内产生的废气通过各反应釜配套的冷凝器冷凝，不凝气通过</w:t>
      </w:r>
      <w:r>
        <w:rPr>
          <w:rFonts w:ascii="Times New Roman" w:hAnsi="Times New Roman" w:eastAsia="宋体" w:cs="Times New Roman"/>
          <w:color w:val="000000"/>
          <w:spacing w:val="-9"/>
          <w:sz w:val="24"/>
          <w:szCs w:val="24"/>
        </w:rPr>
        <w:t>管道引至</w:t>
      </w:r>
      <w:r>
        <w:rPr>
          <w:rFonts w:hint="eastAsia" w:ascii="Times New Roman" w:hAnsi="Times New Roman" w:eastAsia="宋体" w:cs="Times New Roman"/>
          <w:color w:val="FF0000"/>
          <w:spacing w:val="-9"/>
          <w:sz w:val="24"/>
          <w:szCs w:val="24"/>
          <w:lang w:val="en-US" w:eastAsia="zh-CN"/>
        </w:rPr>
        <w:t>制胶车间增设的1套</w:t>
      </w:r>
      <w:r>
        <w:rPr>
          <w:rFonts w:hint="eastAsia" w:ascii="Times New Roman" w:hAnsi="Times New Roman" w:eastAsia="宋体" w:cs="Times New Roman"/>
          <w:color w:val="FF0000"/>
          <w:szCs w:val="22"/>
          <w:lang w:val="en-US" w:eastAsia="zh-CN"/>
        </w:rPr>
        <w:t>UV光催化活性炭吸附一体设备收集废气，净化处理后废气通过1根15m高排气筒排放（排气筒编号P2）</w:t>
      </w:r>
      <w:r>
        <w:rPr>
          <w:rFonts w:hint="eastAsia" w:ascii="Times New Roman" w:hAnsi="Times New Roman" w:eastAsia="宋体" w:cs="Times New Roman"/>
          <w:color w:val="000000"/>
          <w:szCs w:val="22"/>
          <w:lang w:val="en-US" w:eastAsia="zh-CN"/>
        </w:rPr>
        <w:t>，风量 5000m³/h，净化效率为90%</w:t>
      </w:r>
      <w:r>
        <w:rPr>
          <w:rFonts w:ascii="Times New Roman" w:hAnsi="Times New Roman" w:eastAsia="宋体" w:cs="Times New Roman"/>
          <w:color w:val="000000"/>
          <w:spacing w:val="-24"/>
          <w:sz w:val="24"/>
          <w:szCs w:val="24"/>
          <w:shd w:val="clear" w:color="auto" w:fill="auto"/>
        </w:rPr>
        <w:t>。</w:t>
      </w:r>
    </w:p>
    <w:p w14:paraId="16FBF4C5">
      <w:pPr>
        <w:pStyle w:val="315"/>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根据 VOCs 的定义，VOCs 指常温下饱和蒸汽压大于 133.32Pa、常压下沸点在50~260℃以下的有机化合物，或在常温常压下任何能挥发的有机固体或液体。结合项目使用的原辅料和产排污情况，脲醛树脂胶废气中排放的 VOCs 主要为非甲烷总烃，根据</w:t>
      </w:r>
      <w:r>
        <w:rPr>
          <w:rFonts w:ascii="Times New Roman" w:hAnsi="Times New Roman" w:eastAsia="宋体" w:cs="Times New Roman"/>
          <w:szCs w:val="22"/>
          <w:lang w:val="zh-CN" w:eastAsia="zh-CN"/>
        </w:rPr>
        <w:t>《合成树脂工业污染物排放标准》（GB31572-2015）表 4</w:t>
      </w:r>
      <w:r>
        <w:rPr>
          <w:rFonts w:hint="eastAsia" w:ascii="Times New Roman" w:hAnsi="Times New Roman" w:eastAsia="宋体" w:cs="Times New Roman"/>
          <w:szCs w:val="22"/>
          <w:lang w:val="en-US" w:eastAsia="zh-CN"/>
        </w:rPr>
        <w:t>单位产品非甲烷总烃排放量为0.2kg/t</w:t>
      </w: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因此 VOCs 产生量为0.5t/a。</w:t>
      </w:r>
    </w:p>
    <w:p w14:paraId="0385CB29">
      <w:pPr>
        <w:pStyle w:val="219"/>
        <w:keepNext w:val="0"/>
        <w:keepLines w:val="0"/>
        <w:pageBreakBefore w:val="0"/>
        <w:widowControl/>
        <w:spacing w:after="0" w:line="360" w:lineRule="auto"/>
        <w:ind w:left="0" w:right="0"/>
        <w:jc w:val="both"/>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酚醛树脂胶生产过程中</w:t>
      </w:r>
      <w:r>
        <w:rPr>
          <w:rFonts w:ascii="Times New Roman" w:hAnsi="Times New Roman" w:eastAsia="宋体" w:cs="Times New Roman"/>
          <w:sz w:val="24"/>
          <w:szCs w:val="24"/>
        </w:rPr>
        <w:t>各污染物排放浓度见下表。</w:t>
      </w:r>
    </w:p>
    <w:p w14:paraId="4A7EBF3A">
      <w:pPr>
        <w:pStyle w:val="219"/>
        <w:keepNext w:val="0"/>
        <w:keepLines w:val="0"/>
        <w:pageBreakBefore w:val="0"/>
        <w:widowControl/>
        <w:spacing w:after="0" w:line="360" w:lineRule="auto"/>
        <w:ind w:left="0" w:right="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表 </w:t>
      </w:r>
      <w:r>
        <w:rPr>
          <w:rFonts w:ascii="Times New Roman" w:hAnsi="Times New Roman" w:eastAsia="宋体" w:cs="Times New Roman"/>
          <w:b/>
          <w:bCs/>
          <w:sz w:val="24"/>
          <w:szCs w:val="24"/>
          <w:lang w:val="en-US" w:eastAsia="zh-CN"/>
        </w:rPr>
        <w:t>4.3-</w:t>
      </w:r>
      <w:r>
        <w:rPr>
          <w:rFonts w:hint="eastAsia" w:ascii="Times New Roman" w:hAnsi="Times New Roman" w:eastAsia="宋体" w:cs="Times New Roman"/>
          <w:b/>
          <w:bCs/>
          <w:sz w:val="24"/>
          <w:szCs w:val="24"/>
          <w:lang w:val="en-US" w:eastAsia="zh-CN"/>
        </w:rPr>
        <w:t xml:space="preserve">8 </w:t>
      </w:r>
      <w:r>
        <w:rPr>
          <w:rFonts w:ascii="Times New Roman" w:hAnsi="Times New Roman" w:eastAsia="宋体" w:cs="Times New Roman"/>
          <w:b/>
          <w:bCs/>
          <w:sz w:val="24"/>
          <w:szCs w:val="24"/>
        </w:rPr>
        <w:t>项目</w:t>
      </w:r>
      <w:r>
        <w:rPr>
          <w:rFonts w:ascii="Times New Roman" w:hAnsi="Times New Roman" w:eastAsia="宋体" w:cs="Times New Roman"/>
          <w:b/>
          <w:bCs/>
          <w:sz w:val="24"/>
          <w:szCs w:val="24"/>
          <w:lang w:val="en-US" w:eastAsia="zh-CN"/>
        </w:rPr>
        <w:t>酚醛树脂胶</w:t>
      </w:r>
      <w:r>
        <w:rPr>
          <w:rFonts w:ascii="Times New Roman" w:hAnsi="Times New Roman" w:eastAsia="宋体" w:cs="Times New Roman"/>
          <w:b/>
          <w:bCs/>
          <w:sz w:val="24"/>
          <w:szCs w:val="24"/>
        </w:rPr>
        <w:t>污染物产生及排放情况一览表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1"/>
        <w:gridCol w:w="903"/>
        <w:gridCol w:w="913"/>
        <w:gridCol w:w="850"/>
        <w:gridCol w:w="1209"/>
        <w:gridCol w:w="750"/>
        <w:gridCol w:w="1091"/>
        <w:gridCol w:w="1177"/>
        <w:gridCol w:w="850"/>
      </w:tblGrid>
      <w:tr w14:paraId="37AD86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721" w:type="dxa"/>
            <w:noWrap w:val="0"/>
            <w:vAlign w:val="top"/>
          </w:tcPr>
          <w:p w14:paraId="71B6983E">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排气</w:t>
            </w:r>
          </w:p>
          <w:p w14:paraId="1ED429F5">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筒</w:t>
            </w:r>
          </w:p>
        </w:tc>
        <w:tc>
          <w:tcPr>
            <w:tcW w:w="903" w:type="dxa"/>
            <w:noWrap w:val="0"/>
            <w:vAlign w:val="top"/>
          </w:tcPr>
          <w:p w14:paraId="16709D38">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污染物</w:t>
            </w:r>
          </w:p>
        </w:tc>
        <w:tc>
          <w:tcPr>
            <w:tcW w:w="913" w:type="dxa"/>
            <w:noWrap w:val="0"/>
            <w:vAlign w:val="top"/>
          </w:tcPr>
          <w:p w14:paraId="6D0D2564">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产生量</w:t>
            </w:r>
          </w:p>
          <w:p w14:paraId="16C0195F">
            <w:pPr>
              <w:pStyle w:val="421"/>
              <w:spacing w:before="1"/>
              <w:ind w:left="0" w:right="1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t/a</w:t>
            </w:r>
          </w:p>
        </w:tc>
        <w:tc>
          <w:tcPr>
            <w:tcW w:w="850" w:type="dxa"/>
            <w:noWrap w:val="0"/>
            <w:vAlign w:val="top"/>
          </w:tcPr>
          <w:p w14:paraId="614246D6">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净化</w:t>
            </w:r>
            <w:r>
              <w:rPr>
                <w:rFonts w:hint="eastAsia" w:ascii="Times New Roman" w:hAnsi="Times New Roman" w:eastAsia="宋体" w:cs="Times New Roman"/>
                <w:b/>
                <w:sz w:val="21"/>
                <w:szCs w:val="21"/>
              </w:rPr>
              <w:t>效率</w:t>
            </w:r>
          </w:p>
        </w:tc>
        <w:tc>
          <w:tcPr>
            <w:tcW w:w="1209" w:type="dxa"/>
            <w:noWrap w:val="0"/>
            <w:vAlign w:val="top"/>
          </w:tcPr>
          <w:p w14:paraId="1241D0F0">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风机风量</w:t>
            </w:r>
          </w:p>
          <w:p w14:paraId="0D6862F0">
            <w:pPr>
              <w:pStyle w:val="421"/>
              <w:spacing w:before="1"/>
              <w:ind w:left="0" w:right="1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m³/h</w:t>
            </w:r>
          </w:p>
        </w:tc>
        <w:tc>
          <w:tcPr>
            <w:tcW w:w="750" w:type="dxa"/>
            <w:noWrap w:val="0"/>
            <w:vAlign w:val="top"/>
          </w:tcPr>
          <w:p w14:paraId="3A468C35">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工时</w:t>
            </w:r>
          </w:p>
          <w:p w14:paraId="217D01FB">
            <w:pPr>
              <w:pStyle w:val="421"/>
              <w:spacing w:before="1"/>
              <w:ind w:left="0" w:right="1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h</w:t>
            </w:r>
          </w:p>
        </w:tc>
        <w:tc>
          <w:tcPr>
            <w:tcW w:w="1091" w:type="dxa"/>
            <w:noWrap w:val="0"/>
            <w:vAlign w:val="top"/>
          </w:tcPr>
          <w:p w14:paraId="1F8B4FF9">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排放浓度</w:t>
            </w:r>
          </w:p>
          <w:p w14:paraId="566902D7">
            <w:pPr>
              <w:pStyle w:val="421"/>
              <w:spacing w:before="1"/>
              <w:ind w:left="0" w:right="1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mg/m³</w:t>
            </w:r>
          </w:p>
        </w:tc>
        <w:tc>
          <w:tcPr>
            <w:tcW w:w="1177" w:type="dxa"/>
            <w:noWrap w:val="0"/>
            <w:vAlign w:val="top"/>
          </w:tcPr>
          <w:p w14:paraId="7451CAF4">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排放速率</w:t>
            </w:r>
          </w:p>
          <w:p w14:paraId="1EF49F7D">
            <w:pPr>
              <w:pStyle w:val="421"/>
              <w:spacing w:before="1"/>
              <w:ind w:left="0" w:right="1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kg/h</w:t>
            </w:r>
          </w:p>
        </w:tc>
        <w:tc>
          <w:tcPr>
            <w:tcW w:w="850" w:type="dxa"/>
            <w:noWrap w:val="0"/>
            <w:vAlign w:val="top"/>
          </w:tcPr>
          <w:p w14:paraId="009DC31D">
            <w:pPr>
              <w:pStyle w:val="421"/>
              <w:spacing w:before="1"/>
              <w:ind w:left="0" w:right="126" w:firstLine="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排放量</w:t>
            </w:r>
          </w:p>
          <w:p w14:paraId="05F11BC5">
            <w:pPr>
              <w:pStyle w:val="421"/>
              <w:spacing w:before="1"/>
              <w:ind w:left="0" w:right="126"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t/a</w:t>
            </w:r>
          </w:p>
        </w:tc>
      </w:tr>
      <w:tr w14:paraId="522A88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 w:hRule="atLeast"/>
          <w:jc w:val="center"/>
        </w:trPr>
        <w:tc>
          <w:tcPr>
            <w:tcW w:w="721" w:type="dxa"/>
            <w:vMerge w:val="restart"/>
            <w:noWrap w:val="0"/>
            <w:vAlign w:val="top"/>
          </w:tcPr>
          <w:p w14:paraId="39FD2E5B">
            <w:pPr>
              <w:pStyle w:val="421"/>
              <w:spacing w:before="1"/>
              <w:ind w:left="0" w:right="126" w:firstLine="0"/>
              <w:jc w:val="center"/>
              <w:rPr>
                <w:rFonts w:ascii="Times New Roman" w:hAnsi="Times New Roman" w:eastAsia="宋体" w:cs="Times New Roman"/>
                <w:b w:val="0"/>
                <w:bCs/>
                <w:sz w:val="21"/>
                <w:szCs w:val="21"/>
              </w:rPr>
            </w:pPr>
          </w:p>
          <w:p w14:paraId="06B0C4EE">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P4</w:t>
            </w:r>
          </w:p>
        </w:tc>
        <w:tc>
          <w:tcPr>
            <w:tcW w:w="903" w:type="dxa"/>
            <w:noWrap w:val="0"/>
            <w:vAlign w:val="top"/>
          </w:tcPr>
          <w:p w14:paraId="58A9DD9D">
            <w:pPr>
              <w:pStyle w:val="421"/>
              <w:spacing w:before="1"/>
              <w:ind w:left="0" w:right="126" w:firstLine="0"/>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甲醛</w:t>
            </w:r>
          </w:p>
        </w:tc>
        <w:tc>
          <w:tcPr>
            <w:tcW w:w="913" w:type="dxa"/>
            <w:noWrap w:val="0"/>
            <w:vAlign w:val="top"/>
          </w:tcPr>
          <w:p w14:paraId="4B8D14B7">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0.98</w:t>
            </w:r>
          </w:p>
        </w:tc>
        <w:tc>
          <w:tcPr>
            <w:tcW w:w="850" w:type="dxa"/>
            <w:noWrap w:val="0"/>
            <w:vAlign w:val="top"/>
          </w:tcPr>
          <w:p w14:paraId="0E4925F2">
            <w:pPr>
              <w:pStyle w:val="421"/>
              <w:spacing w:before="1"/>
              <w:ind w:left="0" w:right="126" w:firstLine="0"/>
              <w:jc w:val="center"/>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90</w:t>
            </w:r>
            <w:r>
              <w:rPr>
                <w:rFonts w:ascii="Times New Roman" w:hAnsi="Times New Roman" w:eastAsia="宋体" w:cs="Times New Roman"/>
                <w:b w:val="0"/>
                <w:bCs/>
                <w:sz w:val="21"/>
                <w:szCs w:val="21"/>
              </w:rPr>
              <w:t>%</w:t>
            </w:r>
          </w:p>
        </w:tc>
        <w:tc>
          <w:tcPr>
            <w:tcW w:w="1209" w:type="dxa"/>
            <w:vMerge w:val="restart"/>
            <w:noWrap w:val="0"/>
            <w:vAlign w:val="top"/>
          </w:tcPr>
          <w:p w14:paraId="190724FD">
            <w:pPr>
              <w:pStyle w:val="421"/>
              <w:spacing w:before="1"/>
              <w:ind w:left="0" w:right="126" w:firstLine="0"/>
              <w:jc w:val="center"/>
              <w:rPr>
                <w:rFonts w:ascii="Times New Roman" w:hAnsi="Times New Roman" w:eastAsia="宋体" w:cs="Times New Roman"/>
                <w:b w:val="0"/>
                <w:bCs/>
                <w:sz w:val="21"/>
                <w:szCs w:val="21"/>
              </w:rPr>
            </w:pPr>
          </w:p>
          <w:p w14:paraId="35480C53">
            <w:pPr>
              <w:pStyle w:val="421"/>
              <w:spacing w:before="1"/>
              <w:ind w:left="0" w:right="126" w:firstLine="0"/>
              <w:jc w:val="center"/>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5</w:t>
            </w:r>
            <w:r>
              <w:rPr>
                <w:rFonts w:ascii="Times New Roman" w:hAnsi="Times New Roman" w:eastAsia="宋体" w:cs="Times New Roman"/>
                <w:b w:val="0"/>
                <w:bCs/>
                <w:sz w:val="21"/>
                <w:szCs w:val="21"/>
              </w:rPr>
              <w:t>000</w:t>
            </w:r>
          </w:p>
        </w:tc>
        <w:tc>
          <w:tcPr>
            <w:tcW w:w="750" w:type="dxa"/>
            <w:vMerge w:val="restart"/>
            <w:noWrap w:val="0"/>
            <w:vAlign w:val="top"/>
          </w:tcPr>
          <w:p w14:paraId="4F95F882">
            <w:pPr>
              <w:pStyle w:val="421"/>
              <w:spacing w:before="1"/>
              <w:ind w:left="0" w:right="126" w:firstLine="0"/>
              <w:jc w:val="center"/>
              <w:rPr>
                <w:rFonts w:ascii="Times New Roman" w:hAnsi="Times New Roman" w:eastAsia="宋体" w:cs="Times New Roman"/>
                <w:b w:val="0"/>
                <w:bCs/>
                <w:sz w:val="21"/>
                <w:szCs w:val="21"/>
              </w:rPr>
            </w:pPr>
          </w:p>
          <w:p w14:paraId="2DC15F8E">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7200</w:t>
            </w:r>
          </w:p>
        </w:tc>
        <w:tc>
          <w:tcPr>
            <w:tcW w:w="1091" w:type="dxa"/>
            <w:noWrap w:val="0"/>
            <w:vAlign w:val="top"/>
          </w:tcPr>
          <w:p w14:paraId="606332DC">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2.8</w:t>
            </w:r>
          </w:p>
        </w:tc>
        <w:tc>
          <w:tcPr>
            <w:tcW w:w="1177" w:type="dxa"/>
            <w:noWrap w:val="0"/>
            <w:vAlign w:val="top"/>
          </w:tcPr>
          <w:p w14:paraId="29C8B3D7">
            <w:pPr>
              <w:pStyle w:val="421"/>
              <w:spacing w:before="1"/>
              <w:ind w:left="0" w:right="126" w:firstLine="0"/>
              <w:jc w:val="center"/>
              <w:rPr>
                <w:rFonts w:ascii="Times New Roman" w:hAnsi="Times New Roman" w:eastAsia="宋体" w:cs="Times New Roman"/>
                <w:b w:val="0"/>
                <w:bCs/>
                <w:sz w:val="21"/>
                <w:szCs w:val="21"/>
                <w:lang w:val="en-US" w:eastAsia="zh-CN"/>
              </w:rPr>
            </w:pPr>
            <w:r>
              <w:rPr>
                <w:rFonts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14</w:t>
            </w:r>
          </w:p>
        </w:tc>
        <w:tc>
          <w:tcPr>
            <w:tcW w:w="850" w:type="dxa"/>
            <w:noWrap w:val="0"/>
            <w:vAlign w:val="top"/>
          </w:tcPr>
          <w:p w14:paraId="130AF4D4">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0.098</w:t>
            </w:r>
          </w:p>
        </w:tc>
      </w:tr>
      <w:tr w14:paraId="701423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jc w:val="center"/>
        </w:trPr>
        <w:tc>
          <w:tcPr>
            <w:tcW w:w="721" w:type="dxa"/>
            <w:vMerge w:val="continue"/>
            <w:noWrap w:val="0"/>
            <w:vAlign w:val="top"/>
          </w:tcPr>
          <w:p w14:paraId="04CD8FD0">
            <w:pPr>
              <w:pStyle w:val="421"/>
              <w:spacing w:before="1"/>
              <w:ind w:left="0" w:right="126" w:firstLine="0"/>
              <w:jc w:val="center"/>
              <w:rPr>
                <w:rFonts w:ascii="Times New Roman" w:hAnsi="Times New Roman" w:eastAsia="宋体" w:cs="Times New Roman"/>
                <w:b w:val="0"/>
                <w:bCs/>
                <w:sz w:val="21"/>
                <w:szCs w:val="21"/>
              </w:rPr>
            </w:pPr>
          </w:p>
        </w:tc>
        <w:tc>
          <w:tcPr>
            <w:tcW w:w="903" w:type="dxa"/>
            <w:noWrap w:val="0"/>
            <w:vAlign w:val="top"/>
          </w:tcPr>
          <w:p w14:paraId="0F08019B">
            <w:pPr>
              <w:pStyle w:val="421"/>
              <w:spacing w:before="1"/>
              <w:ind w:left="0" w:right="126" w:firstLine="0"/>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苯酚</w:t>
            </w:r>
          </w:p>
        </w:tc>
        <w:tc>
          <w:tcPr>
            <w:tcW w:w="913" w:type="dxa"/>
            <w:noWrap w:val="0"/>
            <w:vAlign w:val="top"/>
          </w:tcPr>
          <w:p w14:paraId="3BAD99C9">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0.39</w:t>
            </w:r>
          </w:p>
        </w:tc>
        <w:tc>
          <w:tcPr>
            <w:tcW w:w="850" w:type="dxa"/>
            <w:noWrap w:val="0"/>
            <w:vAlign w:val="top"/>
          </w:tcPr>
          <w:p w14:paraId="37952F98">
            <w:pPr>
              <w:pStyle w:val="421"/>
              <w:spacing w:before="1"/>
              <w:ind w:left="0" w:right="126" w:firstLine="0"/>
              <w:jc w:val="center"/>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90</w:t>
            </w:r>
            <w:r>
              <w:rPr>
                <w:rFonts w:ascii="Times New Roman" w:hAnsi="Times New Roman" w:eastAsia="宋体" w:cs="Times New Roman"/>
                <w:b w:val="0"/>
                <w:bCs/>
                <w:sz w:val="21"/>
                <w:szCs w:val="21"/>
              </w:rPr>
              <w:t>%</w:t>
            </w:r>
          </w:p>
        </w:tc>
        <w:tc>
          <w:tcPr>
            <w:tcW w:w="1209" w:type="dxa"/>
            <w:vMerge w:val="continue"/>
            <w:noWrap w:val="0"/>
            <w:vAlign w:val="top"/>
          </w:tcPr>
          <w:p w14:paraId="3A55EACD">
            <w:pPr>
              <w:pStyle w:val="421"/>
              <w:spacing w:before="1"/>
              <w:ind w:left="0" w:right="126" w:firstLine="0"/>
              <w:jc w:val="center"/>
              <w:rPr>
                <w:rFonts w:ascii="Times New Roman" w:hAnsi="Times New Roman" w:eastAsia="宋体" w:cs="Times New Roman"/>
                <w:b w:val="0"/>
                <w:bCs/>
                <w:sz w:val="21"/>
                <w:szCs w:val="21"/>
              </w:rPr>
            </w:pPr>
          </w:p>
        </w:tc>
        <w:tc>
          <w:tcPr>
            <w:tcW w:w="750" w:type="dxa"/>
            <w:vMerge w:val="continue"/>
            <w:noWrap w:val="0"/>
            <w:vAlign w:val="top"/>
          </w:tcPr>
          <w:p w14:paraId="5806238D">
            <w:pPr>
              <w:pStyle w:val="421"/>
              <w:spacing w:before="1"/>
              <w:ind w:left="0" w:right="126" w:firstLine="0"/>
              <w:jc w:val="center"/>
              <w:rPr>
                <w:rFonts w:ascii="Times New Roman" w:hAnsi="Times New Roman" w:eastAsia="宋体" w:cs="Times New Roman"/>
                <w:b w:val="0"/>
                <w:bCs/>
                <w:sz w:val="21"/>
                <w:szCs w:val="21"/>
              </w:rPr>
            </w:pPr>
          </w:p>
        </w:tc>
        <w:tc>
          <w:tcPr>
            <w:tcW w:w="1091" w:type="dxa"/>
            <w:noWrap w:val="0"/>
            <w:vAlign w:val="top"/>
          </w:tcPr>
          <w:p w14:paraId="37B426A9">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0.11</w:t>
            </w:r>
          </w:p>
        </w:tc>
        <w:tc>
          <w:tcPr>
            <w:tcW w:w="1177" w:type="dxa"/>
            <w:noWrap w:val="0"/>
            <w:vAlign w:val="top"/>
          </w:tcPr>
          <w:p w14:paraId="5A7DAFA1">
            <w:pPr>
              <w:pStyle w:val="421"/>
              <w:spacing w:before="1"/>
              <w:ind w:left="0" w:right="126" w:firstLine="0"/>
              <w:jc w:val="center"/>
              <w:rPr>
                <w:rFonts w:ascii="Times New Roman" w:hAnsi="Times New Roman" w:eastAsia="宋体" w:cs="Times New Roman"/>
                <w:b w:val="0"/>
                <w:bCs/>
                <w:sz w:val="21"/>
                <w:szCs w:val="21"/>
                <w:lang w:val="en-US" w:eastAsia="zh-CN"/>
              </w:rPr>
            </w:pPr>
            <w:r>
              <w:rPr>
                <w:rFonts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054</w:t>
            </w:r>
          </w:p>
        </w:tc>
        <w:tc>
          <w:tcPr>
            <w:tcW w:w="850" w:type="dxa"/>
            <w:noWrap w:val="0"/>
            <w:vAlign w:val="top"/>
          </w:tcPr>
          <w:p w14:paraId="1D9CB953">
            <w:pPr>
              <w:pStyle w:val="421"/>
              <w:spacing w:before="1"/>
              <w:ind w:left="0" w:right="126" w:firstLine="0"/>
              <w:jc w:val="center"/>
              <w:rPr>
                <w:rFonts w:ascii="Times New Roman" w:hAnsi="Times New Roman" w:eastAsia="宋体" w:cs="Times New Roman"/>
                <w:b w:val="0"/>
                <w:bCs/>
                <w:sz w:val="21"/>
                <w:szCs w:val="21"/>
              </w:rPr>
            </w:pPr>
            <w:r>
              <w:rPr>
                <w:rFonts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3</w:t>
            </w:r>
            <w:r>
              <w:rPr>
                <w:rFonts w:ascii="Times New Roman" w:hAnsi="Times New Roman" w:eastAsia="宋体" w:cs="Times New Roman"/>
                <w:b w:val="0"/>
                <w:bCs/>
                <w:sz w:val="21"/>
                <w:szCs w:val="21"/>
              </w:rPr>
              <w:t>9</w:t>
            </w:r>
          </w:p>
        </w:tc>
      </w:tr>
      <w:tr w14:paraId="77555E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 w:hRule="atLeast"/>
          <w:jc w:val="center"/>
        </w:trPr>
        <w:tc>
          <w:tcPr>
            <w:tcW w:w="721" w:type="dxa"/>
            <w:vMerge w:val="continue"/>
            <w:noWrap w:val="0"/>
            <w:vAlign w:val="top"/>
          </w:tcPr>
          <w:p w14:paraId="1916DE0E">
            <w:pPr>
              <w:pStyle w:val="421"/>
              <w:spacing w:before="1"/>
              <w:ind w:left="0" w:right="126" w:firstLine="0"/>
              <w:jc w:val="center"/>
              <w:rPr>
                <w:rFonts w:ascii="Times New Roman" w:hAnsi="Times New Roman" w:eastAsia="宋体" w:cs="Times New Roman"/>
                <w:b w:val="0"/>
                <w:bCs/>
                <w:sz w:val="21"/>
                <w:szCs w:val="21"/>
              </w:rPr>
            </w:pPr>
          </w:p>
        </w:tc>
        <w:tc>
          <w:tcPr>
            <w:tcW w:w="903" w:type="dxa"/>
            <w:noWrap w:val="0"/>
            <w:vAlign w:val="top"/>
          </w:tcPr>
          <w:p w14:paraId="562D4418">
            <w:pPr>
              <w:pStyle w:val="421"/>
              <w:spacing w:before="1"/>
              <w:ind w:left="0" w:right="126" w:firstLine="0"/>
              <w:jc w:val="center"/>
              <w:rPr>
                <w:rFonts w:ascii="Times New Roman" w:hAnsi="Times New Roman" w:eastAsia="宋体" w:cs="Times New Roman"/>
                <w:b w:val="0"/>
                <w:bCs/>
                <w:sz w:val="21"/>
                <w:szCs w:val="21"/>
              </w:rPr>
            </w:pPr>
            <w:r>
              <w:rPr>
                <w:rFonts w:ascii="Times New Roman" w:hAnsi="Times New Roman" w:eastAsia="宋体" w:cs="Times New Roman"/>
                <w:b w:val="0"/>
                <w:bCs/>
                <w:sz w:val="21"/>
                <w:szCs w:val="21"/>
              </w:rPr>
              <w:t>VOCs</w:t>
            </w:r>
          </w:p>
        </w:tc>
        <w:tc>
          <w:tcPr>
            <w:tcW w:w="913" w:type="dxa"/>
            <w:noWrap w:val="0"/>
            <w:vAlign w:val="top"/>
          </w:tcPr>
          <w:p w14:paraId="073CE8E4">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w:t>
            </w:r>
          </w:p>
        </w:tc>
        <w:tc>
          <w:tcPr>
            <w:tcW w:w="850" w:type="dxa"/>
            <w:noWrap w:val="0"/>
            <w:vAlign w:val="top"/>
          </w:tcPr>
          <w:p w14:paraId="11B2D1F9">
            <w:pPr>
              <w:pStyle w:val="421"/>
              <w:spacing w:before="1"/>
              <w:ind w:left="0" w:right="126" w:firstLine="0"/>
              <w:jc w:val="center"/>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9</w:t>
            </w:r>
            <w:r>
              <w:rPr>
                <w:rFonts w:ascii="Times New Roman" w:hAnsi="Times New Roman" w:eastAsia="宋体" w:cs="Times New Roman"/>
                <w:b w:val="0"/>
                <w:bCs/>
                <w:sz w:val="21"/>
                <w:szCs w:val="21"/>
              </w:rPr>
              <w:t>0%</w:t>
            </w:r>
          </w:p>
        </w:tc>
        <w:tc>
          <w:tcPr>
            <w:tcW w:w="1209" w:type="dxa"/>
            <w:vMerge w:val="continue"/>
            <w:noWrap w:val="0"/>
            <w:vAlign w:val="top"/>
          </w:tcPr>
          <w:p w14:paraId="6078BD82">
            <w:pPr>
              <w:pStyle w:val="421"/>
              <w:spacing w:before="1"/>
              <w:ind w:left="0" w:right="126" w:firstLine="0"/>
              <w:jc w:val="center"/>
              <w:rPr>
                <w:rFonts w:ascii="Times New Roman" w:hAnsi="Times New Roman" w:eastAsia="宋体" w:cs="Times New Roman"/>
                <w:b w:val="0"/>
                <w:bCs/>
                <w:sz w:val="21"/>
                <w:szCs w:val="21"/>
              </w:rPr>
            </w:pPr>
          </w:p>
        </w:tc>
        <w:tc>
          <w:tcPr>
            <w:tcW w:w="750" w:type="dxa"/>
            <w:vMerge w:val="continue"/>
            <w:noWrap w:val="0"/>
            <w:vAlign w:val="top"/>
          </w:tcPr>
          <w:p w14:paraId="24500123">
            <w:pPr>
              <w:pStyle w:val="421"/>
              <w:spacing w:before="1"/>
              <w:ind w:left="0" w:right="126" w:firstLine="0"/>
              <w:jc w:val="center"/>
              <w:rPr>
                <w:rFonts w:ascii="Times New Roman" w:hAnsi="Times New Roman" w:eastAsia="宋体" w:cs="Times New Roman"/>
                <w:b w:val="0"/>
                <w:bCs/>
                <w:sz w:val="21"/>
                <w:szCs w:val="21"/>
              </w:rPr>
            </w:pPr>
          </w:p>
        </w:tc>
        <w:tc>
          <w:tcPr>
            <w:tcW w:w="1091" w:type="dxa"/>
            <w:noWrap w:val="0"/>
            <w:vAlign w:val="top"/>
          </w:tcPr>
          <w:p w14:paraId="68E018CD">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1.4</w:t>
            </w:r>
          </w:p>
        </w:tc>
        <w:tc>
          <w:tcPr>
            <w:tcW w:w="1177" w:type="dxa"/>
            <w:noWrap w:val="0"/>
            <w:vAlign w:val="top"/>
          </w:tcPr>
          <w:p w14:paraId="0D78AB4B">
            <w:pPr>
              <w:pStyle w:val="421"/>
              <w:spacing w:before="1"/>
              <w:ind w:left="0" w:right="126" w:firstLine="0"/>
              <w:jc w:val="center"/>
              <w:rPr>
                <w:rFonts w:ascii="Times New Roman" w:hAnsi="Times New Roman" w:eastAsia="宋体" w:cs="Times New Roman"/>
                <w:b w:val="0"/>
                <w:bCs/>
                <w:sz w:val="21"/>
                <w:szCs w:val="21"/>
                <w:lang w:val="en-US" w:eastAsia="zh-CN"/>
              </w:rPr>
            </w:pPr>
            <w:r>
              <w:rPr>
                <w:rFonts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07</w:t>
            </w:r>
          </w:p>
        </w:tc>
        <w:tc>
          <w:tcPr>
            <w:tcW w:w="850" w:type="dxa"/>
            <w:noWrap w:val="0"/>
            <w:vAlign w:val="top"/>
          </w:tcPr>
          <w:p w14:paraId="5D813DEC">
            <w:pPr>
              <w:pStyle w:val="421"/>
              <w:spacing w:before="1"/>
              <w:ind w:left="0" w:right="126" w:firstLine="0"/>
              <w:jc w:val="center"/>
              <w:rPr>
                <w:rFonts w:ascii="Times New Roman" w:hAnsi="Times New Roman" w:eastAsia="宋体" w:cs="Times New Roman"/>
                <w:b w:val="0"/>
                <w:bCs/>
                <w:sz w:val="21"/>
                <w:szCs w:val="21"/>
                <w:lang w:val="en-US" w:eastAsia="zh-CN"/>
              </w:rPr>
            </w:pPr>
            <w:r>
              <w:rPr>
                <w:rFonts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05</w:t>
            </w:r>
          </w:p>
        </w:tc>
      </w:tr>
    </w:tbl>
    <w:p w14:paraId="4908E079">
      <w:pPr>
        <w:pStyle w:val="315"/>
        <w:rPr>
          <w:rFonts w:ascii="Times New Roman" w:hAnsi="Times New Roman" w:eastAsia="宋体" w:cs="Times New Roman"/>
          <w:szCs w:val="22"/>
          <w:lang w:val="en-US" w:eastAsia="zh-CN"/>
        </w:rPr>
      </w:pP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lang w:val="zh-CN" w:eastAsia="zh-CN"/>
        </w:rPr>
        <w:t>）储罐废气（</w:t>
      </w:r>
      <w:r>
        <w:rPr>
          <w:rFonts w:hint="eastAsia" w:ascii="Times New Roman" w:hAnsi="Times New Roman" w:eastAsia="宋体" w:cs="Times New Roman"/>
          <w:szCs w:val="22"/>
          <w:lang w:val="en-US" w:eastAsia="zh-CN"/>
        </w:rPr>
        <w:t>G18、G23</w:t>
      </w:r>
      <w:r>
        <w:rPr>
          <w:rFonts w:hint="eastAsia" w:ascii="Times New Roman" w:hAnsi="Times New Roman" w:eastAsia="宋体" w:cs="Times New Roman"/>
          <w:szCs w:val="22"/>
          <w:lang w:val="zh-CN" w:eastAsia="zh-CN"/>
        </w:rPr>
        <w:t>）</w:t>
      </w:r>
    </w:p>
    <w:p w14:paraId="16E65420">
      <w:pPr>
        <w:pStyle w:val="315"/>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储罐废气主要来自液体物料“大小呼吸”产生的废气。</w:t>
      </w:r>
    </w:p>
    <w:p w14:paraId="3ECD69A6">
      <w:pPr>
        <w:pStyle w:val="315"/>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储罐卸料时液面下降，空气被抽入罐体内，经过一段时间空气变成有机物蒸气饱和的气体，因装料时罐内液面上升，迫使蒸气饱和气体从罐内压出，这种由于人为装料、卸料而产生的工作损失称之为“大呼吸废气”；另外，由于温度和大气压力的变化引起储罐内蒸气的膨胀和收缩而产生的蒸气排出，它出现在罐内液面无任何变化的情况，是非人为干扰的自然排放方式，称之为“小呼吸废气”。</w:t>
      </w:r>
    </w:p>
    <w:p w14:paraId="5E017E70">
      <w:pPr>
        <w:pStyle w:val="315"/>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项目甲醛使用储罐储存、苯酚以及胶粘剂成品</w:t>
      </w:r>
      <w:r>
        <w:rPr>
          <w:rFonts w:hint="eastAsia" w:ascii="Times New Roman" w:hAnsi="Times New Roman" w:eastAsia="宋体" w:cs="Times New Roman"/>
          <w:szCs w:val="22"/>
          <w:lang w:val="en-US" w:eastAsia="zh-CN"/>
        </w:rPr>
        <w:t>采用桶装</w:t>
      </w:r>
      <w:r>
        <w:rPr>
          <w:rFonts w:hint="eastAsia" w:ascii="Times New Roman" w:hAnsi="Times New Roman" w:eastAsia="宋体" w:cs="Times New Roman"/>
          <w:szCs w:val="22"/>
          <w:lang w:val="zh-CN" w:eastAsia="zh-CN"/>
        </w:rPr>
        <w:t>，项目</w:t>
      </w:r>
      <w:r>
        <w:rPr>
          <w:rFonts w:hint="eastAsia" w:ascii="Times New Roman" w:hAnsi="Times New Roman" w:eastAsia="宋体" w:cs="Times New Roman"/>
          <w:szCs w:val="22"/>
          <w:lang w:val="en-US" w:eastAsia="zh-CN"/>
        </w:rPr>
        <w:t>储存</w:t>
      </w:r>
      <w:r>
        <w:rPr>
          <w:rFonts w:hint="eastAsia" w:ascii="Times New Roman" w:hAnsi="Times New Roman" w:eastAsia="宋体" w:cs="Times New Roman"/>
          <w:szCs w:val="22"/>
          <w:lang w:val="zh-CN" w:eastAsia="zh-CN"/>
        </w:rPr>
        <w:t>设置如下表：</w:t>
      </w:r>
    </w:p>
    <w:p w14:paraId="489569A6">
      <w:pPr>
        <w:widowControl w:val="0"/>
        <w:spacing w:before="0" w:after="28" w:line="282" w:lineRule="exact"/>
        <w:ind w:left="4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ascii="Times New Roman" w:hAnsi="Times New Roman" w:eastAsia="宋体" w:cs="Times New Roman"/>
          <w:b/>
          <w:bCs/>
          <w:sz w:val="24"/>
          <w:szCs w:val="24"/>
          <w:lang w:val="en-US" w:eastAsia="zh-CN" w:bidi="zh-CN"/>
        </w:rPr>
        <w:t>4.</w:t>
      </w:r>
      <w:r>
        <w:rPr>
          <w:rFonts w:ascii="Times New Roman" w:hAnsi="Times New Roman" w:eastAsia="宋体" w:cs="Times New Roman"/>
          <w:b/>
          <w:bCs/>
          <w:sz w:val="24"/>
          <w:szCs w:val="24"/>
          <w:lang w:val="zh-CN" w:eastAsia="zh-CN" w:bidi="zh-CN"/>
        </w:rPr>
        <w:t>3-</w:t>
      </w:r>
      <w:r>
        <w:rPr>
          <w:rFonts w:hint="eastAsia" w:ascii="Times New Roman" w:hAnsi="Times New Roman" w:eastAsia="宋体" w:cs="Times New Roman"/>
          <w:b/>
          <w:bCs/>
          <w:sz w:val="24"/>
          <w:szCs w:val="24"/>
          <w:lang w:val="en-US" w:eastAsia="zh-CN" w:bidi="zh-CN"/>
        </w:rPr>
        <w:t>9</w:t>
      </w:r>
      <w:r>
        <w:rPr>
          <w:rFonts w:ascii="Times New Roman" w:hAnsi="Times New Roman" w:eastAsia="宋体" w:cs="Times New Roman"/>
          <w:b/>
          <w:bCs/>
          <w:sz w:val="24"/>
          <w:szCs w:val="24"/>
          <w:lang w:val="zh-CN" w:eastAsia="zh-CN" w:bidi="zh-CN"/>
        </w:rPr>
        <w:t xml:space="preserve">  项目储罐设置情况</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Layout w:type="fixed"/>
        <w:tblCellMar>
          <w:top w:w="0" w:type="dxa"/>
          <w:left w:w="0" w:type="dxa"/>
          <w:bottom w:w="0" w:type="dxa"/>
          <w:right w:w="0" w:type="dxa"/>
        </w:tblCellMar>
      </w:tblPr>
      <w:tblGrid>
        <w:gridCol w:w="1540"/>
        <w:gridCol w:w="1432"/>
        <w:gridCol w:w="1886"/>
        <w:gridCol w:w="1704"/>
        <w:gridCol w:w="2095"/>
      </w:tblGrid>
      <w:tr w14:paraId="3DF475E8">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472" w:hRule="atLeast"/>
          <w:jc w:val="center"/>
        </w:trPr>
        <w:tc>
          <w:tcPr>
            <w:tcW w:w="1540" w:type="dxa"/>
            <w:noWrap w:val="0"/>
            <w:vAlign w:val="top"/>
          </w:tcPr>
          <w:p w14:paraId="1FC958F8">
            <w:pPr>
              <w:pStyle w:val="421"/>
              <w:spacing w:before="1"/>
              <w:ind w:left="0" w:right="126" w:firstLine="0"/>
              <w:jc w:val="center"/>
              <w:rPr>
                <w:rFonts w:hint="eastAsia" w:ascii="Times New Roman" w:hAnsi="Times New Roman" w:eastAsia="宋体" w:cs="Times New Roman"/>
                <w:b/>
                <w:sz w:val="21"/>
                <w:szCs w:val="21"/>
                <w:lang w:val="zh-CN" w:eastAsia="zh-CN"/>
              </w:rPr>
            </w:pPr>
            <w:r>
              <w:rPr>
                <w:rFonts w:hint="eastAsia" w:ascii="Times New Roman" w:hAnsi="Times New Roman" w:eastAsia="宋体" w:cs="Times New Roman"/>
                <w:b/>
                <w:sz w:val="21"/>
                <w:szCs w:val="21"/>
                <w:lang w:val="zh-CN" w:eastAsia="zh-CN"/>
              </w:rPr>
              <w:t>序号</w:t>
            </w:r>
          </w:p>
        </w:tc>
        <w:tc>
          <w:tcPr>
            <w:tcW w:w="1432" w:type="dxa"/>
            <w:noWrap w:val="0"/>
            <w:vAlign w:val="top"/>
          </w:tcPr>
          <w:p w14:paraId="7E83F802">
            <w:pPr>
              <w:pStyle w:val="421"/>
              <w:spacing w:before="1"/>
              <w:ind w:left="0" w:right="126" w:firstLine="0"/>
              <w:jc w:val="center"/>
              <w:rPr>
                <w:rFonts w:hint="eastAsia" w:ascii="Times New Roman" w:hAnsi="Times New Roman" w:eastAsia="宋体" w:cs="Times New Roman"/>
                <w:b/>
                <w:sz w:val="21"/>
                <w:szCs w:val="21"/>
                <w:lang w:val="zh-CN" w:eastAsia="zh-CN"/>
              </w:rPr>
            </w:pPr>
            <w:r>
              <w:rPr>
                <w:rFonts w:hint="eastAsia" w:ascii="Times New Roman" w:hAnsi="Times New Roman" w:eastAsia="宋体" w:cs="Times New Roman"/>
                <w:b/>
                <w:sz w:val="21"/>
                <w:szCs w:val="21"/>
                <w:lang w:val="zh-CN" w:eastAsia="zh-CN"/>
              </w:rPr>
              <w:t>物料名称</w:t>
            </w:r>
          </w:p>
        </w:tc>
        <w:tc>
          <w:tcPr>
            <w:tcW w:w="1886" w:type="dxa"/>
            <w:noWrap w:val="0"/>
            <w:vAlign w:val="top"/>
          </w:tcPr>
          <w:p w14:paraId="7834DF15">
            <w:pPr>
              <w:pStyle w:val="421"/>
              <w:spacing w:before="1"/>
              <w:ind w:left="0" w:right="126" w:firstLine="0"/>
              <w:jc w:val="center"/>
              <w:rPr>
                <w:rFonts w:hint="eastAsia" w:ascii="Times New Roman" w:hAnsi="Times New Roman" w:eastAsia="宋体" w:cs="Times New Roman"/>
                <w:b/>
                <w:sz w:val="21"/>
                <w:szCs w:val="21"/>
                <w:lang w:val="zh-CN" w:eastAsia="zh-CN"/>
              </w:rPr>
            </w:pPr>
            <w:r>
              <w:rPr>
                <w:rFonts w:hint="eastAsia" w:ascii="Times New Roman" w:hAnsi="Times New Roman" w:eastAsia="宋体" w:cs="Times New Roman"/>
                <w:b/>
                <w:sz w:val="21"/>
                <w:szCs w:val="21"/>
                <w:lang w:val="zh-CN" w:eastAsia="zh-CN"/>
              </w:rPr>
              <w:t>储罐</w:t>
            </w:r>
            <w:r>
              <w:rPr>
                <w:rFonts w:hint="eastAsia" w:ascii="Times New Roman" w:hAnsi="Times New Roman" w:eastAsia="宋体" w:cs="Times New Roman"/>
                <w:b/>
                <w:sz w:val="21"/>
                <w:szCs w:val="21"/>
                <w:lang w:val="en-US" w:eastAsia="zh-CN"/>
              </w:rPr>
              <w:t>规格</w:t>
            </w:r>
          </w:p>
        </w:tc>
        <w:tc>
          <w:tcPr>
            <w:tcW w:w="1704" w:type="dxa"/>
            <w:noWrap w:val="0"/>
            <w:vAlign w:val="top"/>
          </w:tcPr>
          <w:p w14:paraId="4DF3C367">
            <w:pPr>
              <w:pStyle w:val="421"/>
              <w:spacing w:before="1"/>
              <w:ind w:left="0" w:right="126" w:firstLine="0"/>
              <w:jc w:val="center"/>
              <w:rPr>
                <w:rFonts w:hint="eastAsia" w:ascii="Times New Roman" w:hAnsi="Times New Roman" w:eastAsia="宋体" w:cs="Times New Roman"/>
                <w:b/>
                <w:sz w:val="21"/>
                <w:szCs w:val="21"/>
                <w:lang w:val="zh-CN" w:eastAsia="zh-CN"/>
              </w:rPr>
            </w:pPr>
            <w:r>
              <w:rPr>
                <w:rFonts w:hint="eastAsia" w:ascii="Times New Roman" w:hAnsi="Times New Roman" w:eastAsia="宋体" w:cs="Times New Roman"/>
                <w:b/>
                <w:sz w:val="21"/>
                <w:szCs w:val="21"/>
                <w:lang w:val="zh-CN" w:eastAsia="zh-CN"/>
              </w:rPr>
              <w:t>数量(个)</w:t>
            </w:r>
          </w:p>
        </w:tc>
        <w:tc>
          <w:tcPr>
            <w:tcW w:w="2095" w:type="dxa"/>
            <w:noWrap w:val="0"/>
            <w:vAlign w:val="top"/>
          </w:tcPr>
          <w:p w14:paraId="4E844E71">
            <w:pPr>
              <w:pStyle w:val="421"/>
              <w:spacing w:before="1"/>
              <w:ind w:left="0" w:right="126" w:firstLine="0"/>
              <w:jc w:val="center"/>
              <w:rPr>
                <w:rFonts w:hint="eastAsia" w:ascii="Times New Roman" w:hAnsi="Times New Roman" w:eastAsia="宋体" w:cs="Times New Roman"/>
                <w:b/>
                <w:sz w:val="21"/>
                <w:szCs w:val="21"/>
                <w:lang w:val="zh-CN" w:eastAsia="zh-CN"/>
              </w:rPr>
            </w:pPr>
            <w:r>
              <w:rPr>
                <w:rFonts w:hint="eastAsia" w:ascii="Times New Roman" w:hAnsi="Times New Roman" w:eastAsia="宋体" w:cs="Times New Roman"/>
                <w:b/>
                <w:sz w:val="21"/>
                <w:szCs w:val="21"/>
                <w:lang w:val="zh-CN" w:eastAsia="zh-CN"/>
              </w:rPr>
              <w:t>备注</w:t>
            </w:r>
          </w:p>
        </w:tc>
      </w:tr>
      <w:tr w14:paraId="11CAF201">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467" w:hRule="atLeast"/>
          <w:jc w:val="center"/>
        </w:trPr>
        <w:tc>
          <w:tcPr>
            <w:tcW w:w="1540" w:type="dxa"/>
            <w:noWrap w:val="0"/>
            <w:vAlign w:val="top"/>
          </w:tcPr>
          <w:p w14:paraId="29F596C6">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1</w:t>
            </w:r>
          </w:p>
        </w:tc>
        <w:tc>
          <w:tcPr>
            <w:tcW w:w="1432" w:type="dxa"/>
            <w:noWrap w:val="0"/>
            <w:vAlign w:val="top"/>
          </w:tcPr>
          <w:p w14:paraId="1FF30DB8">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甲醛</w:t>
            </w:r>
          </w:p>
        </w:tc>
        <w:tc>
          <w:tcPr>
            <w:tcW w:w="1886" w:type="dxa"/>
            <w:noWrap w:val="0"/>
            <w:vAlign w:val="top"/>
          </w:tcPr>
          <w:p w14:paraId="5EA19D3E">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60T</w:t>
            </w:r>
          </w:p>
        </w:tc>
        <w:tc>
          <w:tcPr>
            <w:tcW w:w="1704" w:type="dxa"/>
            <w:noWrap w:val="0"/>
            <w:vAlign w:val="top"/>
          </w:tcPr>
          <w:p w14:paraId="2636E170">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1</w:t>
            </w:r>
          </w:p>
        </w:tc>
        <w:tc>
          <w:tcPr>
            <w:tcW w:w="2095" w:type="dxa"/>
            <w:noWrap w:val="0"/>
            <w:vAlign w:val="top"/>
          </w:tcPr>
          <w:p w14:paraId="6DB5EE70">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制胶车间</w:t>
            </w:r>
          </w:p>
        </w:tc>
      </w:tr>
      <w:tr w14:paraId="4440695A">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467" w:hRule="atLeast"/>
          <w:jc w:val="center"/>
        </w:trPr>
        <w:tc>
          <w:tcPr>
            <w:tcW w:w="1540" w:type="dxa"/>
            <w:noWrap w:val="0"/>
            <w:vAlign w:val="top"/>
          </w:tcPr>
          <w:p w14:paraId="541EFC1E">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2</w:t>
            </w:r>
          </w:p>
        </w:tc>
        <w:tc>
          <w:tcPr>
            <w:tcW w:w="1432" w:type="dxa"/>
            <w:noWrap w:val="0"/>
            <w:vAlign w:val="top"/>
          </w:tcPr>
          <w:p w14:paraId="1E2C7675">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苯酚</w:t>
            </w:r>
          </w:p>
        </w:tc>
        <w:tc>
          <w:tcPr>
            <w:tcW w:w="1886" w:type="dxa"/>
            <w:noWrap w:val="0"/>
            <w:vAlign w:val="top"/>
          </w:tcPr>
          <w:p w14:paraId="74051231">
            <w:pPr>
              <w:spacing w:before="1"/>
              <w:ind w:left="0" w:right="126" w:firstLine="42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color w:val="000000"/>
                <w:sz w:val="21"/>
                <w:szCs w:val="21"/>
                <w:lang w:val="en-US" w:eastAsia="zh-CN"/>
              </w:rPr>
              <w:t>250</w:t>
            </w:r>
            <w:r>
              <w:rPr>
                <w:rFonts w:hint="eastAsia" w:ascii="Times New Roman" w:hAnsi="Times New Roman" w:eastAsia="宋体" w:cs="Times New Roman"/>
                <w:color w:val="000000"/>
                <w:sz w:val="21"/>
                <w:szCs w:val="21"/>
              </w:rPr>
              <w:t>kg/桶</w:t>
            </w:r>
          </w:p>
        </w:tc>
        <w:tc>
          <w:tcPr>
            <w:tcW w:w="1704" w:type="dxa"/>
            <w:noWrap w:val="0"/>
            <w:vAlign w:val="top"/>
          </w:tcPr>
          <w:p w14:paraId="5DA6915E">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150</w:t>
            </w:r>
          </w:p>
        </w:tc>
        <w:tc>
          <w:tcPr>
            <w:tcW w:w="2095" w:type="dxa"/>
            <w:noWrap w:val="0"/>
            <w:vAlign w:val="top"/>
          </w:tcPr>
          <w:p w14:paraId="787BC5C1">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制胶车间</w:t>
            </w:r>
          </w:p>
        </w:tc>
      </w:tr>
      <w:tr w14:paraId="5049073A">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483" w:hRule="atLeast"/>
          <w:jc w:val="center"/>
        </w:trPr>
        <w:tc>
          <w:tcPr>
            <w:tcW w:w="1540" w:type="dxa"/>
            <w:noWrap w:val="0"/>
            <w:vAlign w:val="top"/>
          </w:tcPr>
          <w:p w14:paraId="4B76809A">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3</w:t>
            </w:r>
          </w:p>
        </w:tc>
        <w:tc>
          <w:tcPr>
            <w:tcW w:w="1432" w:type="dxa"/>
            <w:noWrap w:val="0"/>
            <w:vAlign w:val="top"/>
          </w:tcPr>
          <w:p w14:paraId="0B5B1A11">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成品</w:t>
            </w:r>
          </w:p>
        </w:tc>
        <w:tc>
          <w:tcPr>
            <w:tcW w:w="1886" w:type="dxa"/>
            <w:noWrap w:val="0"/>
            <w:vAlign w:val="top"/>
          </w:tcPr>
          <w:p w14:paraId="3CFB1C86">
            <w:pPr>
              <w:spacing w:before="1"/>
              <w:ind w:left="0" w:right="126" w:firstLine="42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color w:val="000000"/>
                <w:sz w:val="21"/>
                <w:szCs w:val="21"/>
                <w:lang w:val="en-US" w:eastAsia="zh-CN"/>
              </w:rPr>
              <w:t>250</w:t>
            </w:r>
            <w:r>
              <w:rPr>
                <w:rFonts w:hint="eastAsia" w:ascii="Times New Roman" w:hAnsi="Times New Roman" w:eastAsia="宋体" w:cs="Times New Roman"/>
                <w:color w:val="000000"/>
                <w:sz w:val="21"/>
                <w:szCs w:val="21"/>
              </w:rPr>
              <w:t>kg/桶</w:t>
            </w:r>
          </w:p>
        </w:tc>
        <w:tc>
          <w:tcPr>
            <w:tcW w:w="1704" w:type="dxa"/>
            <w:noWrap w:val="0"/>
            <w:vAlign w:val="top"/>
          </w:tcPr>
          <w:p w14:paraId="34260064">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80</w:t>
            </w:r>
          </w:p>
        </w:tc>
        <w:tc>
          <w:tcPr>
            <w:tcW w:w="2095" w:type="dxa"/>
            <w:noWrap w:val="0"/>
            <w:vAlign w:val="top"/>
          </w:tcPr>
          <w:p w14:paraId="7FACD7E0">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制胶车间</w:t>
            </w:r>
          </w:p>
        </w:tc>
      </w:tr>
    </w:tbl>
    <w:p w14:paraId="13C2603B">
      <w:pPr>
        <w:widowControl w:val="0"/>
        <w:spacing w:before="12" w:after="0" w:line="240" w:lineRule="auto"/>
        <w:ind w:left="0" w:right="0"/>
        <w:jc w:val="left"/>
        <w:rPr>
          <w:rFonts w:ascii="黑体" w:hAnsi="宋体" w:eastAsia="宋体" w:cs="宋体"/>
          <w:sz w:val="10"/>
          <w:szCs w:val="24"/>
          <w:lang w:val="zh-CN" w:eastAsia="zh-CN" w:bidi="zh-CN"/>
        </w:rPr>
      </w:pPr>
    </w:p>
    <w:p w14:paraId="3AB8A5C3">
      <w:pPr>
        <w:pStyle w:val="315"/>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由于胶粘剂成品的沸点较高，因此其储罐呼吸的废气量极少，可以忽略不计；苯酚</w:t>
      </w:r>
      <w:r>
        <w:rPr>
          <w:rFonts w:hint="eastAsia" w:ascii="Times New Roman" w:hAnsi="Times New Roman" w:eastAsia="宋体" w:cs="Times New Roman"/>
          <w:szCs w:val="22"/>
          <w:lang w:val="en-US" w:eastAsia="zh-CN"/>
        </w:rPr>
        <w:t>为固态，使用才进行保温熔化，因此储存过程无废气挥发；而</w:t>
      </w:r>
      <w:r>
        <w:rPr>
          <w:rFonts w:hint="eastAsia" w:ascii="Times New Roman" w:hAnsi="Times New Roman" w:eastAsia="宋体" w:cs="Times New Roman"/>
          <w:szCs w:val="22"/>
          <w:lang w:val="zh-CN" w:eastAsia="zh-CN"/>
        </w:rPr>
        <w:t>甲醛易挥发，其储存过程中易产生废气。根据项目布置情况，甲醛溶液储存在</w:t>
      </w:r>
      <w:r>
        <w:rPr>
          <w:rFonts w:hint="eastAsia" w:ascii="Times New Roman" w:hAnsi="Times New Roman" w:eastAsia="宋体" w:cs="Times New Roman"/>
          <w:szCs w:val="22"/>
          <w:lang w:val="en-US" w:eastAsia="zh-CN"/>
        </w:rPr>
        <w:t>制胶车间</w:t>
      </w:r>
      <w:r>
        <w:rPr>
          <w:rFonts w:hint="eastAsia" w:ascii="Times New Roman" w:hAnsi="Times New Roman" w:eastAsia="宋体" w:cs="Times New Roman"/>
          <w:szCs w:val="22"/>
          <w:lang w:val="zh-CN" w:eastAsia="zh-CN"/>
        </w:rPr>
        <w:t>的罐区，由专用槽罐车连接进料，项目生产时通过密闭管道由泵输送至反应釜，整个过程为密闭过程。</w:t>
      </w:r>
    </w:p>
    <w:p w14:paraId="7F8A8F77">
      <w:pPr>
        <w:pStyle w:val="315"/>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项目甲醛储罐的主要参数见下表：</w:t>
      </w:r>
    </w:p>
    <w:p w14:paraId="710ABA43">
      <w:pPr>
        <w:widowControl w:val="0"/>
        <w:spacing w:before="146" w:after="28" w:line="240" w:lineRule="auto"/>
        <w:ind w:left="4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ascii="Times New Roman" w:hAnsi="Times New Roman" w:eastAsia="宋体" w:cs="Times New Roman"/>
          <w:b/>
          <w:bCs/>
          <w:sz w:val="24"/>
          <w:szCs w:val="24"/>
          <w:lang w:val="en-US" w:eastAsia="zh-CN" w:bidi="zh-CN"/>
        </w:rPr>
        <w:t>4.3</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10</w:t>
      </w:r>
      <w:r>
        <w:rPr>
          <w:rFonts w:ascii="Times New Roman" w:hAnsi="Times New Roman" w:eastAsia="宋体" w:cs="Times New Roman"/>
          <w:b/>
          <w:bCs/>
          <w:sz w:val="24"/>
          <w:szCs w:val="24"/>
          <w:lang w:val="zh-CN" w:eastAsia="zh-CN" w:bidi="zh-CN"/>
        </w:rPr>
        <w:t xml:space="preserve">  项目甲醛储罐主要参数</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02"/>
        <w:gridCol w:w="1125"/>
        <w:gridCol w:w="885"/>
        <w:gridCol w:w="1080"/>
        <w:gridCol w:w="773"/>
        <w:gridCol w:w="857"/>
        <w:gridCol w:w="1046"/>
        <w:gridCol w:w="1061"/>
        <w:gridCol w:w="879"/>
      </w:tblGrid>
      <w:tr w14:paraId="03C655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jc w:val="center"/>
        </w:trPr>
        <w:tc>
          <w:tcPr>
            <w:tcW w:w="1202" w:type="dxa"/>
            <w:noWrap w:val="0"/>
            <w:vAlign w:val="top"/>
          </w:tcPr>
          <w:p w14:paraId="6C7EB9E6">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名称</w:t>
            </w:r>
          </w:p>
        </w:tc>
        <w:tc>
          <w:tcPr>
            <w:tcW w:w="1125" w:type="dxa"/>
            <w:noWrap w:val="0"/>
            <w:vAlign w:val="top"/>
          </w:tcPr>
          <w:p w14:paraId="529FEB62">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类型</w:t>
            </w:r>
          </w:p>
        </w:tc>
        <w:tc>
          <w:tcPr>
            <w:tcW w:w="885" w:type="dxa"/>
            <w:noWrap w:val="0"/>
            <w:vAlign w:val="top"/>
          </w:tcPr>
          <w:p w14:paraId="3020C002">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中转量</w:t>
            </w:r>
          </w:p>
          <w:p w14:paraId="227B1811">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（t/a）</w:t>
            </w:r>
          </w:p>
        </w:tc>
        <w:tc>
          <w:tcPr>
            <w:tcW w:w="1080" w:type="dxa"/>
            <w:noWrap w:val="0"/>
            <w:vAlign w:val="top"/>
          </w:tcPr>
          <w:p w14:paraId="097625F9">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周转次数</w:t>
            </w:r>
          </w:p>
          <w:p w14:paraId="450286BC">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（次/a）</w:t>
            </w:r>
          </w:p>
        </w:tc>
        <w:tc>
          <w:tcPr>
            <w:tcW w:w="773" w:type="dxa"/>
            <w:noWrap w:val="0"/>
            <w:vAlign w:val="top"/>
          </w:tcPr>
          <w:p w14:paraId="4D066BC7">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储存</w:t>
            </w:r>
          </w:p>
          <w:p w14:paraId="5583837F">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温度</w:t>
            </w:r>
          </w:p>
        </w:tc>
        <w:tc>
          <w:tcPr>
            <w:tcW w:w="857" w:type="dxa"/>
            <w:noWrap w:val="0"/>
            <w:vAlign w:val="top"/>
          </w:tcPr>
          <w:p w14:paraId="7CC0A235">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数量</w:t>
            </w:r>
          </w:p>
          <w:p w14:paraId="48D94F2E">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（个）</w:t>
            </w:r>
          </w:p>
        </w:tc>
        <w:tc>
          <w:tcPr>
            <w:tcW w:w="1046" w:type="dxa"/>
            <w:noWrap w:val="0"/>
            <w:vAlign w:val="top"/>
          </w:tcPr>
          <w:p w14:paraId="7FFDC577">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储罐尺</w:t>
            </w:r>
          </w:p>
          <w:p w14:paraId="35936DAE">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寸（m）</w:t>
            </w:r>
          </w:p>
        </w:tc>
        <w:tc>
          <w:tcPr>
            <w:tcW w:w="1061" w:type="dxa"/>
            <w:noWrap w:val="0"/>
            <w:vAlign w:val="top"/>
          </w:tcPr>
          <w:p w14:paraId="6C8CBE29">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储罐容积</w:t>
            </w:r>
          </w:p>
          <w:p w14:paraId="459C1A71">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（m3）</w:t>
            </w:r>
          </w:p>
        </w:tc>
        <w:tc>
          <w:tcPr>
            <w:tcW w:w="879" w:type="dxa"/>
            <w:noWrap w:val="0"/>
            <w:vAlign w:val="top"/>
          </w:tcPr>
          <w:p w14:paraId="0661CD29">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备注</w:t>
            </w:r>
          </w:p>
        </w:tc>
      </w:tr>
      <w:tr w14:paraId="5D2FA5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jc w:val="center"/>
        </w:trPr>
        <w:tc>
          <w:tcPr>
            <w:tcW w:w="1202" w:type="dxa"/>
            <w:noWrap w:val="0"/>
            <w:vAlign w:val="center"/>
          </w:tcPr>
          <w:p w14:paraId="208F4921">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甲醛储罐</w:t>
            </w:r>
          </w:p>
        </w:tc>
        <w:tc>
          <w:tcPr>
            <w:tcW w:w="1125" w:type="dxa"/>
            <w:noWrap w:val="0"/>
            <w:vAlign w:val="center"/>
          </w:tcPr>
          <w:p w14:paraId="24400760">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拱顶</w:t>
            </w:r>
            <w:r>
              <w:rPr>
                <w:rFonts w:hint="eastAsia" w:ascii="Times New Roman" w:hAnsi="Times New Roman" w:eastAsia="宋体" w:cs="Times New Roman"/>
                <w:b w:val="0"/>
                <w:bCs/>
                <w:sz w:val="21"/>
                <w:szCs w:val="21"/>
                <w:lang w:val="zh-CN" w:eastAsia="zh-CN"/>
              </w:rPr>
              <w:t>罐</w:t>
            </w:r>
          </w:p>
        </w:tc>
        <w:tc>
          <w:tcPr>
            <w:tcW w:w="885" w:type="dxa"/>
            <w:noWrap w:val="0"/>
            <w:vAlign w:val="center"/>
          </w:tcPr>
          <w:p w14:paraId="2E082787">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2720</w:t>
            </w:r>
          </w:p>
        </w:tc>
        <w:tc>
          <w:tcPr>
            <w:tcW w:w="1080" w:type="dxa"/>
            <w:noWrap w:val="0"/>
            <w:vAlign w:val="center"/>
          </w:tcPr>
          <w:p w14:paraId="61498830">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55</w:t>
            </w:r>
          </w:p>
        </w:tc>
        <w:tc>
          <w:tcPr>
            <w:tcW w:w="773" w:type="dxa"/>
            <w:noWrap w:val="0"/>
            <w:vAlign w:val="center"/>
          </w:tcPr>
          <w:p w14:paraId="323B5939">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常温</w:t>
            </w:r>
          </w:p>
        </w:tc>
        <w:tc>
          <w:tcPr>
            <w:tcW w:w="857" w:type="dxa"/>
            <w:noWrap w:val="0"/>
            <w:vAlign w:val="center"/>
          </w:tcPr>
          <w:p w14:paraId="041F241D">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1</w:t>
            </w:r>
          </w:p>
        </w:tc>
        <w:tc>
          <w:tcPr>
            <w:tcW w:w="1046" w:type="dxa"/>
            <w:noWrap w:val="0"/>
            <w:vAlign w:val="center"/>
          </w:tcPr>
          <w:p w14:paraId="05563148">
            <w:pPr>
              <w:pStyle w:val="421"/>
              <w:spacing w:before="1"/>
              <w:ind w:left="0" w:right="126" w:firstLine="0"/>
              <w:jc w:val="center"/>
              <w:rPr>
                <w:rFonts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zh-CN" w:eastAsia="zh-CN"/>
              </w:rPr>
              <w:t>Φ</w:t>
            </w:r>
            <w:r>
              <w:rPr>
                <w:rFonts w:hint="eastAsia" w:ascii="Times New Roman" w:hAnsi="Times New Roman" w:eastAsia="宋体" w:cs="Times New Roman"/>
                <w:b w:val="0"/>
                <w:bCs/>
                <w:color w:val="000000"/>
                <w:sz w:val="21"/>
                <w:szCs w:val="21"/>
                <w:lang w:val="en-US" w:eastAsia="zh-CN"/>
              </w:rPr>
              <w:t>3.0</w:t>
            </w:r>
            <w:r>
              <w:rPr>
                <w:rFonts w:hint="eastAsia" w:ascii="Times New Roman" w:hAnsi="Times New Roman" w:eastAsia="宋体" w:cs="Times New Roman"/>
                <w:b w:val="0"/>
                <w:bCs/>
                <w:color w:val="000000"/>
                <w:sz w:val="21"/>
                <w:szCs w:val="21"/>
                <w:lang w:val="zh-CN" w:eastAsia="zh-CN"/>
              </w:rPr>
              <w:t>×</w:t>
            </w:r>
            <w:r>
              <w:rPr>
                <w:rFonts w:hint="eastAsia" w:ascii="Times New Roman" w:hAnsi="Times New Roman" w:eastAsia="宋体" w:cs="Times New Roman"/>
                <w:b w:val="0"/>
                <w:bCs/>
                <w:color w:val="000000"/>
                <w:sz w:val="21"/>
                <w:szCs w:val="21"/>
                <w:lang w:val="en-US" w:eastAsia="zh-CN"/>
              </w:rPr>
              <w:t>8.0</w:t>
            </w:r>
          </w:p>
        </w:tc>
        <w:tc>
          <w:tcPr>
            <w:tcW w:w="1061" w:type="dxa"/>
            <w:noWrap w:val="0"/>
            <w:vAlign w:val="center"/>
          </w:tcPr>
          <w:p w14:paraId="61EB2BF3">
            <w:pPr>
              <w:pStyle w:val="421"/>
              <w:spacing w:before="1"/>
              <w:ind w:left="0" w:right="126" w:firstLine="0"/>
              <w:jc w:val="center"/>
              <w:rPr>
                <w:rFonts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60</w:t>
            </w:r>
          </w:p>
        </w:tc>
        <w:tc>
          <w:tcPr>
            <w:tcW w:w="879" w:type="dxa"/>
            <w:noWrap w:val="0"/>
            <w:vAlign w:val="center"/>
          </w:tcPr>
          <w:p w14:paraId="09F45B1A">
            <w:pPr>
              <w:pStyle w:val="421"/>
              <w:spacing w:before="1"/>
              <w:ind w:left="0" w:right="126" w:firstLine="0"/>
              <w:jc w:val="center"/>
              <w:rPr>
                <w:rFonts w:hint="eastAsia" w:ascii="Times New Roman" w:hAnsi="Times New Roman" w:eastAsia="宋体" w:cs="Times New Roman"/>
                <w:b w:val="0"/>
                <w:bCs/>
                <w:color w:val="000000"/>
                <w:sz w:val="21"/>
                <w:szCs w:val="21"/>
                <w:lang w:val="zh-CN" w:eastAsia="zh-CN"/>
              </w:rPr>
            </w:pPr>
            <w:r>
              <w:rPr>
                <w:rFonts w:hint="eastAsia" w:ascii="Times New Roman" w:hAnsi="Times New Roman" w:eastAsia="宋体" w:cs="Times New Roman"/>
                <w:b w:val="0"/>
                <w:bCs/>
                <w:color w:val="000000"/>
                <w:sz w:val="21"/>
                <w:szCs w:val="21"/>
                <w:lang w:val="en-US" w:eastAsia="zh-CN"/>
              </w:rPr>
              <w:t>制胶车间</w:t>
            </w:r>
            <w:r>
              <w:rPr>
                <w:rFonts w:hint="eastAsia" w:ascii="Times New Roman" w:hAnsi="Times New Roman" w:eastAsia="宋体" w:cs="Times New Roman"/>
                <w:b w:val="0"/>
                <w:bCs/>
                <w:color w:val="000000"/>
                <w:sz w:val="21"/>
                <w:szCs w:val="21"/>
                <w:lang w:val="zh-CN" w:eastAsia="zh-CN"/>
              </w:rPr>
              <w:t>罐区</w:t>
            </w:r>
          </w:p>
        </w:tc>
      </w:tr>
    </w:tbl>
    <w:p w14:paraId="4D665B9C">
      <w:pPr>
        <w:pStyle w:val="315"/>
        <w:rPr>
          <w:rFonts w:ascii="Times New Roman" w:hAnsi="Times New Roman" w:eastAsia="宋体" w:cs="Times New Roman"/>
          <w:szCs w:val="22"/>
          <w:lang w:val="en-US" w:eastAsia="zh-CN"/>
        </w:rPr>
      </w:pPr>
      <w:r>
        <w:rPr>
          <w:rFonts w:hint="eastAsia" w:ascii="Times New Roman" w:hAnsi="Times New Roman" w:eastAsia="宋体" w:cs="Times New Roman"/>
          <w:szCs w:val="22"/>
          <w:lang w:val="zh-CN" w:eastAsia="zh-CN"/>
        </w:rPr>
        <w:t>注：周转次数为单个储罐年周转次数，</w:t>
      </w:r>
      <w:r>
        <w:rPr>
          <w:rFonts w:hint="eastAsia" w:ascii="Times New Roman" w:hAnsi="Times New Roman" w:eastAsia="宋体" w:cs="Times New Roman"/>
          <w:szCs w:val="22"/>
          <w:lang w:val="en-US" w:eastAsia="zh-CN"/>
        </w:rPr>
        <w:t>甲醛密度取0.82g/ml。</w:t>
      </w:r>
    </w:p>
    <w:p w14:paraId="399FCD13">
      <w:pPr>
        <w:pStyle w:val="315"/>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甲醛储罐大小呼吸计算方式：</w:t>
      </w:r>
    </w:p>
    <w:p w14:paraId="74A272CA">
      <w:pPr>
        <w:pStyle w:val="315"/>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①大呼吸排放量</w:t>
      </w:r>
    </w:p>
    <w:p w14:paraId="01C53E64">
      <w:pPr>
        <w:spacing w:after="0"/>
        <w:rPr>
          <w:sz w:val="24"/>
          <w:szCs w:val="24"/>
        </w:rPr>
        <w:sectPr>
          <w:pgSz w:w="11910" w:h="16840" w:orient="landscape"/>
          <w:pgMar w:top="1540" w:right="1797" w:bottom="1220" w:left="1797" w:header="1082" w:footer="1026" w:gutter="0"/>
          <w:pgNumType w:start="1"/>
          <w:cols w:space="1701" w:num="1"/>
        </w:sectPr>
      </w:pPr>
    </w:p>
    <w:p w14:paraId="740EEAD8">
      <w:pPr>
        <w:keepNext w:val="0"/>
        <w:keepLines w:val="0"/>
        <w:widowControl/>
        <w:suppressLineNumbers w:val="0"/>
        <w:jc w:val="center"/>
        <w:rPr>
          <w:rFonts w:ascii="Times New Roman" w:hAnsi="Times New Roman" w:eastAsia="宋体" w:cs="Times New Roman"/>
        </w:rPr>
      </w:pPr>
      <w:r>
        <w:rPr>
          <w:rFonts w:ascii="宋体" w:hAnsi="宋体" w:eastAsia="宋体" w:cs="宋体"/>
          <w:sz w:val="24"/>
          <w:szCs w:val="24"/>
          <w:lang w:val="en-US" w:eastAsia="zh-CN" w:bidi="ar"/>
        </w:rPr>
        <w:drawing>
          <wp:inline distT="0" distB="0" distL="0" distR="0">
            <wp:extent cx="3209925" cy="323215"/>
            <wp:effectExtent l="0" t="0" r="0" b="0"/>
            <wp:docPr id="35" name="_x0000_i3117"/>
            <wp:cNvGraphicFramePr/>
            <a:graphic xmlns:a="http://schemas.openxmlformats.org/drawingml/2006/main">
              <a:graphicData uri="http://schemas.openxmlformats.org/drawingml/2006/picture">
                <pic:pic xmlns:pic="http://schemas.openxmlformats.org/drawingml/2006/picture">
                  <pic:nvPicPr>
                    <pic:cNvPr id="35" name="_x0000_i3117"/>
                    <pic:cNvPicPr/>
                  </pic:nvPicPr>
                  <pic:blipFill>
                    <a:blip r:embed="rId49"/>
                    <a:stretch>
                      <a:fillRect/>
                    </a:stretch>
                  </pic:blipFill>
                  <pic:spPr>
                    <a:xfrm>
                      <a:off x="0" y="0"/>
                      <a:ext cx="3209925" cy="323538"/>
                    </a:xfrm>
                    <a:prstGeom prst="rect">
                      <a:avLst/>
                    </a:prstGeom>
                    <a:noFill/>
                    <a:ln>
                      <a:noFill/>
                    </a:ln>
                  </pic:spPr>
                </pic:pic>
              </a:graphicData>
            </a:graphic>
          </wp:inline>
        </w:drawing>
      </w:r>
    </w:p>
    <w:p w14:paraId="26E678D7">
      <w:pPr>
        <w:widowControl w:val="0"/>
        <w:spacing w:before="0" w:after="0" w:line="240" w:lineRule="auto"/>
        <w:ind w:left="466" w:right="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式中：</w:t>
      </w:r>
      <w:r>
        <w:rPr>
          <w:rFonts w:ascii="Times New Roman" w:hAnsi="Times New Roman" w:eastAsia="Times New Roman" w:cs="宋体"/>
          <w:sz w:val="24"/>
          <w:szCs w:val="24"/>
          <w:lang w:val="zh-CN" w:eastAsia="zh-CN" w:bidi="zh-CN"/>
        </w:rPr>
        <w:t>Lw</w:t>
      </w:r>
      <w:r>
        <w:rPr>
          <w:rFonts w:ascii="宋体" w:hAnsi="宋体" w:eastAsia="宋体" w:cs="宋体"/>
          <w:sz w:val="24"/>
          <w:szCs w:val="24"/>
          <w:lang w:val="zh-CN" w:eastAsia="zh-CN" w:bidi="zh-CN"/>
        </w:rPr>
        <w:t>—储罐的工作损失（</w:t>
      </w:r>
      <w:r>
        <w:rPr>
          <w:rFonts w:ascii="Times New Roman" w:hAnsi="Times New Roman" w:eastAsia="Times New Roman" w:cs="宋体"/>
          <w:sz w:val="24"/>
          <w:szCs w:val="24"/>
          <w:lang w:val="zh-CN" w:eastAsia="zh-CN" w:bidi="zh-CN"/>
        </w:rPr>
        <w:t>kg/m</w:t>
      </w:r>
      <w:r>
        <w:rPr>
          <w:rFonts w:hint="eastAsia" w:ascii="Times New Roman" w:hAnsi="Times New Roman" w:eastAsia="Times New Roman" w:cs="宋体"/>
          <w:sz w:val="24"/>
          <w:szCs w:val="24"/>
          <w:vertAlign w:val="superscript"/>
          <w:lang w:val="en-US" w:eastAsia="zh-CN" w:bidi="zh-CN"/>
        </w:rPr>
        <w:t>3</w:t>
      </w:r>
      <w:r>
        <w:rPr>
          <w:rFonts w:ascii="宋体" w:hAnsi="宋体" w:eastAsia="宋体" w:cs="宋体"/>
          <w:sz w:val="24"/>
          <w:szCs w:val="24"/>
          <w:lang w:val="zh-CN" w:eastAsia="zh-CN" w:bidi="zh-CN"/>
        </w:rPr>
        <w:t>投入量）；</w:t>
      </w:r>
    </w:p>
    <w:p w14:paraId="205C1708">
      <w:pPr>
        <w:widowControl w:val="0"/>
        <w:spacing w:before="173" w:after="0" w:line="240" w:lineRule="auto"/>
        <w:ind w:left="1186" w:right="0"/>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M</w:t>
      </w:r>
      <w:r>
        <w:rPr>
          <w:rFonts w:ascii="宋体" w:hAnsi="宋体" w:eastAsia="宋体" w:cs="宋体"/>
          <w:sz w:val="24"/>
          <w:szCs w:val="24"/>
          <w:lang w:val="zh-CN" w:eastAsia="zh-CN" w:bidi="zh-CN"/>
        </w:rPr>
        <w:t>—储罐内蒸气的分子量；</w:t>
      </w:r>
    </w:p>
    <w:p w14:paraId="09EE7A5D">
      <w:pPr>
        <w:widowControl w:val="0"/>
        <w:spacing w:before="173" w:after="0" w:line="240" w:lineRule="auto"/>
        <w:ind w:left="1186" w:right="0"/>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P</w:t>
      </w:r>
      <w:r>
        <w:rPr>
          <w:rFonts w:ascii="宋体" w:hAnsi="宋体" w:eastAsia="宋体" w:cs="宋体"/>
          <w:sz w:val="24"/>
          <w:szCs w:val="24"/>
          <w:lang w:val="zh-CN" w:eastAsia="zh-CN" w:bidi="zh-CN"/>
        </w:rPr>
        <w:t>—在大量液体状态下，真实的蒸气压力</w:t>
      </w:r>
      <w:r>
        <w:rPr>
          <w:rFonts w:ascii="Times New Roman" w:hAnsi="Times New Roman" w:eastAsia="Times New Roman" w:cs="宋体"/>
          <w:sz w:val="24"/>
          <w:szCs w:val="24"/>
          <w:lang w:val="zh-CN" w:eastAsia="zh-CN" w:bidi="zh-CN"/>
        </w:rPr>
        <w:t>(Pa)</w:t>
      </w:r>
      <w:r>
        <w:rPr>
          <w:rFonts w:ascii="宋体" w:hAnsi="宋体" w:eastAsia="宋体" w:cs="宋体"/>
          <w:sz w:val="24"/>
          <w:szCs w:val="24"/>
          <w:lang w:val="zh-CN" w:eastAsia="zh-CN" w:bidi="zh-CN"/>
        </w:rPr>
        <w:t>；</w:t>
      </w:r>
    </w:p>
    <w:p w14:paraId="0DD94B1A">
      <w:pPr>
        <w:widowControl w:val="0"/>
        <w:spacing w:before="170" w:after="0" w:line="372" w:lineRule="auto"/>
        <w:ind w:left="466" w:right="293" w:firstLine="1190"/>
        <w:jc w:val="left"/>
        <w:rPr>
          <w:rFonts w:ascii="Times New Roman" w:hAnsi="Times New Roman" w:eastAsia="宋体" w:cs="Times New Roman"/>
          <w:sz w:val="24"/>
          <w:szCs w:val="24"/>
          <w:lang w:val="zh-CN" w:eastAsia="zh-CN" w:bidi="zh-CN"/>
        </w:rPr>
      </w:pPr>
      <w:r>
        <w:rPr>
          <w:rFonts w:ascii="Times New Roman" w:hAnsi="Times New Roman" w:eastAsia="Times New Roman" w:cs="宋体"/>
          <w:spacing w:val="-1"/>
          <w:position w:val="2"/>
          <w:sz w:val="24"/>
          <w:szCs w:val="24"/>
          <w:lang w:val="zh-CN" w:eastAsia="zh-CN" w:bidi="zh-CN"/>
        </w:rPr>
        <w:t>K</w:t>
      </w:r>
      <w:r>
        <w:rPr>
          <w:rFonts w:ascii="Times New Roman" w:hAnsi="Times New Roman" w:eastAsia="Times New Roman" w:cs="宋体"/>
          <w:position w:val="2"/>
          <w:sz w:val="24"/>
          <w:szCs w:val="24"/>
          <w:vertAlign w:val="subscript"/>
          <w:lang w:val="zh-CN" w:eastAsia="zh-CN" w:bidi="zh-CN"/>
        </w:rPr>
        <w:t>N</w:t>
      </w:r>
      <w:r>
        <w:rPr>
          <w:rFonts w:ascii="宋体" w:hAnsi="宋体" w:eastAsia="宋体" w:cs="宋体"/>
          <w:spacing w:val="-23"/>
          <w:position w:val="2"/>
          <w:sz w:val="24"/>
          <w:szCs w:val="24"/>
          <w:vertAlign w:val="baseline"/>
          <w:lang w:val="zh-CN" w:eastAsia="zh-CN" w:bidi="zh-CN"/>
        </w:rPr>
        <w:t>—周转因子</w:t>
      </w:r>
      <w:r>
        <w:rPr>
          <w:rFonts w:ascii="宋体" w:hAnsi="宋体" w:eastAsia="宋体" w:cs="宋体"/>
          <w:position w:val="2"/>
          <w:sz w:val="24"/>
          <w:szCs w:val="24"/>
          <w:vertAlign w:val="baseline"/>
          <w:lang w:val="zh-CN" w:eastAsia="zh-CN" w:bidi="zh-CN"/>
        </w:rPr>
        <w:t>（无量纲</w:t>
      </w:r>
      <w:r>
        <w:rPr>
          <w:rFonts w:ascii="宋体" w:hAnsi="宋体" w:eastAsia="宋体" w:cs="宋体"/>
          <w:spacing w:val="-113"/>
          <w:position w:val="2"/>
          <w:sz w:val="24"/>
          <w:szCs w:val="24"/>
          <w:vertAlign w:val="baseline"/>
          <w:lang w:val="zh-CN" w:eastAsia="zh-CN" w:bidi="zh-CN"/>
        </w:rPr>
        <w:t>）</w:t>
      </w:r>
      <w:r>
        <w:rPr>
          <w:rFonts w:ascii="宋体" w:hAnsi="宋体" w:eastAsia="宋体" w:cs="宋体"/>
          <w:spacing w:val="-15"/>
          <w:position w:val="2"/>
          <w:sz w:val="24"/>
          <w:szCs w:val="24"/>
          <w:vertAlign w:val="baseline"/>
          <w:lang w:val="zh-CN" w:eastAsia="zh-CN" w:bidi="zh-CN"/>
        </w:rPr>
        <w:t>，取值按年周转次数</w:t>
      </w:r>
      <w:r>
        <w:rPr>
          <w:rFonts w:ascii="Times New Roman" w:hAnsi="Times New Roman" w:eastAsia="Times New Roman" w:cs="宋体"/>
          <w:spacing w:val="-1"/>
          <w:position w:val="2"/>
          <w:sz w:val="24"/>
          <w:szCs w:val="24"/>
          <w:vertAlign w:val="baseline"/>
          <w:lang w:val="zh-CN" w:eastAsia="zh-CN" w:bidi="zh-CN"/>
        </w:rPr>
        <w:t>(K</w:t>
      </w:r>
      <w:r>
        <w:rPr>
          <w:rFonts w:ascii="Times New Roman" w:hAnsi="Times New Roman" w:eastAsia="Times New Roman" w:cs="宋体"/>
          <w:spacing w:val="1"/>
          <w:position w:val="2"/>
          <w:sz w:val="24"/>
          <w:szCs w:val="24"/>
          <w:vertAlign w:val="baseline"/>
          <w:lang w:val="zh-CN" w:eastAsia="zh-CN" w:bidi="zh-CN"/>
        </w:rPr>
        <w:t>)</w:t>
      </w:r>
      <w:r>
        <w:rPr>
          <w:rFonts w:ascii="宋体" w:hAnsi="宋体" w:eastAsia="宋体" w:cs="宋体"/>
          <w:spacing w:val="-37"/>
          <w:position w:val="2"/>
          <w:sz w:val="24"/>
          <w:szCs w:val="24"/>
          <w:vertAlign w:val="baseline"/>
          <w:lang w:val="zh-CN" w:eastAsia="zh-CN" w:bidi="zh-CN"/>
        </w:rPr>
        <w:t>确定。</w:t>
      </w:r>
      <w:r>
        <w:rPr>
          <w:rFonts w:ascii="Times New Roman" w:hAnsi="Times New Roman" w:eastAsia="宋体" w:cs="Times New Roman"/>
          <w:spacing w:val="-1"/>
          <w:position w:val="2"/>
          <w:sz w:val="24"/>
          <w:szCs w:val="24"/>
          <w:vertAlign w:val="baseline"/>
          <w:lang w:val="zh-CN" w:eastAsia="zh-CN" w:bidi="zh-CN"/>
        </w:rPr>
        <w:t>K</w:t>
      </w:r>
      <w:r>
        <w:rPr>
          <w:rFonts w:ascii="Times New Roman" w:hAnsi="Times New Roman" w:eastAsia="宋体" w:cs="Times New Roman"/>
          <w:position w:val="2"/>
          <w:sz w:val="24"/>
          <w:szCs w:val="24"/>
          <w:vertAlign w:val="baseline"/>
          <w:lang w:val="zh-CN" w:eastAsia="zh-CN" w:bidi="zh-CN"/>
        </w:rPr>
        <w:t>≤36</w:t>
      </w:r>
      <w:r>
        <w:rPr>
          <w:rFonts w:ascii="Times New Roman" w:hAnsi="Times New Roman" w:eastAsia="宋体" w:cs="Times New Roman"/>
          <w:spacing w:val="-111"/>
          <w:position w:val="2"/>
          <w:sz w:val="24"/>
          <w:szCs w:val="24"/>
          <w:vertAlign w:val="baseline"/>
          <w:lang w:val="zh-CN" w:eastAsia="zh-CN" w:bidi="zh-CN"/>
        </w:rPr>
        <w:t>，</w:t>
      </w:r>
      <w:r>
        <w:rPr>
          <w:rFonts w:hint="eastAsia" w:ascii="Times New Roman" w:hAnsi="Times New Roman" w:eastAsia="宋体" w:cs="Times New Roman"/>
          <w:spacing w:val="-111"/>
          <w:position w:val="2"/>
          <w:sz w:val="24"/>
          <w:szCs w:val="24"/>
          <w:vertAlign w:val="baseline"/>
          <w:lang w:val="zh-CN" w:eastAsia="zh-CN" w:bidi="zh-CN"/>
        </w:rPr>
        <w:t>，</w:t>
      </w:r>
      <w:r>
        <w:rPr>
          <w:rFonts w:ascii="Times New Roman" w:hAnsi="Times New Roman" w:eastAsia="宋体" w:cs="Times New Roman"/>
          <w:spacing w:val="-1"/>
          <w:position w:val="2"/>
          <w:sz w:val="24"/>
          <w:szCs w:val="24"/>
          <w:vertAlign w:val="baseline"/>
          <w:lang w:val="zh-CN" w:eastAsia="zh-CN" w:bidi="zh-CN"/>
        </w:rPr>
        <w:t>K</w:t>
      </w:r>
      <w:r>
        <w:rPr>
          <w:rFonts w:ascii="Times New Roman" w:hAnsi="Times New Roman" w:eastAsia="宋体" w:cs="Times New Roman"/>
          <w:position w:val="2"/>
          <w:sz w:val="24"/>
          <w:szCs w:val="24"/>
          <w:vertAlign w:val="subscript"/>
          <w:lang w:val="zh-CN" w:eastAsia="zh-CN" w:bidi="zh-CN"/>
        </w:rPr>
        <w:t>N</w:t>
      </w:r>
      <w:r>
        <w:rPr>
          <w:rFonts w:ascii="Times New Roman" w:hAnsi="Times New Roman" w:eastAsia="宋体" w:cs="Times New Roman"/>
          <w:spacing w:val="-2"/>
          <w:position w:val="2"/>
          <w:sz w:val="24"/>
          <w:szCs w:val="24"/>
          <w:vertAlign w:val="baseline"/>
          <w:lang w:val="zh-CN" w:eastAsia="zh-CN" w:bidi="zh-CN"/>
        </w:rPr>
        <w:t xml:space="preserve"> =1</w:t>
      </w:r>
      <w:r>
        <w:rPr>
          <w:rFonts w:ascii="Times New Roman" w:hAnsi="Times New Roman" w:eastAsia="宋体" w:cs="Times New Roman"/>
          <w:spacing w:val="-113"/>
          <w:position w:val="2"/>
          <w:sz w:val="24"/>
          <w:szCs w:val="24"/>
          <w:vertAlign w:val="baseline"/>
          <w:lang w:val="zh-CN" w:eastAsia="zh-CN" w:bidi="zh-CN"/>
        </w:rPr>
        <w:t>；</w:t>
      </w:r>
      <w:r>
        <w:rPr>
          <w:rFonts w:ascii="Times New Roman" w:hAnsi="Times New Roman" w:eastAsia="宋体" w:cs="Times New Roman"/>
          <w:spacing w:val="-2"/>
          <w:position w:val="2"/>
          <w:sz w:val="24"/>
          <w:szCs w:val="24"/>
          <w:vertAlign w:val="baseline"/>
          <w:lang w:val="zh-CN" w:eastAsia="zh-CN" w:bidi="zh-CN"/>
        </w:rPr>
        <w:t>36</w:t>
      </w:r>
      <w:r>
        <w:rPr>
          <w:rFonts w:ascii="Times New Roman" w:hAnsi="Times New Roman" w:eastAsia="宋体" w:cs="Times New Roman"/>
          <w:spacing w:val="-3"/>
          <w:position w:val="2"/>
          <w:sz w:val="24"/>
          <w:szCs w:val="24"/>
          <w:vertAlign w:val="baseline"/>
          <w:lang w:val="zh-CN" w:eastAsia="zh-CN" w:bidi="zh-CN"/>
        </w:rPr>
        <w:t>&lt;</w:t>
      </w:r>
      <w:r>
        <w:rPr>
          <w:rFonts w:ascii="Times New Roman" w:hAnsi="Times New Roman" w:eastAsia="宋体" w:cs="Times New Roman"/>
          <w:spacing w:val="-1"/>
          <w:position w:val="2"/>
          <w:sz w:val="24"/>
          <w:szCs w:val="24"/>
          <w:vertAlign w:val="baseline"/>
          <w:lang w:val="zh-CN" w:eastAsia="zh-CN" w:bidi="zh-CN"/>
        </w:rPr>
        <w:t>K</w:t>
      </w:r>
      <w:r>
        <w:rPr>
          <w:rFonts w:ascii="Times New Roman" w:hAnsi="Times New Roman" w:eastAsia="宋体" w:cs="Times New Roman"/>
          <w:spacing w:val="-2"/>
          <w:position w:val="2"/>
          <w:sz w:val="24"/>
          <w:szCs w:val="24"/>
          <w:vertAlign w:val="baseline"/>
          <w:lang w:val="zh-CN" w:eastAsia="zh-CN" w:bidi="zh-CN"/>
        </w:rPr>
        <w:t>≤220，</w:t>
      </w:r>
      <w:r>
        <w:rPr>
          <w:rFonts w:ascii="Times New Roman" w:hAnsi="Times New Roman" w:eastAsia="宋体" w:cs="Times New Roman"/>
          <w:position w:val="2"/>
          <w:sz w:val="24"/>
          <w:szCs w:val="24"/>
          <w:vertAlign w:val="baseline"/>
          <w:lang w:val="zh-CN" w:eastAsia="zh-CN" w:bidi="zh-CN"/>
        </w:rPr>
        <w:t xml:space="preserve"> K</w:t>
      </w:r>
      <w:r>
        <w:rPr>
          <w:rFonts w:ascii="Times New Roman" w:hAnsi="Times New Roman" w:eastAsia="宋体" w:cs="Times New Roman"/>
          <w:position w:val="2"/>
          <w:sz w:val="24"/>
          <w:szCs w:val="24"/>
          <w:vertAlign w:val="subscript"/>
          <w:lang w:val="zh-CN" w:eastAsia="zh-CN" w:bidi="zh-CN"/>
        </w:rPr>
        <w:t>N</w:t>
      </w:r>
      <w:r>
        <w:rPr>
          <w:rFonts w:ascii="Times New Roman" w:hAnsi="Times New Roman" w:eastAsia="宋体" w:cs="Times New Roman"/>
          <w:position w:val="2"/>
          <w:sz w:val="24"/>
          <w:szCs w:val="24"/>
          <w:vertAlign w:val="baseline"/>
          <w:lang w:val="zh-CN" w:eastAsia="zh-CN" w:bidi="zh-CN"/>
        </w:rPr>
        <w:t>=11.467×K</w:t>
      </w:r>
      <w:r>
        <w:rPr>
          <w:rFonts w:ascii="Times New Roman" w:hAnsi="Times New Roman" w:eastAsia="宋体" w:cs="Times New Roman"/>
          <w:position w:val="2"/>
          <w:sz w:val="24"/>
          <w:szCs w:val="24"/>
          <w:vertAlign w:val="superscript"/>
          <w:lang w:val="zh-CN" w:eastAsia="zh-CN" w:bidi="zh-CN"/>
        </w:rPr>
        <w:t>-0.7026</w:t>
      </w:r>
      <w:r>
        <w:rPr>
          <w:rFonts w:ascii="Times New Roman" w:hAnsi="Times New Roman" w:eastAsia="宋体" w:cs="Times New Roman"/>
          <w:position w:val="2"/>
          <w:sz w:val="24"/>
          <w:szCs w:val="24"/>
          <w:vertAlign w:val="baseline"/>
          <w:lang w:val="zh-CN" w:eastAsia="zh-CN" w:bidi="zh-CN"/>
        </w:rPr>
        <w:t>；K&gt;220，K</w:t>
      </w:r>
      <w:r>
        <w:rPr>
          <w:rFonts w:ascii="Times New Roman" w:hAnsi="Times New Roman" w:eastAsia="宋体" w:cs="Times New Roman"/>
          <w:position w:val="2"/>
          <w:sz w:val="24"/>
          <w:szCs w:val="24"/>
          <w:vertAlign w:val="subscript"/>
          <w:lang w:val="zh-CN" w:eastAsia="zh-CN" w:bidi="zh-CN"/>
        </w:rPr>
        <w:t>N</w:t>
      </w:r>
      <w:r>
        <w:rPr>
          <w:rFonts w:ascii="Times New Roman" w:hAnsi="Times New Roman" w:eastAsia="宋体" w:cs="Times New Roman"/>
          <w:position w:val="2"/>
          <w:sz w:val="24"/>
          <w:szCs w:val="24"/>
          <w:vertAlign w:val="baseline"/>
          <w:lang w:val="zh-CN" w:eastAsia="zh-CN" w:bidi="zh-CN"/>
        </w:rPr>
        <w:t>=0.39；</w:t>
      </w:r>
    </w:p>
    <w:p w14:paraId="258EFE29">
      <w:pPr>
        <w:widowControl w:val="0"/>
        <w:spacing w:before="1" w:after="0" w:line="372" w:lineRule="auto"/>
        <w:ind w:left="1186" w:right="1878"/>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Kc</w:t>
      </w:r>
      <w:r>
        <w:rPr>
          <w:rFonts w:ascii="宋体" w:hAnsi="宋体" w:eastAsia="宋体" w:cs="宋体"/>
          <w:sz w:val="24"/>
          <w:szCs w:val="24"/>
          <w:lang w:val="zh-CN" w:eastAsia="zh-CN" w:bidi="zh-CN"/>
        </w:rPr>
        <w:t>—产品因子（石油原油</w:t>
      </w:r>
      <w:r>
        <w:rPr>
          <w:rFonts w:ascii="Times New Roman" w:hAnsi="Times New Roman" w:eastAsia="Times New Roman" w:cs="宋体"/>
          <w:sz w:val="24"/>
          <w:szCs w:val="24"/>
          <w:lang w:val="zh-CN" w:eastAsia="zh-CN" w:bidi="zh-CN"/>
        </w:rPr>
        <w:t>Kc</w:t>
      </w:r>
      <w:r>
        <w:rPr>
          <w:rFonts w:ascii="宋体" w:hAnsi="宋体" w:eastAsia="宋体" w:cs="宋体"/>
          <w:sz w:val="24"/>
          <w:szCs w:val="24"/>
          <w:lang w:val="zh-CN" w:eastAsia="zh-CN" w:bidi="zh-CN"/>
        </w:rPr>
        <w:t>取</w:t>
      </w:r>
      <w:r>
        <w:rPr>
          <w:rFonts w:ascii="Times New Roman" w:hAnsi="Times New Roman" w:eastAsia="Times New Roman" w:cs="宋体"/>
          <w:sz w:val="24"/>
          <w:szCs w:val="24"/>
          <w:lang w:val="zh-CN" w:eastAsia="zh-CN" w:bidi="zh-CN"/>
        </w:rPr>
        <w:t>0.65</w:t>
      </w:r>
      <w:r>
        <w:rPr>
          <w:rFonts w:ascii="宋体" w:hAnsi="宋体" w:eastAsia="宋体" w:cs="宋体"/>
          <w:sz w:val="24"/>
          <w:szCs w:val="24"/>
          <w:lang w:val="zh-CN" w:eastAsia="zh-CN" w:bidi="zh-CN"/>
        </w:rPr>
        <w:t>，其他的有机液体取</w:t>
      </w:r>
      <w:r>
        <w:rPr>
          <w:rFonts w:ascii="Times New Roman" w:hAnsi="Times New Roman" w:eastAsia="Times New Roman" w:cs="宋体"/>
          <w:sz w:val="24"/>
          <w:szCs w:val="24"/>
          <w:lang w:val="zh-CN" w:eastAsia="zh-CN" w:bidi="zh-CN"/>
        </w:rPr>
        <w:t>1.0</w:t>
      </w:r>
      <w:r>
        <w:rPr>
          <w:rFonts w:ascii="宋体" w:hAnsi="宋体" w:eastAsia="宋体" w:cs="宋体"/>
          <w:sz w:val="24"/>
          <w:szCs w:val="24"/>
          <w:lang w:val="zh-CN" w:eastAsia="zh-CN" w:bidi="zh-CN"/>
        </w:rPr>
        <w:t>）。</w:t>
      </w:r>
      <w:r>
        <w:rPr>
          <w:rFonts w:ascii="Times New Roman" w:hAnsi="Times New Roman" w:eastAsia="Times New Roman" w:cs="宋体"/>
          <w:position w:val="2"/>
          <w:sz w:val="24"/>
          <w:szCs w:val="24"/>
          <w:lang w:val="zh-CN" w:eastAsia="zh-CN" w:bidi="zh-CN"/>
        </w:rPr>
        <w:t>η</w:t>
      </w:r>
      <w:r>
        <w:rPr>
          <w:rFonts w:ascii="Times New Roman" w:hAnsi="Times New Roman" w:eastAsia="Times New Roman" w:cs="宋体"/>
          <w:position w:val="2"/>
          <w:sz w:val="24"/>
          <w:szCs w:val="24"/>
          <w:vertAlign w:val="subscript"/>
          <w:lang w:val="zh-CN" w:eastAsia="zh-CN" w:bidi="zh-CN"/>
        </w:rPr>
        <w:t>1</w:t>
      </w:r>
      <w:r>
        <w:rPr>
          <w:rFonts w:ascii="宋体" w:hAnsi="宋体" w:eastAsia="宋体" w:cs="宋体"/>
          <w:position w:val="2"/>
          <w:sz w:val="24"/>
          <w:szCs w:val="24"/>
          <w:vertAlign w:val="baseline"/>
          <w:lang w:val="zh-CN" w:eastAsia="zh-CN" w:bidi="zh-CN"/>
        </w:rPr>
        <w:t>—内浮顶储罐取</w:t>
      </w:r>
      <w:r>
        <w:rPr>
          <w:rFonts w:ascii="Times New Roman" w:hAnsi="Times New Roman" w:eastAsia="Times New Roman" w:cs="宋体"/>
          <w:position w:val="2"/>
          <w:sz w:val="24"/>
          <w:szCs w:val="24"/>
          <w:vertAlign w:val="baseline"/>
          <w:lang w:val="zh-CN" w:eastAsia="zh-CN" w:bidi="zh-CN"/>
        </w:rPr>
        <w:t>0.05</w:t>
      </w:r>
      <w:r>
        <w:rPr>
          <w:rFonts w:ascii="宋体" w:hAnsi="宋体" w:eastAsia="宋体" w:cs="宋体"/>
          <w:position w:val="2"/>
          <w:sz w:val="24"/>
          <w:szCs w:val="24"/>
          <w:vertAlign w:val="baseline"/>
          <w:lang w:val="zh-CN" w:eastAsia="zh-CN" w:bidi="zh-CN"/>
        </w:rPr>
        <w:t>，拱顶罐取</w:t>
      </w:r>
      <w:r>
        <w:rPr>
          <w:rFonts w:ascii="Times New Roman" w:hAnsi="Times New Roman" w:eastAsia="Times New Roman" w:cs="宋体"/>
          <w:position w:val="2"/>
          <w:sz w:val="24"/>
          <w:szCs w:val="24"/>
          <w:vertAlign w:val="baseline"/>
          <w:lang w:val="zh-CN" w:eastAsia="zh-CN" w:bidi="zh-CN"/>
        </w:rPr>
        <w:t>1</w:t>
      </w:r>
      <w:r>
        <w:rPr>
          <w:rFonts w:ascii="宋体" w:hAnsi="宋体" w:eastAsia="宋体" w:cs="宋体"/>
          <w:position w:val="2"/>
          <w:sz w:val="24"/>
          <w:szCs w:val="24"/>
          <w:vertAlign w:val="baseline"/>
          <w:lang w:val="zh-CN" w:eastAsia="zh-CN" w:bidi="zh-CN"/>
        </w:rPr>
        <w:t>。</w:t>
      </w:r>
    </w:p>
    <w:p w14:paraId="7F96B4F1">
      <w:pPr>
        <w:widowControl w:val="0"/>
        <w:spacing w:before="0" w:after="0" w:line="311" w:lineRule="exact"/>
        <w:ind w:left="1186" w:right="0"/>
        <w:jc w:val="left"/>
        <w:rPr>
          <w:rFonts w:ascii="宋体" w:hAnsi="宋体" w:eastAsia="宋体" w:cs="宋体"/>
          <w:sz w:val="24"/>
          <w:szCs w:val="24"/>
          <w:lang w:val="zh-CN" w:eastAsia="zh-CN" w:bidi="zh-CN"/>
        </w:rPr>
      </w:pPr>
      <w:r>
        <w:rPr>
          <w:rFonts w:ascii="Times New Roman" w:hAnsi="Times New Roman" w:eastAsia="Times New Roman" w:cs="宋体"/>
          <w:position w:val="2"/>
          <w:sz w:val="24"/>
          <w:szCs w:val="24"/>
          <w:lang w:val="zh-CN" w:eastAsia="zh-CN" w:bidi="zh-CN"/>
        </w:rPr>
        <w:t>η</w:t>
      </w:r>
      <w:r>
        <w:rPr>
          <w:rFonts w:ascii="Times New Roman" w:hAnsi="Times New Roman" w:eastAsia="Times New Roman" w:cs="宋体"/>
          <w:position w:val="2"/>
          <w:sz w:val="24"/>
          <w:szCs w:val="24"/>
          <w:vertAlign w:val="subscript"/>
          <w:lang w:val="zh-CN" w:eastAsia="zh-CN" w:bidi="zh-CN"/>
        </w:rPr>
        <w:t>2</w:t>
      </w:r>
      <w:r>
        <w:rPr>
          <w:rFonts w:ascii="宋体" w:hAnsi="宋体" w:eastAsia="宋体" w:cs="宋体"/>
          <w:position w:val="2"/>
          <w:sz w:val="24"/>
          <w:szCs w:val="24"/>
          <w:vertAlign w:val="baseline"/>
          <w:lang w:val="zh-CN" w:eastAsia="zh-CN" w:bidi="zh-CN"/>
        </w:rPr>
        <w:t>—设置呼吸阀取</w:t>
      </w:r>
      <w:r>
        <w:rPr>
          <w:rFonts w:ascii="Times New Roman" w:hAnsi="Times New Roman" w:eastAsia="Times New Roman" w:cs="宋体"/>
          <w:position w:val="2"/>
          <w:sz w:val="24"/>
          <w:szCs w:val="24"/>
          <w:vertAlign w:val="baseline"/>
          <w:lang w:val="zh-CN" w:eastAsia="zh-CN" w:bidi="zh-CN"/>
        </w:rPr>
        <w:t>0.7</w:t>
      </w:r>
      <w:r>
        <w:rPr>
          <w:rFonts w:ascii="宋体" w:hAnsi="宋体" w:eastAsia="宋体" w:cs="宋体"/>
          <w:position w:val="2"/>
          <w:sz w:val="24"/>
          <w:szCs w:val="24"/>
          <w:vertAlign w:val="baseline"/>
          <w:lang w:val="zh-CN" w:eastAsia="zh-CN" w:bidi="zh-CN"/>
        </w:rPr>
        <w:t>，不设呼吸阀取</w:t>
      </w:r>
      <w:r>
        <w:rPr>
          <w:rFonts w:ascii="Times New Roman" w:hAnsi="Times New Roman" w:eastAsia="Times New Roman" w:cs="宋体"/>
          <w:position w:val="2"/>
          <w:sz w:val="24"/>
          <w:szCs w:val="24"/>
          <w:vertAlign w:val="baseline"/>
          <w:lang w:val="zh-CN" w:eastAsia="zh-CN" w:bidi="zh-CN"/>
        </w:rPr>
        <w:t>1</w:t>
      </w:r>
      <w:r>
        <w:rPr>
          <w:rFonts w:ascii="宋体" w:hAnsi="宋体" w:eastAsia="宋体" w:cs="宋体"/>
          <w:position w:val="2"/>
          <w:sz w:val="24"/>
          <w:szCs w:val="24"/>
          <w:vertAlign w:val="baseline"/>
          <w:lang w:val="zh-CN" w:eastAsia="zh-CN" w:bidi="zh-CN"/>
        </w:rPr>
        <w:t>。</w:t>
      </w:r>
    </w:p>
    <w:p w14:paraId="5244C3E5">
      <w:pPr>
        <w:widowControl w:val="0"/>
        <w:spacing w:before="171" w:after="0" w:line="240" w:lineRule="auto"/>
        <w:ind w:left="946" w:right="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根据以上公式及参数，可计算出储罐大呼吸产生的污染源强</w:t>
      </w:r>
      <w:r>
        <w:rPr>
          <w:rFonts w:ascii="Times New Roman" w:hAnsi="Times New Roman" w:eastAsia="宋体" w:cs="Times New Roman"/>
          <w:sz w:val="24"/>
          <w:szCs w:val="24"/>
          <w:lang w:val="zh-CN" w:eastAsia="zh-CN" w:bidi="zh-CN"/>
        </w:rPr>
        <w:t>，见表</w:t>
      </w:r>
      <w:r>
        <w:rPr>
          <w:rFonts w:ascii="Times New Roman" w:hAnsi="Times New Roman" w:eastAsia="宋体" w:cs="Times New Roman"/>
          <w:sz w:val="24"/>
          <w:szCs w:val="24"/>
          <w:lang w:val="en-US" w:eastAsia="zh-CN" w:bidi="zh-CN"/>
        </w:rPr>
        <w:t>4.3</w:t>
      </w:r>
      <w:r>
        <w:rPr>
          <w:rFonts w:ascii="Times New Roman" w:hAnsi="Times New Roman" w:eastAsia="宋体" w:cs="Times New Roman"/>
          <w:sz w:val="24"/>
          <w:szCs w:val="24"/>
          <w:lang w:val="zh-CN" w:eastAsia="zh-CN" w:bidi="zh-CN"/>
        </w:rPr>
        <w:t>-</w:t>
      </w:r>
      <w:r>
        <w:rPr>
          <w:rFonts w:hint="eastAsia" w:ascii="Times New Roman" w:hAnsi="Times New Roman" w:eastAsia="宋体" w:cs="Times New Roman"/>
          <w:sz w:val="24"/>
          <w:szCs w:val="24"/>
          <w:lang w:val="en-US" w:eastAsia="zh-CN" w:bidi="zh-CN"/>
        </w:rPr>
        <w:t>11</w:t>
      </w:r>
      <w:r>
        <w:rPr>
          <w:rFonts w:ascii="Times New Roman" w:hAnsi="Times New Roman" w:eastAsia="宋体" w:cs="Times New Roman"/>
          <w:sz w:val="24"/>
          <w:szCs w:val="24"/>
          <w:lang w:val="zh-CN" w:eastAsia="zh-CN" w:bidi="zh-CN"/>
        </w:rPr>
        <w:t>。</w:t>
      </w:r>
    </w:p>
    <w:p w14:paraId="0EC8CE9D">
      <w:pPr>
        <w:widowControl w:val="0"/>
        <w:spacing w:before="173" w:after="28" w:line="240" w:lineRule="auto"/>
        <w:ind w:left="4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ascii="Times New Roman" w:hAnsi="Times New Roman" w:eastAsia="宋体" w:cs="Times New Roman"/>
          <w:b/>
          <w:bCs/>
          <w:sz w:val="24"/>
          <w:szCs w:val="24"/>
          <w:lang w:val="en-US" w:eastAsia="zh-CN" w:bidi="zh-CN"/>
        </w:rPr>
        <w:t>4</w:t>
      </w:r>
      <w:r>
        <w:rPr>
          <w:rFonts w:ascii="Times New Roman" w:hAnsi="Times New Roman" w:eastAsia="宋体" w:cs="Times New Roman"/>
          <w:b/>
          <w:bCs/>
          <w:sz w:val="24"/>
          <w:szCs w:val="24"/>
          <w:lang w:val="zh-CN" w:eastAsia="zh-CN" w:bidi="zh-CN"/>
        </w:rPr>
        <w:t>.3-</w:t>
      </w:r>
      <w:r>
        <w:rPr>
          <w:rFonts w:hint="eastAsia" w:ascii="Times New Roman" w:hAnsi="Times New Roman" w:eastAsia="宋体" w:cs="Times New Roman"/>
          <w:b/>
          <w:bCs/>
          <w:sz w:val="24"/>
          <w:szCs w:val="24"/>
          <w:lang w:val="en-US" w:eastAsia="zh-CN" w:bidi="zh-CN"/>
        </w:rPr>
        <w:t>11</w:t>
      </w:r>
      <w:r>
        <w:rPr>
          <w:rFonts w:ascii="Times New Roman" w:hAnsi="Times New Roman" w:eastAsia="宋体" w:cs="Times New Roman"/>
          <w:b/>
          <w:bCs/>
          <w:sz w:val="24"/>
          <w:szCs w:val="24"/>
          <w:lang w:val="en-US" w:eastAsia="zh-CN" w:bidi="zh-CN"/>
        </w:rPr>
        <w:t xml:space="preserve"> </w:t>
      </w:r>
      <w:r>
        <w:rPr>
          <w:rFonts w:ascii="Times New Roman" w:hAnsi="Times New Roman" w:eastAsia="宋体" w:cs="Times New Roman"/>
          <w:b/>
          <w:bCs/>
          <w:sz w:val="24"/>
          <w:szCs w:val="24"/>
          <w:lang w:val="zh-CN" w:eastAsia="zh-CN" w:bidi="zh-CN"/>
        </w:rPr>
        <w:t xml:space="preserve"> 储罐大呼吸废气产生情况一览表</w:t>
      </w:r>
    </w:p>
    <w:tbl>
      <w:tblPr>
        <w:tblStyle w:val="32"/>
        <w:tblW w:w="0" w:type="auto"/>
        <w:tblInd w:w="37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10"/>
        <w:gridCol w:w="814"/>
        <w:gridCol w:w="818"/>
        <w:gridCol w:w="816"/>
        <w:gridCol w:w="816"/>
        <w:gridCol w:w="816"/>
        <w:gridCol w:w="656"/>
        <w:gridCol w:w="1104"/>
        <w:gridCol w:w="861"/>
        <w:gridCol w:w="1097"/>
      </w:tblGrid>
      <w:tr w14:paraId="2BD5B4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110" w:type="dxa"/>
            <w:noWrap w:val="0"/>
            <w:vAlign w:val="center"/>
          </w:tcPr>
          <w:p w14:paraId="51DBCCE7">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参数</w:t>
            </w:r>
          </w:p>
        </w:tc>
        <w:tc>
          <w:tcPr>
            <w:tcW w:w="814" w:type="dxa"/>
            <w:noWrap w:val="0"/>
            <w:vAlign w:val="center"/>
          </w:tcPr>
          <w:p w14:paraId="12D94EA5">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M</w:t>
            </w:r>
          </w:p>
        </w:tc>
        <w:tc>
          <w:tcPr>
            <w:tcW w:w="818" w:type="dxa"/>
            <w:noWrap w:val="0"/>
            <w:vAlign w:val="center"/>
          </w:tcPr>
          <w:p w14:paraId="3DA52CDE">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P（Pa）</w:t>
            </w:r>
          </w:p>
        </w:tc>
        <w:tc>
          <w:tcPr>
            <w:tcW w:w="816" w:type="dxa"/>
            <w:noWrap w:val="0"/>
            <w:vAlign w:val="center"/>
          </w:tcPr>
          <w:p w14:paraId="5437C782">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KN</w:t>
            </w:r>
          </w:p>
        </w:tc>
        <w:tc>
          <w:tcPr>
            <w:tcW w:w="816" w:type="dxa"/>
            <w:noWrap w:val="0"/>
            <w:vAlign w:val="center"/>
          </w:tcPr>
          <w:p w14:paraId="18E78690">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KC</w:t>
            </w:r>
          </w:p>
        </w:tc>
        <w:tc>
          <w:tcPr>
            <w:tcW w:w="816" w:type="dxa"/>
            <w:noWrap w:val="0"/>
            <w:vAlign w:val="center"/>
          </w:tcPr>
          <w:p w14:paraId="0E1E4B50">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η1</w:t>
            </w:r>
          </w:p>
        </w:tc>
        <w:tc>
          <w:tcPr>
            <w:tcW w:w="656" w:type="dxa"/>
            <w:noWrap w:val="0"/>
            <w:vAlign w:val="center"/>
          </w:tcPr>
          <w:p w14:paraId="12817307">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η2</w:t>
            </w:r>
          </w:p>
        </w:tc>
        <w:tc>
          <w:tcPr>
            <w:tcW w:w="1104" w:type="dxa"/>
            <w:noWrap w:val="0"/>
            <w:vAlign w:val="center"/>
          </w:tcPr>
          <w:p w14:paraId="6778B5B5">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Lw</w:t>
            </w:r>
          </w:p>
          <w:p w14:paraId="7E352300">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（kg/m</w:t>
            </w:r>
            <w:r>
              <w:rPr>
                <w:rFonts w:ascii="Times New Roman" w:hAnsi="Times New Roman" w:eastAsia="宋体" w:cs="Times New Roman"/>
                <w:b w:val="0"/>
                <w:bCs/>
                <w:sz w:val="21"/>
                <w:szCs w:val="21"/>
                <w:vertAlign w:val="superscript"/>
                <w:lang w:val="en-US" w:eastAsia="zh-CN"/>
              </w:rPr>
              <w:t>3</w:t>
            </w:r>
            <w:r>
              <w:rPr>
                <w:rFonts w:ascii="Times New Roman" w:hAnsi="Times New Roman" w:eastAsia="宋体" w:cs="Times New Roman"/>
                <w:b w:val="0"/>
                <w:bCs/>
                <w:sz w:val="21"/>
                <w:szCs w:val="21"/>
                <w:lang w:val="zh-CN" w:eastAsia="zh-CN"/>
              </w:rPr>
              <w:t>）</w:t>
            </w:r>
          </w:p>
        </w:tc>
        <w:tc>
          <w:tcPr>
            <w:tcW w:w="861" w:type="dxa"/>
            <w:noWrap w:val="0"/>
            <w:vAlign w:val="center"/>
          </w:tcPr>
          <w:p w14:paraId="2AE5914B">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数量</w:t>
            </w:r>
          </w:p>
          <w:p w14:paraId="60B3949C">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（个）</w:t>
            </w:r>
          </w:p>
        </w:tc>
        <w:tc>
          <w:tcPr>
            <w:tcW w:w="1097" w:type="dxa"/>
            <w:noWrap w:val="0"/>
            <w:vAlign w:val="center"/>
          </w:tcPr>
          <w:p w14:paraId="390EEE25">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合计</w:t>
            </w:r>
          </w:p>
          <w:p w14:paraId="3315E55B">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（kg/a）</w:t>
            </w:r>
          </w:p>
        </w:tc>
      </w:tr>
      <w:tr w14:paraId="329CD3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110" w:type="dxa"/>
            <w:noWrap w:val="0"/>
            <w:vAlign w:val="center"/>
          </w:tcPr>
          <w:p w14:paraId="494F53B0">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甲醛储罐</w:t>
            </w:r>
          </w:p>
        </w:tc>
        <w:tc>
          <w:tcPr>
            <w:tcW w:w="814" w:type="dxa"/>
            <w:noWrap w:val="0"/>
            <w:vAlign w:val="center"/>
          </w:tcPr>
          <w:p w14:paraId="733C77AB">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30</w:t>
            </w:r>
          </w:p>
        </w:tc>
        <w:tc>
          <w:tcPr>
            <w:tcW w:w="818" w:type="dxa"/>
            <w:noWrap w:val="0"/>
            <w:vAlign w:val="center"/>
          </w:tcPr>
          <w:p w14:paraId="2C350B26">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187</w:t>
            </w:r>
          </w:p>
        </w:tc>
        <w:tc>
          <w:tcPr>
            <w:tcW w:w="816" w:type="dxa"/>
            <w:noWrap w:val="0"/>
            <w:vAlign w:val="center"/>
          </w:tcPr>
          <w:p w14:paraId="2003363B">
            <w:pPr>
              <w:pStyle w:val="421"/>
              <w:spacing w:before="1"/>
              <w:ind w:left="0" w:right="126" w:firstLine="0"/>
              <w:jc w:val="center"/>
              <w:rPr>
                <w:rFonts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1</w:t>
            </w:r>
          </w:p>
        </w:tc>
        <w:tc>
          <w:tcPr>
            <w:tcW w:w="816" w:type="dxa"/>
            <w:noWrap w:val="0"/>
            <w:vAlign w:val="center"/>
          </w:tcPr>
          <w:p w14:paraId="7E6CD6B8">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1</w:t>
            </w:r>
          </w:p>
        </w:tc>
        <w:tc>
          <w:tcPr>
            <w:tcW w:w="816" w:type="dxa"/>
            <w:noWrap w:val="0"/>
            <w:vAlign w:val="center"/>
          </w:tcPr>
          <w:p w14:paraId="5190DB6B">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0.05</w:t>
            </w:r>
          </w:p>
        </w:tc>
        <w:tc>
          <w:tcPr>
            <w:tcW w:w="656" w:type="dxa"/>
            <w:noWrap w:val="0"/>
            <w:vAlign w:val="center"/>
          </w:tcPr>
          <w:p w14:paraId="0C317111">
            <w:pPr>
              <w:pStyle w:val="421"/>
              <w:spacing w:before="1"/>
              <w:ind w:left="0" w:right="126" w:firstLine="0"/>
              <w:jc w:val="center"/>
              <w:rPr>
                <w:rFonts w:ascii="Times New Roman" w:hAnsi="Times New Roman" w:eastAsia="宋体" w:cs="Times New Roman"/>
                <w:b w:val="0"/>
                <w:bCs/>
                <w:sz w:val="21"/>
                <w:szCs w:val="21"/>
                <w:lang w:val="zh-CN" w:eastAsia="zh-CN"/>
              </w:rPr>
            </w:pPr>
            <w:r>
              <w:rPr>
                <w:rFonts w:ascii="Times New Roman" w:hAnsi="Times New Roman" w:eastAsia="宋体" w:cs="Times New Roman"/>
                <w:b w:val="0"/>
                <w:bCs/>
                <w:sz w:val="21"/>
                <w:szCs w:val="21"/>
                <w:lang w:val="zh-CN" w:eastAsia="zh-CN"/>
              </w:rPr>
              <w:t>1</w:t>
            </w:r>
          </w:p>
        </w:tc>
        <w:tc>
          <w:tcPr>
            <w:tcW w:w="1104" w:type="dxa"/>
            <w:noWrap w:val="0"/>
            <w:vAlign w:val="center"/>
          </w:tcPr>
          <w:p w14:paraId="7F305AE0">
            <w:pPr>
              <w:pStyle w:val="421"/>
              <w:spacing w:before="1"/>
              <w:ind w:left="0" w:right="126" w:firstLine="0"/>
              <w:jc w:val="center"/>
              <w:rPr>
                <w:rFonts w:ascii="Times New Roman" w:hAnsi="Times New Roman" w:eastAsia="宋体" w:cs="Times New Roman"/>
                <w:b w:val="0"/>
                <w:bCs/>
                <w:color w:val="000000"/>
                <w:sz w:val="21"/>
                <w:szCs w:val="21"/>
                <w:lang w:val="zh-CN" w:eastAsia="zh-CN"/>
              </w:rPr>
            </w:pPr>
            <w:r>
              <w:rPr>
                <w:rFonts w:hint="eastAsia" w:ascii="Times New Roman" w:hAnsi="Times New Roman" w:eastAsia="宋体" w:cs="Times New Roman"/>
                <w:b w:val="0"/>
                <w:bCs/>
                <w:color w:val="000000"/>
                <w:sz w:val="21"/>
                <w:szCs w:val="21"/>
                <w:lang w:val="en-US" w:eastAsia="zh-CN"/>
              </w:rPr>
              <w:t>1.17</w:t>
            </w:r>
            <w:r>
              <w:rPr>
                <w:rFonts w:ascii="Times New Roman" w:hAnsi="Times New Roman" w:eastAsia="宋体" w:cs="Times New Roman"/>
                <w:b w:val="0"/>
                <w:bCs/>
                <w:color w:val="000000"/>
                <w:sz w:val="21"/>
                <w:szCs w:val="21"/>
                <w:lang w:val="zh-CN" w:eastAsia="zh-CN"/>
              </w:rPr>
              <w:t>×10</w:t>
            </w:r>
            <w:r>
              <w:rPr>
                <w:rFonts w:ascii="Times New Roman" w:hAnsi="Times New Roman" w:eastAsia="宋体" w:cs="Times New Roman"/>
                <w:b w:val="0"/>
                <w:bCs/>
                <w:color w:val="000000"/>
                <w:sz w:val="21"/>
                <w:szCs w:val="21"/>
                <w:vertAlign w:val="superscript"/>
                <w:lang w:val="zh-CN" w:eastAsia="zh-CN"/>
              </w:rPr>
              <w:t>-</w:t>
            </w:r>
            <w:r>
              <w:rPr>
                <w:rFonts w:hint="eastAsia" w:ascii="Times New Roman" w:hAnsi="Times New Roman" w:eastAsia="宋体" w:cs="Times New Roman"/>
                <w:b w:val="0"/>
                <w:bCs/>
                <w:color w:val="000000"/>
                <w:sz w:val="21"/>
                <w:szCs w:val="21"/>
                <w:vertAlign w:val="superscript"/>
                <w:lang w:val="en-US" w:eastAsia="zh-CN"/>
              </w:rPr>
              <w:t>4</w:t>
            </w:r>
          </w:p>
        </w:tc>
        <w:tc>
          <w:tcPr>
            <w:tcW w:w="861" w:type="dxa"/>
            <w:noWrap w:val="0"/>
            <w:vAlign w:val="center"/>
          </w:tcPr>
          <w:p w14:paraId="7307EB11">
            <w:pPr>
              <w:pStyle w:val="421"/>
              <w:spacing w:before="1"/>
              <w:ind w:left="0" w:right="126" w:firstLine="0"/>
              <w:jc w:val="center"/>
              <w:rPr>
                <w:rFonts w:ascii="Times New Roman" w:hAnsi="Times New Roman" w:eastAsia="宋体" w:cs="Times New Roman"/>
                <w:b w:val="0"/>
                <w:bCs/>
                <w:color w:val="000000"/>
                <w:sz w:val="21"/>
                <w:szCs w:val="21"/>
                <w:lang w:val="zh-CN" w:eastAsia="zh-CN"/>
              </w:rPr>
            </w:pPr>
            <w:r>
              <w:rPr>
                <w:rFonts w:hint="eastAsia" w:ascii="Times New Roman" w:hAnsi="Times New Roman" w:eastAsia="宋体" w:cs="Times New Roman"/>
                <w:b w:val="0"/>
                <w:bCs/>
                <w:color w:val="000000"/>
                <w:sz w:val="21"/>
                <w:szCs w:val="21"/>
                <w:lang w:val="en-US" w:eastAsia="zh-CN"/>
              </w:rPr>
              <w:t>1</w:t>
            </w:r>
          </w:p>
        </w:tc>
        <w:tc>
          <w:tcPr>
            <w:tcW w:w="1097" w:type="dxa"/>
            <w:noWrap w:val="0"/>
            <w:vAlign w:val="center"/>
          </w:tcPr>
          <w:p w14:paraId="37800B9E">
            <w:pPr>
              <w:pStyle w:val="421"/>
              <w:spacing w:before="1"/>
              <w:ind w:left="0" w:right="126" w:firstLine="0"/>
              <w:jc w:val="center"/>
              <w:rPr>
                <w:rFonts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 xml:space="preserve"> 0.39</w:t>
            </w:r>
          </w:p>
        </w:tc>
      </w:tr>
    </w:tbl>
    <w:p w14:paraId="22224965">
      <w:pPr>
        <w:widowControl w:val="0"/>
        <w:spacing w:before="4" w:after="0" w:line="240" w:lineRule="auto"/>
        <w:ind w:left="0" w:right="0"/>
        <w:jc w:val="left"/>
        <w:rPr>
          <w:rFonts w:ascii="黑体" w:hAnsi="宋体" w:eastAsia="宋体" w:cs="宋体"/>
          <w:sz w:val="8"/>
          <w:szCs w:val="24"/>
          <w:lang w:val="zh-CN" w:eastAsia="zh-CN" w:bidi="zh-CN"/>
        </w:rPr>
      </w:pPr>
    </w:p>
    <w:p w14:paraId="43129C98">
      <w:pPr>
        <w:widowControl w:val="0"/>
        <w:spacing w:before="66" w:after="0" w:line="240" w:lineRule="auto"/>
        <w:ind w:right="0" w:firstLine="84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1"/>
          <w:szCs w:val="24"/>
          <w:lang w:val="zh-CN" w:eastAsia="zh-CN" w:bidi="zh-CN"/>
        </w:rPr>
        <w:t>②</w:t>
      </w:r>
      <w:r>
        <w:rPr>
          <w:rFonts w:ascii="Times New Roman" w:hAnsi="Times New Roman" w:eastAsia="宋体" w:cs="Times New Roman"/>
          <w:sz w:val="24"/>
          <w:szCs w:val="24"/>
          <w:lang w:val="zh-CN" w:eastAsia="zh-CN" w:bidi="zh-CN"/>
        </w:rPr>
        <w:t>小呼吸排放量</w:t>
      </w:r>
    </w:p>
    <w:p w14:paraId="0B2A12D9">
      <w:pPr>
        <w:keepNext w:val="0"/>
        <w:keepLines w:val="0"/>
        <w:widowControl/>
        <w:suppressLineNumbers w:val="0"/>
        <w:jc w:val="both"/>
        <w:rPr>
          <w:rFonts w:ascii="Times New Roman" w:hAnsi="宋体" w:eastAsia="宋体" w:cs="宋体"/>
          <w:sz w:val="14"/>
          <w:szCs w:val="22"/>
          <w:lang w:val="zh-CN" w:bidi="zh-CN"/>
        </w:rPr>
      </w:pPr>
    </w:p>
    <w:p w14:paraId="3AFB9140">
      <w:pPr>
        <w:widowControl w:val="0"/>
        <w:spacing w:before="203" w:after="0" w:line="240" w:lineRule="auto"/>
        <w:ind w:left="466" w:right="0"/>
        <w:jc w:val="left"/>
        <w:rPr>
          <w:rFonts w:ascii="宋体" w:hAnsi="宋体" w:eastAsia="宋体" w:cs="宋体"/>
          <w:sz w:val="24"/>
          <w:szCs w:val="24"/>
          <w:lang w:val="zh-CN" w:eastAsia="zh-CN" w:bidi="zh-CN"/>
        </w:rPr>
      </w:pPr>
      <w:r>
        <w:rPr>
          <w:rFonts w:ascii="宋体" w:hAnsi="宋体" w:eastAsia="宋体" w:cs="宋体"/>
          <w:sz w:val="24"/>
          <w:szCs w:val="24"/>
          <w:lang w:val="en-US" w:eastAsia="zh-CN" w:bidi="ar"/>
        </w:rPr>
        <w:drawing>
          <wp:anchor distT="0" distB="0" distL="114300" distR="114300" simplePos="0" relativeHeight="251660288" behindDoc="0" locked="0" layoutInCell="1" allowOverlap="1">
            <wp:simplePos x="0" y="0"/>
            <wp:positionH relativeFrom="column">
              <wp:posOffset>1264285</wp:posOffset>
            </wp:positionH>
            <wp:positionV relativeFrom="paragraph">
              <wp:posOffset>99695</wp:posOffset>
            </wp:positionV>
            <wp:extent cx="3623310" cy="321310"/>
            <wp:effectExtent l="0" t="0" r="0" b="0"/>
            <wp:wrapTopAndBottom/>
            <wp:docPr id="36" name="_x0000_s2111"/>
            <wp:cNvGraphicFramePr/>
            <a:graphic xmlns:a="http://schemas.openxmlformats.org/drawingml/2006/main">
              <a:graphicData uri="http://schemas.openxmlformats.org/drawingml/2006/picture">
                <pic:pic xmlns:pic="http://schemas.openxmlformats.org/drawingml/2006/picture">
                  <pic:nvPicPr>
                    <pic:cNvPr id="36" name="_x0000_s2111"/>
                    <pic:cNvPicPr/>
                  </pic:nvPicPr>
                  <pic:blipFill>
                    <a:blip r:embed="rId50"/>
                    <a:stretch>
                      <a:fillRect/>
                    </a:stretch>
                  </pic:blipFill>
                  <pic:spPr>
                    <a:xfrm>
                      <a:off x="0" y="0"/>
                      <a:ext cx="3623310" cy="321310"/>
                    </a:xfrm>
                    <a:prstGeom prst="rect">
                      <a:avLst/>
                    </a:prstGeom>
                    <a:noFill/>
                    <a:ln>
                      <a:noFill/>
                    </a:ln>
                  </pic:spPr>
                </pic:pic>
              </a:graphicData>
            </a:graphic>
          </wp:anchor>
        </w:drawing>
      </w:r>
      <w:r>
        <w:rPr>
          <w:rFonts w:ascii="宋体" w:hAnsi="宋体" w:eastAsia="宋体" w:cs="宋体"/>
          <w:position w:val="2"/>
          <w:sz w:val="24"/>
          <w:szCs w:val="24"/>
          <w:lang w:val="zh-CN" w:eastAsia="zh-CN" w:bidi="zh-CN"/>
        </w:rPr>
        <w:t>中：</w:t>
      </w:r>
      <w:r>
        <w:rPr>
          <w:rFonts w:ascii="Times New Roman" w:hAnsi="Times New Roman" w:eastAsia="Times New Roman" w:cs="宋体"/>
          <w:position w:val="2"/>
          <w:sz w:val="24"/>
          <w:szCs w:val="24"/>
          <w:lang w:val="zh-CN" w:eastAsia="zh-CN" w:bidi="zh-CN"/>
        </w:rPr>
        <w:t>L</w:t>
      </w:r>
      <w:r>
        <w:rPr>
          <w:rFonts w:ascii="Times New Roman" w:hAnsi="Times New Roman" w:eastAsia="Times New Roman" w:cs="宋体"/>
          <w:position w:val="2"/>
          <w:sz w:val="24"/>
          <w:szCs w:val="24"/>
          <w:vertAlign w:val="subscript"/>
          <w:lang w:val="zh-CN" w:eastAsia="zh-CN" w:bidi="zh-CN"/>
        </w:rPr>
        <w:t>B</w:t>
      </w:r>
      <w:r>
        <w:rPr>
          <w:rFonts w:ascii="宋体" w:hAnsi="宋体" w:eastAsia="宋体" w:cs="宋体"/>
          <w:position w:val="2"/>
          <w:sz w:val="24"/>
          <w:szCs w:val="24"/>
          <w:vertAlign w:val="baseline"/>
          <w:lang w:val="zh-CN" w:eastAsia="zh-CN" w:bidi="zh-CN"/>
        </w:rPr>
        <w:t>—储罐的呼吸排放量</w:t>
      </w:r>
      <w:r>
        <w:rPr>
          <w:rFonts w:ascii="Times New Roman" w:hAnsi="Times New Roman" w:eastAsia="Times New Roman" w:cs="宋体"/>
          <w:position w:val="2"/>
          <w:sz w:val="24"/>
          <w:szCs w:val="24"/>
          <w:vertAlign w:val="baseline"/>
          <w:lang w:val="zh-CN" w:eastAsia="zh-CN" w:bidi="zh-CN"/>
        </w:rPr>
        <w:t>(kg/a)</w:t>
      </w:r>
      <w:r>
        <w:rPr>
          <w:rFonts w:ascii="宋体" w:hAnsi="宋体" w:eastAsia="宋体" w:cs="宋体"/>
          <w:position w:val="2"/>
          <w:sz w:val="24"/>
          <w:szCs w:val="24"/>
          <w:vertAlign w:val="baseline"/>
          <w:lang w:val="zh-CN" w:eastAsia="zh-CN" w:bidi="zh-CN"/>
        </w:rPr>
        <w:t>；</w:t>
      </w:r>
    </w:p>
    <w:p w14:paraId="4DFAEFB4">
      <w:pPr>
        <w:widowControl w:val="0"/>
        <w:spacing w:before="172" w:after="0" w:line="240" w:lineRule="auto"/>
        <w:ind w:left="1186" w:right="0"/>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D</w:t>
      </w:r>
      <w:r>
        <w:rPr>
          <w:rFonts w:ascii="宋体" w:hAnsi="宋体" w:eastAsia="宋体" w:cs="宋体"/>
          <w:sz w:val="24"/>
          <w:szCs w:val="24"/>
          <w:lang w:val="zh-CN" w:eastAsia="zh-CN" w:bidi="zh-CN"/>
        </w:rPr>
        <w:t>—罐的直径</w:t>
      </w:r>
      <w:r>
        <w:rPr>
          <w:rFonts w:ascii="Times New Roman" w:hAnsi="Times New Roman" w:eastAsia="Times New Roman" w:cs="宋体"/>
          <w:sz w:val="24"/>
          <w:szCs w:val="24"/>
          <w:lang w:val="zh-CN" w:eastAsia="zh-CN" w:bidi="zh-CN"/>
        </w:rPr>
        <w:t>(m)</w:t>
      </w:r>
      <w:r>
        <w:rPr>
          <w:rFonts w:ascii="宋体" w:hAnsi="宋体" w:eastAsia="宋体" w:cs="宋体"/>
          <w:sz w:val="24"/>
          <w:szCs w:val="24"/>
          <w:lang w:val="zh-CN" w:eastAsia="zh-CN" w:bidi="zh-CN"/>
        </w:rPr>
        <w:t>；</w:t>
      </w:r>
    </w:p>
    <w:p w14:paraId="35C4A2C3">
      <w:pPr>
        <w:widowControl w:val="0"/>
        <w:spacing w:before="172" w:after="0" w:line="240" w:lineRule="auto"/>
        <w:ind w:left="1186" w:right="0"/>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H</w:t>
      </w:r>
      <w:r>
        <w:rPr>
          <w:rFonts w:ascii="宋体" w:hAnsi="宋体" w:eastAsia="宋体" w:cs="宋体"/>
          <w:sz w:val="24"/>
          <w:szCs w:val="24"/>
          <w:lang w:val="zh-CN" w:eastAsia="zh-CN" w:bidi="zh-CN"/>
        </w:rPr>
        <w:t>—平均蒸气空间高度</w:t>
      </w:r>
      <w:r>
        <w:rPr>
          <w:rFonts w:ascii="Times New Roman" w:hAnsi="Times New Roman" w:eastAsia="Times New Roman" w:cs="宋体"/>
          <w:sz w:val="24"/>
          <w:szCs w:val="24"/>
          <w:lang w:val="zh-CN" w:eastAsia="zh-CN" w:bidi="zh-CN"/>
        </w:rPr>
        <w:t>(m)</w:t>
      </w:r>
      <w:r>
        <w:rPr>
          <w:rFonts w:ascii="宋体" w:hAnsi="宋体" w:eastAsia="宋体" w:cs="宋体"/>
          <w:sz w:val="24"/>
          <w:szCs w:val="24"/>
          <w:lang w:val="zh-CN" w:eastAsia="zh-CN" w:bidi="zh-CN"/>
        </w:rPr>
        <w:t>；</w:t>
      </w:r>
    </w:p>
    <w:p w14:paraId="36D6BB86">
      <w:pPr>
        <w:widowControl w:val="0"/>
        <w:spacing w:before="173" w:after="0" w:line="240" w:lineRule="auto"/>
        <w:ind w:left="1186" w:right="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w:t>
      </w:r>
      <w:r>
        <w:rPr>
          <w:rFonts w:ascii="Times New Roman" w:hAnsi="Times New Roman" w:eastAsia="Times New Roman" w:cs="宋体"/>
          <w:sz w:val="24"/>
          <w:szCs w:val="24"/>
          <w:lang w:val="zh-CN" w:eastAsia="zh-CN" w:bidi="zh-CN"/>
        </w:rPr>
        <w:t>T</w:t>
      </w:r>
      <w:r>
        <w:rPr>
          <w:rFonts w:ascii="宋体" w:hAnsi="宋体" w:eastAsia="宋体" w:cs="宋体"/>
          <w:sz w:val="24"/>
          <w:szCs w:val="24"/>
          <w:lang w:val="zh-CN" w:eastAsia="zh-CN" w:bidi="zh-CN"/>
        </w:rPr>
        <w:t>—一天之内的平均温度差</w:t>
      </w:r>
      <w:r>
        <w:rPr>
          <w:rFonts w:ascii="Times New Roman" w:hAnsi="Times New Roman" w:eastAsia="Times New Roman" w:cs="宋体"/>
          <w:sz w:val="24"/>
          <w:szCs w:val="24"/>
          <w:lang w:val="zh-CN" w:eastAsia="zh-CN" w:bidi="zh-CN"/>
        </w:rPr>
        <w:t>(</w:t>
      </w:r>
      <w:r>
        <w:rPr>
          <w:rFonts w:ascii="宋体" w:hAnsi="宋体" w:eastAsia="宋体" w:cs="宋体"/>
          <w:sz w:val="24"/>
          <w:szCs w:val="24"/>
          <w:lang w:val="zh-CN" w:eastAsia="zh-CN" w:bidi="zh-CN"/>
        </w:rPr>
        <w:t>℃</w:t>
      </w:r>
      <w:r>
        <w:rPr>
          <w:rFonts w:ascii="Times New Roman" w:hAnsi="Times New Roman" w:eastAsia="Times New Roman" w:cs="宋体"/>
          <w:sz w:val="24"/>
          <w:szCs w:val="24"/>
          <w:lang w:val="zh-CN" w:eastAsia="zh-CN" w:bidi="zh-CN"/>
        </w:rPr>
        <w:t>)</w:t>
      </w:r>
      <w:r>
        <w:rPr>
          <w:rFonts w:ascii="宋体" w:hAnsi="宋体" w:eastAsia="宋体" w:cs="宋体"/>
          <w:sz w:val="24"/>
          <w:szCs w:val="24"/>
          <w:lang w:val="zh-CN" w:eastAsia="zh-CN" w:bidi="zh-CN"/>
        </w:rPr>
        <w:t>；</w:t>
      </w:r>
    </w:p>
    <w:p w14:paraId="40747C6C">
      <w:pPr>
        <w:widowControl w:val="0"/>
        <w:spacing w:before="172" w:after="0" w:line="240" w:lineRule="auto"/>
        <w:ind w:left="1186" w:right="0"/>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Fp</w:t>
      </w:r>
      <w:r>
        <w:rPr>
          <w:rFonts w:ascii="宋体" w:hAnsi="宋体" w:eastAsia="宋体" w:cs="宋体"/>
          <w:sz w:val="24"/>
          <w:szCs w:val="24"/>
          <w:lang w:val="zh-CN" w:eastAsia="zh-CN" w:bidi="zh-CN"/>
        </w:rPr>
        <w:t>—涂层因子（无量纲）根据储存液体状况取值在</w:t>
      </w:r>
      <w:r>
        <w:rPr>
          <w:rFonts w:ascii="Times New Roman" w:hAnsi="Times New Roman" w:eastAsia="Times New Roman" w:cs="宋体"/>
          <w:sz w:val="24"/>
          <w:szCs w:val="24"/>
          <w:lang w:val="zh-CN" w:eastAsia="zh-CN" w:bidi="zh-CN"/>
        </w:rPr>
        <w:t>1</w:t>
      </w:r>
      <w:r>
        <w:rPr>
          <w:rFonts w:ascii="宋体" w:hAnsi="宋体" w:eastAsia="宋体" w:cs="宋体"/>
          <w:sz w:val="24"/>
          <w:szCs w:val="24"/>
          <w:lang w:val="zh-CN" w:eastAsia="zh-CN" w:bidi="zh-CN"/>
        </w:rPr>
        <w:t>～</w:t>
      </w:r>
      <w:r>
        <w:rPr>
          <w:rFonts w:ascii="Times New Roman" w:hAnsi="Times New Roman" w:eastAsia="Times New Roman" w:cs="宋体"/>
          <w:sz w:val="24"/>
          <w:szCs w:val="24"/>
          <w:lang w:val="zh-CN" w:eastAsia="zh-CN" w:bidi="zh-CN"/>
        </w:rPr>
        <w:t>1.5</w:t>
      </w:r>
      <w:r>
        <w:rPr>
          <w:rFonts w:ascii="宋体" w:hAnsi="宋体" w:eastAsia="宋体" w:cs="宋体"/>
          <w:sz w:val="24"/>
          <w:szCs w:val="24"/>
          <w:lang w:val="zh-CN" w:eastAsia="zh-CN" w:bidi="zh-CN"/>
        </w:rPr>
        <w:t>之间；</w:t>
      </w:r>
    </w:p>
    <w:p w14:paraId="509DA2EF">
      <w:pPr>
        <w:widowControl w:val="0"/>
        <w:spacing w:before="173" w:after="0" w:line="240" w:lineRule="auto"/>
        <w:ind w:left="1186" w:right="0"/>
        <w:jc w:val="left"/>
        <w:rPr>
          <w:rFonts w:ascii="Times New Roman" w:hAnsi="Times New Roman" w:eastAsia="Times New Roman" w:cs="宋体"/>
          <w:sz w:val="24"/>
          <w:szCs w:val="24"/>
          <w:lang w:val="zh-CN" w:eastAsia="zh-CN" w:bidi="zh-CN"/>
        </w:rPr>
      </w:pPr>
      <w:r>
        <w:rPr>
          <w:rFonts w:ascii="Times New Roman" w:hAnsi="Times New Roman" w:eastAsia="Times New Roman" w:cs="宋体"/>
          <w:sz w:val="24"/>
          <w:szCs w:val="24"/>
          <w:lang w:val="zh-CN" w:eastAsia="zh-CN" w:bidi="zh-CN"/>
        </w:rPr>
        <w:t>C</w:t>
      </w:r>
      <w:r>
        <w:rPr>
          <w:rFonts w:ascii="宋体" w:hAnsi="宋体" w:eastAsia="宋体" w:cs="宋体"/>
          <w:sz w:val="24"/>
          <w:szCs w:val="24"/>
          <w:lang w:val="zh-CN" w:eastAsia="zh-CN" w:bidi="zh-CN"/>
        </w:rPr>
        <w:t>—用于小直径罐的调节因子（无量纲）；直径在</w:t>
      </w:r>
      <w:r>
        <w:rPr>
          <w:rFonts w:ascii="Times New Roman" w:hAnsi="Times New Roman" w:eastAsia="Times New Roman" w:cs="宋体"/>
          <w:sz w:val="24"/>
          <w:szCs w:val="24"/>
          <w:lang w:val="zh-CN" w:eastAsia="zh-CN" w:bidi="zh-CN"/>
        </w:rPr>
        <w:t>0</w:t>
      </w:r>
      <w:r>
        <w:rPr>
          <w:rFonts w:ascii="宋体" w:hAnsi="宋体" w:eastAsia="宋体" w:cs="宋体"/>
          <w:sz w:val="24"/>
          <w:szCs w:val="24"/>
          <w:lang w:val="zh-CN" w:eastAsia="zh-CN" w:bidi="zh-CN"/>
        </w:rPr>
        <w:t>～</w:t>
      </w:r>
      <w:r>
        <w:rPr>
          <w:rFonts w:ascii="Times New Roman" w:hAnsi="Times New Roman" w:eastAsia="Times New Roman" w:cs="宋体"/>
          <w:sz w:val="24"/>
          <w:szCs w:val="24"/>
          <w:lang w:val="zh-CN" w:eastAsia="zh-CN" w:bidi="zh-CN"/>
        </w:rPr>
        <w:t>9m</w:t>
      </w:r>
      <w:r>
        <w:rPr>
          <w:rFonts w:ascii="宋体" w:hAnsi="宋体" w:eastAsia="宋体" w:cs="宋体"/>
          <w:sz w:val="24"/>
          <w:szCs w:val="24"/>
          <w:lang w:val="zh-CN" w:eastAsia="zh-CN" w:bidi="zh-CN"/>
        </w:rPr>
        <w:t>之间的罐体，</w:t>
      </w:r>
      <w:r>
        <w:rPr>
          <w:rFonts w:ascii="Times New Roman" w:hAnsi="Times New Roman" w:eastAsia="Times New Roman" w:cs="宋体"/>
          <w:sz w:val="24"/>
          <w:szCs w:val="24"/>
          <w:lang w:val="zh-CN" w:eastAsia="zh-CN" w:bidi="zh-CN"/>
        </w:rPr>
        <w:t>C</w:t>
      </w:r>
    </w:p>
    <w:p w14:paraId="6729B0BD">
      <w:pPr>
        <w:widowControl w:val="0"/>
        <w:spacing w:before="172" w:after="0" w:line="240" w:lineRule="auto"/>
        <w:ind w:left="466" w:right="0"/>
        <w:jc w:val="left"/>
        <w:rPr>
          <w:rFonts w:ascii="宋体" w:hAnsi="宋体" w:eastAsia="宋体" w:cs="宋体"/>
          <w:sz w:val="24"/>
          <w:szCs w:val="24"/>
          <w:lang w:val="zh-CN" w:eastAsia="zh-CN" w:bidi="zh-CN"/>
        </w:rPr>
      </w:pPr>
      <w:r>
        <w:rPr>
          <w:rFonts w:ascii="Times New Roman" w:hAnsi="宋体" w:eastAsia="Times New Roman" w:cs="宋体"/>
          <w:sz w:val="24"/>
          <w:szCs w:val="24"/>
          <w:lang w:val="zh-CN" w:eastAsia="zh-CN" w:bidi="zh-CN"/>
        </w:rPr>
        <w:t>=1-0.0123(D-9)</w:t>
      </w:r>
      <w:r>
        <w:rPr>
          <w:rFonts w:ascii="Times New Roman" w:hAnsi="宋体" w:eastAsia="Times New Roman" w:cs="宋体"/>
          <w:position w:val="8"/>
          <w:sz w:val="15"/>
          <w:szCs w:val="24"/>
          <w:lang w:val="zh-CN" w:eastAsia="zh-CN" w:bidi="zh-CN"/>
        </w:rPr>
        <w:t>2</w:t>
      </w:r>
      <w:r>
        <w:rPr>
          <w:rFonts w:ascii="宋体" w:hAnsi="宋体" w:eastAsia="宋体" w:cs="宋体"/>
          <w:sz w:val="24"/>
          <w:szCs w:val="24"/>
          <w:lang w:val="zh-CN" w:eastAsia="zh-CN" w:bidi="zh-CN"/>
        </w:rPr>
        <w:t>；罐径大于</w:t>
      </w:r>
      <w:r>
        <w:rPr>
          <w:rFonts w:ascii="Times New Roman" w:hAnsi="宋体" w:eastAsia="Times New Roman" w:cs="宋体"/>
          <w:sz w:val="24"/>
          <w:szCs w:val="24"/>
          <w:lang w:val="zh-CN" w:eastAsia="zh-CN" w:bidi="zh-CN"/>
        </w:rPr>
        <w:t>9m</w:t>
      </w:r>
      <w:r>
        <w:rPr>
          <w:rFonts w:ascii="宋体" w:hAnsi="宋体" w:eastAsia="宋体" w:cs="宋体"/>
          <w:sz w:val="24"/>
          <w:szCs w:val="24"/>
          <w:lang w:val="zh-CN" w:eastAsia="zh-CN" w:bidi="zh-CN"/>
        </w:rPr>
        <w:t>的</w:t>
      </w:r>
      <w:r>
        <w:rPr>
          <w:rFonts w:ascii="Times New Roman" w:hAnsi="宋体" w:eastAsia="Times New Roman" w:cs="宋体"/>
          <w:sz w:val="24"/>
          <w:szCs w:val="24"/>
          <w:lang w:val="zh-CN" w:eastAsia="zh-CN" w:bidi="zh-CN"/>
        </w:rPr>
        <w:t>C=1</w:t>
      </w:r>
      <w:r>
        <w:rPr>
          <w:rFonts w:ascii="宋体" w:hAnsi="宋体" w:eastAsia="宋体" w:cs="宋体"/>
          <w:sz w:val="24"/>
          <w:szCs w:val="24"/>
          <w:lang w:val="zh-CN" w:eastAsia="zh-CN" w:bidi="zh-CN"/>
        </w:rPr>
        <w:t>；</w:t>
      </w:r>
    </w:p>
    <w:p w14:paraId="42429919">
      <w:pPr>
        <w:widowControl w:val="0"/>
        <w:spacing w:before="173" w:after="0" w:line="372" w:lineRule="auto"/>
        <w:ind w:left="1666" w:right="1878" w:firstLine="0"/>
        <w:jc w:val="left"/>
        <w:rPr>
          <w:rFonts w:ascii="宋体" w:hAnsi="宋体" w:eastAsia="宋体" w:cs="宋体"/>
          <w:sz w:val="24"/>
          <w:szCs w:val="24"/>
          <w:lang w:val="zh-CN" w:eastAsia="zh-CN" w:bidi="zh-CN"/>
        </w:rPr>
      </w:pPr>
      <w:r>
        <w:rPr>
          <w:rFonts w:ascii="Times New Roman" w:hAnsi="Times New Roman" w:eastAsia="Times New Roman" w:cs="宋体"/>
          <w:sz w:val="24"/>
          <w:szCs w:val="24"/>
          <w:lang w:val="zh-CN" w:eastAsia="zh-CN" w:bidi="zh-CN"/>
        </w:rPr>
        <w:t>Kc</w:t>
      </w:r>
      <w:r>
        <w:rPr>
          <w:rFonts w:ascii="宋体" w:hAnsi="宋体" w:eastAsia="宋体" w:cs="宋体"/>
          <w:sz w:val="24"/>
          <w:szCs w:val="24"/>
          <w:lang w:val="zh-CN" w:eastAsia="zh-CN" w:bidi="zh-CN"/>
        </w:rPr>
        <w:t>—产品因子（石油原油</w:t>
      </w:r>
      <w:r>
        <w:rPr>
          <w:rFonts w:ascii="Times New Roman" w:hAnsi="Times New Roman" w:eastAsia="Times New Roman" w:cs="宋体"/>
          <w:sz w:val="24"/>
          <w:szCs w:val="24"/>
          <w:lang w:val="zh-CN" w:eastAsia="zh-CN" w:bidi="zh-CN"/>
        </w:rPr>
        <w:t>Kc</w:t>
      </w:r>
      <w:r>
        <w:rPr>
          <w:rFonts w:ascii="宋体" w:hAnsi="宋体" w:eastAsia="宋体" w:cs="宋体"/>
          <w:sz w:val="24"/>
          <w:szCs w:val="24"/>
          <w:lang w:val="zh-CN" w:eastAsia="zh-CN" w:bidi="zh-CN"/>
        </w:rPr>
        <w:t>取</w:t>
      </w:r>
      <w:r>
        <w:rPr>
          <w:rFonts w:ascii="Times New Roman" w:hAnsi="Times New Roman" w:eastAsia="Times New Roman" w:cs="宋体"/>
          <w:sz w:val="24"/>
          <w:szCs w:val="24"/>
          <w:lang w:val="zh-CN" w:eastAsia="zh-CN" w:bidi="zh-CN"/>
        </w:rPr>
        <w:t>0.65</w:t>
      </w:r>
      <w:r>
        <w:rPr>
          <w:rFonts w:ascii="宋体" w:hAnsi="宋体" w:eastAsia="宋体" w:cs="宋体"/>
          <w:sz w:val="24"/>
          <w:szCs w:val="24"/>
          <w:lang w:val="zh-CN" w:eastAsia="zh-CN" w:bidi="zh-CN"/>
        </w:rPr>
        <w:t>，其他的有机液体取</w:t>
      </w:r>
      <w:r>
        <w:rPr>
          <w:rFonts w:ascii="Times New Roman" w:hAnsi="Times New Roman" w:eastAsia="Times New Roman" w:cs="宋体"/>
          <w:sz w:val="24"/>
          <w:szCs w:val="24"/>
          <w:lang w:val="zh-CN" w:eastAsia="zh-CN" w:bidi="zh-CN"/>
        </w:rPr>
        <w:t>1.0</w:t>
      </w:r>
      <w:r>
        <w:rPr>
          <w:rFonts w:ascii="宋体" w:hAnsi="宋体" w:eastAsia="宋体" w:cs="宋体"/>
          <w:sz w:val="24"/>
          <w:szCs w:val="24"/>
          <w:lang w:val="zh-CN" w:eastAsia="zh-CN" w:bidi="zh-CN"/>
        </w:rPr>
        <w:t>）。</w:t>
      </w:r>
      <w:r>
        <w:rPr>
          <w:rFonts w:ascii="Times New Roman" w:hAnsi="Times New Roman" w:eastAsia="Times New Roman" w:cs="宋体"/>
          <w:position w:val="2"/>
          <w:sz w:val="24"/>
          <w:szCs w:val="24"/>
          <w:lang w:val="zh-CN" w:eastAsia="zh-CN" w:bidi="zh-CN"/>
        </w:rPr>
        <w:t>η</w:t>
      </w:r>
      <w:r>
        <w:rPr>
          <w:rFonts w:ascii="Times New Roman" w:hAnsi="Times New Roman" w:eastAsia="Times New Roman" w:cs="宋体"/>
          <w:position w:val="2"/>
          <w:sz w:val="24"/>
          <w:szCs w:val="24"/>
          <w:vertAlign w:val="subscript"/>
          <w:lang w:val="zh-CN" w:eastAsia="zh-CN" w:bidi="zh-CN"/>
        </w:rPr>
        <w:t>1</w:t>
      </w:r>
      <w:r>
        <w:rPr>
          <w:rFonts w:ascii="宋体" w:hAnsi="宋体" w:eastAsia="宋体" w:cs="宋体"/>
          <w:position w:val="2"/>
          <w:sz w:val="24"/>
          <w:szCs w:val="24"/>
          <w:vertAlign w:val="baseline"/>
          <w:lang w:val="zh-CN" w:eastAsia="zh-CN" w:bidi="zh-CN"/>
        </w:rPr>
        <w:t>—内浮顶储罐取</w:t>
      </w:r>
      <w:r>
        <w:rPr>
          <w:rFonts w:ascii="Times New Roman" w:hAnsi="Times New Roman" w:eastAsia="Times New Roman" w:cs="宋体"/>
          <w:position w:val="2"/>
          <w:sz w:val="24"/>
          <w:szCs w:val="24"/>
          <w:vertAlign w:val="baseline"/>
          <w:lang w:val="zh-CN" w:eastAsia="zh-CN" w:bidi="zh-CN"/>
        </w:rPr>
        <w:t>0.05</w:t>
      </w:r>
      <w:r>
        <w:rPr>
          <w:rFonts w:ascii="宋体" w:hAnsi="宋体" w:eastAsia="宋体" w:cs="宋体"/>
          <w:position w:val="2"/>
          <w:sz w:val="24"/>
          <w:szCs w:val="24"/>
          <w:vertAlign w:val="baseline"/>
          <w:lang w:val="zh-CN" w:eastAsia="zh-CN" w:bidi="zh-CN"/>
        </w:rPr>
        <w:t>，拱顶罐取</w:t>
      </w:r>
      <w:r>
        <w:rPr>
          <w:rFonts w:ascii="Times New Roman" w:hAnsi="Times New Roman" w:eastAsia="Times New Roman" w:cs="宋体"/>
          <w:position w:val="2"/>
          <w:sz w:val="24"/>
          <w:szCs w:val="24"/>
          <w:vertAlign w:val="baseline"/>
          <w:lang w:val="zh-CN" w:eastAsia="zh-CN" w:bidi="zh-CN"/>
        </w:rPr>
        <w:t>1</w:t>
      </w:r>
      <w:r>
        <w:rPr>
          <w:rFonts w:ascii="宋体" w:hAnsi="宋体" w:eastAsia="宋体" w:cs="宋体"/>
          <w:position w:val="2"/>
          <w:sz w:val="24"/>
          <w:szCs w:val="24"/>
          <w:vertAlign w:val="baseline"/>
          <w:lang w:val="zh-CN" w:eastAsia="zh-CN" w:bidi="zh-CN"/>
        </w:rPr>
        <w:t>。</w:t>
      </w:r>
    </w:p>
    <w:p w14:paraId="01F93B28">
      <w:pPr>
        <w:widowControl w:val="0"/>
        <w:spacing w:before="0" w:after="0" w:line="311" w:lineRule="exact"/>
        <w:ind w:left="1186" w:right="0"/>
        <w:jc w:val="left"/>
        <w:rPr>
          <w:rFonts w:ascii="宋体" w:hAnsi="宋体" w:eastAsia="宋体" w:cs="宋体"/>
          <w:sz w:val="24"/>
          <w:szCs w:val="24"/>
          <w:lang w:val="zh-CN" w:eastAsia="zh-CN" w:bidi="zh-CN"/>
        </w:rPr>
      </w:pPr>
      <w:r>
        <w:rPr>
          <w:rFonts w:ascii="Times New Roman" w:hAnsi="Times New Roman" w:eastAsia="Times New Roman" w:cs="宋体"/>
          <w:position w:val="2"/>
          <w:sz w:val="24"/>
          <w:szCs w:val="24"/>
          <w:lang w:val="zh-CN" w:eastAsia="zh-CN" w:bidi="zh-CN"/>
        </w:rPr>
        <w:t>η</w:t>
      </w:r>
      <w:r>
        <w:rPr>
          <w:rFonts w:ascii="Times New Roman" w:hAnsi="Times New Roman" w:eastAsia="Times New Roman" w:cs="宋体"/>
          <w:position w:val="2"/>
          <w:sz w:val="24"/>
          <w:szCs w:val="24"/>
          <w:vertAlign w:val="subscript"/>
          <w:lang w:val="zh-CN" w:eastAsia="zh-CN" w:bidi="zh-CN"/>
        </w:rPr>
        <w:t>2</w:t>
      </w:r>
      <w:r>
        <w:rPr>
          <w:rFonts w:ascii="宋体" w:hAnsi="宋体" w:eastAsia="宋体" w:cs="宋体"/>
          <w:position w:val="2"/>
          <w:sz w:val="24"/>
          <w:szCs w:val="24"/>
          <w:vertAlign w:val="baseline"/>
          <w:lang w:val="zh-CN" w:eastAsia="zh-CN" w:bidi="zh-CN"/>
        </w:rPr>
        <w:t>—设置呼吸阀取</w:t>
      </w:r>
      <w:r>
        <w:rPr>
          <w:rFonts w:ascii="Times New Roman" w:hAnsi="Times New Roman" w:eastAsia="Times New Roman" w:cs="宋体"/>
          <w:position w:val="2"/>
          <w:sz w:val="24"/>
          <w:szCs w:val="24"/>
          <w:vertAlign w:val="baseline"/>
          <w:lang w:val="zh-CN" w:eastAsia="zh-CN" w:bidi="zh-CN"/>
        </w:rPr>
        <w:t>0.7</w:t>
      </w:r>
      <w:r>
        <w:rPr>
          <w:rFonts w:ascii="宋体" w:hAnsi="宋体" w:eastAsia="宋体" w:cs="宋体"/>
          <w:position w:val="2"/>
          <w:sz w:val="24"/>
          <w:szCs w:val="24"/>
          <w:vertAlign w:val="baseline"/>
          <w:lang w:val="zh-CN" w:eastAsia="zh-CN" w:bidi="zh-CN"/>
        </w:rPr>
        <w:t>，不设呼吸阀取</w:t>
      </w:r>
      <w:r>
        <w:rPr>
          <w:rFonts w:ascii="Times New Roman" w:hAnsi="Times New Roman" w:eastAsia="Times New Roman" w:cs="宋体"/>
          <w:position w:val="2"/>
          <w:sz w:val="24"/>
          <w:szCs w:val="24"/>
          <w:vertAlign w:val="baseline"/>
          <w:lang w:val="zh-CN" w:eastAsia="zh-CN" w:bidi="zh-CN"/>
        </w:rPr>
        <w:t>1</w:t>
      </w:r>
      <w:r>
        <w:rPr>
          <w:rFonts w:ascii="宋体" w:hAnsi="宋体" w:eastAsia="宋体" w:cs="宋体"/>
          <w:position w:val="2"/>
          <w:sz w:val="24"/>
          <w:szCs w:val="24"/>
          <w:vertAlign w:val="baseline"/>
          <w:lang w:val="zh-CN" w:eastAsia="zh-CN" w:bidi="zh-CN"/>
        </w:rPr>
        <w:t>。</w:t>
      </w:r>
    </w:p>
    <w:p w14:paraId="492C02C9">
      <w:pPr>
        <w:widowControl w:val="0"/>
        <w:spacing w:before="171" w:after="0" w:line="240" w:lineRule="auto"/>
        <w:ind w:right="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根据以上公式及参数，可计算出储罐小呼吸产生的污染源强，见</w:t>
      </w:r>
      <w:r>
        <w:rPr>
          <w:rFonts w:ascii="Times New Roman" w:hAnsi="Times New Roman" w:eastAsia="宋体" w:cs="Times New Roman"/>
          <w:sz w:val="24"/>
          <w:szCs w:val="24"/>
          <w:lang w:val="zh-CN" w:eastAsia="zh-CN" w:bidi="zh-CN"/>
        </w:rPr>
        <w:t>表</w:t>
      </w:r>
      <w:r>
        <w:rPr>
          <w:rFonts w:ascii="Times New Roman" w:hAnsi="Times New Roman" w:eastAsia="宋体" w:cs="Times New Roman"/>
          <w:sz w:val="24"/>
          <w:szCs w:val="24"/>
          <w:lang w:val="en-US" w:eastAsia="zh-CN" w:bidi="zh-CN"/>
        </w:rPr>
        <w:t>4.3</w:t>
      </w:r>
      <w:r>
        <w:rPr>
          <w:rFonts w:ascii="Times New Roman" w:hAnsi="Times New Roman" w:eastAsia="宋体" w:cs="Times New Roman"/>
          <w:sz w:val="24"/>
          <w:szCs w:val="24"/>
          <w:lang w:val="zh-CN" w:eastAsia="zh-CN" w:bidi="zh-CN"/>
        </w:rPr>
        <w:t>-</w:t>
      </w:r>
      <w:r>
        <w:rPr>
          <w:rFonts w:hint="eastAsia" w:ascii="Times New Roman" w:hAnsi="Times New Roman" w:eastAsia="宋体" w:cs="Times New Roman"/>
          <w:sz w:val="24"/>
          <w:szCs w:val="24"/>
          <w:lang w:val="en-US" w:eastAsia="zh-CN" w:bidi="zh-CN"/>
        </w:rPr>
        <w:t>12</w:t>
      </w:r>
      <w:r>
        <w:rPr>
          <w:rFonts w:ascii="Times New Roman" w:hAnsi="Times New Roman" w:eastAsia="宋体" w:cs="Times New Roman"/>
          <w:sz w:val="24"/>
          <w:szCs w:val="24"/>
          <w:lang w:val="zh-CN" w:eastAsia="zh-CN" w:bidi="zh-CN"/>
        </w:rPr>
        <w:t>。</w:t>
      </w:r>
    </w:p>
    <w:p w14:paraId="6A537D36">
      <w:pPr>
        <w:widowControl w:val="0"/>
        <w:spacing w:before="146" w:after="28" w:line="240" w:lineRule="auto"/>
        <w:ind w:left="4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ascii="Times New Roman" w:hAnsi="Times New Roman" w:eastAsia="宋体" w:cs="Times New Roman"/>
          <w:b/>
          <w:bCs/>
          <w:sz w:val="24"/>
          <w:szCs w:val="24"/>
          <w:lang w:val="en-US" w:eastAsia="zh-CN" w:bidi="zh-CN"/>
        </w:rPr>
        <w:t>4</w:t>
      </w:r>
      <w:r>
        <w:rPr>
          <w:rFonts w:ascii="Times New Roman" w:hAnsi="Times New Roman" w:eastAsia="宋体" w:cs="Times New Roman"/>
          <w:b/>
          <w:bCs/>
          <w:sz w:val="24"/>
          <w:szCs w:val="24"/>
          <w:lang w:val="zh-CN" w:eastAsia="zh-CN" w:bidi="zh-CN"/>
        </w:rPr>
        <w:t>.3-</w:t>
      </w:r>
      <w:r>
        <w:rPr>
          <w:rFonts w:hint="eastAsia" w:ascii="Times New Roman" w:hAnsi="Times New Roman" w:eastAsia="宋体" w:cs="Times New Roman"/>
          <w:b/>
          <w:bCs/>
          <w:sz w:val="24"/>
          <w:szCs w:val="24"/>
          <w:lang w:val="en-US" w:eastAsia="zh-CN" w:bidi="zh-CN"/>
        </w:rPr>
        <w:t>12</w:t>
      </w:r>
      <w:r>
        <w:rPr>
          <w:rFonts w:ascii="Times New Roman" w:hAnsi="Times New Roman" w:eastAsia="宋体" w:cs="Times New Roman"/>
          <w:b/>
          <w:bCs/>
          <w:sz w:val="24"/>
          <w:szCs w:val="24"/>
          <w:lang w:val="zh-CN" w:eastAsia="zh-CN" w:bidi="zh-CN"/>
        </w:rPr>
        <w:t xml:space="preserve">  甲醛储罐小呼吸废气产生情况一览表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1"/>
        <w:gridCol w:w="538"/>
        <w:gridCol w:w="806"/>
        <w:gridCol w:w="780"/>
        <w:gridCol w:w="765"/>
        <w:gridCol w:w="801"/>
        <w:gridCol w:w="495"/>
        <w:gridCol w:w="830"/>
        <w:gridCol w:w="540"/>
        <w:gridCol w:w="610"/>
        <w:gridCol w:w="500"/>
        <w:gridCol w:w="780"/>
        <w:gridCol w:w="975"/>
      </w:tblGrid>
      <w:tr w14:paraId="7C2EF4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4" w:hRule="atLeast"/>
          <w:jc w:val="center"/>
        </w:trPr>
        <w:tc>
          <w:tcPr>
            <w:tcW w:w="761" w:type="dxa"/>
            <w:noWrap w:val="0"/>
            <w:vAlign w:val="center"/>
          </w:tcPr>
          <w:p w14:paraId="49F1614E">
            <w:pPr>
              <w:pStyle w:val="421"/>
              <w:spacing w:before="1"/>
              <w:ind w:left="0" w:right="126" w:firstLine="0"/>
              <w:jc w:val="center"/>
              <w:rPr>
                <w:rFonts w:hint="eastAsia" w:ascii="Times New Roman" w:hAnsi="Times New Roman" w:eastAsia="宋体" w:cs="Times New Roman"/>
                <w:b w:val="0"/>
                <w:bCs/>
                <w:sz w:val="21"/>
                <w:szCs w:val="21"/>
                <w:lang w:val="zh-CN" w:eastAsia="zh-CN"/>
              </w:rPr>
            </w:pPr>
          </w:p>
          <w:p w14:paraId="48928A85">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参数</w:t>
            </w:r>
          </w:p>
        </w:tc>
        <w:tc>
          <w:tcPr>
            <w:tcW w:w="538" w:type="dxa"/>
            <w:noWrap w:val="0"/>
            <w:vAlign w:val="center"/>
          </w:tcPr>
          <w:p w14:paraId="53C47527">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M</w:t>
            </w:r>
          </w:p>
        </w:tc>
        <w:tc>
          <w:tcPr>
            <w:tcW w:w="806" w:type="dxa"/>
            <w:noWrap w:val="0"/>
            <w:vAlign w:val="center"/>
          </w:tcPr>
          <w:p w14:paraId="169F275E">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P</w:t>
            </w:r>
          </w:p>
          <w:p w14:paraId="1C7DF074">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（Pa）</w:t>
            </w:r>
          </w:p>
        </w:tc>
        <w:tc>
          <w:tcPr>
            <w:tcW w:w="780" w:type="dxa"/>
            <w:noWrap w:val="0"/>
            <w:vAlign w:val="center"/>
          </w:tcPr>
          <w:p w14:paraId="0F56D632">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D</w:t>
            </w:r>
          </w:p>
          <w:p w14:paraId="6B21DC4F">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（m）</w:t>
            </w:r>
          </w:p>
        </w:tc>
        <w:tc>
          <w:tcPr>
            <w:tcW w:w="765" w:type="dxa"/>
            <w:noWrap w:val="0"/>
            <w:vAlign w:val="center"/>
          </w:tcPr>
          <w:p w14:paraId="59B7F68A">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H</w:t>
            </w:r>
          </w:p>
          <w:p w14:paraId="3DB7DA9A">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（m）</w:t>
            </w:r>
          </w:p>
        </w:tc>
        <w:tc>
          <w:tcPr>
            <w:tcW w:w="801" w:type="dxa"/>
            <w:noWrap w:val="0"/>
            <w:vAlign w:val="center"/>
          </w:tcPr>
          <w:p w14:paraId="63660C86">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△T</w:t>
            </w:r>
          </w:p>
          <w:p w14:paraId="7FA37181">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w:t>
            </w:r>
          </w:p>
        </w:tc>
        <w:tc>
          <w:tcPr>
            <w:tcW w:w="495" w:type="dxa"/>
            <w:noWrap w:val="0"/>
            <w:vAlign w:val="center"/>
          </w:tcPr>
          <w:p w14:paraId="4AC4179B">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FP</w:t>
            </w:r>
          </w:p>
        </w:tc>
        <w:tc>
          <w:tcPr>
            <w:tcW w:w="830" w:type="dxa"/>
            <w:noWrap w:val="0"/>
            <w:vAlign w:val="center"/>
          </w:tcPr>
          <w:p w14:paraId="5380ADDD">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C</w:t>
            </w:r>
          </w:p>
        </w:tc>
        <w:tc>
          <w:tcPr>
            <w:tcW w:w="540" w:type="dxa"/>
            <w:noWrap w:val="0"/>
            <w:vAlign w:val="center"/>
          </w:tcPr>
          <w:p w14:paraId="7D16B0D8">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KC</w:t>
            </w:r>
          </w:p>
        </w:tc>
        <w:tc>
          <w:tcPr>
            <w:tcW w:w="610" w:type="dxa"/>
            <w:noWrap w:val="0"/>
            <w:vAlign w:val="center"/>
          </w:tcPr>
          <w:p w14:paraId="32074AAF">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η1</w:t>
            </w:r>
          </w:p>
        </w:tc>
        <w:tc>
          <w:tcPr>
            <w:tcW w:w="500" w:type="dxa"/>
            <w:noWrap w:val="0"/>
            <w:vAlign w:val="center"/>
          </w:tcPr>
          <w:p w14:paraId="63839A65">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η2</w:t>
            </w:r>
          </w:p>
        </w:tc>
        <w:tc>
          <w:tcPr>
            <w:tcW w:w="780" w:type="dxa"/>
            <w:noWrap w:val="0"/>
            <w:vAlign w:val="center"/>
          </w:tcPr>
          <w:p w14:paraId="7F6D308E">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数量</w:t>
            </w:r>
          </w:p>
          <w:p w14:paraId="755E9134">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（个）</w:t>
            </w:r>
          </w:p>
        </w:tc>
        <w:tc>
          <w:tcPr>
            <w:tcW w:w="975" w:type="dxa"/>
            <w:noWrap w:val="0"/>
            <w:vAlign w:val="center"/>
          </w:tcPr>
          <w:p w14:paraId="570FBE55">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LB</w:t>
            </w:r>
          </w:p>
          <w:p w14:paraId="33503AB3">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（kg/a）</w:t>
            </w:r>
          </w:p>
        </w:tc>
      </w:tr>
      <w:tr w14:paraId="3C5A8F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3" w:hRule="atLeast"/>
          <w:jc w:val="center"/>
        </w:trPr>
        <w:tc>
          <w:tcPr>
            <w:tcW w:w="761" w:type="dxa"/>
            <w:noWrap w:val="0"/>
            <w:vAlign w:val="center"/>
          </w:tcPr>
          <w:p w14:paraId="1670A20F">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甲醛</w:t>
            </w:r>
          </w:p>
          <w:p w14:paraId="2A07899D">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储罐</w:t>
            </w:r>
          </w:p>
        </w:tc>
        <w:tc>
          <w:tcPr>
            <w:tcW w:w="538" w:type="dxa"/>
            <w:noWrap w:val="0"/>
            <w:vAlign w:val="center"/>
          </w:tcPr>
          <w:p w14:paraId="13A26D53">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30</w:t>
            </w:r>
          </w:p>
        </w:tc>
        <w:tc>
          <w:tcPr>
            <w:tcW w:w="806" w:type="dxa"/>
            <w:noWrap w:val="0"/>
            <w:vAlign w:val="center"/>
          </w:tcPr>
          <w:p w14:paraId="42E2A7FA">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187</w:t>
            </w:r>
          </w:p>
        </w:tc>
        <w:tc>
          <w:tcPr>
            <w:tcW w:w="780" w:type="dxa"/>
            <w:noWrap w:val="0"/>
            <w:vAlign w:val="center"/>
          </w:tcPr>
          <w:p w14:paraId="1DC32DF5">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3.0</w:t>
            </w:r>
          </w:p>
        </w:tc>
        <w:tc>
          <w:tcPr>
            <w:tcW w:w="765" w:type="dxa"/>
            <w:noWrap w:val="0"/>
            <w:vAlign w:val="center"/>
          </w:tcPr>
          <w:p w14:paraId="755C6382">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0.5</w:t>
            </w:r>
          </w:p>
        </w:tc>
        <w:tc>
          <w:tcPr>
            <w:tcW w:w="801" w:type="dxa"/>
            <w:noWrap w:val="0"/>
            <w:vAlign w:val="center"/>
          </w:tcPr>
          <w:p w14:paraId="0E42F6A8">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8</w:t>
            </w:r>
          </w:p>
        </w:tc>
        <w:tc>
          <w:tcPr>
            <w:tcW w:w="495" w:type="dxa"/>
            <w:noWrap w:val="0"/>
            <w:vAlign w:val="center"/>
          </w:tcPr>
          <w:p w14:paraId="3A2CF3C5">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1.0</w:t>
            </w:r>
          </w:p>
        </w:tc>
        <w:tc>
          <w:tcPr>
            <w:tcW w:w="830" w:type="dxa"/>
            <w:noWrap w:val="0"/>
            <w:vAlign w:val="center"/>
          </w:tcPr>
          <w:p w14:paraId="47931594">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0.75</w:t>
            </w:r>
          </w:p>
        </w:tc>
        <w:tc>
          <w:tcPr>
            <w:tcW w:w="540" w:type="dxa"/>
            <w:noWrap w:val="0"/>
            <w:vAlign w:val="center"/>
          </w:tcPr>
          <w:p w14:paraId="71949928">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1</w:t>
            </w:r>
          </w:p>
        </w:tc>
        <w:tc>
          <w:tcPr>
            <w:tcW w:w="610" w:type="dxa"/>
            <w:noWrap w:val="0"/>
            <w:vAlign w:val="center"/>
          </w:tcPr>
          <w:p w14:paraId="5247C06D">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1</w:t>
            </w:r>
          </w:p>
        </w:tc>
        <w:tc>
          <w:tcPr>
            <w:tcW w:w="500" w:type="dxa"/>
            <w:noWrap w:val="0"/>
            <w:vAlign w:val="center"/>
          </w:tcPr>
          <w:p w14:paraId="3B00A1B5">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1</w:t>
            </w:r>
          </w:p>
        </w:tc>
        <w:tc>
          <w:tcPr>
            <w:tcW w:w="780" w:type="dxa"/>
            <w:noWrap w:val="0"/>
            <w:vAlign w:val="center"/>
          </w:tcPr>
          <w:p w14:paraId="035F37B9">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en-US" w:eastAsia="zh-CN"/>
              </w:rPr>
              <w:t>1</w:t>
            </w:r>
          </w:p>
        </w:tc>
        <w:tc>
          <w:tcPr>
            <w:tcW w:w="975" w:type="dxa"/>
            <w:noWrap w:val="0"/>
            <w:vAlign w:val="center"/>
          </w:tcPr>
          <w:p w14:paraId="0BF9D5A5">
            <w:pPr>
              <w:pStyle w:val="421"/>
              <w:spacing w:before="1"/>
              <w:ind w:left="0" w:right="126" w:firstLine="0"/>
              <w:jc w:val="center"/>
              <w:rPr>
                <w:rFonts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color w:val="000000"/>
                <w:sz w:val="21"/>
                <w:szCs w:val="21"/>
                <w:lang w:val="en-US" w:eastAsia="zh-CN"/>
              </w:rPr>
              <w:t>0.7</w:t>
            </w:r>
          </w:p>
        </w:tc>
      </w:tr>
    </w:tbl>
    <w:p w14:paraId="6228D066">
      <w:pPr>
        <w:widowControl w:val="0"/>
        <w:spacing w:before="172" w:after="0" w:line="240" w:lineRule="auto"/>
        <w:ind w:right="0"/>
        <w:jc w:val="left"/>
        <w:rPr>
          <w:rFonts w:ascii="宋体" w:hAnsi="宋体" w:eastAsia="宋体" w:cs="宋体"/>
          <w:sz w:val="24"/>
          <w:szCs w:val="24"/>
          <w:lang w:val="zh-CN" w:eastAsia="zh-CN" w:bidi="zh-CN"/>
        </w:rPr>
      </w:pPr>
      <w:r>
        <w:rPr>
          <w:rFonts w:ascii="宋体" w:hAnsi="宋体" w:eastAsia="宋体" w:cs="宋体"/>
          <w:sz w:val="24"/>
          <w:szCs w:val="24"/>
          <w:lang w:val="zh-CN" w:eastAsia="zh-CN" w:bidi="zh-CN"/>
        </w:rPr>
        <w:t>由此可得到项目甲醛储罐大小呼吸废气无组织排放量，</w:t>
      </w:r>
      <w:r>
        <w:rPr>
          <w:rFonts w:ascii="Times New Roman" w:hAnsi="Times New Roman" w:eastAsia="宋体" w:cs="Times New Roman"/>
          <w:sz w:val="24"/>
          <w:szCs w:val="24"/>
          <w:lang w:val="zh-CN" w:eastAsia="zh-CN" w:bidi="zh-CN"/>
        </w:rPr>
        <w:t>见表</w:t>
      </w:r>
      <w:r>
        <w:rPr>
          <w:rFonts w:ascii="Times New Roman" w:hAnsi="Times New Roman" w:eastAsia="宋体" w:cs="Times New Roman"/>
          <w:sz w:val="24"/>
          <w:szCs w:val="24"/>
          <w:lang w:val="en-US" w:eastAsia="zh-CN" w:bidi="zh-CN"/>
        </w:rPr>
        <w:t>4.3</w:t>
      </w:r>
      <w:r>
        <w:rPr>
          <w:rFonts w:ascii="Times New Roman" w:hAnsi="Times New Roman" w:eastAsia="宋体" w:cs="Times New Roman"/>
          <w:sz w:val="24"/>
          <w:szCs w:val="24"/>
          <w:lang w:val="zh-CN" w:eastAsia="zh-CN" w:bidi="zh-CN"/>
        </w:rPr>
        <w:t>-</w:t>
      </w:r>
      <w:r>
        <w:rPr>
          <w:rFonts w:hint="eastAsia" w:ascii="Times New Roman" w:hAnsi="Times New Roman" w:eastAsia="宋体" w:cs="Times New Roman"/>
          <w:sz w:val="24"/>
          <w:szCs w:val="24"/>
          <w:lang w:val="en-US" w:eastAsia="zh-CN" w:bidi="zh-CN"/>
        </w:rPr>
        <w:t>13</w:t>
      </w:r>
      <w:r>
        <w:rPr>
          <w:rFonts w:ascii="宋体" w:hAnsi="宋体" w:eastAsia="宋体" w:cs="宋体"/>
          <w:sz w:val="24"/>
          <w:szCs w:val="24"/>
          <w:lang w:val="zh-CN" w:eastAsia="zh-CN" w:bidi="zh-CN"/>
        </w:rPr>
        <w:t>。</w:t>
      </w:r>
    </w:p>
    <w:p w14:paraId="7B2E7010">
      <w:pPr>
        <w:widowControl w:val="0"/>
        <w:spacing w:before="146" w:after="28" w:line="240" w:lineRule="auto"/>
        <w:ind w:left="4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ascii="Times New Roman" w:hAnsi="Times New Roman" w:eastAsia="宋体" w:cs="Times New Roman"/>
          <w:b/>
          <w:bCs/>
          <w:sz w:val="24"/>
          <w:szCs w:val="24"/>
          <w:lang w:val="en-US" w:eastAsia="zh-CN" w:bidi="zh-CN"/>
        </w:rPr>
        <w:t>4.</w:t>
      </w:r>
      <w:r>
        <w:rPr>
          <w:rFonts w:ascii="Times New Roman" w:hAnsi="Times New Roman" w:eastAsia="宋体" w:cs="Times New Roman"/>
          <w:b/>
          <w:bCs/>
          <w:sz w:val="24"/>
          <w:szCs w:val="24"/>
          <w:lang w:val="zh-CN" w:eastAsia="zh-CN" w:bidi="zh-CN"/>
        </w:rPr>
        <w:t>3-</w:t>
      </w:r>
      <w:r>
        <w:rPr>
          <w:rFonts w:hint="eastAsia" w:ascii="Times New Roman" w:hAnsi="Times New Roman" w:eastAsia="宋体" w:cs="Times New Roman"/>
          <w:b/>
          <w:bCs/>
          <w:sz w:val="24"/>
          <w:szCs w:val="24"/>
          <w:lang w:val="en-US" w:eastAsia="zh-CN" w:bidi="zh-CN"/>
        </w:rPr>
        <w:t xml:space="preserve">13 </w:t>
      </w:r>
      <w:r>
        <w:rPr>
          <w:rFonts w:ascii="Times New Roman" w:hAnsi="Times New Roman" w:eastAsia="宋体" w:cs="Times New Roman"/>
          <w:b/>
          <w:bCs/>
          <w:sz w:val="24"/>
          <w:szCs w:val="24"/>
          <w:lang w:val="zh-CN" w:eastAsia="zh-CN" w:bidi="zh-CN"/>
        </w:rPr>
        <w:t>甲醛储罐废气排放情况一览表</w:t>
      </w:r>
    </w:p>
    <w:tbl>
      <w:tblPr>
        <w:tblStyle w:val="32"/>
        <w:tblW w:w="0" w:type="auto"/>
        <w:jc w:val="center"/>
        <w:tblBorders>
          <w:top w:val="single" w:color="000000" w:sz="6" w:space="0"/>
          <w:left w:val="single" w:color="000000" w:sz="6" w:space="0"/>
          <w:bottom w:val="single" w:color="000000" w:sz="6"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3"/>
        <w:gridCol w:w="3976"/>
      </w:tblGrid>
      <w:tr w14:paraId="5464ACE1">
        <w:tblPrEx>
          <w:tblBorders>
            <w:top w:val="single" w:color="000000" w:sz="6" w:space="0"/>
            <w:left w:val="single" w:color="000000" w:sz="6"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83" w:type="dxa"/>
            <w:noWrap w:val="0"/>
            <w:vAlign w:val="top"/>
          </w:tcPr>
          <w:p w14:paraId="397F4441">
            <w:pPr>
              <w:pStyle w:val="421"/>
              <w:spacing w:before="1"/>
              <w:ind w:left="0" w:right="126" w:firstLine="0"/>
              <w:jc w:val="center"/>
              <w:rPr>
                <w:rFonts w:hint="eastAsia" w:ascii="Times New Roman" w:hAnsi="Times New Roman" w:eastAsia="宋体" w:cs="Times New Roman"/>
                <w:b/>
                <w:bCs w:val="0"/>
                <w:sz w:val="21"/>
                <w:szCs w:val="21"/>
                <w:lang w:val="zh-CN" w:eastAsia="zh-CN"/>
              </w:rPr>
            </w:pPr>
            <w:r>
              <w:rPr>
                <w:rFonts w:hint="eastAsia" w:ascii="Times New Roman" w:hAnsi="Times New Roman" w:eastAsia="宋体" w:cs="Times New Roman"/>
                <w:b/>
                <w:bCs w:val="0"/>
                <w:sz w:val="21"/>
                <w:szCs w:val="21"/>
                <w:lang w:val="zh-CN" w:eastAsia="zh-CN"/>
              </w:rPr>
              <w:t>项目</w:t>
            </w:r>
          </w:p>
        </w:tc>
        <w:tc>
          <w:tcPr>
            <w:tcW w:w="3976" w:type="dxa"/>
            <w:noWrap w:val="0"/>
            <w:vAlign w:val="top"/>
          </w:tcPr>
          <w:p w14:paraId="4C04BA8D">
            <w:pPr>
              <w:pStyle w:val="421"/>
              <w:spacing w:before="1"/>
              <w:ind w:left="0" w:right="126" w:firstLine="0"/>
              <w:jc w:val="center"/>
              <w:rPr>
                <w:rFonts w:hint="eastAsia" w:ascii="Times New Roman" w:hAnsi="Times New Roman" w:eastAsia="宋体" w:cs="Times New Roman"/>
                <w:b/>
                <w:bCs w:val="0"/>
                <w:color w:val="000000"/>
                <w:sz w:val="21"/>
                <w:szCs w:val="21"/>
                <w:lang w:val="zh-CN" w:eastAsia="zh-CN"/>
              </w:rPr>
            </w:pPr>
            <w:r>
              <w:rPr>
                <w:rFonts w:hint="eastAsia" w:ascii="Times New Roman" w:hAnsi="Times New Roman" w:eastAsia="宋体" w:cs="Times New Roman"/>
                <w:b/>
                <w:bCs w:val="0"/>
                <w:color w:val="000000"/>
                <w:sz w:val="21"/>
                <w:szCs w:val="21"/>
                <w:lang w:val="zh-CN" w:eastAsia="zh-CN"/>
              </w:rPr>
              <w:t>甲醛</w:t>
            </w:r>
          </w:p>
        </w:tc>
      </w:tr>
      <w:tr w14:paraId="248002CE">
        <w:tblPrEx>
          <w:tblBorders>
            <w:top w:val="single" w:color="000000" w:sz="6" w:space="0"/>
            <w:left w:val="single" w:color="000000" w:sz="6"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4283" w:type="dxa"/>
            <w:noWrap w:val="0"/>
            <w:vAlign w:val="top"/>
          </w:tcPr>
          <w:p w14:paraId="6616D1A7">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大呼吸排放量（kg/a）</w:t>
            </w:r>
          </w:p>
        </w:tc>
        <w:tc>
          <w:tcPr>
            <w:tcW w:w="3976" w:type="dxa"/>
            <w:noWrap w:val="0"/>
            <w:vAlign w:val="top"/>
          </w:tcPr>
          <w:p w14:paraId="7DB83246">
            <w:pPr>
              <w:pStyle w:val="421"/>
              <w:spacing w:before="1"/>
              <w:ind w:left="0" w:right="126" w:firstLine="0"/>
              <w:jc w:val="center"/>
              <w:rPr>
                <w:rFonts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0.39</w:t>
            </w:r>
          </w:p>
        </w:tc>
      </w:tr>
      <w:tr w14:paraId="019224F3">
        <w:tblPrEx>
          <w:tblBorders>
            <w:top w:val="single" w:color="000000" w:sz="6" w:space="0"/>
            <w:left w:val="single" w:color="000000" w:sz="6"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4283" w:type="dxa"/>
            <w:noWrap w:val="0"/>
            <w:vAlign w:val="top"/>
          </w:tcPr>
          <w:p w14:paraId="39396C06">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小呼吸排放量（kg/a）</w:t>
            </w:r>
          </w:p>
        </w:tc>
        <w:tc>
          <w:tcPr>
            <w:tcW w:w="3976" w:type="dxa"/>
            <w:noWrap w:val="0"/>
            <w:vAlign w:val="top"/>
          </w:tcPr>
          <w:p w14:paraId="3A767F7B">
            <w:pPr>
              <w:pStyle w:val="421"/>
              <w:spacing w:before="1"/>
              <w:ind w:left="0" w:right="126" w:firstLine="0"/>
              <w:jc w:val="center"/>
              <w:rPr>
                <w:rFonts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0.7</w:t>
            </w:r>
          </w:p>
        </w:tc>
      </w:tr>
      <w:tr w14:paraId="0FB998CB">
        <w:tblPrEx>
          <w:tblBorders>
            <w:top w:val="single" w:color="000000" w:sz="6" w:space="0"/>
            <w:left w:val="single" w:color="000000" w:sz="6" w:space="0"/>
            <w:bottom w:val="single"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4283" w:type="dxa"/>
            <w:noWrap w:val="0"/>
            <w:vAlign w:val="top"/>
          </w:tcPr>
          <w:p w14:paraId="6803571C">
            <w:pPr>
              <w:pStyle w:val="421"/>
              <w:spacing w:before="1"/>
              <w:ind w:left="0" w:right="126" w:firstLine="0"/>
              <w:jc w:val="center"/>
              <w:rPr>
                <w:rFonts w:hint="eastAsia" w:ascii="Times New Roman" w:hAnsi="Times New Roman" w:eastAsia="宋体" w:cs="Times New Roman"/>
                <w:b w:val="0"/>
                <w:bCs/>
                <w:sz w:val="21"/>
                <w:szCs w:val="21"/>
                <w:lang w:val="zh-CN" w:eastAsia="zh-CN"/>
              </w:rPr>
            </w:pPr>
            <w:r>
              <w:rPr>
                <w:rFonts w:hint="eastAsia" w:ascii="Times New Roman" w:hAnsi="Times New Roman" w:eastAsia="宋体" w:cs="Times New Roman"/>
                <w:b w:val="0"/>
                <w:bCs/>
                <w:sz w:val="21"/>
                <w:szCs w:val="21"/>
                <w:lang w:val="zh-CN" w:eastAsia="zh-CN"/>
              </w:rPr>
              <w:t>合计（kg/a）</w:t>
            </w:r>
          </w:p>
        </w:tc>
        <w:tc>
          <w:tcPr>
            <w:tcW w:w="3976" w:type="dxa"/>
            <w:noWrap w:val="0"/>
            <w:vAlign w:val="top"/>
          </w:tcPr>
          <w:p w14:paraId="64A14021">
            <w:pPr>
              <w:pStyle w:val="421"/>
              <w:spacing w:before="1"/>
              <w:ind w:left="0" w:right="126" w:firstLine="0"/>
              <w:jc w:val="center"/>
              <w:rPr>
                <w:rFonts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1.09</w:t>
            </w:r>
          </w:p>
        </w:tc>
      </w:tr>
    </w:tbl>
    <w:p w14:paraId="3120EF8A">
      <w:pPr>
        <w:keepNext w:val="0"/>
        <w:keepLines w:val="0"/>
        <w:pageBreakBefore w:val="0"/>
        <w:widowControl w:val="0"/>
        <w:spacing w:after="0" w:line="360" w:lineRule="auto"/>
        <w:ind w:left="0" w:right="0"/>
        <w:jc w:val="both"/>
        <w:rPr>
          <w:rFonts w:ascii="Times New Roman" w:hAnsi="宋体" w:eastAsia="Times New Roman" w:cs="宋体"/>
          <w:color w:val="FF0000"/>
          <w:sz w:val="24"/>
          <w:szCs w:val="24"/>
          <w:lang w:val="zh-CN" w:eastAsia="zh-CN" w:bidi="zh-CN"/>
        </w:rPr>
      </w:pPr>
      <w:r>
        <w:rPr>
          <w:rFonts w:hint="eastAsia" w:ascii="Times New Roman" w:hAnsi="宋体" w:eastAsia="Times New Roman" w:cs="宋体"/>
          <w:color w:val="FF0000"/>
          <w:sz w:val="24"/>
          <w:szCs w:val="24"/>
          <w:lang w:val="en-US" w:eastAsia="zh-CN" w:bidi="zh-CN"/>
        </w:rPr>
        <w:t xml:space="preserve">（3）恶臭 </w:t>
      </w:r>
    </w:p>
    <w:p w14:paraId="2B9BAB88">
      <w:pPr>
        <w:keepNext w:val="0"/>
        <w:keepLines w:val="0"/>
        <w:pageBreakBefore w:val="0"/>
        <w:widowControl w:val="0"/>
        <w:spacing w:after="0" w:line="360" w:lineRule="auto"/>
        <w:ind w:left="0" w:right="0"/>
        <w:jc w:val="both"/>
        <w:rPr>
          <w:rFonts w:ascii="Times New Roman" w:hAnsi="宋体" w:eastAsia="Times New Roman" w:cs="宋体"/>
          <w:color w:val="FF0000"/>
          <w:sz w:val="24"/>
          <w:szCs w:val="24"/>
          <w:lang w:val="en-US" w:eastAsia="zh-CN" w:bidi="zh-CN"/>
        </w:rPr>
      </w:pPr>
      <w:r>
        <w:rPr>
          <w:rFonts w:hint="eastAsia" w:ascii="Times New Roman" w:hAnsi="宋体" w:eastAsia="Times New Roman" w:cs="宋体"/>
          <w:color w:val="FF0000"/>
          <w:sz w:val="24"/>
          <w:szCs w:val="24"/>
          <w:lang w:val="en-US" w:eastAsia="zh-CN" w:bidi="zh-CN"/>
        </w:rPr>
        <w:t xml:space="preserve">项目在胶粘剂生产过程中产生的异味主要来源于甲醛、苯酚等原料物质形成一股特殊的刺激性异味，除此外还考虑竹子露天堆放若遭到雨水浸泡等也会挥发异味。项目原料储罐、反应釜为密封状态，可减少生产过程有机废气排放，产品储存于储存桶内，外溢恶臭气体较少。类比鹿寨县普生化工有限责任公司，其厂界臭气浓度小于 </w:t>
      </w:r>
      <w:r>
        <w:rPr>
          <w:rFonts w:ascii="Times New Roman" w:hAnsi="宋体" w:eastAsia="Times New Roman" w:cs="宋体"/>
          <w:color w:val="FF0000"/>
          <w:sz w:val="24"/>
          <w:szCs w:val="24"/>
          <w:lang w:val="en-US" w:eastAsia="zh-CN" w:bidi="zh-CN"/>
        </w:rPr>
        <w:t>20</w:t>
      </w:r>
      <w:r>
        <w:rPr>
          <w:rFonts w:hint="eastAsia" w:ascii="Times New Roman" w:hAnsi="宋体" w:eastAsia="Times New Roman" w:cs="宋体"/>
          <w:color w:val="FF0000"/>
          <w:sz w:val="24"/>
          <w:szCs w:val="24"/>
          <w:lang w:val="en-US" w:eastAsia="zh-CN" w:bidi="zh-CN"/>
        </w:rPr>
        <w:t xml:space="preserve">（无量纲），该厂主要生产甲醛及脲醛树脂胶，产生的恶臭污染物与项目类似，其恶臭散发点离厂界的最近距离也与本项目相当，因此项目厂界臭气浓度小于 </w:t>
      </w:r>
      <w:r>
        <w:rPr>
          <w:rFonts w:ascii="Times New Roman" w:hAnsi="宋体" w:eastAsia="Times New Roman" w:cs="宋体"/>
          <w:color w:val="FF0000"/>
          <w:sz w:val="24"/>
          <w:szCs w:val="24"/>
          <w:lang w:val="en-US" w:eastAsia="zh-CN" w:bidi="zh-CN"/>
        </w:rPr>
        <w:t>20</w:t>
      </w:r>
      <w:r>
        <w:rPr>
          <w:rFonts w:hint="eastAsia" w:ascii="Times New Roman" w:hAnsi="宋体" w:eastAsia="Times New Roman" w:cs="宋体"/>
          <w:color w:val="FF0000"/>
          <w:sz w:val="24"/>
          <w:szCs w:val="24"/>
          <w:lang w:val="en-US" w:eastAsia="zh-CN" w:bidi="zh-CN"/>
        </w:rPr>
        <w:t>（无量纲）。根据了解，建设方不在厂区露天堆放场地大量的堆存竹子，尤其是雨季，竹子入场后将及时的进行断竹、刨片后储存在刨片仓库内，因此不会出现雨水浸泡竹子的问题。</w:t>
      </w:r>
    </w:p>
    <w:p w14:paraId="4DBC60E2">
      <w:pPr>
        <w:spacing w:line="360" w:lineRule="auto"/>
        <w:ind w:firstLine="480"/>
        <w:rPr>
          <w:rFonts w:hint="eastAsia"/>
          <w:color w:val="000000"/>
          <w:sz w:val="24"/>
        </w:rPr>
      </w:pPr>
      <w:r>
        <w:rPr>
          <w:rFonts w:hint="eastAsia"/>
          <w:sz w:val="24"/>
          <w:szCs w:val="24"/>
          <w:lang w:val="en-US" w:eastAsia="zh-CN"/>
        </w:rPr>
        <w:t>4、</w:t>
      </w:r>
      <w:r>
        <w:rPr>
          <w:rFonts w:hint="eastAsia"/>
          <w:color w:val="000000"/>
          <w:sz w:val="24"/>
        </w:rPr>
        <w:t>项目备用柴油发电机燃料燃烧废气</w:t>
      </w:r>
    </w:p>
    <w:p w14:paraId="7DC1DEA6">
      <w:pPr>
        <w:spacing w:line="360" w:lineRule="auto"/>
        <w:ind w:firstLine="480"/>
        <w:rPr>
          <w:rFonts w:hint="eastAsia" w:hAnsi="宋体"/>
          <w:color w:val="000000"/>
          <w:sz w:val="24"/>
          <w:szCs w:val="24"/>
        </w:rPr>
      </w:pPr>
      <w:r>
        <w:rPr>
          <w:rFonts w:hint="eastAsia"/>
          <w:color w:val="000000"/>
          <w:sz w:val="24"/>
          <w:highlight w:val="none"/>
          <w:lang w:val="en-US" w:eastAsia="zh-CN"/>
        </w:rPr>
        <w:t>改扩建</w:t>
      </w:r>
      <w:r>
        <w:rPr>
          <w:rFonts w:hint="eastAsia"/>
          <w:color w:val="000000"/>
          <w:sz w:val="24"/>
          <w:highlight w:val="none"/>
        </w:rPr>
        <w:t>后</w:t>
      </w:r>
      <w:r>
        <w:rPr>
          <w:rFonts w:hint="eastAsia" w:eastAsia="宋体"/>
          <w:color w:val="000000"/>
          <w:sz w:val="24"/>
          <w:highlight w:val="none"/>
          <w:lang w:eastAsia="zh-CN"/>
        </w:rPr>
        <w:t>，</w:t>
      </w:r>
      <w:r>
        <w:rPr>
          <w:rFonts w:hint="eastAsia"/>
          <w:color w:val="000000"/>
          <w:sz w:val="24"/>
          <w:highlight w:val="none"/>
          <w:lang w:eastAsia="zh-CN"/>
        </w:rPr>
        <w:t>发电机房</w:t>
      </w:r>
      <w:r>
        <w:rPr>
          <w:rFonts w:hint="eastAsia"/>
          <w:color w:val="000000"/>
          <w:sz w:val="24"/>
          <w:highlight w:val="none"/>
        </w:rPr>
        <w:t>将</w:t>
      </w:r>
      <w:r>
        <w:rPr>
          <w:rFonts w:hint="eastAsia"/>
          <w:color w:val="000000"/>
          <w:sz w:val="24"/>
          <w:highlight w:val="none"/>
          <w:lang w:eastAsia="zh-CN"/>
        </w:rPr>
        <w:t>设置</w:t>
      </w:r>
      <w:r>
        <w:rPr>
          <w:rFonts w:hint="eastAsia" w:hAnsi="宋体"/>
          <w:color w:val="000000"/>
          <w:sz w:val="24"/>
          <w:highlight w:val="none"/>
        </w:rPr>
        <w:t>1台</w:t>
      </w:r>
      <w:r>
        <w:rPr>
          <w:rFonts w:hint="eastAsia" w:hAnsi="宋体"/>
          <w:color w:val="000000"/>
          <w:sz w:val="24"/>
          <w:highlight w:val="none"/>
          <w:lang w:val="en-US" w:eastAsia="zh-CN"/>
        </w:rPr>
        <w:t>250</w:t>
      </w:r>
      <w:r>
        <w:rPr>
          <w:rFonts w:hint="eastAsia" w:hAnsi="宋体"/>
          <w:color w:val="000000"/>
          <w:sz w:val="24"/>
          <w:highlight w:val="none"/>
        </w:rPr>
        <w:t>KW</w:t>
      </w:r>
      <w:r>
        <w:rPr>
          <w:color w:val="000000"/>
          <w:sz w:val="24"/>
          <w:highlight w:val="none"/>
        </w:rPr>
        <w:t>的备用柴油发电机，使用轻质柴油为燃料，</w:t>
      </w:r>
      <w:r>
        <w:rPr>
          <w:rFonts w:hint="eastAsia"/>
          <w:color w:val="000000"/>
          <w:sz w:val="24"/>
          <w:highlight w:val="none"/>
          <w:lang w:val="en-US" w:eastAsia="zh-CN"/>
        </w:rPr>
        <w:t>芒市</w:t>
      </w:r>
      <w:r>
        <w:rPr>
          <w:color w:val="000000"/>
          <w:sz w:val="24"/>
          <w:highlight w:val="none"/>
        </w:rPr>
        <w:t>停电情况通常为间歇性停电，使用时间不能确定（一般一年使用2-3次），</w:t>
      </w:r>
      <w:r>
        <w:rPr>
          <w:color w:val="000000"/>
          <w:sz w:val="24"/>
          <w:szCs w:val="24"/>
        </w:rPr>
        <w:t>发电机放置</w:t>
      </w:r>
      <w:r>
        <w:rPr>
          <w:rFonts w:hint="eastAsia"/>
          <w:color w:val="000000"/>
          <w:sz w:val="24"/>
          <w:szCs w:val="24"/>
          <w:lang w:eastAsia="zh-CN"/>
        </w:rPr>
        <w:t>发电机房</w:t>
      </w:r>
      <w:r>
        <w:rPr>
          <w:color w:val="000000"/>
          <w:sz w:val="24"/>
          <w:szCs w:val="24"/>
        </w:rPr>
        <w:t>内，</w:t>
      </w:r>
      <w:r>
        <w:rPr>
          <w:rFonts w:hint="eastAsia"/>
          <w:color w:val="000000"/>
          <w:sz w:val="24"/>
          <w:szCs w:val="24"/>
          <w:lang w:eastAsia="zh-CN"/>
        </w:rPr>
        <w:t>属于</w:t>
      </w:r>
      <w:r>
        <w:rPr>
          <w:color w:val="000000"/>
          <w:sz w:val="24"/>
          <w:szCs w:val="24"/>
        </w:rPr>
        <w:t>单独设备间，发电机产生的燃烧废气经自带有废气过滤装置，过滤后</w:t>
      </w:r>
      <w:r>
        <w:rPr>
          <w:rFonts w:hAnsi="宋体"/>
          <w:color w:val="000000"/>
          <w:sz w:val="24"/>
          <w:szCs w:val="24"/>
        </w:rPr>
        <w:t>发电机</w:t>
      </w:r>
      <w:r>
        <w:rPr>
          <w:rFonts w:hint="eastAsia" w:hAnsi="宋体"/>
          <w:color w:val="000000"/>
          <w:sz w:val="24"/>
          <w:szCs w:val="24"/>
        </w:rPr>
        <w:t>的废气经过排风管道引至设备间外，通过大气扩散、绿化吸附</w:t>
      </w:r>
      <w:r>
        <w:rPr>
          <w:rFonts w:hint="eastAsia"/>
          <w:color w:val="000000"/>
          <w:sz w:val="24"/>
          <w:szCs w:val="24"/>
        </w:rPr>
        <w:t>，</w:t>
      </w:r>
      <w:r>
        <w:rPr>
          <w:rFonts w:hAnsi="宋体"/>
          <w:color w:val="000000"/>
          <w:sz w:val="24"/>
          <w:szCs w:val="24"/>
        </w:rPr>
        <w:t>外排废气对环境影响较小。</w:t>
      </w:r>
    </w:p>
    <w:p w14:paraId="650A8D52">
      <w:pPr>
        <w:spacing w:line="360" w:lineRule="auto"/>
        <w:ind w:firstLine="480"/>
        <w:rPr>
          <w:rFonts w:hint="eastAsia"/>
          <w:color w:val="000000"/>
          <w:sz w:val="24"/>
        </w:rPr>
      </w:pPr>
      <w:r>
        <w:rPr>
          <w:rFonts w:hint="eastAsia"/>
          <w:color w:val="000000"/>
          <w:sz w:val="24"/>
          <w:lang w:val="en-US" w:eastAsia="zh-CN"/>
        </w:rPr>
        <w:t>5、</w:t>
      </w:r>
      <w:r>
        <w:rPr>
          <w:rFonts w:hint="eastAsia"/>
          <w:color w:val="000000"/>
          <w:sz w:val="24"/>
        </w:rPr>
        <w:t>食堂油烟</w:t>
      </w:r>
    </w:p>
    <w:p w14:paraId="2F2633C8">
      <w:pPr>
        <w:pStyle w:val="388"/>
        <w:spacing w:line="360" w:lineRule="auto"/>
        <w:ind w:firstLine="480"/>
        <w:rPr>
          <w:rFonts w:eastAsia="宋体"/>
          <w:sz w:val="24"/>
          <w:szCs w:val="24"/>
          <w:lang w:val="en-US" w:eastAsia="zh-CN"/>
        </w:rPr>
      </w:pPr>
      <w:r>
        <w:rPr>
          <w:rFonts w:hint="eastAsia" w:hAnsi="宋体"/>
          <w:color w:val="000000"/>
          <w:sz w:val="24"/>
          <w:lang w:val="en-US" w:eastAsia="zh-CN"/>
        </w:rPr>
        <w:t>改扩建</w:t>
      </w:r>
      <w:r>
        <w:rPr>
          <w:rFonts w:hint="eastAsia" w:hAnsi="宋体"/>
          <w:color w:val="000000"/>
          <w:sz w:val="24"/>
          <w:lang w:eastAsia="zh-CN"/>
        </w:rPr>
        <w:t>后，</w:t>
      </w:r>
      <w:r>
        <w:rPr>
          <w:rFonts w:hint="eastAsia" w:hAnsi="宋体"/>
          <w:color w:val="000000"/>
          <w:sz w:val="24"/>
        </w:rPr>
        <w:t>食堂采用瓶装液化气、电为燃料，属清洁能源，使用时无大的燃烧废气污染</w:t>
      </w:r>
      <w:r>
        <w:rPr>
          <w:rFonts w:hAnsi="宋体"/>
          <w:color w:val="000000"/>
          <w:sz w:val="24"/>
        </w:rPr>
        <w:t>物排放。项目设基准灶头数为</w:t>
      </w:r>
      <w:r>
        <w:rPr>
          <w:rFonts w:hint="eastAsia" w:hAnsi="宋体"/>
          <w:color w:val="000000"/>
          <w:sz w:val="24"/>
          <w:lang w:val="en-US" w:eastAsia="zh-CN"/>
        </w:rPr>
        <w:t>2</w:t>
      </w:r>
      <w:r>
        <w:rPr>
          <w:rFonts w:hAnsi="宋体"/>
          <w:color w:val="000000"/>
          <w:sz w:val="24"/>
        </w:rPr>
        <w:t>个，采用液化气加热。</w:t>
      </w:r>
      <w:r>
        <w:rPr>
          <w:rFonts w:hint="eastAsia" w:hAnsi="宋体"/>
          <w:color w:val="000000"/>
          <w:sz w:val="24"/>
          <w:lang w:val="en-US" w:eastAsia="zh-CN"/>
        </w:rPr>
        <w:t>就餐人数为200人</w:t>
      </w:r>
      <w:r>
        <w:rPr>
          <w:rFonts w:hAnsi="宋体"/>
          <w:color w:val="000000"/>
          <w:sz w:val="24"/>
        </w:rPr>
        <w:t>。根据对居民及餐饮企业的类比调查，目前居民人均日</w:t>
      </w:r>
      <w:r>
        <w:rPr>
          <w:rFonts w:hint="eastAsia" w:hAnsi="宋体"/>
          <w:color w:val="000000"/>
          <w:sz w:val="24"/>
          <w:lang w:val="en-US" w:eastAsia="zh-CN"/>
        </w:rPr>
        <w:t>食用油</w:t>
      </w:r>
      <w:r>
        <w:rPr>
          <w:rFonts w:hAnsi="宋体"/>
          <w:color w:val="000000"/>
          <w:sz w:val="24"/>
        </w:rPr>
        <w:t>用量约</w:t>
      </w:r>
      <w:r>
        <w:rPr>
          <w:rFonts w:hint="eastAsia" w:hAnsi="宋体"/>
          <w:color w:val="000000"/>
          <w:sz w:val="24"/>
          <w:lang w:val="en-US" w:eastAsia="zh-CN"/>
        </w:rPr>
        <w:t>5</w:t>
      </w:r>
      <w:r>
        <w:rPr>
          <w:rFonts w:hAnsi="宋体"/>
          <w:color w:val="000000"/>
          <w:sz w:val="24"/>
        </w:rPr>
        <w:t>g/人</w:t>
      </w:r>
      <w:r>
        <w:rPr>
          <w:rFonts w:hint="eastAsia" w:hAnsi="宋体"/>
          <w:color w:val="000000"/>
          <w:sz w:val="24"/>
          <w:lang w:val="en-US" w:eastAsia="zh-CN"/>
        </w:rPr>
        <w:t>.</w:t>
      </w:r>
      <w:r>
        <w:rPr>
          <w:rFonts w:hint="eastAsia" w:hAnsi="宋体"/>
          <w:color w:val="000000"/>
          <w:sz w:val="24"/>
        </w:rPr>
        <w:t>餐</w:t>
      </w:r>
      <w:r>
        <w:rPr>
          <w:rFonts w:hAnsi="宋体"/>
          <w:color w:val="000000"/>
          <w:sz w:val="24"/>
        </w:rPr>
        <w:t>，一般油烟挥发量占耗油量的2-4%，平均为2.</w:t>
      </w:r>
      <w:r>
        <w:rPr>
          <w:rFonts w:hint="eastAsia" w:hAnsi="宋体"/>
          <w:color w:val="000000"/>
          <w:sz w:val="24"/>
          <w:lang w:val="en-US" w:eastAsia="zh-CN"/>
        </w:rPr>
        <w:t>5</w:t>
      </w:r>
      <w:r>
        <w:rPr>
          <w:rFonts w:hAnsi="宋体"/>
          <w:color w:val="000000"/>
          <w:sz w:val="24"/>
        </w:rPr>
        <w:t>%。</w:t>
      </w:r>
      <w:r>
        <w:rPr>
          <w:rFonts w:hint="eastAsia" w:hAnsi="宋体"/>
          <w:color w:val="000000"/>
          <w:sz w:val="24"/>
        </w:rPr>
        <w:t>项目每天供应</w:t>
      </w:r>
      <w:r>
        <w:rPr>
          <w:rFonts w:hint="eastAsia" w:hAnsi="宋体"/>
          <w:color w:val="000000"/>
          <w:sz w:val="24"/>
          <w:lang w:val="en-US" w:eastAsia="zh-CN"/>
        </w:rPr>
        <w:t>3</w:t>
      </w:r>
      <w:r>
        <w:rPr>
          <w:rFonts w:hint="eastAsia" w:hAnsi="宋体"/>
          <w:color w:val="000000"/>
          <w:sz w:val="24"/>
        </w:rPr>
        <w:t>餐，</w:t>
      </w:r>
      <w:r>
        <w:rPr>
          <w:rFonts w:hAnsi="宋体"/>
          <w:color w:val="000000"/>
          <w:sz w:val="24"/>
        </w:rPr>
        <w:t>每天耗油</w:t>
      </w:r>
      <w:r>
        <w:rPr>
          <w:rFonts w:hint="eastAsia" w:hAnsi="宋体"/>
          <w:color w:val="000000"/>
          <w:sz w:val="24"/>
          <w:lang w:val="en-US" w:eastAsia="zh-CN"/>
        </w:rPr>
        <w:t>3.0</w:t>
      </w:r>
      <w:r>
        <w:rPr>
          <w:rFonts w:hAnsi="宋体"/>
          <w:color w:val="000000"/>
          <w:sz w:val="24"/>
        </w:rPr>
        <w:t>kg/d，则油烟产生量</w:t>
      </w:r>
      <w:r>
        <w:rPr>
          <w:rFonts w:hint="eastAsia" w:hAnsi="宋体"/>
          <w:color w:val="000000"/>
          <w:sz w:val="24"/>
        </w:rPr>
        <w:t>约</w:t>
      </w:r>
      <w:r>
        <w:rPr>
          <w:rFonts w:hAnsi="宋体"/>
          <w:color w:val="000000"/>
          <w:sz w:val="24"/>
        </w:rPr>
        <w:t>为</w:t>
      </w:r>
      <w:r>
        <w:rPr>
          <w:rFonts w:hint="eastAsia" w:hAnsi="宋体"/>
          <w:color w:val="000000"/>
          <w:sz w:val="24"/>
        </w:rPr>
        <w:t>0.</w:t>
      </w:r>
      <w:r>
        <w:rPr>
          <w:rFonts w:hint="eastAsia" w:hAnsi="宋体"/>
          <w:color w:val="000000"/>
          <w:sz w:val="24"/>
          <w:lang w:val="en-US" w:eastAsia="zh-CN"/>
        </w:rPr>
        <w:t>075</w:t>
      </w:r>
      <w:r>
        <w:rPr>
          <w:rFonts w:hAnsi="宋体"/>
          <w:color w:val="000000"/>
          <w:sz w:val="24"/>
        </w:rPr>
        <w:t>kg/d。排风量按《饮食业油烟排放标准》GB18483-2001规定的单个灶头基准排风量大、中、小型均为2000 m</w:t>
      </w:r>
      <w:r>
        <w:rPr>
          <w:rFonts w:hAnsi="宋体"/>
          <w:color w:val="000000"/>
          <w:sz w:val="24"/>
          <w:vertAlign w:val="superscript"/>
        </w:rPr>
        <w:t>3</w:t>
      </w:r>
      <w:r>
        <w:rPr>
          <w:rFonts w:hAnsi="宋体"/>
          <w:color w:val="000000"/>
          <w:sz w:val="24"/>
        </w:rPr>
        <w:t>/h，食堂</w:t>
      </w:r>
      <w:r>
        <w:rPr>
          <w:rFonts w:hint="eastAsia" w:hAnsi="宋体"/>
          <w:color w:val="000000"/>
          <w:sz w:val="24"/>
        </w:rPr>
        <w:t>供应</w:t>
      </w:r>
      <w:r>
        <w:rPr>
          <w:rFonts w:hint="eastAsia" w:hAnsi="宋体"/>
          <w:color w:val="000000"/>
          <w:sz w:val="24"/>
          <w:lang w:val="en-US" w:eastAsia="zh-CN"/>
        </w:rPr>
        <w:t>3</w:t>
      </w:r>
      <w:r>
        <w:rPr>
          <w:rFonts w:hint="eastAsia" w:hAnsi="宋体"/>
          <w:color w:val="000000"/>
          <w:sz w:val="24"/>
        </w:rPr>
        <w:t>餐，</w:t>
      </w:r>
      <w:r>
        <w:rPr>
          <w:rFonts w:hAnsi="宋体"/>
          <w:color w:val="000000"/>
          <w:sz w:val="24"/>
        </w:rPr>
        <w:t>排风量</w:t>
      </w:r>
      <w:r>
        <w:rPr>
          <w:rFonts w:hint="eastAsia" w:hAnsi="宋体"/>
          <w:color w:val="000000"/>
          <w:sz w:val="24"/>
        </w:rPr>
        <w:t>按</w:t>
      </w:r>
      <w:r>
        <w:rPr>
          <w:rFonts w:hint="eastAsia" w:hAnsi="宋体"/>
          <w:color w:val="000000"/>
          <w:sz w:val="24"/>
          <w:lang w:val="en-US" w:eastAsia="zh-CN"/>
        </w:rPr>
        <w:t>4.5</w:t>
      </w:r>
      <w:r>
        <w:rPr>
          <w:rFonts w:hint="eastAsia" w:hAnsi="宋体"/>
          <w:color w:val="000000"/>
          <w:sz w:val="24"/>
        </w:rPr>
        <w:t>小时计则</w:t>
      </w:r>
      <w:r>
        <w:rPr>
          <w:rFonts w:hint="eastAsia" w:hAnsi="宋体"/>
          <w:color w:val="000000"/>
          <w:sz w:val="24"/>
          <w:lang w:val="en-US" w:eastAsia="zh-CN"/>
        </w:rPr>
        <w:t>2</w:t>
      </w:r>
      <w:r>
        <w:rPr>
          <w:rFonts w:hint="eastAsia" w:hAnsi="宋体"/>
          <w:color w:val="000000"/>
          <w:sz w:val="24"/>
        </w:rPr>
        <w:t>个灶头排风量为</w:t>
      </w:r>
      <w:r>
        <w:rPr>
          <w:rFonts w:hint="eastAsia" w:hAnsi="宋体"/>
          <w:color w:val="000000"/>
          <w:sz w:val="24"/>
          <w:lang w:val="en-US" w:eastAsia="zh-CN"/>
        </w:rPr>
        <w:t>18</w:t>
      </w:r>
      <w:r>
        <w:rPr>
          <w:rFonts w:hAnsi="宋体"/>
          <w:color w:val="000000"/>
          <w:sz w:val="24"/>
        </w:rPr>
        <w:t>000m</w:t>
      </w:r>
      <w:r>
        <w:rPr>
          <w:rFonts w:hAnsi="宋体"/>
          <w:color w:val="000000"/>
          <w:sz w:val="24"/>
          <w:vertAlign w:val="superscript"/>
        </w:rPr>
        <w:t>3</w:t>
      </w:r>
      <w:r>
        <w:rPr>
          <w:rFonts w:hAnsi="宋体"/>
          <w:color w:val="000000"/>
          <w:sz w:val="24"/>
        </w:rPr>
        <w:t>/</w:t>
      </w:r>
      <w:r>
        <w:rPr>
          <w:rFonts w:hint="eastAsia" w:hAnsi="宋体"/>
          <w:color w:val="000000"/>
          <w:sz w:val="24"/>
        </w:rPr>
        <w:t>d</w:t>
      </w:r>
      <w:r>
        <w:rPr>
          <w:rFonts w:hAnsi="宋体"/>
          <w:color w:val="000000"/>
          <w:sz w:val="24"/>
        </w:rPr>
        <w:t>，则排放浓度为</w:t>
      </w:r>
      <w:r>
        <w:rPr>
          <w:rFonts w:hint="eastAsia" w:hAnsi="宋体"/>
          <w:color w:val="000000"/>
          <w:sz w:val="24"/>
          <w:lang w:val="en-US" w:eastAsia="zh-CN"/>
        </w:rPr>
        <w:t>4.2</w:t>
      </w:r>
      <w:r>
        <w:rPr>
          <w:rFonts w:hAnsi="宋体"/>
          <w:color w:val="000000"/>
          <w:sz w:val="24"/>
        </w:rPr>
        <w:t>mg/m</w:t>
      </w:r>
      <w:r>
        <w:rPr>
          <w:rFonts w:hAnsi="宋体"/>
          <w:color w:val="000000"/>
          <w:sz w:val="24"/>
          <w:vertAlign w:val="superscript"/>
        </w:rPr>
        <w:t>3</w:t>
      </w:r>
      <w:r>
        <w:rPr>
          <w:rFonts w:hAnsi="宋体"/>
          <w:color w:val="000000"/>
          <w:sz w:val="24"/>
        </w:rPr>
        <w:t>，大于排放允许浓度2.0mg/m</w:t>
      </w:r>
      <w:r>
        <w:rPr>
          <w:rFonts w:hAnsi="宋体"/>
          <w:color w:val="000000"/>
          <w:sz w:val="24"/>
          <w:vertAlign w:val="superscript"/>
        </w:rPr>
        <w:t>3</w:t>
      </w:r>
      <w:r>
        <w:rPr>
          <w:rFonts w:hAnsi="宋体"/>
          <w:color w:val="000000"/>
          <w:sz w:val="24"/>
        </w:rPr>
        <w:t>的要求</w:t>
      </w:r>
      <w:r>
        <w:rPr>
          <w:rFonts w:hint="eastAsia" w:hAnsi="宋体"/>
          <w:color w:val="000000"/>
          <w:sz w:val="24"/>
          <w:lang w:eastAsia="zh-CN"/>
        </w:rPr>
        <w:t>，</w:t>
      </w:r>
      <w:r>
        <w:rPr>
          <w:rFonts w:hint="eastAsia" w:hAnsi="宋体"/>
          <w:color w:val="000000"/>
          <w:sz w:val="24"/>
          <w:lang w:val="en-US" w:eastAsia="zh-CN"/>
        </w:rPr>
        <w:t>环评要求建设方</w:t>
      </w:r>
      <w:r>
        <w:rPr>
          <w:rFonts w:hAnsi="宋体"/>
          <w:color w:val="000000"/>
          <w:sz w:val="24"/>
        </w:rPr>
        <w:t>必须安装油烟净化</w:t>
      </w:r>
      <w:r>
        <w:rPr>
          <w:rFonts w:hint="eastAsia" w:hAnsi="宋体"/>
          <w:color w:val="000000"/>
          <w:sz w:val="24"/>
        </w:rPr>
        <w:t>装置（净化率达</w:t>
      </w:r>
      <w:r>
        <w:rPr>
          <w:rFonts w:hint="eastAsia" w:hAnsi="宋体"/>
          <w:color w:val="000000"/>
          <w:sz w:val="24"/>
          <w:lang w:val="en-US" w:eastAsia="zh-CN"/>
        </w:rPr>
        <w:t>60</w:t>
      </w:r>
      <w:r>
        <w:rPr>
          <w:rFonts w:hint="eastAsia" w:hAnsi="宋体"/>
          <w:color w:val="000000"/>
          <w:sz w:val="24"/>
        </w:rPr>
        <w:t>%以上）</w:t>
      </w:r>
      <w:r>
        <w:rPr>
          <w:rFonts w:hAnsi="宋体"/>
          <w:color w:val="000000"/>
          <w:sz w:val="24"/>
        </w:rPr>
        <w:t>，油烟经过净化后排放浓度降至</w:t>
      </w:r>
      <w:r>
        <w:rPr>
          <w:rFonts w:hint="eastAsia" w:hAnsi="宋体"/>
          <w:color w:val="000000"/>
          <w:sz w:val="24"/>
          <w:lang w:val="en-US" w:eastAsia="zh-CN"/>
        </w:rPr>
        <w:t>1.68</w:t>
      </w:r>
      <w:r>
        <w:rPr>
          <w:rFonts w:hAnsi="宋体"/>
          <w:color w:val="000000"/>
          <w:sz w:val="24"/>
        </w:rPr>
        <w:t>mg/m</w:t>
      </w:r>
      <w:r>
        <w:rPr>
          <w:rFonts w:hAnsi="宋体"/>
          <w:color w:val="000000"/>
          <w:sz w:val="24"/>
          <w:vertAlign w:val="superscript"/>
        </w:rPr>
        <w:t>3</w:t>
      </w:r>
      <w:r>
        <w:rPr>
          <w:rFonts w:hAnsi="宋体"/>
          <w:color w:val="000000"/>
          <w:sz w:val="24"/>
        </w:rPr>
        <w:t>，达到《饮食业油烟排放标准</w:t>
      </w:r>
      <w:r>
        <w:rPr>
          <w:rFonts w:hint="eastAsia" w:hAnsi="宋体"/>
          <w:color w:val="000000"/>
          <w:sz w:val="24"/>
        </w:rPr>
        <w:t>（试行）</w:t>
      </w:r>
      <w:r>
        <w:rPr>
          <w:rFonts w:hAnsi="宋体"/>
          <w:color w:val="000000"/>
          <w:sz w:val="24"/>
        </w:rPr>
        <w:t>》GB18483-2001要求。</w:t>
      </w:r>
      <w:r>
        <w:rPr>
          <w:rFonts w:hint="eastAsia" w:hAnsi="宋体"/>
          <w:color w:val="000000"/>
          <w:sz w:val="24"/>
          <w:lang w:eastAsia="zh-CN"/>
        </w:rPr>
        <w:t>环评要求食堂设置专用烟道排放，</w:t>
      </w:r>
      <w:r>
        <w:rPr>
          <w:rFonts w:hAnsi="宋体"/>
          <w:color w:val="000000"/>
          <w:sz w:val="24"/>
        </w:rPr>
        <w:t>排放量较小，属间歇性排放。</w:t>
      </w:r>
      <w:r>
        <w:rPr>
          <w:rFonts w:hint="eastAsia" w:hAnsi="宋体"/>
          <w:color w:val="000000"/>
          <w:sz w:val="24"/>
          <w:lang w:val="en-US" w:eastAsia="zh-CN"/>
        </w:rPr>
        <w:t>经过净化处理后油烟排放量为9.0kg/a。</w:t>
      </w:r>
    </w:p>
    <w:p w14:paraId="0963FD46">
      <w:pPr>
        <w:spacing w:line="360" w:lineRule="auto"/>
        <w:ind w:firstLine="360"/>
        <w:rPr>
          <w:rFonts w:hint="eastAsia" w:hAnsi="宋体"/>
          <w:iCs/>
          <w:sz w:val="24"/>
          <w:szCs w:val="21"/>
        </w:rPr>
      </w:pPr>
      <w:r>
        <w:rPr>
          <w:rFonts w:hint="eastAsia" w:hAnsi="宋体"/>
          <w:iCs/>
          <w:sz w:val="24"/>
          <w:szCs w:val="21"/>
          <w:lang w:val="en-US" w:eastAsia="zh-CN"/>
        </w:rPr>
        <w:t>6、</w:t>
      </w:r>
      <w:r>
        <w:rPr>
          <w:rFonts w:hint="eastAsia" w:hAnsi="宋体"/>
          <w:iCs/>
          <w:sz w:val="24"/>
          <w:szCs w:val="21"/>
        </w:rPr>
        <w:t>汽车尾气</w:t>
      </w:r>
    </w:p>
    <w:p w14:paraId="3269C90B">
      <w:pPr>
        <w:pStyle w:val="2"/>
        <w:ind w:left="0" w:firstLine="240"/>
        <w:rPr>
          <w:rFonts w:hint="eastAsia" w:hAnsi="宋体"/>
          <w:iCs/>
          <w:sz w:val="24"/>
          <w:szCs w:val="21"/>
        </w:rPr>
        <w:sectPr>
          <w:footerReference r:id="rId13" w:type="default"/>
          <w:pgSz w:w="11910" w:h="16840" w:orient="landscape"/>
          <w:pgMar w:top="1440" w:right="1800" w:bottom="1440" w:left="1800" w:header="720" w:footer="720" w:gutter="0"/>
          <w:pgNumType w:start="1"/>
          <w:cols w:space="1701" w:num="1"/>
        </w:sectPr>
      </w:pPr>
      <w:r>
        <w:rPr>
          <w:rFonts w:hint="eastAsia" w:hAnsi="宋体"/>
          <w:iCs/>
          <w:sz w:val="24"/>
          <w:szCs w:val="21"/>
        </w:rPr>
        <w:t xml:space="preserve"> </w:t>
      </w:r>
      <w:r>
        <w:rPr>
          <w:rFonts w:hAnsi="宋体"/>
          <w:iCs/>
          <w:sz w:val="24"/>
          <w:szCs w:val="21"/>
        </w:rPr>
        <w:t>本项目</w:t>
      </w:r>
      <w:r>
        <w:rPr>
          <w:rFonts w:hint="eastAsia" w:hAnsi="宋体"/>
          <w:iCs/>
          <w:sz w:val="24"/>
          <w:szCs w:val="21"/>
        </w:rPr>
        <w:t>运行时原料及产品运输车辆进出入时，产生的少量尾气，其中包含CO、HC化合物、NO</w:t>
      </w:r>
      <w:r>
        <w:rPr>
          <w:rFonts w:hint="eastAsia" w:hAnsi="宋体"/>
          <w:iCs/>
          <w:sz w:val="24"/>
          <w:szCs w:val="21"/>
          <w:vertAlign w:val="subscript"/>
        </w:rPr>
        <w:t>X</w:t>
      </w:r>
      <w:r>
        <w:rPr>
          <w:rFonts w:hint="eastAsia" w:hAnsi="宋体"/>
          <w:iCs/>
          <w:sz w:val="24"/>
          <w:szCs w:val="21"/>
        </w:rPr>
        <w:t>等污染物，属为无组织排放，通过空气自然扩散。</w:t>
      </w:r>
    </w:p>
    <w:p w14:paraId="41B277FB">
      <w:pPr>
        <w:widowControl w:val="0"/>
        <w:spacing w:line="240" w:lineRule="auto"/>
        <w:ind w:firstLine="0"/>
        <w:jc w:val="center"/>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4.3-14</w:t>
      </w:r>
      <w:r>
        <w:rPr>
          <w:rFonts w:ascii="Times New Roman" w:hAnsi="Times New Roman" w:eastAsia="宋体" w:cs="Times New Roman"/>
          <w:b/>
          <w:color w:val="000000"/>
          <w:sz w:val="24"/>
          <w:szCs w:val="24"/>
        </w:rPr>
        <w:t xml:space="preserve">   </w:t>
      </w:r>
      <w:r>
        <w:rPr>
          <w:rFonts w:hint="eastAsia" w:ascii="Times New Roman" w:hAnsi="Times New Roman" w:eastAsia="宋体" w:cs="Times New Roman"/>
          <w:b/>
          <w:color w:val="000000"/>
          <w:sz w:val="24"/>
          <w:szCs w:val="24"/>
          <w:lang w:val="en-US" w:eastAsia="zh-CN"/>
        </w:rPr>
        <w:t>改扩建后</w:t>
      </w:r>
      <w:r>
        <w:rPr>
          <w:rFonts w:ascii="Times New Roman" w:hAnsi="Times New Roman" w:eastAsia="宋体" w:cs="Times New Roman"/>
          <w:b/>
          <w:color w:val="000000"/>
          <w:sz w:val="24"/>
          <w:szCs w:val="24"/>
        </w:rPr>
        <w:t>项目废气</w:t>
      </w:r>
      <w:r>
        <w:rPr>
          <w:rFonts w:hint="eastAsia" w:ascii="Times New Roman" w:hAnsi="Times New Roman" w:eastAsia="宋体" w:cs="Times New Roman"/>
          <w:b/>
          <w:color w:val="000000"/>
          <w:sz w:val="24"/>
          <w:szCs w:val="24"/>
          <w:lang w:val="en-US" w:eastAsia="zh-CN"/>
        </w:rPr>
        <w:t>产</w:t>
      </w:r>
      <w:r>
        <w:rPr>
          <w:rFonts w:ascii="Times New Roman" w:hAnsi="Times New Roman" w:eastAsia="宋体" w:cs="Times New Roman"/>
          <w:b/>
          <w:color w:val="000000"/>
          <w:sz w:val="24"/>
          <w:szCs w:val="24"/>
        </w:rPr>
        <w:t>排放情况</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9"/>
        <w:gridCol w:w="956"/>
        <w:gridCol w:w="1357"/>
        <w:gridCol w:w="1025"/>
        <w:gridCol w:w="730"/>
        <w:gridCol w:w="855"/>
        <w:gridCol w:w="1155"/>
        <w:gridCol w:w="1020"/>
        <w:gridCol w:w="765"/>
        <w:gridCol w:w="780"/>
        <w:gridCol w:w="675"/>
        <w:gridCol w:w="795"/>
        <w:gridCol w:w="795"/>
        <w:gridCol w:w="780"/>
        <w:gridCol w:w="750"/>
        <w:gridCol w:w="1906"/>
      </w:tblGrid>
      <w:tr w14:paraId="6368C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restart"/>
            <w:noWrap w:val="0"/>
            <w:vAlign w:val="center"/>
          </w:tcPr>
          <w:p w14:paraId="0E3A2CE6">
            <w:pPr>
              <w:widowControl w:val="0"/>
              <w:spacing w:line="240" w:lineRule="auto"/>
              <w:ind w:firstLine="0"/>
              <w:jc w:val="center"/>
              <w:rPr>
                <w:rFonts w:ascii="Times New Roman" w:hAnsi="Times New Roman" w:eastAsia="宋体" w:cs="Times New Roman"/>
                <w:b/>
                <w:color w:val="000000"/>
                <w:sz w:val="18"/>
                <w:szCs w:val="18"/>
                <w:lang w:val="en-US" w:eastAsia="zh-CN"/>
              </w:rPr>
            </w:pPr>
            <w:r>
              <w:rPr>
                <w:rFonts w:hint="eastAsia" w:ascii="Times New Roman" w:hAnsi="Times New Roman" w:eastAsia="宋体" w:cs="Times New Roman"/>
                <w:b/>
                <w:color w:val="000000"/>
                <w:sz w:val="18"/>
                <w:szCs w:val="18"/>
                <w:lang w:val="en-US" w:eastAsia="zh-CN"/>
              </w:rPr>
              <w:t>有组织废气</w:t>
            </w:r>
          </w:p>
        </w:tc>
        <w:tc>
          <w:tcPr>
            <w:tcW w:w="956" w:type="dxa"/>
            <w:vMerge w:val="restart"/>
            <w:noWrap w:val="0"/>
            <w:vAlign w:val="center"/>
          </w:tcPr>
          <w:p w14:paraId="14A982CF">
            <w:pPr>
              <w:widowControl w:val="0"/>
              <w:spacing w:line="240" w:lineRule="auto"/>
              <w:ind w:firstLine="0"/>
              <w:jc w:val="center"/>
              <w:rPr>
                <w:rFonts w:ascii="Times New Roman" w:hAnsi="Times New Roman" w:eastAsia="宋体" w:cs="Times New Roman"/>
                <w:b/>
                <w:bCs/>
                <w:color w:val="000000"/>
                <w:sz w:val="18"/>
                <w:szCs w:val="18"/>
              </w:rPr>
            </w:pPr>
            <w:r>
              <w:rPr>
                <w:rFonts w:hint="eastAsia" w:ascii="Times New Roman" w:hAnsi="Times New Roman" w:eastAsia="宋体" w:cs="Times New Roman"/>
                <w:b/>
                <w:bCs/>
                <w:color w:val="000000"/>
                <w:sz w:val="18"/>
                <w:szCs w:val="18"/>
                <w:lang w:eastAsia="zh-CN"/>
              </w:rPr>
              <w:t>排气筒</w:t>
            </w:r>
            <w:r>
              <w:rPr>
                <w:rFonts w:ascii="Times New Roman" w:hAnsi="Times New Roman" w:eastAsia="宋体" w:cs="Times New Roman"/>
                <w:b/>
                <w:bCs/>
                <w:color w:val="000000"/>
                <w:sz w:val="18"/>
                <w:szCs w:val="18"/>
              </w:rPr>
              <w:t>编号</w:t>
            </w:r>
          </w:p>
        </w:tc>
        <w:tc>
          <w:tcPr>
            <w:tcW w:w="1357" w:type="dxa"/>
            <w:vMerge w:val="restart"/>
            <w:noWrap w:val="0"/>
            <w:vAlign w:val="center"/>
          </w:tcPr>
          <w:p w14:paraId="39D78DE5">
            <w:pPr>
              <w:widowControl w:val="0"/>
              <w:spacing w:line="240" w:lineRule="auto"/>
              <w:ind w:firstLine="0"/>
              <w:jc w:val="center"/>
              <w:rPr>
                <w:rFonts w:ascii="Times New Roman" w:hAnsi="Times New Roman" w:eastAsia="宋体" w:cs="Times New Roman"/>
                <w:b/>
                <w:bCs/>
                <w:color w:val="000000"/>
                <w:sz w:val="18"/>
                <w:szCs w:val="18"/>
              </w:rPr>
            </w:pPr>
            <w:r>
              <w:rPr>
                <w:rFonts w:ascii="Times New Roman" w:hAnsi="Times New Roman" w:eastAsia="宋体" w:cs="Times New Roman"/>
                <w:b/>
                <w:color w:val="000000"/>
                <w:sz w:val="18"/>
                <w:szCs w:val="18"/>
              </w:rPr>
              <w:t>污染源</w:t>
            </w:r>
          </w:p>
        </w:tc>
        <w:tc>
          <w:tcPr>
            <w:tcW w:w="1025" w:type="dxa"/>
            <w:vMerge w:val="restart"/>
            <w:noWrap w:val="0"/>
            <w:tcMar>
              <w:left w:w="0" w:type="dxa"/>
              <w:right w:w="0" w:type="dxa"/>
            </w:tcMar>
            <w:vAlign w:val="center"/>
          </w:tcPr>
          <w:p w14:paraId="5E7D1573">
            <w:pPr>
              <w:widowControl w:val="0"/>
              <w:spacing w:line="240" w:lineRule="auto"/>
              <w:ind w:firstLine="0"/>
              <w:jc w:val="center"/>
              <w:rPr>
                <w:rFonts w:ascii="Times New Roman" w:hAnsi="Times New Roman" w:eastAsia="宋体" w:cs="Times New Roman"/>
                <w:b/>
                <w:color w:val="000000"/>
                <w:sz w:val="18"/>
                <w:szCs w:val="18"/>
              </w:rPr>
            </w:pPr>
            <w:r>
              <w:rPr>
                <w:rFonts w:ascii="Times New Roman" w:hAnsi="Times New Roman" w:eastAsia="宋体" w:cs="Times New Roman"/>
                <w:b/>
                <w:color w:val="000000"/>
                <w:sz w:val="18"/>
                <w:szCs w:val="18"/>
              </w:rPr>
              <w:t>污染物</w:t>
            </w:r>
          </w:p>
        </w:tc>
        <w:tc>
          <w:tcPr>
            <w:tcW w:w="1585" w:type="dxa"/>
            <w:gridSpan w:val="2"/>
            <w:noWrap w:val="0"/>
            <w:vAlign w:val="center"/>
          </w:tcPr>
          <w:p w14:paraId="614A7340">
            <w:pPr>
              <w:widowControl w:val="0"/>
              <w:spacing w:line="240" w:lineRule="auto"/>
              <w:ind w:firstLine="0"/>
              <w:jc w:val="center"/>
              <w:rPr>
                <w:rFonts w:ascii="Times New Roman" w:hAnsi="Times New Roman" w:eastAsia="宋体" w:cs="Times New Roman"/>
                <w:b/>
                <w:bCs/>
                <w:color w:val="000000"/>
                <w:sz w:val="18"/>
                <w:szCs w:val="18"/>
                <w:lang w:val="en-US" w:eastAsia="zh-CN"/>
              </w:rPr>
            </w:pPr>
            <w:r>
              <w:rPr>
                <w:rFonts w:hint="eastAsia" w:ascii="Times New Roman" w:hAnsi="Times New Roman" w:eastAsia="宋体" w:cs="Times New Roman"/>
                <w:b/>
                <w:bCs/>
                <w:color w:val="000000"/>
                <w:sz w:val="18"/>
                <w:szCs w:val="18"/>
                <w:lang w:val="en-US" w:eastAsia="zh-CN"/>
              </w:rPr>
              <w:t>产生情况</w:t>
            </w:r>
          </w:p>
        </w:tc>
        <w:tc>
          <w:tcPr>
            <w:tcW w:w="2175" w:type="dxa"/>
            <w:gridSpan w:val="2"/>
            <w:noWrap w:val="0"/>
            <w:vAlign w:val="center"/>
          </w:tcPr>
          <w:p w14:paraId="357F6535">
            <w:pPr>
              <w:widowControl w:val="0"/>
              <w:spacing w:line="240" w:lineRule="auto"/>
              <w:ind w:firstLine="0"/>
              <w:jc w:val="center"/>
              <w:rPr>
                <w:rFonts w:ascii="Times New Roman" w:hAnsi="Times New Roman" w:eastAsia="宋体" w:cs="Times New Roman"/>
                <w:b/>
                <w:color w:val="000000"/>
                <w:sz w:val="18"/>
                <w:szCs w:val="18"/>
              </w:rPr>
            </w:pPr>
            <w:r>
              <w:rPr>
                <w:rFonts w:ascii="Times New Roman" w:hAnsi="Times New Roman" w:eastAsia="宋体" w:cs="Times New Roman"/>
                <w:b/>
                <w:color w:val="000000"/>
                <w:sz w:val="18"/>
                <w:szCs w:val="18"/>
              </w:rPr>
              <w:t>采取的治理措施</w:t>
            </w:r>
          </w:p>
        </w:tc>
        <w:tc>
          <w:tcPr>
            <w:tcW w:w="765" w:type="dxa"/>
            <w:vMerge w:val="restart"/>
            <w:noWrap w:val="0"/>
            <w:vAlign w:val="center"/>
          </w:tcPr>
          <w:p w14:paraId="3D9D6F38">
            <w:pPr>
              <w:widowControl w:val="0"/>
              <w:spacing w:line="240" w:lineRule="auto"/>
              <w:ind w:firstLine="0"/>
              <w:jc w:val="center"/>
              <w:rPr>
                <w:rFonts w:hint="eastAsia" w:ascii="Times New Roman" w:hAnsi="Times New Roman" w:eastAsia="宋体" w:cs="Times New Roman"/>
                <w:b/>
                <w:color w:val="0000FF"/>
                <w:sz w:val="18"/>
                <w:szCs w:val="18"/>
                <w:lang w:eastAsia="zh-CN"/>
              </w:rPr>
            </w:pPr>
            <w:r>
              <w:rPr>
                <w:rFonts w:hint="eastAsia" w:ascii="Times New Roman" w:hAnsi="Times New Roman" w:eastAsia="宋体" w:cs="Times New Roman"/>
                <w:b/>
                <w:color w:val="000000"/>
                <w:sz w:val="18"/>
                <w:szCs w:val="18"/>
                <w:lang w:eastAsia="zh-CN"/>
              </w:rPr>
              <w:t>废气量万</w:t>
            </w:r>
            <w:r>
              <w:rPr>
                <w:rFonts w:hint="eastAsia" w:ascii="Times New Roman" w:hAnsi="Times New Roman" w:eastAsia="宋体" w:cs="Times New Roman"/>
                <w:b/>
                <w:color w:val="000000"/>
                <w:sz w:val="18"/>
                <w:szCs w:val="18"/>
                <w:lang w:val="en-US" w:eastAsia="zh-CN"/>
              </w:rPr>
              <w:t>m³/a</w:t>
            </w:r>
          </w:p>
        </w:tc>
        <w:tc>
          <w:tcPr>
            <w:tcW w:w="2250" w:type="dxa"/>
            <w:gridSpan w:val="3"/>
            <w:noWrap w:val="0"/>
            <w:vAlign w:val="center"/>
          </w:tcPr>
          <w:p w14:paraId="01DF7A7F">
            <w:pPr>
              <w:widowControl w:val="0"/>
              <w:spacing w:line="240" w:lineRule="auto"/>
              <w:ind w:firstLine="0"/>
              <w:jc w:val="center"/>
              <w:rPr>
                <w:rFonts w:ascii="Times New Roman" w:hAnsi="Times New Roman" w:eastAsia="宋体" w:cs="Times New Roman"/>
                <w:b/>
                <w:bCs/>
                <w:color w:val="000000"/>
                <w:sz w:val="18"/>
                <w:szCs w:val="18"/>
              </w:rPr>
            </w:pPr>
            <w:r>
              <w:rPr>
                <w:rFonts w:ascii="Times New Roman" w:hAnsi="Times New Roman" w:eastAsia="宋体" w:cs="Times New Roman"/>
                <w:b/>
                <w:color w:val="000000"/>
                <w:sz w:val="18"/>
                <w:szCs w:val="18"/>
              </w:rPr>
              <w:t>排放情况</w:t>
            </w:r>
          </w:p>
        </w:tc>
        <w:tc>
          <w:tcPr>
            <w:tcW w:w="1575" w:type="dxa"/>
            <w:gridSpan w:val="2"/>
            <w:noWrap w:val="0"/>
            <w:vAlign w:val="center"/>
          </w:tcPr>
          <w:p w14:paraId="4D4C2FAF">
            <w:pPr>
              <w:widowControl w:val="0"/>
              <w:spacing w:line="240" w:lineRule="auto"/>
              <w:ind w:firstLine="0"/>
              <w:jc w:val="center"/>
              <w:rPr>
                <w:rFonts w:ascii="Times New Roman" w:hAnsi="Times New Roman" w:eastAsia="宋体" w:cs="Times New Roman"/>
                <w:b/>
                <w:color w:val="000000"/>
                <w:sz w:val="18"/>
                <w:szCs w:val="18"/>
              </w:rPr>
            </w:pPr>
            <w:r>
              <w:rPr>
                <w:rFonts w:ascii="Times New Roman" w:hAnsi="Times New Roman" w:eastAsia="宋体" w:cs="Times New Roman"/>
                <w:b/>
                <w:color w:val="000000"/>
                <w:sz w:val="18"/>
                <w:szCs w:val="18"/>
              </w:rPr>
              <w:t>排放标准</w:t>
            </w:r>
          </w:p>
        </w:tc>
        <w:tc>
          <w:tcPr>
            <w:tcW w:w="750" w:type="dxa"/>
            <w:vMerge w:val="restart"/>
            <w:noWrap w:val="0"/>
            <w:vAlign w:val="center"/>
          </w:tcPr>
          <w:p w14:paraId="0890FCD1">
            <w:pPr>
              <w:widowControl w:val="0"/>
              <w:spacing w:line="240" w:lineRule="auto"/>
              <w:ind w:firstLine="0"/>
              <w:jc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sz w:val="18"/>
                <w:szCs w:val="18"/>
              </w:rPr>
              <w:t>达标</w:t>
            </w:r>
          </w:p>
          <w:p w14:paraId="3A032E0A">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
                <w:bCs/>
                <w:color w:val="000000"/>
                <w:sz w:val="18"/>
                <w:szCs w:val="18"/>
              </w:rPr>
              <w:t>情况</w:t>
            </w:r>
          </w:p>
        </w:tc>
        <w:tc>
          <w:tcPr>
            <w:tcW w:w="1906" w:type="dxa"/>
            <w:vMerge w:val="restart"/>
            <w:noWrap w:val="0"/>
            <w:vAlign w:val="center"/>
          </w:tcPr>
          <w:p w14:paraId="039FE415">
            <w:pPr>
              <w:widowControl w:val="0"/>
              <w:spacing w:line="240" w:lineRule="auto"/>
              <w:ind w:firstLine="0"/>
              <w:jc w:val="center"/>
              <w:rPr>
                <w:rFonts w:ascii="Times New Roman" w:hAnsi="Times New Roman" w:eastAsia="宋体" w:cs="Times New Roman"/>
                <w:b/>
                <w:bCs/>
                <w:color w:val="000000"/>
                <w:sz w:val="18"/>
                <w:szCs w:val="18"/>
              </w:rPr>
            </w:pPr>
            <w:r>
              <w:rPr>
                <w:rFonts w:ascii="Times New Roman" w:hAnsi="Times New Roman" w:eastAsia="宋体" w:cs="Times New Roman"/>
                <w:b/>
                <w:color w:val="000000"/>
                <w:sz w:val="18"/>
                <w:szCs w:val="18"/>
              </w:rPr>
              <w:t>排放方式</w:t>
            </w:r>
          </w:p>
        </w:tc>
      </w:tr>
      <w:tr w14:paraId="21FCC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0A6B983F">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6DF05390">
            <w:pPr>
              <w:widowControl w:val="0"/>
              <w:spacing w:line="240" w:lineRule="auto"/>
              <w:ind w:firstLine="0"/>
              <w:jc w:val="center"/>
              <w:rPr>
                <w:rFonts w:ascii="Times New Roman" w:hAnsi="Times New Roman" w:eastAsia="宋体" w:cs="Times New Roman"/>
                <w:bCs/>
                <w:color w:val="000000"/>
                <w:sz w:val="18"/>
                <w:szCs w:val="18"/>
              </w:rPr>
            </w:pPr>
          </w:p>
        </w:tc>
        <w:tc>
          <w:tcPr>
            <w:tcW w:w="1357" w:type="dxa"/>
            <w:vMerge w:val="continue"/>
            <w:noWrap w:val="0"/>
            <w:vAlign w:val="center"/>
          </w:tcPr>
          <w:p w14:paraId="6C79A42B">
            <w:pPr>
              <w:widowControl w:val="0"/>
              <w:spacing w:line="240" w:lineRule="auto"/>
              <w:ind w:firstLine="0"/>
              <w:jc w:val="center"/>
              <w:rPr>
                <w:rFonts w:ascii="Times New Roman" w:hAnsi="Times New Roman" w:eastAsia="宋体" w:cs="Times New Roman"/>
                <w:bCs/>
                <w:color w:val="000000"/>
                <w:sz w:val="18"/>
                <w:szCs w:val="18"/>
              </w:rPr>
            </w:pPr>
          </w:p>
        </w:tc>
        <w:tc>
          <w:tcPr>
            <w:tcW w:w="1025" w:type="dxa"/>
            <w:vMerge w:val="continue"/>
            <w:noWrap w:val="0"/>
            <w:vAlign w:val="center"/>
          </w:tcPr>
          <w:p w14:paraId="553E0372">
            <w:pPr>
              <w:widowControl w:val="0"/>
              <w:spacing w:line="240" w:lineRule="auto"/>
              <w:ind w:firstLine="0"/>
              <w:jc w:val="center"/>
              <w:rPr>
                <w:rFonts w:ascii="Times New Roman" w:hAnsi="Times New Roman" w:eastAsia="宋体" w:cs="Times New Roman"/>
                <w:color w:val="000000"/>
                <w:sz w:val="18"/>
                <w:szCs w:val="18"/>
              </w:rPr>
            </w:pPr>
          </w:p>
        </w:tc>
        <w:tc>
          <w:tcPr>
            <w:tcW w:w="730" w:type="dxa"/>
            <w:noWrap w:val="0"/>
            <w:vAlign w:val="center"/>
          </w:tcPr>
          <w:p w14:paraId="7336B703">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
                <w:color w:val="000000"/>
                <w:sz w:val="18"/>
                <w:szCs w:val="18"/>
              </w:rPr>
              <w:t>mg/m</w:t>
            </w:r>
            <w:r>
              <w:rPr>
                <w:rFonts w:ascii="Times New Roman" w:hAnsi="Times New Roman" w:eastAsia="宋体" w:cs="Times New Roman"/>
                <w:b/>
                <w:color w:val="000000"/>
                <w:sz w:val="18"/>
                <w:szCs w:val="18"/>
                <w:vertAlign w:val="superscript"/>
              </w:rPr>
              <w:t>3</w:t>
            </w:r>
          </w:p>
        </w:tc>
        <w:tc>
          <w:tcPr>
            <w:tcW w:w="855" w:type="dxa"/>
            <w:noWrap w:val="0"/>
            <w:vAlign w:val="center"/>
          </w:tcPr>
          <w:p w14:paraId="500EC92E">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rFonts w:hint="eastAsia" w:ascii="Times New Roman" w:hAnsi="Times New Roman" w:eastAsia="宋体" w:cs="Times New Roman"/>
                <w:b/>
                <w:color w:val="000000"/>
                <w:sz w:val="18"/>
                <w:szCs w:val="18"/>
                <w:lang w:val="en-US" w:eastAsia="zh-CN"/>
              </w:rPr>
              <w:t>t</w:t>
            </w:r>
            <w:r>
              <w:rPr>
                <w:rFonts w:ascii="Times New Roman" w:hAnsi="Times New Roman" w:eastAsia="宋体" w:cs="Times New Roman"/>
                <w:b/>
                <w:color w:val="000000"/>
                <w:sz w:val="18"/>
                <w:szCs w:val="18"/>
              </w:rPr>
              <w:t>/</w:t>
            </w:r>
            <w:r>
              <w:rPr>
                <w:rFonts w:hint="eastAsia" w:ascii="Times New Roman" w:hAnsi="Times New Roman" w:eastAsia="宋体" w:cs="Times New Roman"/>
                <w:b/>
                <w:color w:val="000000"/>
                <w:sz w:val="18"/>
                <w:szCs w:val="18"/>
                <w:lang w:val="en-US" w:eastAsia="zh-CN"/>
              </w:rPr>
              <w:t>a</w:t>
            </w:r>
          </w:p>
        </w:tc>
        <w:tc>
          <w:tcPr>
            <w:tcW w:w="1155" w:type="dxa"/>
            <w:noWrap w:val="0"/>
            <w:vAlign w:val="center"/>
          </w:tcPr>
          <w:p w14:paraId="5081034F">
            <w:pPr>
              <w:widowControl w:val="0"/>
              <w:spacing w:line="240" w:lineRule="auto"/>
              <w:ind w:firstLine="0"/>
              <w:jc w:val="center"/>
              <w:rPr>
                <w:rFonts w:ascii="Times New Roman" w:hAnsi="Times New Roman" w:eastAsia="宋体" w:cs="Times New Roman"/>
                <w:b/>
                <w:bCs w:val="0"/>
                <w:color w:val="000000"/>
                <w:sz w:val="18"/>
                <w:szCs w:val="18"/>
                <w:lang w:val="en-US" w:eastAsia="zh-CN"/>
              </w:rPr>
            </w:pPr>
            <w:r>
              <w:rPr>
                <w:rFonts w:hint="eastAsia" w:ascii="Times New Roman" w:hAnsi="Times New Roman" w:eastAsia="宋体" w:cs="Times New Roman"/>
                <w:b/>
                <w:bCs w:val="0"/>
                <w:color w:val="000000"/>
                <w:sz w:val="18"/>
                <w:szCs w:val="18"/>
                <w:lang w:val="en-US" w:eastAsia="zh-CN"/>
              </w:rPr>
              <w:t>已建措施</w:t>
            </w:r>
          </w:p>
        </w:tc>
        <w:tc>
          <w:tcPr>
            <w:tcW w:w="1020" w:type="dxa"/>
            <w:noWrap w:val="0"/>
            <w:vAlign w:val="center"/>
          </w:tcPr>
          <w:p w14:paraId="62CAA356">
            <w:pPr>
              <w:widowControl w:val="0"/>
              <w:spacing w:line="240" w:lineRule="auto"/>
              <w:ind w:firstLine="0"/>
              <w:jc w:val="center"/>
              <w:rPr>
                <w:rFonts w:ascii="Times New Roman" w:hAnsi="Times New Roman" w:eastAsia="宋体" w:cs="Times New Roman"/>
                <w:b/>
                <w:bCs w:val="0"/>
                <w:color w:val="000000"/>
                <w:sz w:val="18"/>
                <w:szCs w:val="18"/>
                <w:lang w:val="en-US" w:eastAsia="zh-CN"/>
              </w:rPr>
            </w:pPr>
            <w:r>
              <w:rPr>
                <w:rFonts w:hint="eastAsia" w:ascii="Times New Roman" w:hAnsi="Times New Roman" w:eastAsia="宋体" w:cs="Times New Roman"/>
                <w:b/>
                <w:bCs w:val="0"/>
                <w:color w:val="000000"/>
                <w:sz w:val="18"/>
                <w:szCs w:val="18"/>
                <w:lang w:val="en-US" w:eastAsia="zh-CN"/>
              </w:rPr>
              <w:t>待整改措施</w:t>
            </w:r>
          </w:p>
        </w:tc>
        <w:tc>
          <w:tcPr>
            <w:tcW w:w="765" w:type="dxa"/>
            <w:vMerge w:val="continue"/>
            <w:noWrap w:val="0"/>
            <w:tcMar>
              <w:left w:w="0" w:type="dxa"/>
              <w:right w:w="0" w:type="dxa"/>
            </w:tcMar>
            <w:vAlign w:val="center"/>
          </w:tcPr>
          <w:p w14:paraId="62B4562B">
            <w:pPr>
              <w:widowControl w:val="0"/>
              <w:spacing w:line="240" w:lineRule="auto"/>
              <w:ind w:firstLine="0"/>
              <w:jc w:val="center"/>
              <w:rPr>
                <w:rFonts w:ascii="Times New Roman" w:hAnsi="Times New Roman" w:eastAsia="宋体" w:cs="Times New Roman"/>
                <w:bCs/>
                <w:color w:val="0000FF"/>
                <w:sz w:val="18"/>
                <w:szCs w:val="18"/>
              </w:rPr>
            </w:pPr>
          </w:p>
        </w:tc>
        <w:tc>
          <w:tcPr>
            <w:tcW w:w="780" w:type="dxa"/>
            <w:noWrap w:val="0"/>
            <w:tcMar>
              <w:left w:w="0" w:type="dxa"/>
              <w:right w:w="0" w:type="dxa"/>
            </w:tcMar>
            <w:vAlign w:val="center"/>
          </w:tcPr>
          <w:p w14:paraId="2820776E">
            <w:pPr>
              <w:widowControl w:val="0"/>
              <w:spacing w:line="240" w:lineRule="auto"/>
              <w:ind w:firstLine="0"/>
              <w:jc w:val="center"/>
              <w:rPr>
                <w:rFonts w:ascii="Times New Roman" w:hAnsi="Times New Roman" w:eastAsia="宋体" w:cs="Times New Roman"/>
                <w:b/>
                <w:color w:val="000000"/>
                <w:sz w:val="18"/>
                <w:szCs w:val="18"/>
              </w:rPr>
            </w:pPr>
            <w:r>
              <w:rPr>
                <w:rFonts w:ascii="Times New Roman" w:hAnsi="Times New Roman" w:eastAsia="宋体" w:cs="Times New Roman"/>
                <w:b/>
                <w:color w:val="000000"/>
                <w:sz w:val="18"/>
                <w:szCs w:val="18"/>
              </w:rPr>
              <w:t>mg/m</w:t>
            </w:r>
            <w:r>
              <w:rPr>
                <w:rFonts w:ascii="Times New Roman" w:hAnsi="Times New Roman" w:eastAsia="宋体" w:cs="Times New Roman"/>
                <w:b/>
                <w:color w:val="000000"/>
                <w:sz w:val="18"/>
                <w:szCs w:val="18"/>
                <w:vertAlign w:val="superscript"/>
              </w:rPr>
              <w:t>3</w:t>
            </w:r>
          </w:p>
        </w:tc>
        <w:tc>
          <w:tcPr>
            <w:tcW w:w="675" w:type="dxa"/>
            <w:noWrap w:val="0"/>
            <w:vAlign w:val="center"/>
          </w:tcPr>
          <w:p w14:paraId="0AA84A6B">
            <w:pPr>
              <w:widowControl w:val="0"/>
              <w:spacing w:line="240" w:lineRule="auto"/>
              <w:ind w:firstLine="0"/>
              <w:jc w:val="center"/>
              <w:rPr>
                <w:rFonts w:ascii="Times New Roman" w:hAnsi="Times New Roman" w:eastAsia="宋体" w:cs="Times New Roman"/>
                <w:b/>
                <w:color w:val="000000"/>
                <w:sz w:val="18"/>
                <w:szCs w:val="18"/>
              </w:rPr>
            </w:pPr>
            <w:r>
              <w:rPr>
                <w:rFonts w:ascii="Times New Roman" w:hAnsi="Times New Roman" w:eastAsia="宋体" w:cs="Times New Roman"/>
                <w:b/>
                <w:color w:val="000000"/>
                <w:sz w:val="18"/>
                <w:szCs w:val="18"/>
              </w:rPr>
              <w:t>kg/h</w:t>
            </w:r>
          </w:p>
        </w:tc>
        <w:tc>
          <w:tcPr>
            <w:tcW w:w="795" w:type="dxa"/>
            <w:noWrap w:val="0"/>
            <w:vAlign w:val="center"/>
          </w:tcPr>
          <w:p w14:paraId="19B19080">
            <w:pPr>
              <w:widowControl w:val="0"/>
              <w:spacing w:line="240" w:lineRule="auto"/>
              <w:ind w:firstLine="0"/>
              <w:jc w:val="center"/>
              <w:rPr>
                <w:rFonts w:hint="eastAsia" w:ascii="Times New Roman" w:hAnsi="Times New Roman" w:eastAsia="宋体" w:cs="Times New Roman"/>
                <w:b/>
                <w:color w:val="000000"/>
                <w:sz w:val="18"/>
                <w:szCs w:val="18"/>
                <w:lang w:val="en-US" w:eastAsia="zh-CN"/>
              </w:rPr>
            </w:pPr>
            <w:r>
              <w:rPr>
                <w:rFonts w:hint="eastAsia" w:ascii="Times New Roman" w:hAnsi="Times New Roman" w:eastAsia="宋体" w:cs="Times New Roman"/>
                <w:b/>
                <w:color w:val="000000"/>
                <w:sz w:val="18"/>
                <w:szCs w:val="18"/>
                <w:lang w:val="en-US" w:eastAsia="zh-CN"/>
              </w:rPr>
              <w:t>t/a</w:t>
            </w:r>
          </w:p>
        </w:tc>
        <w:tc>
          <w:tcPr>
            <w:tcW w:w="795" w:type="dxa"/>
            <w:noWrap w:val="0"/>
            <w:vAlign w:val="center"/>
          </w:tcPr>
          <w:p w14:paraId="554F70FE">
            <w:pPr>
              <w:widowControl w:val="0"/>
              <w:spacing w:line="240" w:lineRule="auto"/>
              <w:ind w:firstLine="0"/>
              <w:jc w:val="center"/>
              <w:rPr>
                <w:rFonts w:ascii="Times New Roman" w:hAnsi="Times New Roman" w:eastAsia="宋体" w:cs="Times New Roman"/>
                <w:b/>
                <w:color w:val="000000"/>
                <w:sz w:val="18"/>
                <w:szCs w:val="18"/>
              </w:rPr>
            </w:pPr>
            <w:r>
              <w:rPr>
                <w:rFonts w:ascii="Times New Roman" w:hAnsi="Times New Roman" w:eastAsia="宋体" w:cs="Times New Roman"/>
                <w:b/>
                <w:color w:val="000000"/>
                <w:sz w:val="18"/>
                <w:szCs w:val="18"/>
              </w:rPr>
              <w:t>mg/m</w:t>
            </w:r>
            <w:r>
              <w:rPr>
                <w:rFonts w:ascii="Times New Roman" w:hAnsi="Times New Roman" w:eastAsia="宋体" w:cs="Times New Roman"/>
                <w:b/>
                <w:color w:val="000000"/>
                <w:sz w:val="18"/>
                <w:szCs w:val="18"/>
                <w:vertAlign w:val="superscript"/>
              </w:rPr>
              <w:t>3</w:t>
            </w:r>
          </w:p>
        </w:tc>
        <w:tc>
          <w:tcPr>
            <w:tcW w:w="780" w:type="dxa"/>
            <w:noWrap w:val="0"/>
            <w:tcMar>
              <w:left w:w="0" w:type="dxa"/>
              <w:right w:w="0" w:type="dxa"/>
            </w:tcMar>
            <w:vAlign w:val="center"/>
          </w:tcPr>
          <w:p w14:paraId="2C36C584">
            <w:pPr>
              <w:widowControl w:val="0"/>
              <w:spacing w:line="240" w:lineRule="auto"/>
              <w:ind w:firstLine="0"/>
              <w:jc w:val="center"/>
              <w:rPr>
                <w:rFonts w:ascii="Times New Roman" w:hAnsi="Times New Roman" w:eastAsia="宋体" w:cs="Times New Roman"/>
                <w:b/>
                <w:color w:val="000000"/>
                <w:sz w:val="18"/>
                <w:szCs w:val="18"/>
              </w:rPr>
            </w:pPr>
            <w:r>
              <w:rPr>
                <w:rFonts w:ascii="Times New Roman" w:hAnsi="Times New Roman" w:eastAsia="宋体" w:cs="Times New Roman"/>
                <w:b/>
                <w:color w:val="000000"/>
                <w:sz w:val="18"/>
                <w:szCs w:val="18"/>
              </w:rPr>
              <w:t>kg/h</w:t>
            </w:r>
          </w:p>
        </w:tc>
        <w:tc>
          <w:tcPr>
            <w:tcW w:w="750" w:type="dxa"/>
            <w:vMerge w:val="continue"/>
            <w:noWrap w:val="0"/>
            <w:vAlign w:val="center"/>
          </w:tcPr>
          <w:p w14:paraId="47D4DFC5">
            <w:pPr>
              <w:widowControl w:val="0"/>
              <w:spacing w:line="240" w:lineRule="auto"/>
              <w:ind w:firstLine="0"/>
              <w:jc w:val="center"/>
              <w:rPr>
                <w:rFonts w:ascii="Times New Roman" w:hAnsi="Times New Roman" w:eastAsia="宋体" w:cs="Times New Roman"/>
                <w:color w:val="000000"/>
                <w:sz w:val="18"/>
                <w:szCs w:val="18"/>
              </w:rPr>
            </w:pPr>
          </w:p>
        </w:tc>
        <w:tc>
          <w:tcPr>
            <w:tcW w:w="1906" w:type="dxa"/>
            <w:vMerge w:val="continue"/>
            <w:noWrap w:val="0"/>
            <w:vAlign w:val="center"/>
          </w:tcPr>
          <w:p w14:paraId="040CBA9F">
            <w:pPr>
              <w:widowControl w:val="0"/>
              <w:spacing w:line="240" w:lineRule="auto"/>
              <w:ind w:firstLine="0"/>
              <w:jc w:val="center"/>
              <w:rPr>
                <w:rFonts w:ascii="Times New Roman" w:hAnsi="Times New Roman" w:eastAsia="宋体" w:cs="Times New Roman"/>
                <w:color w:val="000000"/>
                <w:sz w:val="18"/>
                <w:szCs w:val="18"/>
              </w:rPr>
            </w:pPr>
          </w:p>
        </w:tc>
      </w:tr>
      <w:tr w14:paraId="1EE1A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4C139DC3">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73A34050">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G3</w:t>
            </w:r>
          </w:p>
        </w:tc>
        <w:tc>
          <w:tcPr>
            <w:tcW w:w="1357" w:type="dxa"/>
            <w:noWrap w:val="0"/>
            <w:vAlign w:val="center"/>
          </w:tcPr>
          <w:p w14:paraId="27191195">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干燥工段</w:t>
            </w:r>
          </w:p>
        </w:tc>
        <w:tc>
          <w:tcPr>
            <w:tcW w:w="1025" w:type="dxa"/>
            <w:noWrap w:val="0"/>
            <w:vAlign w:val="center"/>
          </w:tcPr>
          <w:p w14:paraId="5C158DEF">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粉尘</w:t>
            </w:r>
          </w:p>
        </w:tc>
        <w:tc>
          <w:tcPr>
            <w:tcW w:w="730" w:type="dxa"/>
            <w:noWrap w:val="0"/>
            <w:vAlign w:val="center"/>
          </w:tcPr>
          <w:p w14:paraId="065119AC">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3466.7</w:t>
            </w:r>
          </w:p>
        </w:tc>
        <w:tc>
          <w:tcPr>
            <w:tcW w:w="855" w:type="dxa"/>
            <w:noWrap w:val="0"/>
            <w:vAlign w:val="center"/>
          </w:tcPr>
          <w:p w14:paraId="69102CB5">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500</w:t>
            </w:r>
          </w:p>
        </w:tc>
        <w:tc>
          <w:tcPr>
            <w:tcW w:w="1155" w:type="dxa"/>
            <w:noWrap w:val="0"/>
            <w:vAlign w:val="center"/>
          </w:tcPr>
          <w:p w14:paraId="26312B5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旋风除尘器，除尘效率70%</w:t>
            </w:r>
          </w:p>
        </w:tc>
        <w:tc>
          <w:tcPr>
            <w:tcW w:w="1020" w:type="dxa"/>
            <w:vMerge w:val="restart"/>
            <w:noWrap w:val="0"/>
            <w:vAlign w:val="center"/>
          </w:tcPr>
          <w:p w14:paraId="38440F4C">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增加1套布袋除尘器，除尘效率99%</w:t>
            </w:r>
          </w:p>
        </w:tc>
        <w:tc>
          <w:tcPr>
            <w:tcW w:w="765" w:type="dxa"/>
            <w:vMerge w:val="restart"/>
            <w:noWrap w:val="0"/>
            <w:tcMar>
              <w:left w:w="0" w:type="dxa"/>
              <w:right w:w="0" w:type="dxa"/>
            </w:tcMar>
            <w:vAlign w:val="center"/>
          </w:tcPr>
          <w:p w14:paraId="679DAE5D">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14400</w:t>
            </w:r>
          </w:p>
        </w:tc>
        <w:tc>
          <w:tcPr>
            <w:tcW w:w="780" w:type="dxa"/>
            <w:noWrap w:val="0"/>
            <w:tcMar>
              <w:left w:w="0" w:type="dxa"/>
              <w:right w:w="0" w:type="dxa"/>
            </w:tcMar>
            <w:vAlign w:val="center"/>
          </w:tcPr>
          <w:p w14:paraId="6DF4ACCD">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10.4</w:t>
            </w:r>
          </w:p>
        </w:tc>
        <w:tc>
          <w:tcPr>
            <w:tcW w:w="675" w:type="dxa"/>
            <w:noWrap w:val="0"/>
            <w:vAlign w:val="center"/>
          </w:tcPr>
          <w:p w14:paraId="4E5F2A8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0.21</w:t>
            </w:r>
          </w:p>
        </w:tc>
        <w:tc>
          <w:tcPr>
            <w:tcW w:w="795" w:type="dxa"/>
            <w:noWrap w:val="0"/>
            <w:vAlign w:val="center"/>
          </w:tcPr>
          <w:p w14:paraId="562A0179">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1.5</w:t>
            </w:r>
          </w:p>
        </w:tc>
        <w:tc>
          <w:tcPr>
            <w:tcW w:w="795" w:type="dxa"/>
            <w:noWrap w:val="0"/>
            <w:vAlign w:val="center"/>
          </w:tcPr>
          <w:p w14:paraId="417B639E">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120</w:t>
            </w:r>
          </w:p>
        </w:tc>
        <w:tc>
          <w:tcPr>
            <w:tcW w:w="780" w:type="dxa"/>
            <w:noWrap w:val="0"/>
            <w:tcMar>
              <w:left w:w="0" w:type="dxa"/>
              <w:right w:w="0" w:type="dxa"/>
            </w:tcMar>
            <w:vAlign w:val="center"/>
          </w:tcPr>
          <w:p w14:paraId="22ACD198">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3.5</w:t>
            </w:r>
          </w:p>
        </w:tc>
        <w:tc>
          <w:tcPr>
            <w:tcW w:w="750" w:type="dxa"/>
            <w:noWrap w:val="0"/>
            <w:vAlign w:val="center"/>
          </w:tcPr>
          <w:p w14:paraId="51432BFF">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restart"/>
            <w:noWrap w:val="0"/>
            <w:vAlign w:val="center"/>
          </w:tcPr>
          <w:p w14:paraId="7539F7EE">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bCs/>
                <w:color w:val="000000"/>
                <w:sz w:val="18"/>
                <w:szCs w:val="18"/>
                <w:lang w:val="en-US" w:eastAsia="zh-CN"/>
              </w:rPr>
              <w:t>1根15m高排气筒排放（P1）</w:t>
            </w:r>
          </w:p>
        </w:tc>
      </w:tr>
      <w:tr w14:paraId="2F861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4F4A48F0">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7D53A7A0">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G4</w:t>
            </w:r>
          </w:p>
        </w:tc>
        <w:tc>
          <w:tcPr>
            <w:tcW w:w="1357" w:type="dxa"/>
            <w:noWrap w:val="0"/>
            <w:vAlign w:val="center"/>
          </w:tcPr>
          <w:p w14:paraId="7518E95B">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筛分工段</w:t>
            </w:r>
          </w:p>
        </w:tc>
        <w:tc>
          <w:tcPr>
            <w:tcW w:w="1025" w:type="dxa"/>
            <w:noWrap w:val="0"/>
            <w:vAlign w:val="center"/>
          </w:tcPr>
          <w:p w14:paraId="3E4B7D76">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粉尘</w:t>
            </w:r>
          </w:p>
        </w:tc>
        <w:tc>
          <w:tcPr>
            <w:tcW w:w="730" w:type="dxa"/>
            <w:noWrap w:val="0"/>
            <w:vAlign w:val="center"/>
          </w:tcPr>
          <w:p w14:paraId="1110466A">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2850</w:t>
            </w:r>
          </w:p>
        </w:tc>
        <w:tc>
          <w:tcPr>
            <w:tcW w:w="855" w:type="dxa"/>
            <w:noWrap w:val="0"/>
            <w:vAlign w:val="center"/>
          </w:tcPr>
          <w:p w14:paraId="335460B2">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412.5</w:t>
            </w:r>
          </w:p>
        </w:tc>
        <w:tc>
          <w:tcPr>
            <w:tcW w:w="1155" w:type="dxa"/>
            <w:noWrap w:val="0"/>
            <w:vAlign w:val="center"/>
          </w:tcPr>
          <w:p w14:paraId="622ABE85">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rFonts w:ascii="Times New Roman" w:hAnsi="Times New Roman" w:eastAsia="宋体" w:cs="Times New Roman"/>
                <w:color w:val="000000"/>
                <w:sz w:val="18"/>
                <w:szCs w:val="18"/>
              </w:rPr>
              <w:t>—</w:t>
            </w:r>
          </w:p>
        </w:tc>
        <w:tc>
          <w:tcPr>
            <w:tcW w:w="1020" w:type="dxa"/>
            <w:vMerge w:val="continue"/>
            <w:noWrap w:val="0"/>
            <w:vAlign w:val="center"/>
          </w:tcPr>
          <w:p w14:paraId="1AD5E62C">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65" w:type="dxa"/>
            <w:vMerge w:val="continue"/>
            <w:noWrap w:val="0"/>
            <w:tcMar>
              <w:left w:w="0" w:type="dxa"/>
              <w:right w:w="0" w:type="dxa"/>
            </w:tcMar>
            <w:vAlign w:val="center"/>
          </w:tcPr>
          <w:p w14:paraId="1397D859">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80" w:type="dxa"/>
            <w:noWrap w:val="0"/>
            <w:tcMar>
              <w:left w:w="0" w:type="dxa"/>
              <w:right w:w="0" w:type="dxa"/>
            </w:tcMar>
            <w:vAlign w:val="center"/>
          </w:tcPr>
          <w:p w14:paraId="65421B8A">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28.5</w:t>
            </w:r>
          </w:p>
        </w:tc>
        <w:tc>
          <w:tcPr>
            <w:tcW w:w="675" w:type="dxa"/>
            <w:noWrap w:val="0"/>
            <w:vAlign w:val="center"/>
          </w:tcPr>
          <w:p w14:paraId="76861B2A">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0.57</w:t>
            </w:r>
          </w:p>
        </w:tc>
        <w:tc>
          <w:tcPr>
            <w:tcW w:w="795" w:type="dxa"/>
            <w:noWrap w:val="0"/>
            <w:vAlign w:val="center"/>
          </w:tcPr>
          <w:p w14:paraId="26566D1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4.1</w:t>
            </w:r>
          </w:p>
        </w:tc>
        <w:tc>
          <w:tcPr>
            <w:tcW w:w="795" w:type="dxa"/>
            <w:noWrap w:val="0"/>
            <w:vAlign w:val="center"/>
          </w:tcPr>
          <w:p w14:paraId="759D23E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120</w:t>
            </w:r>
          </w:p>
        </w:tc>
        <w:tc>
          <w:tcPr>
            <w:tcW w:w="780" w:type="dxa"/>
            <w:noWrap w:val="0"/>
            <w:tcMar>
              <w:left w:w="0" w:type="dxa"/>
              <w:right w:w="0" w:type="dxa"/>
            </w:tcMar>
            <w:vAlign w:val="center"/>
          </w:tcPr>
          <w:p w14:paraId="107A316D">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3.5</w:t>
            </w:r>
          </w:p>
        </w:tc>
        <w:tc>
          <w:tcPr>
            <w:tcW w:w="750" w:type="dxa"/>
            <w:noWrap w:val="0"/>
            <w:vAlign w:val="center"/>
          </w:tcPr>
          <w:p w14:paraId="44FB78DF">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24DF6098">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r>
      <w:tr w14:paraId="7B5A1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2AE8EC9B">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56FBCA68">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G7</w:t>
            </w:r>
          </w:p>
        </w:tc>
        <w:tc>
          <w:tcPr>
            <w:tcW w:w="1357" w:type="dxa"/>
            <w:noWrap w:val="0"/>
            <w:vAlign w:val="center"/>
          </w:tcPr>
          <w:p w14:paraId="157ACAA2">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铺装工段</w:t>
            </w:r>
          </w:p>
        </w:tc>
        <w:tc>
          <w:tcPr>
            <w:tcW w:w="1025" w:type="dxa"/>
            <w:noWrap w:val="0"/>
            <w:vAlign w:val="center"/>
          </w:tcPr>
          <w:p w14:paraId="31DE889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粉尘</w:t>
            </w:r>
          </w:p>
        </w:tc>
        <w:tc>
          <w:tcPr>
            <w:tcW w:w="730" w:type="dxa"/>
            <w:noWrap w:val="0"/>
            <w:vAlign w:val="center"/>
          </w:tcPr>
          <w:p w14:paraId="580EAB1D">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7000</w:t>
            </w:r>
          </w:p>
        </w:tc>
        <w:tc>
          <w:tcPr>
            <w:tcW w:w="855" w:type="dxa"/>
            <w:noWrap w:val="0"/>
            <w:vAlign w:val="center"/>
          </w:tcPr>
          <w:p w14:paraId="14E2F155">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1012.5</w:t>
            </w:r>
          </w:p>
        </w:tc>
        <w:tc>
          <w:tcPr>
            <w:tcW w:w="1155" w:type="dxa"/>
            <w:noWrap w:val="0"/>
            <w:vAlign w:val="center"/>
          </w:tcPr>
          <w:p w14:paraId="52625934">
            <w:pPr>
              <w:widowControl w:val="0"/>
              <w:spacing w:line="240" w:lineRule="auto"/>
              <w:ind w:firstLine="0"/>
              <w:jc w:val="center"/>
              <w:rPr>
                <w:rFonts w:ascii="Times New Roman" w:hAnsi="Times New Roman" w:eastAsia="宋体" w:cs="Times New Roman"/>
                <w:color w:val="000000"/>
                <w:sz w:val="18"/>
                <w:szCs w:val="18"/>
              </w:rPr>
            </w:pPr>
            <w:r>
              <w:rPr>
                <w:rFonts w:hint="eastAsia" w:ascii="Times New Roman" w:hAnsi="Times New Roman" w:eastAsia="宋体" w:cs="Times New Roman"/>
                <w:bCs/>
                <w:color w:val="000000"/>
                <w:sz w:val="18"/>
                <w:szCs w:val="18"/>
                <w:lang w:val="en-US" w:eastAsia="zh-CN"/>
              </w:rPr>
              <w:t>旋风除尘器，除尘效率70%</w:t>
            </w:r>
          </w:p>
        </w:tc>
        <w:tc>
          <w:tcPr>
            <w:tcW w:w="1020" w:type="dxa"/>
            <w:vMerge w:val="continue"/>
            <w:noWrap w:val="0"/>
            <w:vAlign w:val="center"/>
          </w:tcPr>
          <w:p w14:paraId="2D210356">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65" w:type="dxa"/>
            <w:vMerge w:val="continue"/>
            <w:noWrap w:val="0"/>
            <w:tcMar>
              <w:left w:w="0" w:type="dxa"/>
              <w:right w:w="0" w:type="dxa"/>
            </w:tcMar>
            <w:vAlign w:val="center"/>
          </w:tcPr>
          <w:p w14:paraId="6586FB19">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80" w:type="dxa"/>
            <w:noWrap w:val="0"/>
            <w:tcMar>
              <w:left w:w="0" w:type="dxa"/>
              <w:right w:w="0" w:type="dxa"/>
            </w:tcMar>
            <w:vAlign w:val="center"/>
          </w:tcPr>
          <w:p w14:paraId="5208D455">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21.0</w:t>
            </w:r>
          </w:p>
        </w:tc>
        <w:tc>
          <w:tcPr>
            <w:tcW w:w="675" w:type="dxa"/>
            <w:noWrap w:val="0"/>
            <w:vAlign w:val="center"/>
          </w:tcPr>
          <w:p w14:paraId="11540AFB">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0.42</w:t>
            </w:r>
          </w:p>
        </w:tc>
        <w:tc>
          <w:tcPr>
            <w:tcW w:w="795" w:type="dxa"/>
            <w:noWrap w:val="0"/>
            <w:vAlign w:val="center"/>
          </w:tcPr>
          <w:p w14:paraId="000A3C2F">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3.04</w:t>
            </w:r>
          </w:p>
        </w:tc>
        <w:tc>
          <w:tcPr>
            <w:tcW w:w="795" w:type="dxa"/>
            <w:noWrap w:val="0"/>
            <w:vAlign w:val="center"/>
          </w:tcPr>
          <w:p w14:paraId="7F4C1ED8">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120</w:t>
            </w:r>
          </w:p>
        </w:tc>
        <w:tc>
          <w:tcPr>
            <w:tcW w:w="780" w:type="dxa"/>
            <w:noWrap w:val="0"/>
            <w:tcMar>
              <w:left w:w="0" w:type="dxa"/>
              <w:right w:w="0" w:type="dxa"/>
            </w:tcMar>
            <w:vAlign w:val="center"/>
          </w:tcPr>
          <w:p w14:paraId="44CCC7E5">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3.5</w:t>
            </w:r>
          </w:p>
        </w:tc>
        <w:tc>
          <w:tcPr>
            <w:tcW w:w="750" w:type="dxa"/>
            <w:noWrap w:val="0"/>
            <w:vAlign w:val="center"/>
          </w:tcPr>
          <w:p w14:paraId="6C04569C">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65C3AEA8">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r>
      <w:tr w14:paraId="33B08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59" w:type="dxa"/>
            <w:vMerge w:val="continue"/>
            <w:noWrap w:val="0"/>
            <w:vAlign w:val="center"/>
          </w:tcPr>
          <w:p w14:paraId="36A4D3FE">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restart"/>
            <w:noWrap w:val="0"/>
            <w:vAlign w:val="center"/>
          </w:tcPr>
          <w:p w14:paraId="32450CD4">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ascii="Times New Roman" w:hAnsi="Times New Roman" w:cs="Times New Roman"/>
                <w:color w:val="000000"/>
                <w:sz w:val="18"/>
                <w:szCs w:val="18"/>
                <w:lang w:val="en-US" w:eastAsia="zh-CN"/>
              </w:rPr>
              <w:t>G8、G11、G14、G15</w:t>
            </w:r>
          </w:p>
        </w:tc>
        <w:tc>
          <w:tcPr>
            <w:tcW w:w="1357" w:type="dxa"/>
            <w:vMerge w:val="restart"/>
            <w:noWrap w:val="0"/>
            <w:vAlign w:val="center"/>
          </w:tcPr>
          <w:p w14:paraId="230E9CE7">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热压、贴面工段</w:t>
            </w:r>
          </w:p>
        </w:tc>
        <w:tc>
          <w:tcPr>
            <w:tcW w:w="1025" w:type="dxa"/>
            <w:noWrap w:val="0"/>
            <w:vAlign w:val="center"/>
          </w:tcPr>
          <w:p w14:paraId="3FE9CEA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甲醛</w:t>
            </w:r>
          </w:p>
        </w:tc>
        <w:tc>
          <w:tcPr>
            <w:tcW w:w="730" w:type="dxa"/>
            <w:noWrap w:val="0"/>
            <w:vAlign w:val="center"/>
          </w:tcPr>
          <w:p w14:paraId="3EE70297">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110</w:t>
            </w:r>
          </w:p>
        </w:tc>
        <w:tc>
          <w:tcPr>
            <w:tcW w:w="855" w:type="dxa"/>
            <w:noWrap w:val="0"/>
            <w:vAlign w:val="center"/>
          </w:tcPr>
          <w:p w14:paraId="1611040C">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8.1</w:t>
            </w:r>
          </w:p>
        </w:tc>
        <w:tc>
          <w:tcPr>
            <w:tcW w:w="1155" w:type="dxa"/>
            <w:vMerge w:val="restart"/>
            <w:noWrap w:val="0"/>
            <w:vAlign w:val="center"/>
          </w:tcPr>
          <w:p w14:paraId="1CD812E1">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rFonts w:ascii="Times New Roman" w:hAnsi="Times New Roman" w:eastAsia="宋体" w:cs="Times New Roman"/>
                <w:color w:val="000000"/>
                <w:sz w:val="18"/>
                <w:szCs w:val="18"/>
              </w:rPr>
              <w:t>—</w:t>
            </w:r>
          </w:p>
        </w:tc>
        <w:tc>
          <w:tcPr>
            <w:tcW w:w="1020" w:type="dxa"/>
            <w:vMerge w:val="restart"/>
            <w:noWrap w:val="0"/>
            <w:vAlign w:val="center"/>
          </w:tcPr>
          <w:p w14:paraId="692B7C3C">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val="0"/>
                <w:color w:val="000000"/>
                <w:sz w:val="18"/>
                <w:szCs w:val="18"/>
                <w:lang w:val="en-US" w:eastAsia="zh-CN" w:bidi="ar-SA"/>
              </w:rPr>
              <w:t>1套UV光催化活性炭吸附一体设备收集废气，净化效率90%</w:t>
            </w:r>
          </w:p>
        </w:tc>
        <w:tc>
          <w:tcPr>
            <w:tcW w:w="765" w:type="dxa"/>
            <w:vMerge w:val="restart"/>
            <w:noWrap w:val="0"/>
            <w:tcMar>
              <w:left w:w="0" w:type="dxa"/>
              <w:right w:w="0" w:type="dxa"/>
            </w:tcMar>
            <w:vAlign w:val="center"/>
          </w:tcPr>
          <w:p w14:paraId="6EB3B6D5">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7200</w:t>
            </w:r>
          </w:p>
        </w:tc>
        <w:tc>
          <w:tcPr>
            <w:tcW w:w="780" w:type="dxa"/>
            <w:noWrap w:val="0"/>
            <w:tcMar>
              <w:left w:w="0" w:type="dxa"/>
              <w:right w:w="0" w:type="dxa"/>
            </w:tcMar>
            <w:vAlign w:val="center"/>
          </w:tcPr>
          <w:p w14:paraId="08DD848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11</w:t>
            </w:r>
          </w:p>
        </w:tc>
        <w:tc>
          <w:tcPr>
            <w:tcW w:w="675" w:type="dxa"/>
            <w:noWrap w:val="0"/>
            <w:vAlign w:val="center"/>
          </w:tcPr>
          <w:p w14:paraId="42FDB988">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0.11</w:t>
            </w:r>
          </w:p>
        </w:tc>
        <w:tc>
          <w:tcPr>
            <w:tcW w:w="795" w:type="dxa"/>
            <w:noWrap w:val="0"/>
            <w:vAlign w:val="center"/>
          </w:tcPr>
          <w:p w14:paraId="6EC2ADE4">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0.81</w:t>
            </w:r>
          </w:p>
        </w:tc>
        <w:tc>
          <w:tcPr>
            <w:tcW w:w="795" w:type="dxa"/>
            <w:noWrap w:val="0"/>
            <w:vAlign w:val="center"/>
          </w:tcPr>
          <w:p w14:paraId="7E043F02">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25</w:t>
            </w:r>
          </w:p>
        </w:tc>
        <w:tc>
          <w:tcPr>
            <w:tcW w:w="780" w:type="dxa"/>
            <w:noWrap w:val="0"/>
            <w:tcMar>
              <w:left w:w="0" w:type="dxa"/>
              <w:right w:w="0" w:type="dxa"/>
            </w:tcMar>
            <w:vAlign w:val="center"/>
          </w:tcPr>
          <w:p w14:paraId="7F7EB58D">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0.26</w:t>
            </w:r>
          </w:p>
        </w:tc>
        <w:tc>
          <w:tcPr>
            <w:tcW w:w="750" w:type="dxa"/>
            <w:noWrap w:val="0"/>
            <w:vAlign w:val="center"/>
          </w:tcPr>
          <w:p w14:paraId="4784A03C">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restart"/>
            <w:noWrap w:val="0"/>
            <w:vAlign w:val="center"/>
          </w:tcPr>
          <w:p w14:paraId="46CDF948">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1根15m高排气筒排放（P2）</w:t>
            </w:r>
          </w:p>
        </w:tc>
      </w:tr>
      <w:tr w14:paraId="22AEA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359" w:type="dxa"/>
            <w:vMerge w:val="continue"/>
            <w:noWrap w:val="0"/>
            <w:vAlign w:val="center"/>
          </w:tcPr>
          <w:p w14:paraId="4D6A1D42">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59CADA5C">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1357" w:type="dxa"/>
            <w:vMerge w:val="continue"/>
            <w:noWrap w:val="0"/>
            <w:vAlign w:val="center"/>
          </w:tcPr>
          <w:p w14:paraId="517BF3D2">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1025" w:type="dxa"/>
            <w:noWrap w:val="0"/>
            <w:vAlign w:val="center"/>
          </w:tcPr>
          <w:p w14:paraId="56A54F79">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酚类</w:t>
            </w:r>
          </w:p>
        </w:tc>
        <w:tc>
          <w:tcPr>
            <w:tcW w:w="730" w:type="dxa"/>
            <w:noWrap w:val="0"/>
            <w:vAlign w:val="center"/>
          </w:tcPr>
          <w:p w14:paraId="4817062D">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100</w:t>
            </w:r>
          </w:p>
        </w:tc>
        <w:tc>
          <w:tcPr>
            <w:tcW w:w="855" w:type="dxa"/>
            <w:noWrap w:val="0"/>
            <w:vAlign w:val="center"/>
          </w:tcPr>
          <w:p w14:paraId="1CD81848">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9</w:t>
            </w:r>
          </w:p>
        </w:tc>
        <w:tc>
          <w:tcPr>
            <w:tcW w:w="1155" w:type="dxa"/>
            <w:vMerge w:val="continue"/>
            <w:noWrap w:val="0"/>
            <w:vAlign w:val="center"/>
          </w:tcPr>
          <w:p w14:paraId="7127E763">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1020" w:type="dxa"/>
            <w:vMerge w:val="continue"/>
            <w:noWrap w:val="0"/>
            <w:vAlign w:val="center"/>
          </w:tcPr>
          <w:p w14:paraId="67C81227">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65" w:type="dxa"/>
            <w:vMerge w:val="continue"/>
            <w:noWrap w:val="0"/>
            <w:tcMar>
              <w:left w:w="0" w:type="dxa"/>
              <w:right w:w="0" w:type="dxa"/>
            </w:tcMar>
            <w:vAlign w:val="center"/>
          </w:tcPr>
          <w:p w14:paraId="4EA71E10">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80" w:type="dxa"/>
            <w:noWrap w:val="0"/>
            <w:tcMar>
              <w:left w:w="0" w:type="dxa"/>
              <w:right w:w="0" w:type="dxa"/>
            </w:tcMar>
            <w:vAlign w:val="center"/>
          </w:tcPr>
          <w:p w14:paraId="6103CF94">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10</w:t>
            </w:r>
          </w:p>
        </w:tc>
        <w:tc>
          <w:tcPr>
            <w:tcW w:w="675" w:type="dxa"/>
            <w:noWrap w:val="0"/>
            <w:vAlign w:val="center"/>
          </w:tcPr>
          <w:p w14:paraId="3973DE5B">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0.1</w:t>
            </w:r>
          </w:p>
        </w:tc>
        <w:tc>
          <w:tcPr>
            <w:tcW w:w="795" w:type="dxa"/>
            <w:noWrap w:val="0"/>
            <w:vAlign w:val="center"/>
          </w:tcPr>
          <w:p w14:paraId="2D800C60">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0.9</w:t>
            </w:r>
          </w:p>
        </w:tc>
        <w:tc>
          <w:tcPr>
            <w:tcW w:w="795" w:type="dxa"/>
            <w:noWrap w:val="0"/>
            <w:vAlign w:val="center"/>
          </w:tcPr>
          <w:p w14:paraId="044FDC5C">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100</w:t>
            </w:r>
          </w:p>
        </w:tc>
        <w:tc>
          <w:tcPr>
            <w:tcW w:w="780" w:type="dxa"/>
            <w:noWrap w:val="0"/>
            <w:tcMar>
              <w:left w:w="0" w:type="dxa"/>
              <w:right w:w="0" w:type="dxa"/>
            </w:tcMar>
            <w:vAlign w:val="center"/>
          </w:tcPr>
          <w:p w14:paraId="57BB442D">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0.1</w:t>
            </w:r>
          </w:p>
        </w:tc>
        <w:tc>
          <w:tcPr>
            <w:tcW w:w="750" w:type="dxa"/>
            <w:noWrap w:val="0"/>
            <w:vAlign w:val="center"/>
          </w:tcPr>
          <w:p w14:paraId="5A39276F">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4B7DA6C4">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r>
      <w:tr w14:paraId="734F6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06FA9FF4">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6291734B">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1357" w:type="dxa"/>
            <w:vMerge w:val="continue"/>
            <w:noWrap w:val="0"/>
            <w:vAlign w:val="center"/>
          </w:tcPr>
          <w:p w14:paraId="3F2B11D9">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1025" w:type="dxa"/>
            <w:noWrap w:val="0"/>
            <w:vAlign w:val="center"/>
          </w:tcPr>
          <w:p w14:paraId="6C31ED67">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VOCs</w:t>
            </w:r>
          </w:p>
        </w:tc>
        <w:tc>
          <w:tcPr>
            <w:tcW w:w="730" w:type="dxa"/>
            <w:noWrap w:val="0"/>
            <w:vAlign w:val="center"/>
          </w:tcPr>
          <w:p w14:paraId="1E797DD6">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25</w:t>
            </w:r>
          </w:p>
        </w:tc>
        <w:tc>
          <w:tcPr>
            <w:tcW w:w="855" w:type="dxa"/>
            <w:noWrap w:val="0"/>
            <w:vAlign w:val="center"/>
          </w:tcPr>
          <w:p w14:paraId="7E9C673A">
            <w:pPr>
              <w:widowControl w:val="0"/>
              <w:spacing w:line="240" w:lineRule="auto"/>
              <w:ind w:firstLine="0"/>
              <w:jc w:val="center"/>
              <w:rPr>
                <w:rFonts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1.8</w:t>
            </w:r>
          </w:p>
        </w:tc>
        <w:tc>
          <w:tcPr>
            <w:tcW w:w="1155" w:type="dxa"/>
            <w:vMerge w:val="continue"/>
            <w:noWrap w:val="0"/>
            <w:vAlign w:val="center"/>
          </w:tcPr>
          <w:p w14:paraId="6C5FA96D">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1020" w:type="dxa"/>
            <w:vMerge w:val="continue"/>
            <w:noWrap w:val="0"/>
            <w:vAlign w:val="center"/>
          </w:tcPr>
          <w:p w14:paraId="56CAE142">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65" w:type="dxa"/>
            <w:vMerge w:val="continue"/>
            <w:noWrap w:val="0"/>
            <w:tcMar>
              <w:left w:w="0" w:type="dxa"/>
              <w:right w:w="0" w:type="dxa"/>
            </w:tcMar>
            <w:vAlign w:val="center"/>
          </w:tcPr>
          <w:p w14:paraId="66E89E0C">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c>
          <w:tcPr>
            <w:tcW w:w="780" w:type="dxa"/>
            <w:noWrap w:val="0"/>
            <w:tcMar>
              <w:left w:w="0" w:type="dxa"/>
              <w:right w:w="0" w:type="dxa"/>
            </w:tcMar>
            <w:vAlign w:val="center"/>
          </w:tcPr>
          <w:p w14:paraId="046DF852">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2.5</w:t>
            </w:r>
          </w:p>
        </w:tc>
        <w:tc>
          <w:tcPr>
            <w:tcW w:w="675" w:type="dxa"/>
            <w:noWrap w:val="0"/>
            <w:vAlign w:val="center"/>
          </w:tcPr>
          <w:p w14:paraId="5556F006">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0.025</w:t>
            </w:r>
          </w:p>
        </w:tc>
        <w:tc>
          <w:tcPr>
            <w:tcW w:w="795" w:type="dxa"/>
            <w:noWrap w:val="0"/>
            <w:vAlign w:val="center"/>
          </w:tcPr>
          <w:p w14:paraId="6FFA06D6">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0.18</w:t>
            </w:r>
          </w:p>
        </w:tc>
        <w:tc>
          <w:tcPr>
            <w:tcW w:w="795" w:type="dxa"/>
            <w:noWrap w:val="0"/>
            <w:vAlign w:val="center"/>
          </w:tcPr>
          <w:p w14:paraId="45649819">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120</w:t>
            </w:r>
          </w:p>
        </w:tc>
        <w:tc>
          <w:tcPr>
            <w:tcW w:w="780" w:type="dxa"/>
            <w:noWrap w:val="0"/>
            <w:tcMar>
              <w:left w:w="0" w:type="dxa"/>
              <w:right w:w="0" w:type="dxa"/>
            </w:tcMar>
            <w:vAlign w:val="center"/>
          </w:tcPr>
          <w:p w14:paraId="5DA0C227">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10</w:t>
            </w:r>
          </w:p>
        </w:tc>
        <w:tc>
          <w:tcPr>
            <w:tcW w:w="750" w:type="dxa"/>
            <w:noWrap w:val="0"/>
            <w:vAlign w:val="center"/>
          </w:tcPr>
          <w:p w14:paraId="2B174B9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498B2BEF">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p>
        </w:tc>
      </w:tr>
      <w:tr w14:paraId="31B1A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43172B68">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restart"/>
            <w:noWrap w:val="0"/>
            <w:vAlign w:val="center"/>
          </w:tcPr>
          <w:p w14:paraId="6E526AE0">
            <w:pPr>
              <w:widowControl w:val="0"/>
              <w:spacing w:line="240" w:lineRule="auto"/>
              <w:ind w:firstLine="0"/>
              <w:jc w:val="center"/>
              <w:rPr>
                <w:rFonts w:hint="eastAsia" w:ascii="Times New Roman" w:hAnsi="Times New Roman" w:eastAsia="宋体" w:cs="Times New Roman"/>
                <w:bCs/>
                <w:color w:val="000000"/>
                <w:sz w:val="18"/>
                <w:szCs w:val="18"/>
                <w:lang w:eastAsia="zh-CN"/>
              </w:rPr>
            </w:pPr>
            <w:r>
              <w:rPr>
                <w:rFonts w:ascii="Times New Roman" w:hAnsi="Times New Roman" w:eastAsia="宋体" w:cs="Times New Roman"/>
                <w:bCs/>
                <w:color w:val="000000"/>
                <w:sz w:val="18"/>
                <w:szCs w:val="18"/>
              </w:rPr>
              <w:t>G</w:t>
            </w:r>
            <w:r>
              <w:rPr>
                <w:rFonts w:hint="eastAsia" w:ascii="Times New Roman" w:hAnsi="Times New Roman" w:eastAsia="宋体" w:cs="Times New Roman"/>
                <w:bCs/>
                <w:color w:val="000000"/>
                <w:sz w:val="18"/>
                <w:szCs w:val="18"/>
                <w:lang w:val="en-US" w:eastAsia="zh-CN"/>
              </w:rPr>
              <w:t>6</w:t>
            </w:r>
          </w:p>
        </w:tc>
        <w:tc>
          <w:tcPr>
            <w:tcW w:w="1357" w:type="dxa"/>
            <w:vMerge w:val="restart"/>
            <w:noWrap w:val="0"/>
            <w:vAlign w:val="center"/>
          </w:tcPr>
          <w:p w14:paraId="51692689">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供热系统</w:t>
            </w:r>
          </w:p>
        </w:tc>
        <w:tc>
          <w:tcPr>
            <w:tcW w:w="1025" w:type="dxa"/>
            <w:noWrap w:val="0"/>
            <w:vAlign w:val="center"/>
          </w:tcPr>
          <w:p w14:paraId="72BA078E">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烟尘</w:t>
            </w:r>
          </w:p>
        </w:tc>
        <w:tc>
          <w:tcPr>
            <w:tcW w:w="730" w:type="dxa"/>
            <w:noWrap w:val="0"/>
            <w:vAlign w:val="center"/>
          </w:tcPr>
          <w:p w14:paraId="69AC9A79">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128.8</w:t>
            </w:r>
          </w:p>
        </w:tc>
        <w:tc>
          <w:tcPr>
            <w:tcW w:w="855" w:type="dxa"/>
            <w:noWrap w:val="0"/>
            <w:vAlign w:val="center"/>
          </w:tcPr>
          <w:p w14:paraId="7DBA8ED5">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11.376</w:t>
            </w:r>
          </w:p>
        </w:tc>
        <w:tc>
          <w:tcPr>
            <w:tcW w:w="1155" w:type="dxa"/>
            <w:vMerge w:val="restart"/>
            <w:noWrap w:val="0"/>
            <w:vAlign w:val="center"/>
          </w:tcPr>
          <w:p w14:paraId="44D9E502">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水膜除尘器+</w:t>
            </w:r>
            <w:r>
              <w:rPr>
                <w:rFonts w:hint="eastAsia"/>
                <w:color w:val="000000"/>
                <w:sz w:val="18"/>
                <w:szCs w:val="18"/>
                <w:lang w:val="en-US" w:eastAsia="zh-CN"/>
              </w:rPr>
              <w:t>电离捕捉器，总除尘效率95.5%，脱硫效率75%，脱氮效率60%</w:t>
            </w:r>
          </w:p>
        </w:tc>
        <w:tc>
          <w:tcPr>
            <w:tcW w:w="1020" w:type="dxa"/>
            <w:vMerge w:val="restart"/>
            <w:noWrap w:val="0"/>
            <w:vAlign w:val="center"/>
          </w:tcPr>
          <w:p w14:paraId="63EA6466">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ascii="Times New Roman" w:hAnsi="Times New Roman" w:eastAsia="宋体" w:cs="Times New Roman"/>
                <w:color w:val="000000"/>
                <w:sz w:val="18"/>
                <w:szCs w:val="18"/>
              </w:rPr>
              <w:t>—</w:t>
            </w:r>
          </w:p>
        </w:tc>
        <w:tc>
          <w:tcPr>
            <w:tcW w:w="765" w:type="dxa"/>
            <w:vMerge w:val="restart"/>
            <w:noWrap w:val="0"/>
            <w:vAlign w:val="center"/>
          </w:tcPr>
          <w:p w14:paraId="4A037129">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24454</w:t>
            </w:r>
          </w:p>
        </w:tc>
        <w:tc>
          <w:tcPr>
            <w:tcW w:w="780" w:type="dxa"/>
            <w:noWrap w:val="0"/>
            <w:vAlign w:val="center"/>
          </w:tcPr>
          <w:p w14:paraId="730DA3D8">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43.3</w:t>
            </w:r>
          </w:p>
        </w:tc>
        <w:tc>
          <w:tcPr>
            <w:tcW w:w="675" w:type="dxa"/>
            <w:noWrap w:val="0"/>
            <w:vAlign w:val="center"/>
          </w:tcPr>
          <w:p w14:paraId="55E50F72">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0.55</w:t>
            </w:r>
          </w:p>
        </w:tc>
        <w:tc>
          <w:tcPr>
            <w:tcW w:w="795" w:type="dxa"/>
            <w:noWrap w:val="0"/>
            <w:vAlign w:val="center"/>
          </w:tcPr>
          <w:p w14:paraId="32261B0F">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3.96</w:t>
            </w:r>
          </w:p>
        </w:tc>
        <w:tc>
          <w:tcPr>
            <w:tcW w:w="795" w:type="dxa"/>
            <w:noWrap w:val="0"/>
            <w:vAlign w:val="center"/>
          </w:tcPr>
          <w:p w14:paraId="4ABE828E">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50</w:t>
            </w:r>
          </w:p>
        </w:tc>
        <w:tc>
          <w:tcPr>
            <w:tcW w:w="780" w:type="dxa"/>
            <w:noWrap w:val="0"/>
            <w:tcMar>
              <w:left w:w="0" w:type="dxa"/>
              <w:right w:w="0" w:type="dxa"/>
            </w:tcMar>
            <w:vAlign w:val="center"/>
          </w:tcPr>
          <w:p w14:paraId="6CAE59AB">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4550EA06">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restart"/>
            <w:noWrap w:val="0"/>
            <w:vAlign w:val="center"/>
          </w:tcPr>
          <w:p w14:paraId="62656DA2">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ascii="Times New Roman" w:hAnsi="Times New Roman" w:eastAsia="宋体" w:cs="Times New Roman"/>
                <w:color w:val="000000"/>
                <w:sz w:val="18"/>
                <w:szCs w:val="18"/>
              </w:rPr>
              <w:t>1</w:t>
            </w:r>
            <w:r>
              <w:rPr>
                <w:rFonts w:hint="eastAsia" w:ascii="Times New Roman" w:hAnsi="Times New Roman" w:eastAsia="宋体" w:cs="Times New Roman"/>
                <w:bCs/>
                <w:color w:val="000000"/>
                <w:sz w:val="18"/>
                <w:szCs w:val="18"/>
                <w:lang w:val="en-US" w:eastAsia="zh-CN"/>
              </w:rPr>
              <w:t>根</w:t>
            </w:r>
            <w:r>
              <w:rPr>
                <w:rFonts w:ascii="Times New Roman" w:hAnsi="Times New Roman" w:eastAsia="宋体" w:cs="Times New Roman"/>
                <w:color w:val="000000"/>
                <w:sz w:val="18"/>
                <w:szCs w:val="18"/>
              </w:rPr>
              <w:t>排气筒高</w:t>
            </w:r>
            <w:r>
              <w:rPr>
                <w:rFonts w:hint="eastAsia" w:ascii="Times New Roman" w:hAnsi="Times New Roman" w:eastAsia="宋体" w:cs="Times New Roman"/>
                <w:color w:val="000000"/>
                <w:sz w:val="18"/>
                <w:szCs w:val="18"/>
                <w:lang w:val="en-US" w:eastAsia="zh-CN"/>
              </w:rPr>
              <w:t>45</w:t>
            </w:r>
            <w:r>
              <w:rPr>
                <w:rFonts w:ascii="Times New Roman" w:hAnsi="Times New Roman" w:eastAsia="宋体" w:cs="Times New Roman"/>
                <w:color w:val="000000"/>
                <w:sz w:val="18"/>
                <w:szCs w:val="18"/>
              </w:rPr>
              <w:t>m</w:t>
            </w:r>
            <w:r>
              <w:rPr>
                <w:rFonts w:hint="eastAsia" w:ascii="Times New Roman" w:hAnsi="Times New Roman" w:eastAsia="宋体" w:cs="Times New Roman"/>
                <w:color w:val="000000"/>
                <w:sz w:val="18"/>
                <w:szCs w:val="18"/>
                <w:lang w:val="en-US" w:eastAsia="zh-CN"/>
              </w:rPr>
              <w:t>排放</w:t>
            </w:r>
            <w:r>
              <w:rPr>
                <w:rFonts w:hint="eastAsia" w:ascii="Times New Roman" w:hAnsi="Times New Roman" w:eastAsia="宋体" w:cs="Times New Roman"/>
                <w:color w:val="000000"/>
                <w:sz w:val="18"/>
                <w:szCs w:val="18"/>
                <w:lang w:eastAsia="zh-CN"/>
              </w:rPr>
              <w:t>（</w:t>
            </w:r>
            <w:r>
              <w:rPr>
                <w:rFonts w:hint="eastAsia" w:ascii="Times New Roman" w:hAnsi="Times New Roman" w:eastAsia="宋体" w:cs="Times New Roman"/>
                <w:color w:val="000000"/>
                <w:sz w:val="18"/>
                <w:szCs w:val="18"/>
                <w:lang w:val="en-US" w:eastAsia="zh-CN"/>
              </w:rPr>
              <w:t>P3</w:t>
            </w:r>
            <w:r>
              <w:rPr>
                <w:rFonts w:hint="eastAsia" w:ascii="Times New Roman" w:hAnsi="Times New Roman" w:eastAsia="宋体" w:cs="Times New Roman"/>
                <w:color w:val="000000"/>
                <w:sz w:val="18"/>
                <w:szCs w:val="18"/>
                <w:lang w:eastAsia="zh-CN"/>
              </w:rPr>
              <w:t>）</w:t>
            </w:r>
          </w:p>
        </w:tc>
      </w:tr>
      <w:tr w14:paraId="584B1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30DD82AE">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7CC6725B">
            <w:pPr>
              <w:widowControl w:val="0"/>
              <w:spacing w:line="240" w:lineRule="auto"/>
              <w:ind w:firstLine="0"/>
              <w:jc w:val="center"/>
              <w:rPr>
                <w:rFonts w:ascii="Times New Roman" w:hAnsi="Times New Roman" w:eastAsia="宋体" w:cs="Times New Roman"/>
                <w:bCs/>
                <w:color w:val="000000"/>
                <w:sz w:val="18"/>
                <w:szCs w:val="18"/>
              </w:rPr>
            </w:pPr>
          </w:p>
        </w:tc>
        <w:tc>
          <w:tcPr>
            <w:tcW w:w="1357" w:type="dxa"/>
            <w:vMerge w:val="continue"/>
            <w:noWrap w:val="0"/>
            <w:vAlign w:val="center"/>
          </w:tcPr>
          <w:p w14:paraId="74D4B2CB">
            <w:pPr>
              <w:widowControl w:val="0"/>
              <w:spacing w:line="240" w:lineRule="auto"/>
              <w:ind w:firstLine="0"/>
              <w:jc w:val="center"/>
              <w:rPr>
                <w:rFonts w:ascii="Times New Roman" w:hAnsi="Times New Roman" w:eastAsia="宋体" w:cs="Times New Roman"/>
                <w:bCs/>
                <w:color w:val="000000"/>
                <w:sz w:val="18"/>
                <w:szCs w:val="18"/>
              </w:rPr>
            </w:pPr>
          </w:p>
        </w:tc>
        <w:tc>
          <w:tcPr>
            <w:tcW w:w="1025" w:type="dxa"/>
            <w:noWrap w:val="0"/>
            <w:vAlign w:val="center"/>
          </w:tcPr>
          <w:p w14:paraId="54C7FCAE">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SO</w:t>
            </w:r>
            <w:r>
              <w:rPr>
                <w:rFonts w:ascii="Times New Roman" w:hAnsi="Times New Roman" w:eastAsia="宋体" w:cs="Times New Roman"/>
                <w:bCs/>
                <w:color w:val="000000"/>
                <w:sz w:val="18"/>
                <w:szCs w:val="18"/>
                <w:vertAlign w:val="subscript"/>
              </w:rPr>
              <w:t>2</w:t>
            </w:r>
          </w:p>
        </w:tc>
        <w:tc>
          <w:tcPr>
            <w:tcW w:w="730" w:type="dxa"/>
            <w:noWrap w:val="0"/>
            <w:vAlign w:val="center"/>
          </w:tcPr>
          <w:p w14:paraId="06EAF9E0">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45.4</w:t>
            </w:r>
          </w:p>
        </w:tc>
        <w:tc>
          <w:tcPr>
            <w:tcW w:w="855" w:type="dxa"/>
            <w:noWrap w:val="0"/>
            <w:vAlign w:val="center"/>
          </w:tcPr>
          <w:p w14:paraId="2080EF5D">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4.032</w:t>
            </w:r>
          </w:p>
        </w:tc>
        <w:tc>
          <w:tcPr>
            <w:tcW w:w="1155" w:type="dxa"/>
            <w:vMerge w:val="continue"/>
            <w:noWrap w:val="0"/>
            <w:vAlign w:val="center"/>
          </w:tcPr>
          <w:p w14:paraId="2D89A8AE">
            <w:pPr>
              <w:widowControl w:val="0"/>
              <w:spacing w:line="240" w:lineRule="auto"/>
              <w:ind w:firstLine="0"/>
              <w:jc w:val="center"/>
              <w:rPr>
                <w:rFonts w:ascii="Times New Roman" w:hAnsi="Times New Roman" w:eastAsia="宋体" w:cs="Times New Roman"/>
                <w:bCs/>
                <w:color w:val="000000"/>
                <w:spacing w:val="8"/>
                <w:sz w:val="18"/>
                <w:szCs w:val="18"/>
              </w:rPr>
            </w:pPr>
          </w:p>
        </w:tc>
        <w:tc>
          <w:tcPr>
            <w:tcW w:w="1020" w:type="dxa"/>
            <w:vMerge w:val="continue"/>
            <w:noWrap w:val="0"/>
            <w:vAlign w:val="center"/>
          </w:tcPr>
          <w:p w14:paraId="22E2947C">
            <w:pPr>
              <w:widowControl w:val="0"/>
              <w:spacing w:line="240" w:lineRule="auto"/>
              <w:ind w:firstLine="0"/>
              <w:jc w:val="center"/>
              <w:rPr>
                <w:rFonts w:ascii="Times New Roman" w:hAnsi="Times New Roman" w:eastAsia="宋体" w:cs="Times New Roman"/>
                <w:bCs/>
                <w:color w:val="000000"/>
                <w:spacing w:val="8"/>
                <w:sz w:val="18"/>
                <w:szCs w:val="18"/>
              </w:rPr>
            </w:pPr>
          </w:p>
        </w:tc>
        <w:tc>
          <w:tcPr>
            <w:tcW w:w="765" w:type="dxa"/>
            <w:vMerge w:val="continue"/>
            <w:noWrap w:val="0"/>
            <w:vAlign w:val="center"/>
          </w:tcPr>
          <w:p w14:paraId="36BB6204">
            <w:pPr>
              <w:widowControl w:val="0"/>
              <w:spacing w:line="240" w:lineRule="auto"/>
              <w:ind w:firstLine="0"/>
              <w:jc w:val="center"/>
              <w:rPr>
                <w:rFonts w:ascii="Times New Roman" w:hAnsi="Times New Roman" w:eastAsia="宋体" w:cs="Times New Roman"/>
                <w:bCs/>
                <w:color w:val="0000FF"/>
                <w:spacing w:val="8"/>
                <w:sz w:val="18"/>
                <w:szCs w:val="18"/>
              </w:rPr>
            </w:pPr>
          </w:p>
        </w:tc>
        <w:tc>
          <w:tcPr>
            <w:tcW w:w="780" w:type="dxa"/>
            <w:noWrap w:val="0"/>
            <w:vAlign w:val="center"/>
          </w:tcPr>
          <w:p w14:paraId="6E587145">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12</w:t>
            </w:r>
          </w:p>
        </w:tc>
        <w:tc>
          <w:tcPr>
            <w:tcW w:w="675" w:type="dxa"/>
            <w:noWrap w:val="0"/>
            <w:vAlign w:val="center"/>
          </w:tcPr>
          <w:p w14:paraId="764B22F9">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0.14</w:t>
            </w:r>
          </w:p>
        </w:tc>
        <w:tc>
          <w:tcPr>
            <w:tcW w:w="795" w:type="dxa"/>
            <w:noWrap w:val="0"/>
            <w:vAlign w:val="center"/>
          </w:tcPr>
          <w:p w14:paraId="7A497D15">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w:t>
            </w:r>
          </w:p>
        </w:tc>
        <w:tc>
          <w:tcPr>
            <w:tcW w:w="795" w:type="dxa"/>
            <w:noWrap w:val="0"/>
            <w:vAlign w:val="center"/>
          </w:tcPr>
          <w:p w14:paraId="3D9F59C8">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300</w:t>
            </w:r>
          </w:p>
        </w:tc>
        <w:tc>
          <w:tcPr>
            <w:tcW w:w="780" w:type="dxa"/>
            <w:noWrap w:val="0"/>
            <w:tcMar>
              <w:left w:w="0" w:type="dxa"/>
              <w:right w:w="0" w:type="dxa"/>
            </w:tcMar>
            <w:vAlign w:val="center"/>
          </w:tcPr>
          <w:p w14:paraId="49A5238C">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5C521A83">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continue"/>
            <w:noWrap w:val="0"/>
            <w:vAlign w:val="center"/>
          </w:tcPr>
          <w:p w14:paraId="750CB151">
            <w:pPr>
              <w:widowControl w:val="0"/>
              <w:spacing w:line="240" w:lineRule="auto"/>
              <w:ind w:firstLine="0"/>
              <w:jc w:val="center"/>
              <w:rPr>
                <w:rFonts w:ascii="Times New Roman" w:hAnsi="Times New Roman" w:eastAsia="宋体" w:cs="Times New Roman"/>
                <w:color w:val="000000"/>
                <w:sz w:val="18"/>
                <w:szCs w:val="18"/>
              </w:rPr>
            </w:pPr>
          </w:p>
        </w:tc>
      </w:tr>
      <w:tr w14:paraId="03A71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697CF198">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2096168C">
            <w:pPr>
              <w:widowControl w:val="0"/>
              <w:spacing w:line="240" w:lineRule="auto"/>
              <w:ind w:firstLine="0"/>
              <w:jc w:val="center"/>
              <w:rPr>
                <w:rFonts w:ascii="Times New Roman" w:hAnsi="Times New Roman" w:eastAsia="宋体" w:cs="Times New Roman"/>
                <w:bCs/>
                <w:color w:val="000000"/>
                <w:sz w:val="18"/>
                <w:szCs w:val="18"/>
              </w:rPr>
            </w:pPr>
          </w:p>
        </w:tc>
        <w:tc>
          <w:tcPr>
            <w:tcW w:w="1357" w:type="dxa"/>
            <w:vMerge w:val="continue"/>
            <w:noWrap w:val="0"/>
            <w:vAlign w:val="center"/>
          </w:tcPr>
          <w:p w14:paraId="21E99F5B">
            <w:pPr>
              <w:widowControl w:val="0"/>
              <w:spacing w:line="240" w:lineRule="auto"/>
              <w:ind w:firstLine="0"/>
              <w:jc w:val="center"/>
              <w:rPr>
                <w:rFonts w:ascii="Times New Roman" w:hAnsi="Times New Roman" w:eastAsia="宋体" w:cs="Times New Roman"/>
                <w:bCs/>
                <w:color w:val="000000"/>
                <w:sz w:val="18"/>
                <w:szCs w:val="18"/>
              </w:rPr>
            </w:pPr>
          </w:p>
        </w:tc>
        <w:tc>
          <w:tcPr>
            <w:tcW w:w="1025" w:type="dxa"/>
            <w:noWrap w:val="0"/>
            <w:vAlign w:val="center"/>
          </w:tcPr>
          <w:p w14:paraId="0A1B3C5B">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NO</w:t>
            </w:r>
            <w:r>
              <w:rPr>
                <w:rFonts w:hint="eastAsia" w:ascii="Times New Roman" w:hAnsi="Times New Roman" w:eastAsia="宋体" w:cs="Times New Roman"/>
                <w:bCs/>
                <w:color w:val="000000"/>
                <w:sz w:val="18"/>
                <w:szCs w:val="18"/>
                <w:lang w:val="en-US" w:eastAsia="zh-CN"/>
              </w:rPr>
              <w:t>x</w:t>
            </w:r>
          </w:p>
        </w:tc>
        <w:tc>
          <w:tcPr>
            <w:tcW w:w="730" w:type="dxa"/>
            <w:noWrap w:val="0"/>
            <w:vAlign w:val="center"/>
          </w:tcPr>
          <w:p w14:paraId="664B4E0C">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167</w:t>
            </w:r>
          </w:p>
        </w:tc>
        <w:tc>
          <w:tcPr>
            <w:tcW w:w="855" w:type="dxa"/>
            <w:noWrap w:val="0"/>
            <w:vAlign w:val="center"/>
          </w:tcPr>
          <w:p w14:paraId="1BF0AC90">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14.688</w:t>
            </w:r>
          </w:p>
        </w:tc>
        <w:tc>
          <w:tcPr>
            <w:tcW w:w="1155" w:type="dxa"/>
            <w:vMerge w:val="continue"/>
            <w:noWrap w:val="0"/>
            <w:vAlign w:val="center"/>
          </w:tcPr>
          <w:p w14:paraId="4CF53091">
            <w:pPr>
              <w:widowControl w:val="0"/>
              <w:spacing w:line="240" w:lineRule="auto"/>
              <w:ind w:firstLine="0"/>
              <w:jc w:val="center"/>
              <w:rPr>
                <w:rFonts w:ascii="Times New Roman" w:hAnsi="Times New Roman" w:eastAsia="宋体" w:cs="Times New Roman"/>
                <w:bCs/>
                <w:color w:val="000000"/>
                <w:spacing w:val="8"/>
                <w:sz w:val="18"/>
                <w:szCs w:val="18"/>
              </w:rPr>
            </w:pPr>
          </w:p>
        </w:tc>
        <w:tc>
          <w:tcPr>
            <w:tcW w:w="1020" w:type="dxa"/>
            <w:vMerge w:val="continue"/>
            <w:noWrap w:val="0"/>
            <w:vAlign w:val="center"/>
          </w:tcPr>
          <w:p w14:paraId="39294352">
            <w:pPr>
              <w:widowControl w:val="0"/>
              <w:spacing w:line="240" w:lineRule="auto"/>
              <w:ind w:firstLine="0"/>
              <w:jc w:val="center"/>
              <w:rPr>
                <w:rFonts w:ascii="Times New Roman" w:hAnsi="Times New Roman" w:eastAsia="宋体" w:cs="Times New Roman"/>
                <w:bCs/>
                <w:color w:val="000000"/>
                <w:spacing w:val="8"/>
                <w:sz w:val="18"/>
                <w:szCs w:val="18"/>
              </w:rPr>
            </w:pPr>
          </w:p>
        </w:tc>
        <w:tc>
          <w:tcPr>
            <w:tcW w:w="765" w:type="dxa"/>
            <w:vMerge w:val="continue"/>
            <w:noWrap w:val="0"/>
            <w:vAlign w:val="center"/>
          </w:tcPr>
          <w:p w14:paraId="18A9FFB4">
            <w:pPr>
              <w:widowControl w:val="0"/>
              <w:spacing w:line="240" w:lineRule="auto"/>
              <w:ind w:firstLine="0"/>
              <w:jc w:val="center"/>
              <w:rPr>
                <w:rFonts w:ascii="Times New Roman" w:hAnsi="Times New Roman" w:eastAsia="宋体" w:cs="Times New Roman"/>
                <w:bCs/>
                <w:color w:val="0000FF"/>
                <w:spacing w:val="8"/>
                <w:sz w:val="18"/>
                <w:szCs w:val="18"/>
              </w:rPr>
            </w:pPr>
          </w:p>
        </w:tc>
        <w:tc>
          <w:tcPr>
            <w:tcW w:w="780" w:type="dxa"/>
            <w:noWrap w:val="0"/>
            <w:vAlign w:val="center"/>
          </w:tcPr>
          <w:p w14:paraId="77A3C447">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sz w:val="18"/>
                <w:szCs w:val="18"/>
                <w:lang w:val="en-US" w:eastAsia="zh-CN"/>
              </w:rPr>
              <w:t>66</w:t>
            </w:r>
          </w:p>
        </w:tc>
        <w:tc>
          <w:tcPr>
            <w:tcW w:w="675" w:type="dxa"/>
            <w:noWrap w:val="0"/>
            <w:vAlign w:val="center"/>
          </w:tcPr>
          <w:p w14:paraId="25903F9A">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0.83</w:t>
            </w:r>
          </w:p>
        </w:tc>
        <w:tc>
          <w:tcPr>
            <w:tcW w:w="795" w:type="dxa"/>
            <w:noWrap w:val="0"/>
            <w:vAlign w:val="center"/>
          </w:tcPr>
          <w:p w14:paraId="70E52B10">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5.976</w:t>
            </w:r>
          </w:p>
        </w:tc>
        <w:tc>
          <w:tcPr>
            <w:tcW w:w="795" w:type="dxa"/>
            <w:noWrap w:val="0"/>
            <w:vAlign w:val="center"/>
          </w:tcPr>
          <w:p w14:paraId="1DFE3819">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300</w:t>
            </w:r>
          </w:p>
        </w:tc>
        <w:tc>
          <w:tcPr>
            <w:tcW w:w="780" w:type="dxa"/>
            <w:noWrap w:val="0"/>
            <w:tcMar>
              <w:left w:w="0" w:type="dxa"/>
              <w:right w:w="0" w:type="dxa"/>
            </w:tcMar>
            <w:vAlign w:val="center"/>
          </w:tcPr>
          <w:p w14:paraId="3AED20FA">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ascii="Times New Roman" w:hAnsi="Times New Roman" w:eastAsia="宋体" w:cs="Times New Roman"/>
                <w:color w:val="000000"/>
                <w:sz w:val="18"/>
                <w:szCs w:val="18"/>
              </w:rPr>
              <w:t>—</w:t>
            </w:r>
          </w:p>
        </w:tc>
        <w:tc>
          <w:tcPr>
            <w:tcW w:w="750" w:type="dxa"/>
            <w:noWrap w:val="0"/>
            <w:vAlign w:val="center"/>
          </w:tcPr>
          <w:p w14:paraId="4F36E891">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continue"/>
            <w:noWrap w:val="0"/>
            <w:vAlign w:val="center"/>
          </w:tcPr>
          <w:p w14:paraId="02E8B14F">
            <w:pPr>
              <w:widowControl w:val="0"/>
              <w:spacing w:line="240" w:lineRule="auto"/>
              <w:ind w:firstLine="0"/>
              <w:jc w:val="center"/>
              <w:rPr>
                <w:rFonts w:ascii="Times New Roman" w:hAnsi="Times New Roman" w:eastAsia="宋体" w:cs="Times New Roman"/>
                <w:color w:val="000000"/>
                <w:sz w:val="18"/>
                <w:szCs w:val="18"/>
              </w:rPr>
            </w:pPr>
          </w:p>
        </w:tc>
      </w:tr>
      <w:tr w14:paraId="6C680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2EC0CE4A">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restart"/>
            <w:noWrap w:val="0"/>
            <w:vAlign w:val="center"/>
          </w:tcPr>
          <w:p w14:paraId="50AFF461">
            <w:pPr>
              <w:widowControl w:val="0"/>
              <w:spacing w:line="240" w:lineRule="auto"/>
              <w:ind w:firstLine="0"/>
              <w:jc w:val="center"/>
              <w:rPr>
                <w:rFonts w:ascii="Times New Roman" w:hAnsi="Times New Roman" w:eastAsia="宋体" w:cs="Times New Roman"/>
                <w:bCs/>
                <w:color w:val="000000"/>
                <w:sz w:val="18"/>
                <w:szCs w:val="18"/>
              </w:rPr>
            </w:pPr>
            <w:r>
              <w:rPr>
                <w:rFonts w:hint="eastAsia" w:ascii="Times New Roman" w:hAnsi="Times New Roman" w:eastAsia="宋体" w:cs="Times New Roman"/>
                <w:sz w:val="18"/>
                <w:szCs w:val="18"/>
                <w:lang w:val="en-US" w:eastAsia="zh-CN"/>
              </w:rPr>
              <w:t>G19-G22</w:t>
            </w:r>
          </w:p>
        </w:tc>
        <w:tc>
          <w:tcPr>
            <w:tcW w:w="1357" w:type="dxa"/>
            <w:vMerge w:val="restart"/>
            <w:noWrap w:val="0"/>
            <w:vAlign w:val="center"/>
          </w:tcPr>
          <w:p w14:paraId="697CC0C0">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脲醛树脂胶生产</w:t>
            </w:r>
          </w:p>
        </w:tc>
        <w:tc>
          <w:tcPr>
            <w:tcW w:w="1025" w:type="dxa"/>
            <w:noWrap w:val="0"/>
            <w:vAlign w:val="center"/>
          </w:tcPr>
          <w:p w14:paraId="1E35FF0E">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甲醛</w:t>
            </w:r>
          </w:p>
        </w:tc>
        <w:tc>
          <w:tcPr>
            <w:tcW w:w="730" w:type="dxa"/>
            <w:noWrap w:val="0"/>
            <w:vAlign w:val="center"/>
          </w:tcPr>
          <w:p w14:paraId="49A45FA0">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0.1</w:t>
            </w:r>
          </w:p>
        </w:tc>
        <w:tc>
          <w:tcPr>
            <w:tcW w:w="855" w:type="dxa"/>
            <w:noWrap w:val="0"/>
            <w:vAlign w:val="center"/>
          </w:tcPr>
          <w:p w14:paraId="6C7D2B65">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0.0035</w:t>
            </w:r>
          </w:p>
        </w:tc>
        <w:tc>
          <w:tcPr>
            <w:tcW w:w="1155" w:type="dxa"/>
            <w:vMerge w:val="restart"/>
            <w:noWrap w:val="0"/>
            <w:vAlign w:val="center"/>
          </w:tcPr>
          <w:p w14:paraId="4B3DE29A">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1020" w:type="dxa"/>
            <w:vMerge w:val="restart"/>
            <w:noWrap w:val="0"/>
            <w:vAlign w:val="center"/>
          </w:tcPr>
          <w:p w14:paraId="033053A4">
            <w:pPr>
              <w:widowControl w:val="0"/>
              <w:spacing w:line="240" w:lineRule="auto"/>
              <w:ind w:firstLine="0"/>
              <w:jc w:val="center"/>
              <w:rPr>
                <w:rFonts w:ascii="Times New Roman" w:hAnsi="Times New Roman" w:eastAsia="宋体" w:cs="Times New Roman"/>
                <w:bCs/>
                <w:color w:val="000000"/>
                <w:spacing w:val="8"/>
                <w:sz w:val="18"/>
                <w:szCs w:val="18"/>
              </w:rPr>
            </w:pPr>
            <w:r>
              <w:rPr>
                <w:rFonts w:hint="eastAsia" w:ascii="Times New Roman" w:hAnsi="Times New Roman" w:eastAsia="宋体" w:cs="Times New Roman"/>
                <w:bCs w:val="0"/>
                <w:color w:val="FF0000"/>
                <w:sz w:val="18"/>
                <w:szCs w:val="18"/>
                <w:lang w:val="en-US" w:eastAsia="zh-CN" w:bidi="ar-SA"/>
              </w:rPr>
              <w:t>与热压、贴面共用1套UV光催化活性炭吸附一体设备收集废气，净化效率90%</w:t>
            </w:r>
          </w:p>
        </w:tc>
        <w:tc>
          <w:tcPr>
            <w:tcW w:w="765" w:type="dxa"/>
            <w:vMerge w:val="restart"/>
            <w:noWrap w:val="0"/>
            <w:vAlign w:val="center"/>
          </w:tcPr>
          <w:p w14:paraId="02865953">
            <w:pPr>
              <w:widowControl w:val="0"/>
              <w:spacing w:line="240" w:lineRule="auto"/>
              <w:ind w:firstLine="0"/>
              <w:jc w:val="center"/>
              <w:rPr>
                <w:rFonts w:hint="eastAsia" w:ascii="Times New Roman" w:hAnsi="Times New Roman" w:eastAsia="宋体" w:cs="Times New Roman"/>
                <w:bCs/>
                <w:color w:val="0000FF"/>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3600</w:t>
            </w:r>
          </w:p>
        </w:tc>
        <w:tc>
          <w:tcPr>
            <w:tcW w:w="780" w:type="dxa"/>
            <w:noWrap w:val="0"/>
            <w:vAlign w:val="center"/>
          </w:tcPr>
          <w:p w14:paraId="22971E72">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0.01</w:t>
            </w:r>
          </w:p>
        </w:tc>
        <w:tc>
          <w:tcPr>
            <w:tcW w:w="675" w:type="dxa"/>
            <w:noWrap w:val="0"/>
            <w:vAlign w:val="center"/>
          </w:tcPr>
          <w:p w14:paraId="6410A8CF">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0.00005</w:t>
            </w:r>
          </w:p>
        </w:tc>
        <w:tc>
          <w:tcPr>
            <w:tcW w:w="795" w:type="dxa"/>
            <w:noWrap w:val="0"/>
            <w:vAlign w:val="center"/>
          </w:tcPr>
          <w:p w14:paraId="30C9ADDA">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0.00035</w:t>
            </w:r>
          </w:p>
        </w:tc>
        <w:tc>
          <w:tcPr>
            <w:tcW w:w="795" w:type="dxa"/>
            <w:noWrap w:val="0"/>
            <w:vAlign w:val="center"/>
          </w:tcPr>
          <w:p w14:paraId="3F834EFE">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sz w:val="18"/>
                <w:szCs w:val="18"/>
                <w:lang w:val="en-US" w:eastAsia="zh-CN"/>
              </w:rPr>
              <w:t>5</w:t>
            </w:r>
          </w:p>
        </w:tc>
        <w:tc>
          <w:tcPr>
            <w:tcW w:w="780" w:type="dxa"/>
            <w:noWrap w:val="0"/>
            <w:tcMar>
              <w:left w:w="0" w:type="dxa"/>
              <w:right w:w="0" w:type="dxa"/>
            </w:tcMar>
            <w:vAlign w:val="center"/>
          </w:tcPr>
          <w:p w14:paraId="10EB3C35">
            <w:pPr>
              <w:widowControl w:val="0"/>
              <w:spacing w:line="240" w:lineRule="auto"/>
              <w:ind w:firstLine="360"/>
              <w:jc w:val="both"/>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76AA7E90">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restart"/>
            <w:noWrap w:val="0"/>
            <w:vAlign w:val="center"/>
          </w:tcPr>
          <w:p w14:paraId="404CFCCF">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ascii="Times New Roman" w:hAnsi="Times New Roman" w:eastAsia="宋体" w:cs="Times New Roman"/>
                <w:color w:val="FF0000"/>
                <w:sz w:val="18"/>
                <w:szCs w:val="18"/>
              </w:rPr>
              <w:t>1</w:t>
            </w:r>
            <w:r>
              <w:rPr>
                <w:rFonts w:hint="eastAsia" w:ascii="Times New Roman" w:hAnsi="Times New Roman" w:eastAsia="宋体" w:cs="Times New Roman"/>
                <w:color w:val="FF0000"/>
                <w:sz w:val="18"/>
                <w:szCs w:val="18"/>
                <w:lang w:val="en-US" w:eastAsia="zh-CN"/>
              </w:rPr>
              <w:t>根</w:t>
            </w:r>
            <w:r>
              <w:rPr>
                <w:rFonts w:ascii="Times New Roman" w:hAnsi="Times New Roman" w:eastAsia="宋体" w:cs="Times New Roman"/>
                <w:color w:val="FF0000"/>
                <w:sz w:val="18"/>
                <w:szCs w:val="18"/>
              </w:rPr>
              <w:t>排气筒高1</w:t>
            </w:r>
            <w:r>
              <w:rPr>
                <w:rFonts w:hint="eastAsia" w:ascii="Times New Roman" w:hAnsi="Times New Roman" w:eastAsia="宋体" w:cs="Times New Roman"/>
                <w:color w:val="FF0000"/>
                <w:sz w:val="18"/>
                <w:szCs w:val="18"/>
                <w:lang w:val="en-US" w:eastAsia="zh-CN"/>
              </w:rPr>
              <w:t>5</w:t>
            </w:r>
            <w:r>
              <w:rPr>
                <w:rFonts w:ascii="Times New Roman" w:hAnsi="Times New Roman" w:eastAsia="宋体" w:cs="Times New Roman"/>
                <w:color w:val="FF0000"/>
                <w:sz w:val="18"/>
                <w:szCs w:val="18"/>
              </w:rPr>
              <w:t>m</w:t>
            </w:r>
            <w:r>
              <w:rPr>
                <w:rFonts w:hint="eastAsia" w:ascii="Times New Roman" w:hAnsi="Times New Roman" w:eastAsia="宋体" w:cs="Times New Roman"/>
                <w:color w:val="FF0000"/>
                <w:sz w:val="18"/>
                <w:szCs w:val="18"/>
                <w:lang w:val="en-US" w:eastAsia="zh-CN"/>
              </w:rPr>
              <w:t>排放</w:t>
            </w:r>
            <w:r>
              <w:rPr>
                <w:rFonts w:hint="eastAsia" w:ascii="Times New Roman" w:hAnsi="Times New Roman" w:eastAsia="宋体" w:cs="Times New Roman"/>
                <w:color w:val="FF0000"/>
                <w:sz w:val="18"/>
                <w:szCs w:val="18"/>
                <w:lang w:eastAsia="zh-CN"/>
              </w:rPr>
              <w:t>（</w:t>
            </w:r>
            <w:r>
              <w:rPr>
                <w:rFonts w:hint="eastAsia" w:ascii="Times New Roman" w:hAnsi="Times New Roman" w:eastAsia="宋体" w:cs="Times New Roman"/>
                <w:color w:val="FF0000"/>
                <w:sz w:val="18"/>
                <w:szCs w:val="18"/>
                <w:lang w:val="en-US" w:eastAsia="zh-CN"/>
              </w:rPr>
              <w:t>P2</w:t>
            </w:r>
            <w:r>
              <w:rPr>
                <w:rFonts w:hint="eastAsia" w:ascii="Times New Roman" w:hAnsi="Times New Roman" w:eastAsia="宋体" w:cs="Times New Roman"/>
                <w:color w:val="FF0000"/>
                <w:sz w:val="18"/>
                <w:szCs w:val="18"/>
                <w:lang w:eastAsia="zh-CN"/>
              </w:rPr>
              <w:t>）</w:t>
            </w:r>
          </w:p>
        </w:tc>
      </w:tr>
      <w:tr w14:paraId="0C258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5537D75F">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30E535E5">
            <w:pPr>
              <w:widowControl w:val="0"/>
              <w:spacing w:line="240" w:lineRule="auto"/>
              <w:ind w:firstLine="0"/>
              <w:jc w:val="center"/>
              <w:rPr>
                <w:rFonts w:ascii="Times New Roman" w:hAnsi="Times New Roman" w:eastAsia="宋体" w:cs="Times New Roman"/>
                <w:bCs/>
                <w:color w:val="000000"/>
                <w:sz w:val="18"/>
                <w:szCs w:val="18"/>
              </w:rPr>
            </w:pPr>
          </w:p>
        </w:tc>
        <w:tc>
          <w:tcPr>
            <w:tcW w:w="1357" w:type="dxa"/>
            <w:vMerge w:val="continue"/>
            <w:noWrap w:val="0"/>
            <w:vAlign w:val="center"/>
          </w:tcPr>
          <w:p w14:paraId="794F70B1">
            <w:pPr>
              <w:widowControl w:val="0"/>
              <w:spacing w:line="240" w:lineRule="auto"/>
              <w:ind w:firstLine="0"/>
              <w:jc w:val="center"/>
              <w:rPr>
                <w:rFonts w:ascii="Times New Roman" w:hAnsi="Times New Roman" w:eastAsia="宋体" w:cs="Times New Roman"/>
                <w:bCs/>
                <w:color w:val="000000"/>
                <w:sz w:val="18"/>
                <w:szCs w:val="18"/>
              </w:rPr>
            </w:pPr>
          </w:p>
        </w:tc>
        <w:tc>
          <w:tcPr>
            <w:tcW w:w="1025" w:type="dxa"/>
            <w:noWrap w:val="0"/>
            <w:vAlign w:val="center"/>
          </w:tcPr>
          <w:p w14:paraId="1ED62681">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氨</w:t>
            </w:r>
          </w:p>
        </w:tc>
        <w:tc>
          <w:tcPr>
            <w:tcW w:w="730" w:type="dxa"/>
            <w:noWrap w:val="0"/>
            <w:vAlign w:val="center"/>
          </w:tcPr>
          <w:p w14:paraId="0725678C">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0.52</w:t>
            </w:r>
          </w:p>
        </w:tc>
        <w:tc>
          <w:tcPr>
            <w:tcW w:w="855" w:type="dxa"/>
            <w:noWrap w:val="0"/>
            <w:vAlign w:val="center"/>
          </w:tcPr>
          <w:p w14:paraId="10901BB6">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0.0185</w:t>
            </w:r>
          </w:p>
        </w:tc>
        <w:tc>
          <w:tcPr>
            <w:tcW w:w="1155" w:type="dxa"/>
            <w:vMerge w:val="continue"/>
            <w:noWrap w:val="0"/>
            <w:vAlign w:val="center"/>
          </w:tcPr>
          <w:p w14:paraId="6B364E01">
            <w:pPr>
              <w:widowControl w:val="0"/>
              <w:spacing w:line="240" w:lineRule="auto"/>
              <w:ind w:firstLine="0"/>
              <w:jc w:val="center"/>
              <w:rPr>
                <w:rFonts w:ascii="Times New Roman" w:hAnsi="Times New Roman" w:eastAsia="宋体" w:cs="Times New Roman"/>
                <w:bCs/>
                <w:color w:val="000000"/>
                <w:spacing w:val="8"/>
                <w:sz w:val="18"/>
                <w:szCs w:val="18"/>
              </w:rPr>
            </w:pPr>
          </w:p>
        </w:tc>
        <w:tc>
          <w:tcPr>
            <w:tcW w:w="1020" w:type="dxa"/>
            <w:vMerge w:val="continue"/>
            <w:noWrap w:val="0"/>
            <w:vAlign w:val="center"/>
          </w:tcPr>
          <w:p w14:paraId="20D9AE0C">
            <w:pPr>
              <w:widowControl w:val="0"/>
              <w:spacing w:line="240" w:lineRule="auto"/>
              <w:ind w:firstLine="0"/>
              <w:jc w:val="center"/>
              <w:rPr>
                <w:rFonts w:ascii="Times New Roman" w:hAnsi="Times New Roman" w:eastAsia="宋体" w:cs="Times New Roman"/>
                <w:bCs/>
                <w:color w:val="000000"/>
                <w:spacing w:val="8"/>
                <w:sz w:val="18"/>
                <w:szCs w:val="18"/>
              </w:rPr>
            </w:pPr>
          </w:p>
        </w:tc>
        <w:tc>
          <w:tcPr>
            <w:tcW w:w="765" w:type="dxa"/>
            <w:vMerge w:val="continue"/>
            <w:noWrap w:val="0"/>
            <w:vAlign w:val="center"/>
          </w:tcPr>
          <w:p w14:paraId="45891297">
            <w:pPr>
              <w:widowControl w:val="0"/>
              <w:spacing w:line="240" w:lineRule="auto"/>
              <w:ind w:firstLine="0"/>
              <w:jc w:val="center"/>
              <w:rPr>
                <w:rFonts w:hint="eastAsia" w:ascii="Times New Roman" w:hAnsi="Times New Roman" w:eastAsia="宋体" w:cs="Times New Roman"/>
                <w:bCs/>
                <w:color w:val="0000FF"/>
                <w:spacing w:val="8"/>
                <w:sz w:val="18"/>
                <w:szCs w:val="18"/>
                <w:lang w:val="en-US" w:eastAsia="zh-CN"/>
              </w:rPr>
            </w:pPr>
          </w:p>
        </w:tc>
        <w:tc>
          <w:tcPr>
            <w:tcW w:w="780" w:type="dxa"/>
            <w:noWrap w:val="0"/>
            <w:vAlign w:val="center"/>
          </w:tcPr>
          <w:p w14:paraId="7795791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0.052</w:t>
            </w:r>
          </w:p>
        </w:tc>
        <w:tc>
          <w:tcPr>
            <w:tcW w:w="675" w:type="dxa"/>
            <w:noWrap w:val="0"/>
            <w:vAlign w:val="center"/>
          </w:tcPr>
          <w:p w14:paraId="2B72978B">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0.00026</w:t>
            </w:r>
          </w:p>
        </w:tc>
        <w:tc>
          <w:tcPr>
            <w:tcW w:w="795" w:type="dxa"/>
            <w:noWrap w:val="0"/>
            <w:vAlign w:val="center"/>
          </w:tcPr>
          <w:p w14:paraId="2A3F8513">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0.00185</w:t>
            </w:r>
          </w:p>
        </w:tc>
        <w:tc>
          <w:tcPr>
            <w:tcW w:w="795" w:type="dxa"/>
            <w:noWrap w:val="0"/>
            <w:vAlign w:val="center"/>
          </w:tcPr>
          <w:p w14:paraId="50E8A435">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30</w:t>
            </w:r>
          </w:p>
        </w:tc>
        <w:tc>
          <w:tcPr>
            <w:tcW w:w="780" w:type="dxa"/>
            <w:noWrap w:val="0"/>
            <w:tcMar>
              <w:left w:w="0" w:type="dxa"/>
              <w:right w:w="0" w:type="dxa"/>
            </w:tcMar>
            <w:vAlign w:val="center"/>
          </w:tcPr>
          <w:p w14:paraId="79828198">
            <w:pPr>
              <w:widowControl w:val="0"/>
              <w:spacing w:line="240" w:lineRule="auto"/>
              <w:ind w:firstLine="360"/>
              <w:jc w:val="both"/>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49862DC8">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continue"/>
            <w:noWrap w:val="0"/>
            <w:vAlign w:val="center"/>
          </w:tcPr>
          <w:p w14:paraId="78325733">
            <w:pPr>
              <w:widowControl w:val="0"/>
              <w:spacing w:line="240" w:lineRule="auto"/>
              <w:ind w:firstLine="0"/>
              <w:jc w:val="center"/>
              <w:rPr>
                <w:rFonts w:ascii="Times New Roman" w:hAnsi="Times New Roman" w:eastAsia="宋体" w:cs="Times New Roman"/>
                <w:color w:val="000000"/>
                <w:sz w:val="18"/>
                <w:szCs w:val="18"/>
              </w:rPr>
            </w:pPr>
          </w:p>
        </w:tc>
      </w:tr>
      <w:tr w14:paraId="7D676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5953DFA7">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44062CF9">
            <w:pPr>
              <w:widowControl w:val="0"/>
              <w:spacing w:line="240" w:lineRule="auto"/>
              <w:ind w:firstLine="0"/>
              <w:jc w:val="center"/>
              <w:rPr>
                <w:rFonts w:ascii="Times New Roman" w:hAnsi="Times New Roman" w:eastAsia="宋体" w:cs="Times New Roman"/>
                <w:bCs/>
                <w:color w:val="000000"/>
                <w:sz w:val="18"/>
                <w:szCs w:val="18"/>
              </w:rPr>
            </w:pPr>
          </w:p>
        </w:tc>
        <w:tc>
          <w:tcPr>
            <w:tcW w:w="1357" w:type="dxa"/>
            <w:vMerge w:val="continue"/>
            <w:noWrap w:val="0"/>
            <w:vAlign w:val="center"/>
          </w:tcPr>
          <w:p w14:paraId="6654F1D4">
            <w:pPr>
              <w:widowControl w:val="0"/>
              <w:spacing w:line="240" w:lineRule="auto"/>
              <w:ind w:firstLine="0"/>
              <w:jc w:val="center"/>
              <w:rPr>
                <w:rFonts w:ascii="Times New Roman" w:hAnsi="Times New Roman" w:eastAsia="宋体" w:cs="Times New Roman"/>
                <w:bCs/>
                <w:color w:val="000000"/>
                <w:sz w:val="18"/>
                <w:szCs w:val="18"/>
              </w:rPr>
            </w:pPr>
          </w:p>
        </w:tc>
        <w:tc>
          <w:tcPr>
            <w:tcW w:w="1025" w:type="dxa"/>
            <w:noWrap w:val="0"/>
            <w:vAlign w:val="center"/>
          </w:tcPr>
          <w:p w14:paraId="5761CC16">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VOCs</w:t>
            </w:r>
          </w:p>
        </w:tc>
        <w:tc>
          <w:tcPr>
            <w:tcW w:w="730" w:type="dxa"/>
            <w:noWrap w:val="0"/>
            <w:vAlign w:val="center"/>
          </w:tcPr>
          <w:p w14:paraId="01352FF7">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14</w:t>
            </w:r>
          </w:p>
        </w:tc>
        <w:tc>
          <w:tcPr>
            <w:tcW w:w="855" w:type="dxa"/>
            <w:noWrap w:val="0"/>
            <w:vAlign w:val="center"/>
          </w:tcPr>
          <w:p w14:paraId="198081A1">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0.5</w:t>
            </w:r>
          </w:p>
        </w:tc>
        <w:tc>
          <w:tcPr>
            <w:tcW w:w="1155" w:type="dxa"/>
            <w:vMerge w:val="continue"/>
            <w:noWrap w:val="0"/>
            <w:vAlign w:val="center"/>
          </w:tcPr>
          <w:p w14:paraId="19394980">
            <w:pPr>
              <w:widowControl w:val="0"/>
              <w:spacing w:line="240" w:lineRule="auto"/>
              <w:ind w:firstLine="0"/>
              <w:jc w:val="center"/>
              <w:rPr>
                <w:rFonts w:ascii="Times New Roman" w:hAnsi="Times New Roman" w:eastAsia="宋体" w:cs="Times New Roman"/>
                <w:bCs/>
                <w:color w:val="000000"/>
                <w:spacing w:val="8"/>
                <w:sz w:val="18"/>
                <w:szCs w:val="18"/>
              </w:rPr>
            </w:pPr>
          </w:p>
        </w:tc>
        <w:tc>
          <w:tcPr>
            <w:tcW w:w="1020" w:type="dxa"/>
            <w:vMerge w:val="continue"/>
            <w:noWrap w:val="0"/>
            <w:vAlign w:val="center"/>
          </w:tcPr>
          <w:p w14:paraId="5A2696BC">
            <w:pPr>
              <w:widowControl w:val="0"/>
              <w:spacing w:line="240" w:lineRule="auto"/>
              <w:ind w:firstLine="0"/>
              <w:jc w:val="center"/>
              <w:rPr>
                <w:rFonts w:ascii="Times New Roman" w:hAnsi="Times New Roman" w:eastAsia="宋体" w:cs="Times New Roman"/>
                <w:bCs/>
                <w:color w:val="000000"/>
                <w:spacing w:val="8"/>
                <w:sz w:val="18"/>
                <w:szCs w:val="18"/>
              </w:rPr>
            </w:pPr>
          </w:p>
        </w:tc>
        <w:tc>
          <w:tcPr>
            <w:tcW w:w="765" w:type="dxa"/>
            <w:vMerge w:val="continue"/>
            <w:noWrap w:val="0"/>
            <w:vAlign w:val="center"/>
          </w:tcPr>
          <w:p w14:paraId="05BC7BB1">
            <w:pPr>
              <w:widowControl w:val="0"/>
              <w:spacing w:line="240" w:lineRule="auto"/>
              <w:ind w:firstLine="0"/>
              <w:jc w:val="center"/>
              <w:rPr>
                <w:rFonts w:hint="eastAsia" w:ascii="Times New Roman" w:hAnsi="Times New Roman" w:eastAsia="宋体" w:cs="Times New Roman"/>
                <w:bCs/>
                <w:color w:val="0000FF"/>
                <w:spacing w:val="8"/>
                <w:sz w:val="18"/>
                <w:szCs w:val="18"/>
                <w:lang w:val="en-US" w:eastAsia="zh-CN"/>
              </w:rPr>
            </w:pPr>
          </w:p>
        </w:tc>
        <w:tc>
          <w:tcPr>
            <w:tcW w:w="780" w:type="dxa"/>
            <w:noWrap w:val="0"/>
            <w:vAlign w:val="center"/>
          </w:tcPr>
          <w:p w14:paraId="742656DB">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1.4</w:t>
            </w:r>
          </w:p>
        </w:tc>
        <w:tc>
          <w:tcPr>
            <w:tcW w:w="675" w:type="dxa"/>
            <w:noWrap w:val="0"/>
            <w:vAlign w:val="center"/>
          </w:tcPr>
          <w:p w14:paraId="335AF915">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0.007</w:t>
            </w:r>
          </w:p>
        </w:tc>
        <w:tc>
          <w:tcPr>
            <w:tcW w:w="795" w:type="dxa"/>
            <w:noWrap w:val="0"/>
            <w:vAlign w:val="center"/>
          </w:tcPr>
          <w:p w14:paraId="337BB6E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0.05</w:t>
            </w:r>
          </w:p>
        </w:tc>
        <w:tc>
          <w:tcPr>
            <w:tcW w:w="795" w:type="dxa"/>
            <w:noWrap w:val="0"/>
            <w:vAlign w:val="center"/>
          </w:tcPr>
          <w:p w14:paraId="122C59F5">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100</w:t>
            </w:r>
          </w:p>
        </w:tc>
        <w:tc>
          <w:tcPr>
            <w:tcW w:w="780" w:type="dxa"/>
            <w:noWrap w:val="0"/>
            <w:tcMar>
              <w:left w:w="0" w:type="dxa"/>
              <w:right w:w="0" w:type="dxa"/>
            </w:tcMar>
            <w:vAlign w:val="center"/>
          </w:tcPr>
          <w:p w14:paraId="56BEBCD4">
            <w:pPr>
              <w:widowControl w:val="0"/>
              <w:spacing w:line="240" w:lineRule="auto"/>
              <w:ind w:firstLine="360"/>
              <w:jc w:val="both"/>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7754BC51">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continue"/>
            <w:noWrap w:val="0"/>
            <w:vAlign w:val="center"/>
          </w:tcPr>
          <w:p w14:paraId="216B04AE">
            <w:pPr>
              <w:widowControl w:val="0"/>
              <w:spacing w:line="240" w:lineRule="auto"/>
              <w:ind w:firstLine="0"/>
              <w:jc w:val="center"/>
              <w:rPr>
                <w:rFonts w:ascii="Times New Roman" w:hAnsi="Times New Roman" w:eastAsia="宋体" w:cs="Times New Roman"/>
                <w:color w:val="000000"/>
                <w:sz w:val="18"/>
                <w:szCs w:val="18"/>
              </w:rPr>
            </w:pPr>
          </w:p>
        </w:tc>
      </w:tr>
      <w:tr w14:paraId="7C057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24CE17D5">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restart"/>
            <w:noWrap w:val="0"/>
            <w:vAlign w:val="center"/>
          </w:tcPr>
          <w:p w14:paraId="1141B884">
            <w:pPr>
              <w:widowControl w:val="0"/>
              <w:spacing w:line="240" w:lineRule="auto"/>
              <w:ind w:firstLine="0"/>
              <w:jc w:val="center"/>
              <w:rPr>
                <w:rFonts w:ascii="Times New Roman" w:hAnsi="Times New Roman" w:eastAsia="宋体" w:cs="Times New Roman"/>
                <w:bCs/>
                <w:color w:val="000000"/>
                <w:sz w:val="18"/>
                <w:szCs w:val="18"/>
              </w:rPr>
            </w:pPr>
            <w:r>
              <w:rPr>
                <w:rFonts w:hint="eastAsia" w:ascii="Times New Roman" w:hAnsi="Times New Roman" w:eastAsia="宋体" w:cs="Times New Roman"/>
                <w:sz w:val="18"/>
                <w:szCs w:val="18"/>
                <w:lang w:val="en-US" w:eastAsia="zh-CN"/>
              </w:rPr>
              <w:t>G24-G27</w:t>
            </w:r>
          </w:p>
        </w:tc>
        <w:tc>
          <w:tcPr>
            <w:tcW w:w="1357" w:type="dxa"/>
            <w:vMerge w:val="restart"/>
            <w:noWrap w:val="0"/>
            <w:vAlign w:val="center"/>
          </w:tcPr>
          <w:p w14:paraId="6A4C60FF">
            <w:pPr>
              <w:widowControl w:val="0"/>
              <w:spacing w:line="240" w:lineRule="auto"/>
              <w:ind w:firstLine="0"/>
              <w:jc w:val="cente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lang w:val="en-US" w:eastAsia="zh-CN"/>
              </w:rPr>
              <w:t>酚醛树脂胶生产</w:t>
            </w:r>
          </w:p>
        </w:tc>
        <w:tc>
          <w:tcPr>
            <w:tcW w:w="1025" w:type="dxa"/>
            <w:noWrap w:val="0"/>
            <w:vAlign w:val="center"/>
          </w:tcPr>
          <w:p w14:paraId="5C08C91A">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rFonts w:ascii="Times New Roman" w:hAnsi="Times New Roman" w:eastAsia="宋体" w:cs="Times New Roman"/>
                <w:bCs/>
                <w:color w:val="000000"/>
                <w:sz w:val="18"/>
                <w:szCs w:val="18"/>
              </w:rPr>
              <w:t>甲醛</w:t>
            </w:r>
          </w:p>
        </w:tc>
        <w:tc>
          <w:tcPr>
            <w:tcW w:w="730" w:type="dxa"/>
            <w:noWrap w:val="0"/>
            <w:vAlign w:val="center"/>
          </w:tcPr>
          <w:p w14:paraId="3B186438">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28</w:t>
            </w:r>
          </w:p>
        </w:tc>
        <w:tc>
          <w:tcPr>
            <w:tcW w:w="855" w:type="dxa"/>
            <w:noWrap w:val="0"/>
            <w:vAlign w:val="center"/>
          </w:tcPr>
          <w:p w14:paraId="5B3C6CE7">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0.98</w:t>
            </w:r>
          </w:p>
        </w:tc>
        <w:tc>
          <w:tcPr>
            <w:tcW w:w="1155" w:type="dxa"/>
            <w:vMerge w:val="restart"/>
            <w:noWrap w:val="0"/>
            <w:vAlign w:val="center"/>
          </w:tcPr>
          <w:p w14:paraId="201EC262">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1020" w:type="dxa"/>
            <w:vMerge w:val="continue"/>
            <w:noWrap w:val="0"/>
            <w:vAlign w:val="center"/>
          </w:tcPr>
          <w:p w14:paraId="74063B60">
            <w:pPr>
              <w:widowControl w:val="0"/>
              <w:spacing w:line="240" w:lineRule="auto"/>
              <w:ind w:firstLine="0"/>
              <w:jc w:val="center"/>
              <w:rPr>
                <w:rFonts w:ascii="Times New Roman" w:hAnsi="Times New Roman" w:eastAsia="宋体" w:cs="Times New Roman"/>
                <w:bCs/>
                <w:color w:val="000000"/>
                <w:spacing w:val="8"/>
                <w:sz w:val="18"/>
                <w:szCs w:val="18"/>
              </w:rPr>
            </w:pPr>
          </w:p>
        </w:tc>
        <w:tc>
          <w:tcPr>
            <w:tcW w:w="765" w:type="dxa"/>
            <w:vMerge w:val="continue"/>
            <w:noWrap w:val="0"/>
            <w:vAlign w:val="center"/>
          </w:tcPr>
          <w:p w14:paraId="78D41214">
            <w:pPr>
              <w:widowControl w:val="0"/>
              <w:spacing w:line="240" w:lineRule="auto"/>
              <w:ind w:firstLine="0"/>
              <w:jc w:val="center"/>
              <w:rPr>
                <w:rFonts w:hint="eastAsia" w:ascii="Times New Roman" w:hAnsi="Times New Roman" w:eastAsia="宋体" w:cs="Times New Roman"/>
                <w:bCs/>
                <w:color w:val="0000FF"/>
                <w:spacing w:val="8"/>
                <w:sz w:val="18"/>
                <w:szCs w:val="18"/>
                <w:lang w:val="en-US" w:eastAsia="zh-CN"/>
              </w:rPr>
            </w:pPr>
          </w:p>
        </w:tc>
        <w:tc>
          <w:tcPr>
            <w:tcW w:w="780" w:type="dxa"/>
            <w:noWrap w:val="0"/>
            <w:vAlign w:val="center"/>
          </w:tcPr>
          <w:p w14:paraId="7946EEE7">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2.8</w:t>
            </w:r>
          </w:p>
        </w:tc>
        <w:tc>
          <w:tcPr>
            <w:tcW w:w="675" w:type="dxa"/>
            <w:noWrap w:val="0"/>
            <w:vAlign w:val="center"/>
          </w:tcPr>
          <w:p w14:paraId="5064C865">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0.014</w:t>
            </w:r>
          </w:p>
        </w:tc>
        <w:tc>
          <w:tcPr>
            <w:tcW w:w="795" w:type="dxa"/>
            <w:noWrap w:val="0"/>
            <w:vAlign w:val="center"/>
          </w:tcPr>
          <w:p w14:paraId="2FB2DFE3">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0.098</w:t>
            </w:r>
          </w:p>
        </w:tc>
        <w:tc>
          <w:tcPr>
            <w:tcW w:w="795" w:type="dxa"/>
            <w:noWrap w:val="0"/>
            <w:vAlign w:val="center"/>
          </w:tcPr>
          <w:p w14:paraId="399D49AE">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w:t>
            </w:r>
          </w:p>
        </w:tc>
        <w:tc>
          <w:tcPr>
            <w:tcW w:w="780" w:type="dxa"/>
            <w:noWrap w:val="0"/>
            <w:tcMar>
              <w:left w:w="0" w:type="dxa"/>
              <w:right w:w="0" w:type="dxa"/>
            </w:tcMar>
            <w:vAlign w:val="center"/>
          </w:tcPr>
          <w:p w14:paraId="670442E1">
            <w:pPr>
              <w:widowControl w:val="0"/>
              <w:spacing w:line="240" w:lineRule="auto"/>
              <w:ind w:firstLine="360"/>
              <w:jc w:val="both"/>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45C79F6B">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continue"/>
            <w:noWrap w:val="0"/>
            <w:vAlign w:val="center"/>
          </w:tcPr>
          <w:p w14:paraId="63E2A32E">
            <w:pPr>
              <w:widowControl w:val="0"/>
              <w:spacing w:line="240" w:lineRule="auto"/>
              <w:ind w:firstLine="0"/>
              <w:jc w:val="center"/>
              <w:rPr>
                <w:rFonts w:ascii="Times New Roman" w:hAnsi="Times New Roman" w:eastAsia="宋体" w:cs="Times New Roman"/>
                <w:color w:val="000000"/>
                <w:sz w:val="18"/>
                <w:szCs w:val="18"/>
              </w:rPr>
            </w:pPr>
          </w:p>
        </w:tc>
      </w:tr>
      <w:tr w14:paraId="2AD6B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0308B591">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5167BD21">
            <w:pPr>
              <w:widowControl w:val="0"/>
              <w:spacing w:line="240" w:lineRule="auto"/>
              <w:ind w:firstLine="0"/>
              <w:jc w:val="center"/>
              <w:rPr>
                <w:rFonts w:ascii="Times New Roman" w:hAnsi="Times New Roman" w:eastAsia="宋体" w:cs="Times New Roman"/>
                <w:bCs/>
                <w:color w:val="000000"/>
                <w:sz w:val="18"/>
                <w:szCs w:val="18"/>
              </w:rPr>
            </w:pPr>
          </w:p>
        </w:tc>
        <w:tc>
          <w:tcPr>
            <w:tcW w:w="1357" w:type="dxa"/>
            <w:vMerge w:val="continue"/>
            <w:noWrap w:val="0"/>
            <w:vAlign w:val="center"/>
          </w:tcPr>
          <w:p w14:paraId="0CBD8052">
            <w:pPr>
              <w:widowControl w:val="0"/>
              <w:spacing w:line="240" w:lineRule="auto"/>
              <w:ind w:firstLine="0"/>
              <w:jc w:val="center"/>
              <w:rPr>
                <w:rFonts w:ascii="Times New Roman" w:hAnsi="Times New Roman" w:eastAsia="宋体" w:cs="Times New Roman"/>
                <w:bCs/>
                <w:color w:val="000000"/>
                <w:sz w:val="18"/>
                <w:szCs w:val="18"/>
              </w:rPr>
            </w:pPr>
          </w:p>
        </w:tc>
        <w:tc>
          <w:tcPr>
            <w:tcW w:w="1025" w:type="dxa"/>
            <w:noWrap w:val="0"/>
            <w:vAlign w:val="center"/>
          </w:tcPr>
          <w:p w14:paraId="63A87FF2">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酚类</w:t>
            </w:r>
          </w:p>
        </w:tc>
        <w:tc>
          <w:tcPr>
            <w:tcW w:w="730" w:type="dxa"/>
            <w:noWrap w:val="0"/>
            <w:vAlign w:val="center"/>
          </w:tcPr>
          <w:p w14:paraId="69ACCC74">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1.1</w:t>
            </w:r>
          </w:p>
        </w:tc>
        <w:tc>
          <w:tcPr>
            <w:tcW w:w="855" w:type="dxa"/>
            <w:noWrap w:val="0"/>
            <w:vAlign w:val="center"/>
          </w:tcPr>
          <w:p w14:paraId="5B3A5DD8">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0.39</w:t>
            </w:r>
          </w:p>
        </w:tc>
        <w:tc>
          <w:tcPr>
            <w:tcW w:w="1155" w:type="dxa"/>
            <w:vMerge w:val="continue"/>
            <w:noWrap w:val="0"/>
            <w:vAlign w:val="center"/>
          </w:tcPr>
          <w:p w14:paraId="45CCE196">
            <w:pPr>
              <w:widowControl w:val="0"/>
              <w:spacing w:line="240" w:lineRule="auto"/>
              <w:ind w:firstLine="0"/>
              <w:jc w:val="center"/>
              <w:rPr>
                <w:rFonts w:ascii="Times New Roman" w:hAnsi="Times New Roman" w:eastAsia="宋体" w:cs="Times New Roman"/>
                <w:bCs/>
                <w:color w:val="000000"/>
                <w:spacing w:val="8"/>
                <w:sz w:val="18"/>
                <w:szCs w:val="18"/>
              </w:rPr>
            </w:pPr>
          </w:p>
        </w:tc>
        <w:tc>
          <w:tcPr>
            <w:tcW w:w="1020" w:type="dxa"/>
            <w:vMerge w:val="continue"/>
            <w:noWrap w:val="0"/>
            <w:vAlign w:val="center"/>
          </w:tcPr>
          <w:p w14:paraId="388EAF82">
            <w:pPr>
              <w:widowControl w:val="0"/>
              <w:spacing w:line="240" w:lineRule="auto"/>
              <w:ind w:firstLine="0"/>
              <w:jc w:val="center"/>
              <w:rPr>
                <w:rFonts w:ascii="Times New Roman" w:hAnsi="Times New Roman" w:eastAsia="宋体" w:cs="Times New Roman"/>
                <w:bCs/>
                <w:color w:val="000000"/>
                <w:spacing w:val="8"/>
                <w:sz w:val="18"/>
                <w:szCs w:val="18"/>
              </w:rPr>
            </w:pPr>
          </w:p>
        </w:tc>
        <w:tc>
          <w:tcPr>
            <w:tcW w:w="765" w:type="dxa"/>
            <w:vMerge w:val="continue"/>
            <w:noWrap w:val="0"/>
            <w:vAlign w:val="center"/>
          </w:tcPr>
          <w:p w14:paraId="5BD25457">
            <w:pPr>
              <w:widowControl w:val="0"/>
              <w:spacing w:line="240" w:lineRule="auto"/>
              <w:ind w:firstLine="0"/>
              <w:jc w:val="center"/>
              <w:rPr>
                <w:rFonts w:hint="eastAsia" w:ascii="Times New Roman" w:hAnsi="Times New Roman" w:eastAsia="宋体" w:cs="Times New Roman"/>
                <w:bCs/>
                <w:color w:val="0000FF"/>
                <w:spacing w:val="8"/>
                <w:sz w:val="18"/>
                <w:szCs w:val="18"/>
                <w:lang w:val="en-US" w:eastAsia="zh-CN"/>
              </w:rPr>
            </w:pPr>
          </w:p>
        </w:tc>
        <w:tc>
          <w:tcPr>
            <w:tcW w:w="780" w:type="dxa"/>
            <w:noWrap w:val="0"/>
            <w:vAlign w:val="center"/>
          </w:tcPr>
          <w:p w14:paraId="7C5F976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0.11</w:t>
            </w:r>
          </w:p>
        </w:tc>
        <w:tc>
          <w:tcPr>
            <w:tcW w:w="675" w:type="dxa"/>
            <w:noWrap w:val="0"/>
            <w:vAlign w:val="center"/>
          </w:tcPr>
          <w:p w14:paraId="761EACE8">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0.0054</w:t>
            </w:r>
          </w:p>
        </w:tc>
        <w:tc>
          <w:tcPr>
            <w:tcW w:w="795" w:type="dxa"/>
            <w:noWrap w:val="0"/>
            <w:vAlign w:val="center"/>
          </w:tcPr>
          <w:p w14:paraId="7EB5E393">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0.039</w:t>
            </w:r>
          </w:p>
        </w:tc>
        <w:tc>
          <w:tcPr>
            <w:tcW w:w="795" w:type="dxa"/>
            <w:noWrap w:val="0"/>
            <w:vAlign w:val="center"/>
          </w:tcPr>
          <w:p w14:paraId="6F983B92">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20</w:t>
            </w:r>
          </w:p>
        </w:tc>
        <w:tc>
          <w:tcPr>
            <w:tcW w:w="780" w:type="dxa"/>
            <w:noWrap w:val="0"/>
            <w:tcMar>
              <w:left w:w="0" w:type="dxa"/>
              <w:right w:w="0" w:type="dxa"/>
            </w:tcMar>
            <w:vAlign w:val="center"/>
          </w:tcPr>
          <w:p w14:paraId="467EC8B5">
            <w:pPr>
              <w:widowControl w:val="0"/>
              <w:spacing w:line="240" w:lineRule="auto"/>
              <w:ind w:firstLine="360"/>
              <w:jc w:val="both"/>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5C144F81">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continue"/>
            <w:noWrap w:val="0"/>
            <w:vAlign w:val="center"/>
          </w:tcPr>
          <w:p w14:paraId="018D5129">
            <w:pPr>
              <w:widowControl w:val="0"/>
              <w:spacing w:line="240" w:lineRule="auto"/>
              <w:ind w:firstLine="0"/>
              <w:jc w:val="center"/>
              <w:rPr>
                <w:rFonts w:ascii="Times New Roman" w:hAnsi="Times New Roman" w:eastAsia="宋体" w:cs="Times New Roman"/>
                <w:color w:val="000000"/>
                <w:sz w:val="18"/>
                <w:szCs w:val="18"/>
              </w:rPr>
            </w:pPr>
          </w:p>
        </w:tc>
      </w:tr>
      <w:tr w14:paraId="61CD8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08570AD0">
            <w:pPr>
              <w:widowControl w:val="0"/>
              <w:spacing w:line="240" w:lineRule="auto"/>
              <w:ind w:firstLine="0"/>
              <w:jc w:val="center"/>
              <w:rPr>
                <w:rFonts w:ascii="Times New Roman" w:hAnsi="Times New Roman" w:eastAsia="宋体" w:cs="Times New Roman"/>
                <w:color w:val="000000"/>
                <w:sz w:val="18"/>
                <w:szCs w:val="18"/>
              </w:rPr>
            </w:pPr>
          </w:p>
        </w:tc>
        <w:tc>
          <w:tcPr>
            <w:tcW w:w="956" w:type="dxa"/>
            <w:vMerge w:val="continue"/>
            <w:noWrap w:val="0"/>
            <w:vAlign w:val="center"/>
          </w:tcPr>
          <w:p w14:paraId="2C0A8831">
            <w:pPr>
              <w:widowControl w:val="0"/>
              <w:spacing w:line="240" w:lineRule="auto"/>
              <w:ind w:firstLine="0"/>
              <w:jc w:val="center"/>
              <w:rPr>
                <w:rFonts w:ascii="Times New Roman" w:hAnsi="Times New Roman" w:eastAsia="宋体" w:cs="Times New Roman"/>
                <w:bCs/>
                <w:color w:val="000000"/>
                <w:sz w:val="18"/>
                <w:szCs w:val="18"/>
              </w:rPr>
            </w:pPr>
          </w:p>
        </w:tc>
        <w:tc>
          <w:tcPr>
            <w:tcW w:w="1357" w:type="dxa"/>
            <w:vMerge w:val="continue"/>
            <w:noWrap w:val="0"/>
            <w:vAlign w:val="center"/>
          </w:tcPr>
          <w:p w14:paraId="48FFA4C3">
            <w:pPr>
              <w:widowControl w:val="0"/>
              <w:spacing w:line="240" w:lineRule="auto"/>
              <w:ind w:firstLine="0"/>
              <w:jc w:val="center"/>
              <w:rPr>
                <w:rFonts w:ascii="Times New Roman" w:hAnsi="Times New Roman" w:eastAsia="宋体" w:cs="Times New Roman"/>
                <w:bCs/>
                <w:color w:val="000000"/>
                <w:sz w:val="18"/>
                <w:szCs w:val="18"/>
              </w:rPr>
            </w:pPr>
          </w:p>
        </w:tc>
        <w:tc>
          <w:tcPr>
            <w:tcW w:w="1025" w:type="dxa"/>
            <w:noWrap w:val="0"/>
            <w:vAlign w:val="center"/>
          </w:tcPr>
          <w:p w14:paraId="387921D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VOCs</w:t>
            </w:r>
          </w:p>
        </w:tc>
        <w:tc>
          <w:tcPr>
            <w:tcW w:w="730" w:type="dxa"/>
            <w:noWrap w:val="0"/>
            <w:vAlign w:val="center"/>
          </w:tcPr>
          <w:p w14:paraId="3D19D0A1">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14</w:t>
            </w:r>
          </w:p>
        </w:tc>
        <w:tc>
          <w:tcPr>
            <w:tcW w:w="855" w:type="dxa"/>
            <w:noWrap w:val="0"/>
            <w:vAlign w:val="center"/>
          </w:tcPr>
          <w:p w14:paraId="3D92F511">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0.5</w:t>
            </w:r>
          </w:p>
        </w:tc>
        <w:tc>
          <w:tcPr>
            <w:tcW w:w="1155" w:type="dxa"/>
            <w:vMerge w:val="continue"/>
            <w:noWrap w:val="0"/>
            <w:vAlign w:val="center"/>
          </w:tcPr>
          <w:p w14:paraId="5D9758EC">
            <w:pPr>
              <w:widowControl w:val="0"/>
              <w:spacing w:line="240" w:lineRule="auto"/>
              <w:ind w:firstLine="0"/>
              <w:jc w:val="center"/>
              <w:rPr>
                <w:rFonts w:ascii="Times New Roman" w:hAnsi="Times New Roman" w:eastAsia="宋体" w:cs="Times New Roman"/>
                <w:bCs/>
                <w:color w:val="000000"/>
                <w:spacing w:val="8"/>
                <w:sz w:val="18"/>
                <w:szCs w:val="18"/>
              </w:rPr>
            </w:pPr>
          </w:p>
        </w:tc>
        <w:tc>
          <w:tcPr>
            <w:tcW w:w="1020" w:type="dxa"/>
            <w:vMerge w:val="continue"/>
            <w:noWrap w:val="0"/>
            <w:vAlign w:val="center"/>
          </w:tcPr>
          <w:p w14:paraId="055FEFF2">
            <w:pPr>
              <w:widowControl w:val="0"/>
              <w:spacing w:line="240" w:lineRule="auto"/>
              <w:ind w:firstLine="0"/>
              <w:jc w:val="center"/>
              <w:rPr>
                <w:rFonts w:ascii="Times New Roman" w:hAnsi="Times New Roman" w:eastAsia="宋体" w:cs="Times New Roman"/>
                <w:bCs/>
                <w:color w:val="000000"/>
                <w:spacing w:val="8"/>
                <w:sz w:val="18"/>
                <w:szCs w:val="18"/>
              </w:rPr>
            </w:pPr>
          </w:p>
        </w:tc>
        <w:tc>
          <w:tcPr>
            <w:tcW w:w="765" w:type="dxa"/>
            <w:vMerge w:val="continue"/>
            <w:noWrap w:val="0"/>
            <w:vAlign w:val="center"/>
          </w:tcPr>
          <w:p w14:paraId="3235EAA1">
            <w:pPr>
              <w:widowControl w:val="0"/>
              <w:spacing w:line="240" w:lineRule="auto"/>
              <w:ind w:firstLine="0"/>
              <w:jc w:val="center"/>
              <w:rPr>
                <w:rFonts w:hint="eastAsia" w:ascii="Times New Roman" w:hAnsi="Times New Roman" w:eastAsia="宋体" w:cs="Times New Roman"/>
                <w:bCs/>
                <w:color w:val="0000FF"/>
                <w:spacing w:val="8"/>
                <w:sz w:val="18"/>
                <w:szCs w:val="18"/>
                <w:lang w:val="en-US" w:eastAsia="zh-CN"/>
              </w:rPr>
            </w:pPr>
          </w:p>
        </w:tc>
        <w:tc>
          <w:tcPr>
            <w:tcW w:w="780" w:type="dxa"/>
            <w:noWrap w:val="0"/>
            <w:vAlign w:val="center"/>
          </w:tcPr>
          <w:p w14:paraId="5F27F589">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1.4</w:t>
            </w:r>
          </w:p>
        </w:tc>
        <w:tc>
          <w:tcPr>
            <w:tcW w:w="675" w:type="dxa"/>
            <w:noWrap w:val="0"/>
            <w:vAlign w:val="center"/>
          </w:tcPr>
          <w:p w14:paraId="5F303E00">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0.007</w:t>
            </w:r>
          </w:p>
        </w:tc>
        <w:tc>
          <w:tcPr>
            <w:tcW w:w="795" w:type="dxa"/>
            <w:noWrap w:val="0"/>
            <w:vAlign w:val="center"/>
          </w:tcPr>
          <w:p w14:paraId="275F4F14">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0.05</w:t>
            </w:r>
          </w:p>
        </w:tc>
        <w:tc>
          <w:tcPr>
            <w:tcW w:w="795" w:type="dxa"/>
            <w:noWrap w:val="0"/>
            <w:vAlign w:val="center"/>
          </w:tcPr>
          <w:p w14:paraId="4056C532">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100</w:t>
            </w:r>
          </w:p>
        </w:tc>
        <w:tc>
          <w:tcPr>
            <w:tcW w:w="780" w:type="dxa"/>
            <w:noWrap w:val="0"/>
            <w:tcMar>
              <w:left w:w="0" w:type="dxa"/>
              <w:right w:w="0" w:type="dxa"/>
            </w:tcMar>
            <w:vAlign w:val="center"/>
          </w:tcPr>
          <w:p w14:paraId="75505513">
            <w:pPr>
              <w:widowControl w:val="0"/>
              <w:spacing w:line="240" w:lineRule="auto"/>
              <w:ind w:firstLine="360"/>
              <w:jc w:val="both"/>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6C228E5B">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vMerge w:val="continue"/>
            <w:noWrap w:val="0"/>
            <w:vAlign w:val="center"/>
          </w:tcPr>
          <w:p w14:paraId="44F15D17">
            <w:pPr>
              <w:widowControl w:val="0"/>
              <w:spacing w:line="240" w:lineRule="auto"/>
              <w:ind w:firstLine="0"/>
              <w:jc w:val="center"/>
              <w:rPr>
                <w:rFonts w:ascii="Times New Roman" w:hAnsi="Times New Roman" w:eastAsia="宋体" w:cs="Times New Roman"/>
                <w:color w:val="000000"/>
                <w:sz w:val="18"/>
                <w:szCs w:val="18"/>
              </w:rPr>
            </w:pPr>
          </w:p>
        </w:tc>
      </w:tr>
      <w:tr w14:paraId="34DAE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75B39C59">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4DA817F1">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color w:val="000000"/>
                <w:sz w:val="18"/>
                <w:szCs w:val="18"/>
              </w:rPr>
              <w:t>—</w:t>
            </w:r>
          </w:p>
        </w:tc>
        <w:tc>
          <w:tcPr>
            <w:tcW w:w="1357" w:type="dxa"/>
            <w:noWrap w:val="0"/>
            <w:vAlign w:val="center"/>
          </w:tcPr>
          <w:p w14:paraId="3E2E6226">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厨房</w:t>
            </w:r>
          </w:p>
        </w:tc>
        <w:tc>
          <w:tcPr>
            <w:tcW w:w="1025" w:type="dxa"/>
            <w:noWrap w:val="0"/>
            <w:vAlign w:val="center"/>
          </w:tcPr>
          <w:p w14:paraId="4288082C">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油烟</w:t>
            </w:r>
          </w:p>
        </w:tc>
        <w:tc>
          <w:tcPr>
            <w:tcW w:w="730" w:type="dxa"/>
            <w:noWrap w:val="0"/>
            <w:vAlign w:val="center"/>
          </w:tcPr>
          <w:p w14:paraId="2E3878A4">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4.2</w:t>
            </w:r>
          </w:p>
        </w:tc>
        <w:tc>
          <w:tcPr>
            <w:tcW w:w="855" w:type="dxa"/>
            <w:noWrap w:val="0"/>
            <w:vAlign w:val="center"/>
          </w:tcPr>
          <w:p w14:paraId="693AC3AB">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0.0225</w:t>
            </w:r>
          </w:p>
        </w:tc>
        <w:tc>
          <w:tcPr>
            <w:tcW w:w="1155" w:type="dxa"/>
            <w:noWrap w:val="0"/>
            <w:vAlign w:val="center"/>
          </w:tcPr>
          <w:p w14:paraId="184B99EA">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1020" w:type="dxa"/>
            <w:noWrap w:val="0"/>
            <w:vAlign w:val="center"/>
          </w:tcPr>
          <w:p w14:paraId="023BEE74">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ascii="Times New Roman" w:hAnsi="Times New Roman" w:eastAsia="宋体" w:cs="Times New Roman"/>
                <w:bCs/>
                <w:color w:val="000000"/>
                <w:spacing w:val="8"/>
                <w:sz w:val="18"/>
                <w:szCs w:val="18"/>
              </w:rPr>
              <w:t>设置一台油烟净化器</w:t>
            </w:r>
            <w:r>
              <w:rPr>
                <w:rFonts w:hint="eastAsia" w:ascii="Times New Roman" w:hAnsi="Times New Roman" w:eastAsia="宋体" w:cs="Times New Roman"/>
                <w:bCs/>
                <w:color w:val="000000"/>
                <w:spacing w:val="8"/>
                <w:sz w:val="18"/>
                <w:szCs w:val="18"/>
                <w:lang w:eastAsia="zh-CN"/>
              </w:rPr>
              <w:t>，</w:t>
            </w:r>
            <w:r>
              <w:rPr>
                <w:rFonts w:hint="eastAsia" w:ascii="Times New Roman" w:hAnsi="Times New Roman" w:eastAsia="宋体" w:cs="Times New Roman"/>
                <w:bCs/>
                <w:color w:val="000000"/>
                <w:spacing w:val="8"/>
                <w:sz w:val="18"/>
                <w:szCs w:val="18"/>
                <w:lang w:val="en-US" w:eastAsia="zh-CN"/>
              </w:rPr>
              <w:t>净化效率不低于60%</w:t>
            </w:r>
          </w:p>
        </w:tc>
        <w:tc>
          <w:tcPr>
            <w:tcW w:w="765" w:type="dxa"/>
            <w:noWrap w:val="0"/>
            <w:vAlign w:val="center"/>
          </w:tcPr>
          <w:p w14:paraId="6B65429C">
            <w:pPr>
              <w:widowControl w:val="0"/>
              <w:spacing w:line="240" w:lineRule="auto"/>
              <w:ind w:firstLine="0"/>
              <w:jc w:val="center"/>
              <w:rPr>
                <w:rFonts w:ascii="Times New Roman" w:hAnsi="Times New Roman" w:eastAsia="宋体" w:cs="Times New Roman"/>
                <w:bCs/>
                <w:color w:val="0000FF"/>
                <w:spacing w:val="8"/>
                <w:sz w:val="18"/>
                <w:szCs w:val="18"/>
                <w:lang w:val="en-US" w:eastAsia="zh-CN"/>
              </w:rPr>
            </w:pPr>
            <w:r>
              <w:rPr>
                <w:rFonts w:hint="eastAsia" w:ascii="Times New Roman" w:hAnsi="Times New Roman" w:eastAsia="宋体" w:cs="Times New Roman"/>
                <w:color w:val="000000"/>
                <w:sz w:val="18"/>
                <w:szCs w:val="18"/>
                <w:lang w:val="en-US" w:eastAsia="zh-CN"/>
              </w:rPr>
              <w:t>540</w:t>
            </w:r>
          </w:p>
        </w:tc>
        <w:tc>
          <w:tcPr>
            <w:tcW w:w="780" w:type="dxa"/>
            <w:noWrap w:val="0"/>
            <w:vAlign w:val="center"/>
          </w:tcPr>
          <w:p w14:paraId="7A95B4F3">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1.68</w:t>
            </w:r>
          </w:p>
        </w:tc>
        <w:tc>
          <w:tcPr>
            <w:tcW w:w="675" w:type="dxa"/>
            <w:noWrap w:val="0"/>
            <w:vAlign w:val="center"/>
          </w:tcPr>
          <w:p w14:paraId="0968E57A">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ascii="Times New Roman" w:hAnsi="Times New Roman" w:eastAsia="宋体" w:cs="Times New Roman"/>
                <w:color w:val="000000"/>
                <w:sz w:val="18"/>
                <w:szCs w:val="18"/>
              </w:rPr>
              <w:t>0.0</w:t>
            </w:r>
            <w:r>
              <w:rPr>
                <w:rFonts w:hint="eastAsia" w:ascii="Times New Roman" w:hAnsi="Times New Roman" w:eastAsia="宋体" w:cs="Times New Roman"/>
                <w:color w:val="000000"/>
                <w:sz w:val="18"/>
                <w:szCs w:val="18"/>
                <w:lang w:val="en-US" w:eastAsia="zh-CN"/>
              </w:rPr>
              <w:t>067</w:t>
            </w:r>
          </w:p>
        </w:tc>
        <w:tc>
          <w:tcPr>
            <w:tcW w:w="795" w:type="dxa"/>
            <w:noWrap w:val="0"/>
            <w:vAlign w:val="center"/>
          </w:tcPr>
          <w:p w14:paraId="5EF9EE50">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0.009</w:t>
            </w:r>
          </w:p>
        </w:tc>
        <w:tc>
          <w:tcPr>
            <w:tcW w:w="795" w:type="dxa"/>
            <w:noWrap w:val="0"/>
            <w:vAlign w:val="center"/>
          </w:tcPr>
          <w:p w14:paraId="2909735B">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w:t>
            </w:r>
          </w:p>
        </w:tc>
        <w:tc>
          <w:tcPr>
            <w:tcW w:w="780" w:type="dxa"/>
            <w:noWrap w:val="0"/>
            <w:tcMar>
              <w:left w:w="0" w:type="dxa"/>
              <w:right w:w="0" w:type="dxa"/>
            </w:tcMar>
            <w:vAlign w:val="center"/>
          </w:tcPr>
          <w:p w14:paraId="6A146C95">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2258A8DE">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达标</w:t>
            </w:r>
          </w:p>
        </w:tc>
        <w:tc>
          <w:tcPr>
            <w:tcW w:w="1906" w:type="dxa"/>
            <w:noWrap w:val="0"/>
            <w:vAlign w:val="center"/>
          </w:tcPr>
          <w:p w14:paraId="5D3C93E2">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油烟排放管道高于房顶1.5m</w:t>
            </w:r>
          </w:p>
        </w:tc>
      </w:tr>
      <w:tr w14:paraId="4164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restart"/>
            <w:noWrap w:val="0"/>
            <w:vAlign w:val="center"/>
          </w:tcPr>
          <w:p w14:paraId="01D0670D">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b/>
                <w:bCs/>
                <w:color w:val="000000"/>
                <w:sz w:val="18"/>
                <w:szCs w:val="18"/>
              </w:rPr>
              <w:t>无组织废气</w:t>
            </w:r>
          </w:p>
        </w:tc>
        <w:tc>
          <w:tcPr>
            <w:tcW w:w="956" w:type="dxa"/>
            <w:noWrap w:val="0"/>
            <w:vAlign w:val="center"/>
          </w:tcPr>
          <w:p w14:paraId="2A21FB70">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color w:val="000000"/>
                <w:sz w:val="18"/>
                <w:szCs w:val="18"/>
                <w:lang w:val="en-US" w:eastAsia="zh-CN"/>
              </w:rPr>
              <w:t>G1</w:t>
            </w:r>
          </w:p>
        </w:tc>
        <w:tc>
          <w:tcPr>
            <w:tcW w:w="1357" w:type="dxa"/>
            <w:noWrap w:val="0"/>
            <w:vAlign w:val="center"/>
          </w:tcPr>
          <w:p w14:paraId="5D97B94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断竹工段</w:t>
            </w:r>
          </w:p>
        </w:tc>
        <w:tc>
          <w:tcPr>
            <w:tcW w:w="1025" w:type="dxa"/>
            <w:noWrap w:val="0"/>
            <w:vAlign w:val="center"/>
          </w:tcPr>
          <w:p w14:paraId="5362B8DA">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粉尘</w:t>
            </w:r>
          </w:p>
        </w:tc>
        <w:tc>
          <w:tcPr>
            <w:tcW w:w="730" w:type="dxa"/>
            <w:noWrap w:val="0"/>
            <w:vAlign w:val="center"/>
          </w:tcPr>
          <w:p w14:paraId="6B31B3BF">
            <w:pPr>
              <w:widowControl w:val="0"/>
              <w:spacing w:line="240" w:lineRule="auto"/>
              <w:ind w:left="0" w:firstLine="0"/>
              <w:jc w:val="center"/>
              <w:rPr>
                <w:rFonts w:hint="eastAsia" w:ascii="Times New Roman" w:hAnsi="Times New Roman" w:eastAsia="宋体" w:cs="Times New Roman"/>
                <w:bCs/>
                <w:color w:val="000000"/>
                <w:spacing w:val="8"/>
                <w:sz w:val="18"/>
                <w:szCs w:val="18"/>
                <w:lang w:eastAsia="zh-CN"/>
              </w:rPr>
            </w:pPr>
            <w:r>
              <w:rPr>
                <w:rFonts w:ascii="Times New Roman" w:hAnsi="Times New Roman" w:eastAsia="宋体" w:cs="Times New Roman"/>
                <w:color w:val="000000"/>
                <w:sz w:val="18"/>
                <w:szCs w:val="18"/>
              </w:rPr>
              <w:t>—</w:t>
            </w:r>
          </w:p>
        </w:tc>
        <w:tc>
          <w:tcPr>
            <w:tcW w:w="855" w:type="dxa"/>
            <w:noWrap w:val="0"/>
            <w:vAlign w:val="center"/>
          </w:tcPr>
          <w:p w14:paraId="6A791A8F">
            <w:pPr>
              <w:widowControl w:val="0"/>
              <w:spacing w:line="240" w:lineRule="auto"/>
              <w:ind w:left="0" w:firstLine="0"/>
              <w:jc w:val="center"/>
              <w:rPr>
                <w:rFonts w:hint="eastAsia" w:ascii="Times New Roman" w:hAnsi="Times New Roman" w:eastAsia="宋体" w:cs="Times New Roman"/>
                <w:bCs/>
                <w:color w:val="000000"/>
                <w:spacing w:val="8"/>
                <w:sz w:val="18"/>
                <w:szCs w:val="18"/>
                <w:lang w:eastAsia="zh-CN"/>
              </w:rPr>
            </w:pPr>
            <w:r>
              <w:rPr>
                <w:rFonts w:ascii="Times New Roman" w:hAnsi="Times New Roman" w:eastAsia="宋体" w:cs="Times New Roman"/>
                <w:color w:val="000000"/>
                <w:sz w:val="18"/>
                <w:szCs w:val="18"/>
              </w:rPr>
              <w:t>—</w:t>
            </w:r>
          </w:p>
        </w:tc>
        <w:tc>
          <w:tcPr>
            <w:tcW w:w="1155" w:type="dxa"/>
            <w:noWrap w:val="0"/>
            <w:vAlign w:val="center"/>
          </w:tcPr>
          <w:p w14:paraId="3447CBCB">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bCs/>
                <w:color w:val="000000"/>
                <w:spacing w:val="8"/>
                <w:sz w:val="18"/>
                <w:szCs w:val="18"/>
              </w:rPr>
              <w:t>设置顶棚、细小物料采用管道或密闭输送带进行输送，加强管理</w:t>
            </w:r>
          </w:p>
        </w:tc>
        <w:tc>
          <w:tcPr>
            <w:tcW w:w="1020" w:type="dxa"/>
            <w:noWrap w:val="0"/>
            <w:vAlign w:val="center"/>
          </w:tcPr>
          <w:p w14:paraId="12422B05">
            <w:pPr>
              <w:widowControl w:val="0"/>
              <w:spacing w:line="240" w:lineRule="auto"/>
              <w:ind w:firstLine="0"/>
              <w:jc w:val="center"/>
              <w:rPr>
                <w:rFonts w:hint="eastAsia" w:ascii="Times New Roman" w:hAnsi="Times New Roman" w:eastAsia="宋体" w:cs="Times New Roman"/>
                <w:bCs/>
                <w:color w:val="000000"/>
                <w:spacing w:val="8"/>
                <w:sz w:val="18"/>
                <w:szCs w:val="18"/>
                <w:lang w:val="en-US" w:eastAsia="zh-CN"/>
              </w:rPr>
            </w:pPr>
            <w:r>
              <w:rPr>
                <w:rFonts w:ascii="Times New Roman" w:hAnsi="Times New Roman" w:eastAsia="宋体" w:cs="Times New Roman"/>
                <w:color w:val="000000"/>
                <w:sz w:val="18"/>
                <w:szCs w:val="18"/>
              </w:rPr>
              <w:t>—</w:t>
            </w:r>
          </w:p>
        </w:tc>
        <w:tc>
          <w:tcPr>
            <w:tcW w:w="765" w:type="dxa"/>
            <w:noWrap w:val="0"/>
            <w:vAlign w:val="center"/>
          </w:tcPr>
          <w:p w14:paraId="730C89DD">
            <w:pPr>
              <w:widowControl w:val="0"/>
              <w:spacing w:line="240" w:lineRule="auto"/>
              <w:ind w:firstLine="0"/>
              <w:jc w:val="center"/>
              <w:rPr>
                <w:rFonts w:ascii="Times New Roman" w:hAnsi="Times New Roman" w:eastAsia="宋体" w:cs="Times New Roman"/>
                <w:bCs/>
                <w:color w:val="0000FF"/>
                <w:spacing w:val="8"/>
                <w:sz w:val="18"/>
                <w:szCs w:val="18"/>
              </w:rPr>
            </w:pPr>
            <w:r>
              <w:rPr>
                <w:rFonts w:ascii="Times New Roman" w:hAnsi="Times New Roman" w:eastAsia="宋体" w:cs="Times New Roman"/>
                <w:color w:val="000000"/>
                <w:sz w:val="18"/>
                <w:szCs w:val="18"/>
              </w:rPr>
              <w:t>—</w:t>
            </w:r>
          </w:p>
        </w:tc>
        <w:tc>
          <w:tcPr>
            <w:tcW w:w="780" w:type="dxa"/>
            <w:noWrap w:val="0"/>
            <w:vAlign w:val="center"/>
          </w:tcPr>
          <w:p w14:paraId="47F98127">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675" w:type="dxa"/>
            <w:noWrap w:val="0"/>
            <w:vAlign w:val="center"/>
          </w:tcPr>
          <w:p w14:paraId="049ECC58">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95" w:type="dxa"/>
            <w:noWrap w:val="0"/>
            <w:vAlign w:val="center"/>
          </w:tcPr>
          <w:p w14:paraId="379CFA53">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95" w:type="dxa"/>
            <w:noWrap w:val="0"/>
            <w:vAlign w:val="center"/>
          </w:tcPr>
          <w:p w14:paraId="5137F9B5">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80" w:type="dxa"/>
            <w:noWrap w:val="0"/>
            <w:tcMar>
              <w:left w:w="0" w:type="dxa"/>
              <w:right w:w="0" w:type="dxa"/>
            </w:tcMar>
            <w:vAlign w:val="center"/>
          </w:tcPr>
          <w:p w14:paraId="5CD41F27">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6DC59856">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1906" w:type="dxa"/>
            <w:vMerge w:val="restart"/>
            <w:noWrap w:val="0"/>
            <w:vAlign w:val="center"/>
          </w:tcPr>
          <w:p w14:paraId="531CAD74">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无组织排放</w:t>
            </w:r>
          </w:p>
        </w:tc>
      </w:tr>
      <w:tr w14:paraId="4A0E4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78B3AAEC">
            <w:pPr>
              <w:widowControl w:val="0"/>
              <w:spacing w:line="240" w:lineRule="auto"/>
              <w:ind w:firstLine="0"/>
              <w:jc w:val="center"/>
              <w:rPr>
                <w:rFonts w:ascii="Times New Roman" w:hAnsi="Times New Roman" w:eastAsia="宋体" w:cs="Times New Roman"/>
                <w:b/>
                <w:bCs/>
                <w:color w:val="000000"/>
                <w:sz w:val="18"/>
                <w:szCs w:val="18"/>
              </w:rPr>
            </w:pPr>
          </w:p>
        </w:tc>
        <w:tc>
          <w:tcPr>
            <w:tcW w:w="956" w:type="dxa"/>
            <w:noWrap w:val="0"/>
            <w:vAlign w:val="center"/>
          </w:tcPr>
          <w:p w14:paraId="30DD767A">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G2</w:t>
            </w:r>
          </w:p>
        </w:tc>
        <w:tc>
          <w:tcPr>
            <w:tcW w:w="1357" w:type="dxa"/>
            <w:noWrap w:val="0"/>
            <w:vAlign w:val="center"/>
          </w:tcPr>
          <w:p w14:paraId="0C5D6F6C">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刨片工段</w:t>
            </w:r>
          </w:p>
        </w:tc>
        <w:tc>
          <w:tcPr>
            <w:tcW w:w="1025" w:type="dxa"/>
            <w:noWrap w:val="0"/>
            <w:vAlign w:val="center"/>
          </w:tcPr>
          <w:p w14:paraId="2B131B25">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粉尘</w:t>
            </w:r>
          </w:p>
        </w:tc>
        <w:tc>
          <w:tcPr>
            <w:tcW w:w="730" w:type="dxa"/>
            <w:noWrap w:val="0"/>
            <w:vAlign w:val="center"/>
          </w:tcPr>
          <w:p w14:paraId="4BDA6FCD">
            <w:pPr>
              <w:widowControl w:val="0"/>
              <w:spacing w:line="240" w:lineRule="auto"/>
              <w:ind w:left="0"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855" w:type="dxa"/>
            <w:noWrap w:val="0"/>
            <w:vAlign w:val="center"/>
          </w:tcPr>
          <w:p w14:paraId="79D4FB38">
            <w:pPr>
              <w:widowControl w:val="0"/>
              <w:spacing w:line="240" w:lineRule="auto"/>
              <w:ind w:left="0"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22.5</w:t>
            </w:r>
          </w:p>
        </w:tc>
        <w:tc>
          <w:tcPr>
            <w:tcW w:w="1155" w:type="dxa"/>
            <w:noWrap w:val="0"/>
            <w:vAlign w:val="center"/>
          </w:tcPr>
          <w:p w14:paraId="5DF150A3">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仅环抱采取旋风除尘</w:t>
            </w:r>
          </w:p>
        </w:tc>
        <w:tc>
          <w:tcPr>
            <w:tcW w:w="1020" w:type="dxa"/>
            <w:noWrap w:val="0"/>
            <w:vAlign w:val="center"/>
          </w:tcPr>
          <w:p w14:paraId="70ABF170">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宋体" w:eastAsia="Times New Roman" w:cs="宋体"/>
                <w:sz w:val="18"/>
                <w:szCs w:val="18"/>
                <w:lang w:val="en-US" w:eastAsia="zh-CN" w:bidi="zh-CN"/>
              </w:rPr>
              <w:t>将</w:t>
            </w:r>
            <w:r>
              <w:rPr>
                <w:rFonts w:hint="eastAsia" w:ascii="Times New Roman" w:hAnsi="Times New Roman" w:eastAsia="宋体" w:cs="Times New Roman"/>
                <w:bCs/>
                <w:color w:val="000000"/>
                <w:spacing w:val="8"/>
                <w:sz w:val="18"/>
                <w:szCs w:val="18"/>
                <w:lang w:val="en-US" w:eastAsia="zh-CN"/>
              </w:rPr>
              <w:t>旋风除尘器更换为布袋收尘装置，无呈组织排放；其余刨片机在出料口增设自制的小型布袋除尘器，除尘效率为99%</w:t>
            </w:r>
          </w:p>
        </w:tc>
        <w:tc>
          <w:tcPr>
            <w:tcW w:w="765" w:type="dxa"/>
            <w:noWrap w:val="0"/>
            <w:vAlign w:val="center"/>
          </w:tcPr>
          <w:p w14:paraId="228AD9EE">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80" w:type="dxa"/>
            <w:noWrap w:val="0"/>
            <w:vAlign w:val="center"/>
          </w:tcPr>
          <w:p w14:paraId="2E707AD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ascii="Times New Roman" w:hAnsi="Times New Roman" w:eastAsia="宋体" w:cs="Times New Roman"/>
                <w:color w:val="000000"/>
                <w:sz w:val="18"/>
                <w:szCs w:val="18"/>
              </w:rPr>
              <w:t>—</w:t>
            </w:r>
          </w:p>
        </w:tc>
        <w:tc>
          <w:tcPr>
            <w:tcW w:w="675" w:type="dxa"/>
            <w:noWrap w:val="0"/>
            <w:vAlign w:val="center"/>
          </w:tcPr>
          <w:p w14:paraId="3E76B9ED">
            <w:pPr>
              <w:widowControl w:val="0"/>
              <w:spacing w:line="240" w:lineRule="auto"/>
              <w:ind w:firstLine="0"/>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0.03</w:t>
            </w:r>
          </w:p>
        </w:tc>
        <w:tc>
          <w:tcPr>
            <w:tcW w:w="795" w:type="dxa"/>
            <w:noWrap w:val="0"/>
            <w:vAlign w:val="center"/>
          </w:tcPr>
          <w:p w14:paraId="0222AC6D">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0.225</w:t>
            </w:r>
          </w:p>
        </w:tc>
        <w:tc>
          <w:tcPr>
            <w:tcW w:w="795" w:type="dxa"/>
            <w:noWrap w:val="0"/>
            <w:vAlign w:val="center"/>
          </w:tcPr>
          <w:p w14:paraId="2AE3C853">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w:t>
            </w:r>
          </w:p>
        </w:tc>
        <w:tc>
          <w:tcPr>
            <w:tcW w:w="780" w:type="dxa"/>
            <w:noWrap w:val="0"/>
            <w:tcMar>
              <w:left w:w="0" w:type="dxa"/>
              <w:right w:w="0" w:type="dxa"/>
            </w:tcMar>
            <w:vAlign w:val="center"/>
          </w:tcPr>
          <w:p w14:paraId="6AC75A10">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sz w:val="18"/>
                <w:szCs w:val="18"/>
                <w:lang w:eastAsia="zh-CN"/>
              </w:rPr>
              <w:t>—</w:t>
            </w:r>
          </w:p>
        </w:tc>
        <w:tc>
          <w:tcPr>
            <w:tcW w:w="750" w:type="dxa"/>
            <w:noWrap w:val="0"/>
            <w:vAlign w:val="center"/>
          </w:tcPr>
          <w:p w14:paraId="57401331">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6F101EEA">
            <w:pPr>
              <w:widowControl w:val="0"/>
              <w:spacing w:line="240" w:lineRule="auto"/>
              <w:ind w:firstLine="0"/>
              <w:jc w:val="center"/>
              <w:rPr>
                <w:rFonts w:ascii="Times New Roman" w:hAnsi="Times New Roman" w:eastAsia="宋体" w:cs="Times New Roman"/>
                <w:color w:val="000000"/>
                <w:sz w:val="18"/>
                <w:szCs w:val="18"/>
              </w:rPr>
            </w:pPr>
          </w:p>
        </w:tc>
      </w:tr>
      <w:tr w14:paraId="2412A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4F1D30BD">
            <w:pPr>
              <w:widowControl w:val="0"/>
              <w:spacing w:line="240" w:lineRule="auto"/>
              <w:ind w:firstLine="0"/>
              <w:jc w:val="center"/>
              <w:rPr>
                <w:rFonts w:ascii="Times New Roman" w:hAnsi="Times New Roman" w:eastAsia="宋体" w:cs="Times New Roman"/>
                <w:b/>
                <w:bCs/>
                <w:color w:val="000000"/>
                <w:sz w:val="18"/>
                <w:szCs w:val="18"/>
              </w:rPr>
            </w:pPr>
          </w:p>
        </w:tc>
        <w:tc>
          <w:tcPr>
            <w:tcW w:w="956" w:type="dxa"/>
            <w:noWrap w:val="0"/>
            <w:vAlign w:val="center"/>
          </w:tcPr>
          <w:p w14:paraId="5479CFD2">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hint="eastAsia"/>
                <w:sz w:val="18"/>
                <w:szCs w:val="18"/>
                <w:lang w:val="en-US" w:eastAsia="zh-CN"/>
              </w:rPr>
              <w:t>G9、G12、G13、G16、G17</w:t>
            </w:r>
          </w:p>
        </w:tc>
        <w:tc>
          <w:tcPr>
            <w:tcW w:w="1357" w:type="dxa"/>
            <w:noWrap w:val="0"/>
            <w:vAlign w:val="center"/>
          </w:tcPr>
          <w:p w14:paraId="6CC5F335">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sz w:val="18"/>
                <w:szCs w:val="18"/>
                <w:lang w:val="en-US" w:eastAsia="zh-CN"/>
              </w:rPr>
              <w:t>锯边、砂光、开槽工段</w:t>
            </w:r>
          </w:p>
        </w:tc>
        <w:tc>
          <w:tcPr>
            <w:tcW w:w="1025" w:type="dxa"/>
            <w:noWrap w:val="0"/>
            <w:vAlign w:val="center"/>
          </w:tcPr>
          <w:p w14:paraId="3754AB11">
            <w:pPr>
              <w:widowControl w:val="0"/>
              <w:spacing w:line="240" w:lineRule="auto"/>
              <w:ind w:firstLine="0"/>
              <w:jc w:val="center"/>
              <w:rPr>
                <w:rFonts w:hint="eastAsia" w:ascii="Times New Roman" w:hAnsi="Times New Roman" w:eastAsia="宋体" w:cs="Times New Roman"/>
                <w:bCs/>
                <w:color w:val="000000"/>
                <w:sz w:val="18"/>
                <w:szCs w:val="18"/>
                <w:lang w:val="en-US" w:eastAsia="zh-CN"/>
              </w:rPr>
            </w:pPr>
            <w:r>
              <w:rPr>
                <w:sz w:val="18"/>
                <w:szCs w:val="18"/>
              </w:rPr>
              <w:t>粉尘</w:t>
            </w:r>
          </w:p>
        </w:tc>
        <w:tc>
          <w:tcPr>
            <w:tcW w:w="730" w:type="dxa"/>
            <w:noWrap w:val="0"/>
            <w:vAlign w:val="center"/>
          </w:tcPr>
          <w:p w14:paraId="0D17B07A">
            <w:pPr>
              <w:widowControl w:val="0"/>
              <w:spacing w:line="240" w:lineRule="auto"/>
              <w:ind w:left="0"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855" w:type="dxa"/>
            <w:noWrap w:val="0"/>
            <w:vAlign w:val="center"/>
          </w:tcPr>
          <w:p w14:paraId="4BCCCA30">
            <w:pPr>
              <w:widowControl w:val="0"/>
              <w:spacing w:line="240" w:lineRule="auto"/>
              <w:ind w:left="0"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582.1</w:t>
            </w:r>
          </w:p>
        </w:tc>
        <w:tc>
          <w:tcPr>
            <w:tcW w:w="1155" w:type="dxa"/>
            <w:noWrap w:val="0"/>
            <w:vAlign w:val="center"/>
          </w:tcPr>
          <w:p w14:paraId="0C3F8CC8">
            <w:pPr>
              <w:widowControl w:val="0"/>
              <w:spacing w:line="240" w:lineRule="auto"/>
              <w:ind w:firstLine="0"/>
              <w:jc w:val="center"/>
              <w:rPr>
                <w:rFonts w:hint="eastAsia" w:ascii="Times New Roman" w:hAnsi="Times New Roman" w:eastAsia="宋体" w:cs="Times New Roman"/>
                <w:bCs/>
                <w:color w:val="000000"/>
                <w:spacing w:val="8"/>
                <w:sz w:val="18"/>
                <w:szCs w:val="18"/>
                <w:lang w:val="en-US" w:eastAsia="zh-CN"/>
              </w:rPr>
            </w:pPr>
            <w:r>
              <w:rPr>
                <w:rFonts w:hint="eastAsia"/>
                <w:color w:val="000000"/>
                <w:sz w:val="18"/>
                <w:szCs w:val="18"/>
                <w:lang w:val="en-US" w:eastAsia="zh-CN"/>
              </w:rPr>
              <w:t>正压布袋除尘器（1备1用）</w:t>
            </w:r>
          </w:p>
        </w:tc>
        <w:tc>
          <w:tcPr>
            <w:tcW w:w="1020" w:type="dxa"/>
            <w:noWrap w:val="0"/>
            <w:vAlign w:val="center"/>
          </w:tcPr>
          <w:p w14:paraId="7BDAE245">
            <w:pPr>
              <w:widowControl w:val="0"/>
              <w:spacing w:line="240" w:lineRule="auto"/>
              <w:ind w:firstLine="0"/>
              <w:jc w:val="center"/>
              <w:rPr>
                <w:rFonts w:hint="eastAsia" w:ascii="Times New Roman" w:hAnsi="宋体" w:eastAsia="Times New Roman" w:cs="宋体"/>
                <w:sz w:val="18"/>
                <w:szCs w:val="18"/>
                <w:lang w:val="en-US" w:eastAsia="zh-CN" w:bidi="zh-CN"/>
              </w:rPr>
            </w:pPr>
            <w:r>
              <w:rPr>
                <w:rFonts w:ascii="Times New Roman" w:hAnsi="Times New Roman" w:eastAsia="宋体" w:cs="Times New Roman"/>
                <w:color w:val="000000"/>
                <w:sz w:val="18"/>
                <w:szCs w:val="18"/>
              </w:rPr>
              <w:t>—</w:t>
            </w:r>
          </w:p>
        </w:tc>
        <w:tc>
          <w:tcPr>
            <w:tcW w:w="765" w:type="dxa"/>
            <w:noWrap w:val="0"/>
            <w:vAlign w:val="center"/>
          </w:tcPr>
          <w:p w14:paraId="33765F0B">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80" w:type="dxa"/>
            <w:noWrap w:val="0"/>
            <w:vAlign w:val="center"/>
          </w:tcPr>
          <w:p w14:paraId="5C5E937F">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675" w:type="dxa"/>
            <w:noWrap w:val="0"/>
            <w:vAlign w:val="center"/>
          </w:tcPr>
          <w:p w14:paraId="285B78F2">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0.08</w:t>
            </w:r>
          </w:p>
        </w:tc>
        <w:tc>
          <w:tcPr>
            <w:tcW w:w="795" w:type="dxa"/>
            <w:noWrap w:val="0"/>
            <w:vAlign w:val="center"/>
          </w:tcPr>
          <w:p w14:paraId="38D1B42E">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0.58</w:t>
            </w:r>
          </w:p>
        </w:tc>
        <w:tc>
          <w:tcPr>
            <w:tcW w:w="795" w:type="dxa"/>
            <w:noWrap w:val="0"/>
            <w:vAlign w:val="center"/>
          </w:tcPr>
          <w:p w14:paraId="4BBE13E7">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w:t>
            </w:r>
          </w:p>
        </w:tc>
        <w:tc>
          <w:tcPr>
            <w:tcW w:w="780" w:type="dxa"/>
            <w:noWrap w:val="0"/>
            <w:tcMar>
              <w:left w:w="0" w:type="dxa"/>
              <w:right w:w="0" w:type="dxa"/>
            </w:tcMar>
            <w:vAlign w:val="center"/>
          </w:tcPr>
          <w:p w14:paraId="0704C0FA">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ascii="Times New Roman" w:hAnsi="Times New Roman" w:eastAsia="宋体" w:cs="Times New Roman"/>
                <w:color w:val="000000"/>
                <w:sz w:val="18"/>
                <w:szCs w:val="18"/>
              </w:rPr>
              <w:t>—</w:t>
            </w:r>
          </w:p>
        </w:tc>
        <w:tc>
          <w:tcPr>
            <w:tcW w:w="750" w:type="dxa"/>
            <w:noWrap w:val="0"/>
            <w:vAlign w:val="center"/>
          </w:tcPr>
          <w:p w14:paraId="111585EB">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67B65F94">
            <w:pPr>
              <w:widowControl w:val="0"/>
              <w:spacing w:line="240" w:lineRule="auto"/>
              <w:ind w:firstLine="0"/>
              <w:jc w:val="center"/>
              <w:rPr>
                <w:rFonts w:ascii="Times New Roman" w:hAnsi="Times New Roman" w:eastAsia="宋体" w:cs="Times New Roman"/>
                <w:color w:val="000000"/>
                <w:sz w:val="18"/>
                <w:szCs w:val="18"/>
              </w:rPr>
            </w:pPr>
          </w:p>
        </w:tc>
      </w:tr>
      <w:tr w14:paraId="1BEFB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47E553D8">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0FCE08EB">
            <w:pPr>
              <w:widowControl w:val="0"/>
              <w:spacing w:line="240" w:lineRule="auto"/>
              <w:ind w:firstLine="0"/>
              <w:jc w:val="center"/>
              <w:rPr>
                <w:rFonts w:ascii="Times New Roman" w:hAnsi="Times New Roman" w:eastAsia="宋体" w:cs="Times New Roman"/>
                <w:bCs/>
                <w:color w:val="000000"/>
                <w:sz w:val="18"/>
                <w:szCs w:val="18"/>
              </w:rPr>
            </w:pPr>
            <w:r>
              <w:rPr>
                <w:rFonts w:hint="eastAsia" w:ascii="Times New Roman" w:hAnsi="Times New Roman" w:eastAsia="宋体" w:cs="Times New Roman"/>
                <w:sz w:val="18"/>
                <w:szCs w:val="18"/>
                <w:lang w:val="en-US" w:eastAsia="zh-CN"/>
              </w:rPr>
              <w:t>G18、G23</w:t>
            </w:r>
          </w:p>
        </w:tc>
        <w:tc>
          <w:tcPr>
            <w:tcW w:w="1357" w:type="dxa"/>
            <w:noWrap w:val="0"/>
            <w:vAlign w:val="center"/>
          </w:tcPr>
          <w:p w14:paraId="04D566E5">
            <w:pPr>
              <w:widowControl w:val="0"/>
              <w:spacing w:line="240" w:lineRule="auto"/>
              <w:ind w:firstLine="0"/>
              <w:jc w:val="cente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lang w:val="en-US" w:eastAsia="zh-CN"/>
              </w:rPr>
              <w:t>甲醛</w:t>
            </w:r>
            <w:r>
              <w:rPr>
                <w:rFonts w:ascii="Times New Roman" w:hAnsi="Times New Roman" w:eastAsia="宋体" w:cs="Times New Roman"/>
                <w:bCs/>
                <w:color w:val="000000"/>
                <w:sz w:val="18"/>
                <w:szCs w:val="18"/>
              </w:rPr>
              <w:t>存储</w:t>
            </w:r>
          </w:p>
        </w:tc>
        <w:tc>
          <w:tcPr>
            <w:tcW w:w="1025" w:type="dxa"/>
            <w:noWrap w:val="0"/>
            <w:vAlign w:val="center"/>
          </w:tcPr>
          <w:p w14:paraId="4E2D6F44">
            <w:pPr>
              <w:widowControl w:val="0"/>
              <w:spacing w:line="240" w:lineRule="auto"/>
              <w:ind w:firstLine="0"/>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甲醛</w:t>
            </w:r>
          </w:p>
        </w:tc>
        <w:tc>
          <w:tcPr>
            <w:tcW w:w="730" w:type="dxa"/>
            <w:noWrap w:val="0"/>
            <w:vAlign w:val="center"/>
          </w:tcPr>
          <w:p w14:paraId="3F3C5087">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855" w:type="dxa"/>
            <w:noWrap w:val="0"/>
            <w:vAlign w:val="center"/>
          </w:tcPr>
          <w:p w14:paraId="58C3295D">
            <w:pPr>
              <w:widowControl w:val="0"/>
              <w:spacing w:line="240" w:lineRule="auto"/>
              <w:ind w:firstLine="0"/>
              <w:jc w:val="center"/>
              <w:rPr>
                <w:rFonts w:ascii="Times New Roman" w:hAnsi="Times New Roman" w:eastAsia="宋体" w:cs="Times New Roman"/>
                <w:bCs/>
                <w:color w:val="000000"/>
                <w:spacing w:val="8"/>
                <w:sz w:val="18"/>
                <w:szCs w:val="18"/>
                <w:lang w:val="en-US" w:eastAsia="zh-CN"/>
              </w:rPr>
            </w:pPr>
            <w:r>
              <w:rPr>
                <w:rFonts w:hint="eastAsia" w:ascii="Times New Roman" w:hAnsi="Times New Roman" w:eastAsia="宋体" w:cs="Times New Roman"/>
                <w:bCs/>
                <w:color w:val="000000"/>
                <w:spacing w:val="8"/>
                <w:sz w:val="18"/>
                <w:szCs w:val="18"/>
                <w:lang w:val="en-US" w:eastAsia="zh-CN"/>
              </w:rPr>
              <w:t>0.00109</w:t>
            </w:r>
          </w:p>
        </w:tc>
        <w:tc>
          <w:tcPr>
            <w:tcW w:w="1155" w:type="dxa"/>
            <w:noWrap w:val="0"/>
            <w:vAlign w:val="center"/>
          </w:tcPr>
          <w:p w14:paraId="3A5B3E16">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bCs/>
                <w:color w:val="000000"/>
                <w:spacing w:val="8"/>
                <w:sz w:val="18"/>
                <w:szCs w:val="18"/>
              </w:rPr>
              <w:t>加强管理</w:t>
            </w:r>
          </w:p>
        </w:tc>
        <w:tc>
          <w:tcPr>
            <w:tcW w:w="1020" w:type="dxa"/>
            <w:noWrap w:val="0"/>
            <w:vAlign w:val="center"/>
          </w:tcPr>
          <w:p w14:paraId="5FFA4600">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765" w:type="dxa"/>
            <w:noWrap w:val="0"/>
            <w:vAlign w:val="center"/>
          </w:tcPr>
          <w:p w14:paraId="69DD2746">
            <w:pPr>
              <w:widowControl w:val="0"/>
              <w:spacing w:line="240" w:lineRule="auto"/>
              <w:ind w:firstLine="0"/>
              <w:jc w:val="center"/>
              <w:rPr>
                <w:rFonts w:ascii="Times New Roman" w:hAnsi="Times New Roman" w:eastAsia="宋体" w:cs="Times New Roman"/>
                <w:bCs/>
                <w:color w:val="0000FF"/>
                <w:spacing w:val="8"/>
                <w:sz w:val="18"/>
                <w:szCs w:val="18"/>
              </w:rPr>
            </w:pPr>
            <w:r>
              <w:rPr>
                <w:rFonts w:ascii="Times New Roman" w:hAnsi="Times New Roman" w:eastAsia="宋体" w:cs="Times New Roman"/>
                <w:color w:val="000000"/>
                <w:sz w:val="18"/>
                <w:szCs w:val="18"/>
              </w:rPr>
              <w:t>—</w:t>
            </w:r>
          </w:p>
        </w:tc>
        <w:tc>
          <w:tcPr>
            <w:tcW w:w="780" w:type="dxa"/>
            <w:noWrap w:val="0"/>
            <w:vAlign w:val="center"/>
          </w:tcPr>
          <w:p w14:paraId="35CB0C9E">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675" w:type="dxa"/>
            <w:noWrap w:val="0"/>
            <w:vAlign w:val="center"/>
          </w:tcPr>
          <w:p w14:paraId="3FC7B4C1">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0.00015</w:t>
            </w:r>
          </w:p>
        </w:tc>
        <w:tc>
          <w:tcPr>
            <w:tcW w:w="795" w:type="dxa"/>
            <w:noWrap w:val="0"/>
            <w:vAlign w:val="center"/>
          </w:tcPr>
          <w:p w14:paraId="61C6CAC8">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0.00109</w:t>
            </w:r>
          </w:p>
        </w:tc>
        <w:tc>
          <w:tcPr>
            <w:tcW w:w="795" w:type="dxa"/>
            <w:noWrap w:val="0"/>
            <w:vAlign w:val="center"/>
          </w:tcPr>
          <w:p w14:paraId="70C301DB">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0.2</w:t>
            </w:r>
          </w:p>
        </w:tc>
        <w:tc>
          <w:tcPr>
            <w:tcW w:w="780" w:type="dxa"/>
            <w:noWrap w:val="0"/>
            <w:tcMar>
              <w:left w:w="0" w:type="dxa"/>
              <w:right w:w="0" w:type="dxa"/>
            </w:tcMar>
            <w:vAlign w:val="center"/>
          </w:tcPr>
          <w:p w14:paraId="7865D51B">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507D7219">
            <w:pPr>
              <w:widowControl w:val="0"/>
              <w:spacing w:line="240" w:lineRule="auto"/>
              <w:ind w:firstLine="0"/>
              <w:jc w:val="center"/>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5D01D6AB">
            <w:pPr>
              <w:widowControl w:val="0"/>
              <w:spacing w:line="240" w:lineRule="auto"/>
              <w:ind w:firstLine="0"/>
              <w:jc w:val="center"/>
              <w:rPr>
                <w:rFonts w:ascii="Times New Roman" w:hAnsi="Times New Roman" w:eastAsia="宋体" w:cs="Times New Roman"/>
                <w:color w:val="000000"/>
                <w:sz w:val="18"/>
                <w:szCs w:val="18"/>
              </w:rPr>
            </w:pPr>
          </w:p>
        </w:tc>
      </w:tr>
      <w:tr w14:paraId="77D1F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64963DB8">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2A0AD645">
            <w:pPr>
              <w:widowControl w:val="0"/>
              <w:spacing w:line="240" w:lineRule="auto"/>
              <w:ind w:firstLine="0"/>
              <w:jc w:val="center"/>
              <w:rPr>
                <w:rFonts w:hint="eastAsia" w:ascii="Times New Roman" w:hAnsi="Times New Roman" w:eastAsia="宋体" w:cs="Times New Roman"/>
                <w:bCs/>
                <w:color w:val="000000"/>
                <w:sz w:val="21"/>
                <w:szCs w:val="21"/>
                <w:lang w:val="en-US" w:eastAsia="zh-CN" w:bidi="ar-SA"/>
              </w:rPr>
            </w:pPr>
            <w:r>
              <w:rPr>
                <w:rFonts w:ascii="Times New Roman" w:hAnsi="Times New Roman" w:eastAsia="宋体" w:cs="Times New Roman"/>
                <w:color w:val="000000"/>
                <w:sz w:val="21"/>
                <w:szCs w:val="21"/>
              </w:rPr>
              <w:t>—</w:t>
            </w:r>
          </w:p>
        </w:tc>
        <w:tc>
          <w:tcPr>
            <w:tcW w:w="1357" w:type="dxa"/>
            <w:noWrap w:val="0"/>
            <w:vAlign w:val="center"/>
          </w:tcPr>
          <w:p w14:paraId="22D487A7">
            <w:pPr>
              <w:widowControl w:val="0"/>
              <w:spacing w:line="240" w:lineRule="auto"/>
              <w:ind w:firstLine="0"/>
              <w:jc w:val="center"/>
              <w:rPr>
                <w:rFonts w:hint="eastAsia" w:ascii="Times New Roman" w:hAnsi="Times New Roman" w:eastAsia="宋体" w:cs="Times New Roman"/>
                <w:bCs/>
                <w:color w:val="000000"/>
                <w:sz w:val="18"/>
                <w:szCs w:val="18"/>
                <w:lang w:val="en-US" w:eastAsia="zh-CN" w:bidi="ar-SA"/>
              </w:rPr>
            </w:pPr>
            <w:r>
              <w:rPr>
                <w:rFonts w:ascii="Times New Roman" w:hAnsi="Times New Roman" w:eastAsia="宋体" w:cs="Times New Roman"/>
                <w:bCs/>
                <w:color w:val="000000"/>
                <w:sz w:val="18"/>
                <w:szCs w:val="18"/>
              </w:rPr>
              <w:t>项目区</w:t>
            </w:r>
          </w:p>
        </w:tc>
        <w:tc>
          <w:tcPr>
            <w:tcW w:w="1025" w:type="dxa"/>
            <w:noWrap w:val="0"/>
            <w:vAlign w:val="center"/>
          </w:tcPr>
          <w:p w14:paraId="32F81192">
            <w:pPr>
              <w:widowControl w:val="0"/>
              <w:spacing w:line="240" w:lineRule="auto"/>
              <w:ind w:firstLine="0"/>
              <w:jc w:val="center"/>
              <w:rPr>
                <w:rFonts w:hint="eastAsia" w:ascii="Times New Roman" w:hAnsi="Times New Roman" w:eastAsia="宋体" w:cs="Times New Roman"/>
                <w:bCs/>
                <w:color w:val="000000"/>
                <w:sz w:val="18"/>
                <w:szCs w:val="18"/>
                <w:lang w:val="en-US" w:eastAsia="zh-CN" w:bidi="ar-SA"/>
              </w:rPr>
            </w:pPr>
            <w:r>
              <w:rPr>
                <w:rFonts w:hint="eastAsia" w:ascii="Times New Roman" w:hAnsi="Times New Roman" w:eastAsia="宋体" w:cs="Times New Roman"/>
                <w:bCs/>
                <w:color w:val="000000"/>
                <w:sz w:val="18"/>
                <w:szCs w:val="18"/>
                <w:lang w:val="en-US" w:eastAsia="zh-CN"/>
              </w:rPr>
              <w:t>恶臭</w:t>
            </w:r>
          </w:p>
        </w:tc>
        <w:tc>
          <w:tcPr>
            <w:tcW w:w="730" w:type="dxa"/>
            <w:noWrap w:val="0"/>
            <w:vAlign w:val="center"/>
          </w:tcPr>
          <w:p w14:paraId="16528EC3">
            <w:pPr>
              <w:widowControl w:val="0"/>
              <w:spacing w:line="240" w:lineRule="auto"/>
              <w:ind w:firstLine="0"/>
              <w:jc w:val="center"/>
              <w:rPr>
                <w:rFonts w:ascii="Times New Roman" w:hAnsi="Times New Roman" w:eastAsia="宋体" w:cs="Times New Roman"/>
                <w:bCs/>
                <w:color w:val="000000"/>
                <w:spacing w:val="8"/>
                <w:sz w:val="18"/>
                <w:szCs w:val="18"/>
                <w:lang w:val="en-US" w:eastAsia="zh-CN" w:bidi="ar-SA"/>
              </w:rPr>
            </w:pPr>
            <w:r>
              <w:rPr>
                <w:rFonts w:ascii="Times New Roman" w:hAnsi="Times New Roman" w:eastAsia="宋体" w:cs="Times New Roman"/>
                <w:color w:val="000000"/>
                <w:sz w:val="18"/>
                <w:szCs w:val="18"/>
              </w:rPr>
              <w:t>—</w:t>
            </w:r>
          </w:p>
        </w:tc>
        <w:tc>
          <w:tcPr>
            <w:tcW w:w="855" w:type="dxa"/>
            <w:noWrap w:val="0"/>
            <w:vAlign w:val="center"/>
          </w:tcPr>
          <w:p w14:paraId="2CFFE2EA">
            <w:pPr>
              <w:widowControl w:val="0"/>
              <w:spacing w:line="240" w:lineRule="auto"/>
              <w:ind w:firstLine="0"/>
              <w:jc w:val="center"/>
              <w:rPr>
                <w:rFonts w:hint="eastAsia" w:ascii="Times New Roman" w:hAnsi="Times New Roman" w:eastAsia="宋体" w:cs="Times New Roman"/>
                <w:bCs/>
                <w:color w:val="000000"/>
                <w:spacing w:val="8"/>
                <w:sz w:val="18"/>
                <w:szCs w:val="18"/>
                <w:lang w:val="en-US" w:eastAsia="zh-CN" w:bidi="ar-SA"/>
              </w:rPr>
            </w:pPr>
            <w:r>
              <w:rPr>
                <w:rFonts w:ascii="Times New Roman" w:hAnsi="Times New Roman" w:eastAsia="宋体" w:cs="Times New Roman"/>
                <w:color w:val="000000"/>
                <w:sz w:val="18"/>
                <w:szCs w:val="18"/>
              </w:rPr>
              <w:t>—</w:t>
            </w:r>
          </w:p>
        </w:tc>
        <w:tc>
          <w:tcPr>
            <w:tcW w:w="1155" w:type="dxa"/>
            <w:noWrap w:val="0"/>
            <w:vAlign w:val="center"/>
          </w:tcPr>
          <w:p w14:paraId="291D18F9">
            <w:pPr>
              <w:widowControl w:val="0"/>
              <w:spacing w:line="240" w:lineRule="auto"/>
              <w:ind w:firstLine="0"/>
              <w:jc w:val="center"/>
              <w:rPr>
                <w:rFonts w:ascii="Times New Roman" w:hAnsi="Times New Roman" w:eastAsia="宋体" w:cs="Times New Roman"/>
                <w:bCs/>
                <w:color w:val="000000"/>
                <w:spacing w:val="8"/>
                <w:sz w:val="18"/>
                <w:szCs w:val="18"/>
                <w:lang w:val="en-US" w:eastAsia="zh-CN" w:bidi="ar-SA"/>
              </w:rPr>
            </w:pPr>
            <w:r>
              <w:rPr>
                <w:rFonts w:ascii="Times New Roman" w:hAnsi="Times New Roman" w:eastAsia="宋体" w:cs="Times New Roman"/>
                <w:bCs/>
                <w:color w:val="000000"/>
                <w:spacing w:val="8"/>
                <w:sz w:val="18"/>
                <w:szCs w:val="18"/>
              </w:rPr>
              <w:t>加强管理</w:t>
            </w:r>
          </w:p>
        </w:tc>
        <w:tc>
          <w:tcPr>
            <w:tcW w:w="1020" w:type="dxa"/>
            <w:noWrap w:val="0"/>
            <w:vAlign w:val="center"/>
          </w:tcPr>
          <w:p w14:paraId="292B080C">
            <w:pPr>
              <w:widowControl w:val="0"/>
              <w:spacing w:line="240" w:lineRule="auto"/>
              <w:ind w:firstLine="0"/>
              <w:jc w:val="center"/>
              <w:rPr>
                <w:rFonts w:ascii="Times New Roman" w:hAnsi="Times New Roman" w:eastAsia="宋体" w:cs="Times New Roman"/>
                <w:bCs/>
                <w:color w:val="000000"/>
                <w:spacing w:val="8"/>
                <w:sz w:val="18"/>
                <w:szCs w:val="18"/>
                <w:lang w:val="en-US" w:eastAsia="zh-CN" w:bidi="ar-SA"/>
              </w:rPr>
            </w:pPr>
            <w:r>
              <w:rPr>
                <w:rFonts w:ascii="Times New Roman" w:hAnsi="Times New Roman" w:eastAsia="宋体" w:cs="Times New Roman"/>
                <w:color w:val="000000"/>
                <w:sz w:val="18"/>
                <w:szCs w:val="18"/>
              </w:rPr>
              <w:t>—</w:t>
            </w:r>
          </w:p>
        </w:tc>
        <w:tc>
          <w:tcPr>
            <w:tcW w:w="765" w:type="dxa"/>
            <w:noWrap w:val="0"/>
            <w:vAlign w:val="center"/>
          </w:tcPr>
          <w:p w14:paraId="13FD8B23">
            <w:pPr>
              <w:widowControl w:val="0"/>
              <w:spacing w:line="240" w:lineRule="auto"/>
              <w:ind w:firstLine="0"/>
              <w:jc w:val="center"/>
              <w:rPr>
                <w:rFonts w:ascii="Times New Roman" w:hAnsi="Times New Roman" w:eastAsia="宋体" w:cs="Times New Roman"/>
                <w:bCs/>
                <w:color w:val="0000FF"/>
                <w:spacing w:val="8"/>
                <w:sz w:val="18"/>
                <w:szCs w:val="18"/>
                <w:lang w:val="en-US" w:eastAsia="zh-CN" w:bidi="ar-SA"/>
              </w:rPr>
            </w:pPr>
            <w:r>
              <w:rPr>
                <w:rFonts w:ascii="Times New Roman" w:hAnsi="Times New Roman" w:eastAsia="宋体" w:cs="Times New Roman"/>
                <w:color w:val="000000"/>
                <w:sz w:val="18"/>
                <w:szCs w:val="18"/>
              </w:rPr>
              <w:t>—</w:t>
            </w:r>
          </w:p>
        </w:tc>
        <w:tc>
          <w:tcPr>
            <w:tcW w:w="780" w:type="dxa"/>
            <w:noWrap w:val="0"/>
            <w:vAlign w:val="center"/>
          </w:tcPr>
          <w:p w14:paraId="636FD086">
            <w:pPr>
              <w:widowControl w:val="0"/>
              <w:spacing w:line="240" w:lineRule="auto"/>
              <w:ind w:firstLine="0"/>
              <w:jc w:val="center"/>
              <w:rPr>
                <w:rFonts w:ascii="Times New Roman" w:hAnsi="Times New Roman" w:eastAsia="宋体" w:cs="Times New Roman"/>
                <w:color w:val="000000"/>
                <w:sz w:val="18"/>
                <w:szCs w:val="18"/>
                <w:lang w:val="en-US" w:eastAsia="zh-CN" w:bidi="ar-SA"/>
              </w:rPr>
            </w:pPr>
            <w:r>
              <w:rPr>
                <w:rFonts w:ascii="Times New Roman" w:hAnsi="Times New Roman" w:eastAsia="宋体" w:cs="Times New Roman"/>
                <w:color w:val="000000"/>
                <w:sz w:val="18"/>
                <w:szCs w:val="18"/>
              </w:rPr>
              <w:t>—</w:t>
            </w:r>
          </w:p>
        </w:tc>
        <w:tc>
          <w:tcPr>
            <w:tcW w:w="675" w:type="dxa"/>
            <w:noWrap w:val="0"/>
            <w:vAlign w:val="center"/>
          </w:tcPr>
          <w:p w14:paraId="10615CE9">
            <w:pPr>
              <w:widowControl w:val="0"/>
              <w:spacing w:line="240" w:lineRule="auto"/>
              <w:ind w:firstLine="0"/>
              <w:jc w:val="center"/>
              <w:rPr>
                <w:rFonts w:hint="eastAsia" w:ascii="Times New Roman" w:hAnsi="Times New Roman" w:eastAsia="宋体" w:cs="Times New Roman"/>
                <w:color w:val="000000"/>
                <w:sz w:val="18"/>
                <w:szCs w:val="18"/>
                <w:lang w:val="en-US" w:eastAsia="zh-CN" w:bidi="ar-SA"/>
              </w:rPr>
            </w:pPr>
            <w:r>
              <w:rPr>
                <w:rFonts w:ascii="Times New Roman" w:hAnsi="Times New Roman" w:eastAsia="宋体" w:cs="Times New Roman"/>
                <w:color w:val="000000"/>
                <w:sz w:val="18"/>
                <w:szCs w:val="18"/>
              </w:rPr>
              <w:t>—</w:t>
            </w:r>
          </w:p>
        </w:tc>
        <w:tc>
          <w:tcPr>
            <w:tcW w:w="795" w:type="dxa"/>
            <w:noWrap w:val="0"/>
            <w:vAlign w:val="center"/>
          </w:tcPr>
          <w:p w14:paraId="0AB92ABD">
            <w:pPr>
              <w:widowControl w:val="0"/>
              <w:spacing w:line="240" w:lineRule="auto"/>
              <w:ind w:firstLine="0"/>
              <w:jc w:val="center"/>
              <w:rPr>
                <w:rFonts w:hint="eastAsia" w:ascii="Times New Roman" w:hAnsi="Times New Roman" w:eastAsia="宋体" w:cs="Times New Roman"/>
                <w:color w:val="000000"/>
                <w:sz w:val="18"/>
                <w:szCs w:val="18"/>
                <w:lang w:val="en-US" w:eastAsia="zh-CN" w:bidi="ar-SA"/>
              </w:rPr>
            </w:pPr>
            <w:r>
              <w:rPr>
                <w:rFonts w:ascii="Times New Roman" w:hAnsi="Times New Roman" w:eastAsia="宋体" w:cs="Times New Roman"/>
                <w:color w:val="000000"/>
                <w:sz w:val="18"/>
                <w:szCs w:val="18"/>
              </w:rPr>
              <w:t>—</w:t>
            </w:r>
          </w:p>
        </w:tc>
        <w:tc>
          <w:tcPr>
            <w:tcW w:w="795" w:type="dxa"/>
            <w:noWrap w:val="0"/>
            <w:vAlign w:val="center"/>
          </w:tcPr>
          <w:p w14:paraId="64FD0FBF">
            <w:pPr>
              <w:widowControl w:val="0"/>
              <w:spacing w:line="240" w:lineRule="auto"/>
              <w:ind w:firstLine="0"/>
              <w:jc w:val="center"/>
              <w:rPr>
                <w:rFonts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bidi="ar-SA"/>
              </w:rPr>
              <w:t>20（无量纲）</w:t>
            </w:r>
          </w:p>
        </w:tc>
        <w:tc>
          <w:tcPr>
            <w:tcW w:w="780" w:type="dxa"/>
            <w:noWrap w:val="0"/>
            <w:tcMar>
              <w:left w:w="0" w:type="dxa"/>
              <w:right w:w="0" w:type="dxa"/>
            </w:tcMar>
            <w:vAlign w:val="center"/>
          </w:tcPr>
          <w:p w14:paraId="57535D21">
            <w:pPr>
              <w:widowControl w:val="0"/>
              <w:spacing w:line="240" w:lineRule="auto"/>
              <w:ind w:firstLine="0"/>
              <w:jc w:val="center"/>
              <w:rPr>
                <w:rFonts w:ascii="Times New Roman" w:hAnsi="Times New Roman" w:eastAsia="宋体" w:cs="Times New Roman"/>
                <w:color w:val="000000"/>
                <w:sz w:val="18"/>
                <w:szCs w:val="18"/>
                <w:lang w:val="en-US" w:eastAsia="zh-CN" w:bidi="ar-SA"/>
              </w:rPr>
            </w:pPr>
            <w:r>
              <w:rPr>
                <w:rFonts w:ascii="Times New Roman" w:hAnsi="Times New Roman" w:eastAsia="宋体" w:cs="Times New Roman"/>
                <w:color w:val="000000"/>
                <w:sz w:val="18"/>
                <w:szCs w:val="18"/>
              </w:rPr>
              <w:t>—</w:t>
            </w:r>
          </w:p>
        </w:tc>
        <w:tc>
          <w:tcPr>
            <w:tcW w:w="750" w:type="dxa"/>
            <w:noWrap w:val="0"/>
            <w:vAlign w:val="center"/>
          </w:tcPr>
          <w:p w14:paraId="3E4CD2C4">
            <w:pPr>
              <w:widowControl w:val="0"/>
              <w:spacing w:line="240" w:lineRule="auto"/>
              <w:ind w:firstLine="0"/>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rPr>
              <w:t>达标</w:t>
            </w:r>
          </w:p>
        </w:tc>
        <w:tc>
          <w:tcPr>
            <w:tcW w:w="1906" w:type="dxa"/>
            <w:vMerge w:val="restart"/>
            <w:noWrap w:val="0"/>
            <w:vAlign w:val="center"/>
          </w:tcPr>
          <w:p w14:paraId="04220BA8">
            <w:pPr>
              <w:widowControl w:val="0"/>
              <w:spacing w:line="240" w:lineRule="auto"/>
              <w:ind w:firstLine="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无组织排放</w:t>
            </w:r>
          </w:p>
        </w:tc>
      </w:tr>
      <w:tr w14:paraId="69FA0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5D74A8D3">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479BFAA4">
            <w:pPr>
              <w:widowControl w:val="0"/>
              <w:spacing w:line="240" w:lineRule="auto"/>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color w:val="000000"/>
                <w:sz w:val="18"/>
                <w:szCs w:val="18"/>
              </w:rPr>
              <w:t>—</w:t>
            </w:r>
          </w:p>
        </w:tc>
        <w:tc>
          <w:tcPr>
            <w:tcW w:w="1357" w:type="dxa"/>
            <w:noWrap w:val="0"/>
            <w:vAlign w:val="center"/>
          </w:tcPr>
          <w:p w14:paraId="2CAD428B">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柴油发电机</w:t>
            </w:r>
          </w:p>
        </w:tc>
        <w:tc>
          <w:tcPr>
            <w:tcW w:w="1025" w:type="dxa"/>
            <w:noWrap w:val="0"/>
            <w:vAlign w:val="center"/>
          </w:tcPr>
          <w:p w14:paraId="604FA214">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燃料燃烧废气</w:t>
            </w:r>
          </w:p>
        </w:tc>
        <w:tc>
          <w:tcPr>
            <w:tcW w:w="730" w:type="dxa"/>
            <w:noWrap w:val="0"/>
            <w:vAlign w:val="center"/>
          </w:tcPr>
          <w:p w14:paraId="3A605685">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855" w:type="dxa"/>
            <w:noWrap w:val="0"/>
            <w:vAlign w:val="center"/>
          </w:tcPr>
          <w:p w14:paraId="146164B5">
            <w:pPr>
              <w:widowControl w:val="0"/>
              <w:spacing w:line="240" w:lineRule="auto"/>
              <w:ind w:firstLine="0"/>
              <w:jc w:val="center"/>
              <w:rPr>
                <w:rFonts w:hint="eastAsia" w:ascii="Times New Roman" w:hAnsi="Times New Roman" w:eastAsia="宋体" w:cs="Times New Roman"/>
                <w:bCs/>
                <w:color w:val="000000"/>
                <w:spacing w:val="8"/>
                <w:sz w:val="18"/>
                <w:szCs w:val="18"/>
                <w:lang w:val="en-US" w:eastAsia="zh-CN"/>
              </w:rPr>
            </w:pPr>
            <w:r>
              <w:rPr>
                <w:rFonts w:ascii="Times New Roman" w:hAnsi="Times New Roman" w:eastAsia="宋体" w:cs="Times New Roman"/>
                <w:color w:val="000000"/>
                <w:sz w:val="18"/>
                <w:szCs w:val="18"/>
              </w:rPr>
              <w:t>—</w:t>
            </w:r>
          </w:p>
        </w:tc>
        <w:tc>
          <w:tcPr>
            <w:tcW w:w="1155" w:type="dxa"/>
            <w:noWrap w:val="0"/>
            <w:vAlign w:val="center"/>
          </w:tcPr>
          <w:p w14:paraId="29E25B0C">
            <w:pPr>
              <w:widowControl w:val="0"/>
              <w:tabs>
                <w:tab w:val="left" w:pos="282"/>
              </w:tabs>
              <w:spacing w:line="240" w:lineRule="auto"/>
              <w:ind w:firstLine="0"/>
              <w:jc w:val="center"/>
              <w:rPr>
                <w:rFonts w:hint="eastAsia" w:ascii="Times New Roman" w:hAnsi="Times New Roman" w:eastAsia="宋体" w:cs="Times New Roman"/>
                <w:bCs/>
                <w:color w:val="000000"/>
                <w:spacing w:val="8"/>
                <w:sz w:val="18"/>
                <w:szCs w:val="18"/>
                <w:lang w:eastAsia="zh-CN"/>
              </w:rPr>
            </w:pPr>
            <w:r>
              <w:rPr>
                <w:color w:val="000000"/>
                <w:sz w:val="18"/>
                <w:szCs w:val="18"/>
              </w:rPr>
              <w:t>自带有废气过滤装置</w:t>
            </w:r>
          </w:p>
        </w:tc>
        <w:tc>
          <w:tcPr>
            <w:tcW w:w="1020" w:type="dxa"/>
            <w:noWrap w:val="0"/>
            <w:vAlign w:val="center"/>
          </w:tcPr>
          <w:p w14:paraId="514F47CE">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65" w:type="dxa"/>
            <w:noWrap w:val="0"/>
            <w:vAlign w:val="center"/>
          </w:tcPr>
          <w:p w14:paraId="6A9764B9">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80" w:type="dxa"/>
            <w:noWrap w:val="0"/>
            <w:vAlign w:val="center"/>
          </w:tcPr>
          <w:p w14:paraId="4F3A2856">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675" w:type="dxa"/>
            <w:noWrap w:val="0"/>
            <w:vAlign w:val="center"/>
          </w:tcPr>
          <w:p w14:paraId="26988E71">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sz w:val="18"/>
                <w:szCs w:val="18"/>
              </w:rPr>
              <w:t>—</w:t>
            </w:r>
          </w:p>
        </w:tc>
        <w:tc>
          <w:tcPr>
            <w:tcW w:w="795" w:type="dxa"/>
            <w:noWrap w:val="0"/>
            <w:vAlign w:val="center"/>
          </w:tcPr>
          <w:p w14:paraId="1437E5AB">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sz w:val="18"/>
                <w:szCs w:val="18"/>
              </w:rPr>
              <w:t>—</w:t>
            </w:r>
          </w:p>
        </w:tc>
        <w:tc>
          <w:tcPr>
            <w:tcW w:w="795" w:type="dxa"/>
            <w:noWrap w:val="0"/>
            <w:vAlign w:val="center"/>
          </w:tcPr>
          <w:p w14:paraId="4DC560D1">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80" w:type="dxa"/>
            <w:noWrap w:val="0"/>
            <w:tcMar>
              <w:left w:w="0" w:type="dxa"/>
              <w:right w:w="0" w:type="dxa"/>
            </w:tcMar>
            <w:vAlign w:val="center"/>
          </w:tcPr>
          <w:p w14:paraId="193AFF2D">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6224A2C7">
            <w:pPr>
              <w:widowControl w:val="0"/>
              <w:spacing w:line="240" w:lineRule="auto"/>
              <w:ind w:firstLine="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7E52FD73">
            <w:pPr>
              <w:widowControl w:val="0"/>
              <w:spacing w:line="240" w:lineRule="auto"/>
              <w:ind w:firstLine="0"/>
              <w:jc w:val="center"/>
              <w:rPr>
                <w:rFonts w:ascii="Times New Roman" w:hAnsi="Times New Roman" w:eastAsia="宋体" w:cs="Times New Roman"/>
                <w:color w:val="000000"/>
                <w:sz w:val="18"/>
                <w:szCs w:val="18"/>
              </w:rPr>
            </w:pPr>
          </w:p>
        </w:tc>
      </w:tr>
      <w:tr w14:paraId="27398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dxa"/>
            <w:vMerge w:val="continue"/>
            <w:noWrap w:val="0"/>
            <w:vAlign w:val="center"/>
          </w:tcPr>
          <w:p w14:paraId="7D62DB7E">
            <w:pPr>
              <w:widowControl w:val="0"/>
              <w:spacing w:line="240" w:lineRule="auto"/>
              <w:ind w:firstLine="0"/>
              <w:jc w:val="center"/>
              <w:rPr>
                <w:rFonts w:ascii="Times New Roman" w:hAnsi="Times New Roman" w:eastAsia="宋体" w:cs="Times New Roman"/>
                <w:color w:val="000000"/>
                <w:sz w:val="18"/>
                <w:szCs w:val="18"/>
              </w:rPr>
            </w:pPr>
          </w:p>
        </w:tc>
        <w:tc>
          <w:tcPr>
            <w:tcW w:w="956" w:type="dxa"/>
            <w:noWrap w:val="0"/>
            <w:vAlign w:val="center"/>
          </w:tcPr>
          <w:p w14:paraId="7C9F0A17">
            <w:pPr>
              <w:widowControl w:val="0"/>
              <w:spacing w:line="240" w:lineRule="auto"/>
              <w:ind w:left="0" w:firstLine="0"/>
              <w:jc w:val="center"/>
              <w:rPr>
                <w:rFonts w:ascii="Times New Roman" w:hAnsi="Times New Roman" w:eastAsia="宋体" w:cs="Times New Roman"/>
                <w:bCs/>
                <w:color w:val="000000"/>
                <w:sz w:val="21"/>
                <w:szCs w:val="21"/>
              </w:rPr>
            </w:pPr>
            <w:r>
              <w:rPr>
                <w:rFonts w:ascii="Times New Roman" w:hAnsi="Times New Roman" w:eastAsia="宋体" w:cs="Times New Roman"/>
                <w:color w:val="000000"/>
                <w:sz w:val="18"/>
                <w:szCs w:val="18"/>
              </w:rPr>
              <w:t>—</w:t>
            </w:r>
          </w:p>
        </w:tc>
        <w:tc>
          <w:tcPr>
            <w:tcW w:w="1357" w:type="dxa"/>
            <w:noWrap w:val="0"/>
            <w:vAlign w:val="center"/>
          </w:tcPr>
          <w:p w14:paraId="68FA1B11">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运输车辆</w:t>
            </w:r>
          </w:p>
        </w:tc>
        <w:tc>
          <w:tcPr>
            <w:tcW w:w="1025" w:type="dxa"/>
            <w:noWrap w:val="0"/>
            <w:vAlign w:val="center"/>
          </w:tcPr>
          <w:p w14:paraId="15A37F54">
            <w:pPr>
              <w:widowControl w:val="0"/>
              <w:spacing w:line="240" w:lineRule="auto"/>
              <w:ind w:firstLine="0"/>
              <w:jc w:val="center"/>
              <w:rPr>
                <w:rFonts w:ascii="Times New Roman" w:hAnsi="Times New Roman" w:eastAsia="宋体" w:cs="Times New Roman"/>
                <w:bCs/>
                <w:color w:val="000000"/>
                <w:sz w:val="18"/>
                <w:szCs w:val="18"/>
                <w:lang w:val="en-US" w:eastAsia="zh-CN"/>
              </w:rPr>
            </w:pPr>
            <w:r>
              <w:rPr>
                <w:rFonts w:hint="eastAsia" w:ascii="Times New Roman" w:hAnsi="Times New Roman" w:eastAsia="宋体" w:cs="Times New Roman"/>
                <w:bCs/>
                <w:color w:val="000000"/>
                <w:sz w:val="18"/>
                <w:szCs w:val="18"/>
                <w:lang w:val="en-US" w:eastAsia="zh-CN"/>
              </w:rPr>
              <w:t>汽车尾气</w:t>
            </w:r>
          </w:p>
        </w:tc>
        <w:tc>
          <w:tcPr>
            <w:tcW w:w="730" w:type="dxa"/>
            <w:noWrap w:val="0"/>
            <w:vAlign w:val="center"/>
          </w:tcPr>
          <w:p w14:paraId="195A3B06">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855" w:type="dxa"/>
            <w:noWrap w:val="0"/>
            <w:vAlign w:val="center"/>
          </w:tcPr>
          <w:p w14:paraId="5AF958BA">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1155" w:type="dxa"/>
            <w:noWrap w:val="0"/>
            <w:vAlign w:val="center"/>
          </w:tcPr>
          <w:p w14:paraId="54200F5B">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bCs/>
                <w:color w:val="000000"/>
                <w:spacing w:val="8"/>
                <w:sz w:val="18"/>
                <w:szCs w:val="18"/>
              </w:rPr>
              <w:t>加强管理</w:t>
            </w:r>
          </w:p>
        </w:tc>
        <w:tc>
          <w:tcPr>
            <w:tcW w:w="1020" w:type="dxa"/>
            <w:noWrap w:val="0"/>
            <w:vAlign w:val="center"/>
          </w:tcPr>
          <w:p w14:paraId="4E0A9AFA">
            <w:pPr>
              <w:widowControl w:val="0"/>
              <w:spacing w:line="240" w:lineRule="auto"/>
              <w:ind w:firstLine="0"/>
              <w:jc w:val="center"/>
              <w:rPr>
                <w:rFonts w:ascii="Times New Roman" w:hAnsi="Times New Roman" w:eastAsia="宋体" w:cs="Times New Roman"/>
                <w:bCs/>
                <w:color w:val="000000"/>
                <w:spacing w:val="8"/>
                <w:sz w:val="18"/>
                <w:szCs w:val="18"/>
              </w:rPr>
            </w:pPr>
            <w:r>
              <w:rPr>
                <w:rFonts w:ascii="Times New Roman" w:hAnsi="Times New Roman" w:eastAsia="宋体" w:cs="Times New Roman"/>
                <w:color w:val="000000"/>
                <w:sz w:val="18"/>
                <w:szCs w:val="18"/>
              </w:rPr>
              <w:t>—</w:t>
            </w:r>
          </w:p>
        </w:tc>
        <w:tc>
          <w:tcPr>
            <w:tcW w:w="765" w:type="dxa"/>
            <w:noWrap w:val="0"/>
            <w:vAlign w:val="center"/>
          </w:tcPr>
          <w:p w14:paraId="51EAEFCA">
            <w:pPr>
              <w:widowControl w:val="0"/>
              <w:spacing w:line="240" w:lineRule="auto"/>
              <w:ind w:firstLine="0"/>
              <w:jc w:val="center"/>
              <w:rPr>
                <w:rFonts w:ascii="Times New Roman" w:hAnsi="Times New Roman" w:eastAsia="宋体" w:cs="Times New Roman"/>
                <w:bCs/>
                <w:color w:val="0000FF"/>
                <w:spacing w:val="8"/>
                <w:sz w:val="18"/>
                <w:szCs w:val="18"/>
              </w:rPr>
            </w:pPr>
            <w:r>
              <w:rPr>
                <w:rFonts w:ascii="Times New Roman" w:hAnsi="Times New Roman" w:eastAsia="宋体" w:cs="Times New Roman"/>
                <w:color w:val="000000"/>
                <w:sz w:val="18"/>
                <w:szCs w:val="18"/>
              </w:rPr>
              <w:t>—</w:t>
            </w:r>
          </w:p>
        </w:tc>
        <w:tc>
          <w:tcPr>
            <w:tcW w:w="780" w:type="dxa"/>
            <w:noWrap w:val="0"/>
            <w:vAlign w:val="center"/>
          </w:tcPr>
          <w:p w14:paraId="599B67CF">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675" w:type="dxa"/>
            <w:noWrap w:val="0"/>
            <w:vAlign w:val="center"/>
          </w:tcPr>
          <w:p w14:paraId="177751DA">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95" w:type="dxa"/>
            <w:noWrap w:val="0"/>
            <w:vAlign w:val="center"/>
          </w:tcPr>
          <w:p w14:paraId="3F72170C">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95" w:type="dxa"/>
            <w:noWrap w:val="0"/>
            <w:vAlign w:val="center"/>
          </w:tcPr>
          <w:p w14:paraId="280E66D8">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80" w:type="dxa"/>
            <w:noWrap w:val="0"/>
            <w:tcMar>
              <w:left w:w="0" w:type="dxa"/>
              <w:right w:w="0" w:type="dxa"/>
            </w:tcMar>
            <w:vAlign w:val="center"/>
          </w:tcPr>
          <w:p w14:paraId="011D1FCE">
            <w:pPr>
              <w:widowControl w:val="0"/>
              <w:spacing w:line="240" w:lineRule="auto"/>
              <w:ind w:firstLine="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50" w:type="dxa"/>
            <w:noWrap w:val="0"/>
            <w:vAlign w:val="center"/>
          </w:tcPr>
          <w:p w14:paraId="35AE84D1">
            <w:pPr>
              <w:widowControl w:val="0"/>
              <w:spacing w:line="240" w:lineRule="auto"/>
              <w:ind w:firstLine="0"/>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达标</w:t>
            </w:r>
          </w:p>
        </w:tc>
        <w:tc>
          <w:tcPr>
            <w:tcW w:w="1906" w:type="dxa"/>
            <w:vMerge w:val="continue"/>
            <w:noWrap w:val="0"/>
            <w:vAlign w:val="center"/>
          </w:tcPr>
          <w:p w14:paraId="47E0A703">
            <w:pPr>
              <w:widowControl w:val="0"/>
              <w:spacing w:line="240" w:lineRule="auto"/>
              <w:ind w:firstLine="0"/>
              <w:jc w:val="center"/>
              <w:rPr>
                <w:rFonts w:ascii="Times New Roman" w:hAnsi="Times New Roman" w:eastAsia="宋体" w:cs="Times New Roman"/>
                <w:color w:val="000000"/>
                <w:sz w:val="18"/>
                <w:szCs w:val="18"/>
              </w:rPr>
            </w:pPr>
          </w:p>
        </w:tc>
      </w:tr>
    </w:tbl>
    <w:p w14:paraId="24F80F9D">
      <w:pPr>
        <w:rPr>
          <w:rFonts w:hint="eastAsia"/>
          <w:bCs/>
          <w:color w:val="000000"/>
          <w:szCs w:val="21"/>
        </w:rPr>
        <w:sectPr>
          <w:footerReference r:id="rId14" w:type="default"/>
          <w:pgSz w:w="16838" w:h="11906"/>
          <w:pgMar w:top="1797" w:right="1134" w:bottom="1797" w:left="1134" w:header="851" w:footer="850" w:gutter="0"/>
          <w:pgNumType w:start="1"/>
          <w:cols w:space="1701" w:num="1"/>
        </w:sectPr>
      </w:pPr>
    </w:p>
    <w:p w14:paraId="5800804E">
      <w:pPr>
        <w:pStyle w:val="282"/>
      </w:pPr>
      <w:r>
        <w:rPr>
          <w:rFonts w:hint="eastAsia"/>
          <w:lang w:val="en-US" w:eastAsia="zh-CN"/>
        </w:rPr>
        <w:t>4.3</w:t>
      </w:r>
      <w:r>
        <w:t>.2.2废水污染源分析</w:t>
      </w:r>
    </w:p>
    <w:p w14:paraId="4E88F15F">
      <w:pPr>
        <w:ind w:firstLine="480"/>
        <w:rPr>
          <w:rFonts w:hint="eastAsia"/>
          <w:color w:val="000000"/>
        </w:rPr>
      </w:pPr>
      <w:r>
        <w:rPr>
          <w:rFonts w:hint="eastAsia" w:ascii="Times New Roman" w:hAnsi="Times New Roman" w:cs="Times New Roman"/>
          <w:color w:val="000000"/>
          <w:sz w:val="24"/>
          <w:szCs w:val="24"/>
          <w:lang w:val="en-US" w:eastAsia="zh-CN"/>
        </w:rPr>
        <w:t>项目设备冷却水循环使用，只补充不排；调胶设备清洗废水及制胶脱水全部收集后回用于制胶用水，不外排；项目软水制备系统硬水作为水膜除尘器用水，无生产废水外排。</w:t>
      </w:r>
      <w:r>
        <w:rPr>
          <w:rFonts w:hint="eastAsia"/>
          <w:color w:val="000000"/>
        </w:rPr>
        <w:t>根据水量平衡分析，</w:t>
      </w:r>
      <w:r>
        <w:rPr>
          <w:rFonts w:hint="eastAsia" w:ascii="Times New Roman" w:hAnsi="Times New Roman" w:cs="Times New Roman"/>
          <w:color w:val="000000"/>
          <w:sz w:val="24"/>
          <w:szCs w:val="24"/>
          <w:lang w:val="en-US" w:eastAsia="zh-CN"/>
        </w:rPr>
        <w:t>项目需要的新水用量55582.12m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w:t>
      </w:r>
      <w:r>
        <w:rPr>
          <w:rFonts w:ascii="Times New Roman" w:hAnsi="Times New Roman" w:cs="Times New Roman"/>
          <w:color w:val="000000"/>
          <w:sz w:val="24"/>
          <w:szCs w:val="24"/>
          <w:lang w:val="en-US" w:eastAsia="zh-CN"/>
        </w:rPr>
        <w:t>使用自来水</w:t>
      </w:r>
      <w:r>
        <w:rPr>
          <w:rFonts w:hint="eastAsia" w:ascii="Times New Roman" w:hAnsi="Times New Roman" w:cs="Times New Roman"/>
          <w:color w:val="000000"/>
          <w:sz w:val="24"/>
          <w:szCs w:val="24"/>
          <w:lang w:val="en-US" w:eastAsia="zh-CN"/>
        </w:rPr>
        <w:t>。</w:t>
      </w:r>
      <w:r>
        <w:rPr>
          <w:rFonts w:ascii="Times New Roman" w:hAnsi="Times New Roman" w:cs="Times New Roman"/>
          <w:color w:val="000000"/>
          <w:sz w:val="24"/>
          <w:szCs w:val="24"/>
          <w:lang w:val="en-US" w:eastAsia="zh-CN"/>
        </w:rPr>
        <w:t>项目</w:t>
      </w:r>
      <w:r>
        <w:rPr>
          <w:rFonts w:hint="eastAsia" w:ascii="Times New Roman" w:hAnsi="Times New Roman" w:cs="Times New Roman"/>
          <w:color w:val="000000"/>
          <w:sz w:val="24"/>
          <w:szCs w:val="24"/>
          <w:lang w:val="en-US" w:eastAsia="zh-CN"/>
        </w:rPr>
        <w:t>产生废水量为9886.08m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/a，其中生产废水量为3646.08m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/a回用，项目仅生活污水产生量为6240</w:t>
      </w:r>
      <w:r>
        <w:rPr>
          <w:color w:val="000000"/>
        </w:rPr>
        <w:t>m</w:t>
      </w:r>
      <w:r>
        <w:rPr>
          <w:color w:val="000000"/>
          <w:vertAlign w:val="superscript"/>
        </w:rPr>
        <w:t>3</w:t>
      </w:r>
      <w:r>
        <w:rPr>
          <w:color w:val="000000"/>
        </w:rPr>
        <w:t>/a</w:t>
      </w:r>
      <w:r>
        <w:rPr>
          <w:rFonts w:hint="eastAsia"/>
          <w:color w:val="000000"/>
          <w:lang w:eastAsia="zh-CN"/>
        </w:rPr>
        <w:t>，</w:t>
      </w:r>
      <w:r>
        <w:rPr>
          <w:rFonts w:hint="eastAsia"/>
          <w:color w:val="000000"/>
          <w:lang w:val="en-US" w:eastAsia="zh-CN"/>
        </w:rPr>
        <w:t>根据调查，项目所在区域已经属于芒市污水处理厂行纳污范围，因此环评要求在食堂出水口增设1个隔油池进行隔油预处理后，同其他废水排入现有的化粪池进行处理后外排进入城市市政污水管网，最终排入芒市污水处理厂处理。</w:t>
      </w:r>
    </w:p>
    <w:p w14:paraId="16CC7223">
      <w:pPr>
        <w:keepNext w:val="0"/>
        <w:keepLines w:val="0"/>
        <w:pageBreakBefore w:val="0"/>
        <w:widowControl w:val="0"/>
        <w:spacing w:line="360" w:lineRule="auto"/>
        <w:ind w:firstLine="480"/>
        <w:rPr>
          <w:rFonts w:ascii="Times New Roman" w:hAnsi="Times New Roman" w:cs="Times New Roman"/>
          <w:bCs/>
          <w:sz w:val="24"/>
          <w:szCs w:val="21"/>
        </w:rPr>
      </w:pPr>
      <w:r>
        <w:rPr>
          <w:rFonts w:hint="eastAsia" w:ascii="宋体" w:hAnsi="宋体"/>
          <w:bCs/>
          <w:color w:val="000000"/>
          <w:sz w:val="24"/>
          <w:szCs w:val="21"/>
        </w:rPr>
        <w:t>经过类比“</w:t>
      </w:r>
      <w:r>
        <w:rPr>
          <w:rFonts w:hAnsi="宋体"/>
          <w:color w:val="000000"/>
          <w:sz w:val="24"/>
          <w:szCs w:val="24"/>
        </w:rPr>
        <w:t>盈江盈丰建材有限公司木材深加工生产线建设项目</w:t>
      </w:r>
      <w:r>
        <w:rPr>
          <w:rFonts w:hint="eastAsia" w:hAnsi="宋体"/>
          <w:color w:val="000000"/>
          <w:sz w:val="24"/>
          <w:szCs w:val="24"/>
        </w:rPr>
        <w:t>”，该项目年加工</w:t>
      </w:r>
      <w:r>
        <w:rPr>
          <w:rFonts w:hAnsi="宋体"/>
          <w:color w:val="000000"/>
          <w:sz w:val="24"/>
        </w:rPr>
        <w:t>地板条</w:t>
      </w:r>
      <w:r>
        <w:rPr>
          <w:color w:val="000000"/>
          <w:sz w:val="24"/>
        </w:rPr>
        <w:t>4000m³</w:t>
      </w:r>
      <w:r>
        <w:rPr>
          <w:rFonts w:hAnsi="宋体"/>
          <w:color w:val="000000"/>
          <w:sz w:val="24"/>
        </w:rPr>
        <w:t>、加工胶合板</w:t>
      </w:r>
      <w:r>
        <w:rPr>
          <w:color w:val="000000"/>
          <w:sz w:val="24"/>
        </w:rPr>
        <w:t>10000m³</w:t>
      </w:r>
      <w:r>
        <w:rPr>
          <w:rFonts w:hint="eastAsia"/>
          <w:color w:val="000000"/>
          <w:sz w:val="24"/>
        </w:rPr>
        <w:t>，劳动定员</w:t>
      </w:r>
      <w:r>
        <w:rPr>
          <w:rFonts w:hint="eastAsia"/>
          <w:color w:val="000000"/>
          <w:sz w:val="24"/>
          <w:lang w:val="en-US" w:eastAsia="zh-CN"/>
        </w:rPr>
        <w:t>50</w:t>
      </w:r>
      <w:r>
        <w:rPr>
          <w:rFonts w:hint="eastAsia"/>
          <w:color w:val="000000"/>
          <w:sz w:val="24"/>
        </w:rPr>
        <w:t>人，生活污水采用化粪池处理，与本项目属于</w:t>
      </w:r>
      <w:r>
        <w:rPr>
          <w:rFonts w:hint="eastAsia" w:ascii="宋体" w:hAnsi="宋体"/>
          <w:bCs/>
          <w:color w:val="000000"/>
          <w:sz w:val="24"/>
          <w:szCs w:val="21"/>
        </w:rPr>
        <w:t>同类企业，其废水的源强</w:t>
      </w:r>
      <w:r>
        <w:rPr>
          <w:rFonts w:hint="eastAsia" w:ascii="宋体" w:hAnsi="宋体"/>
          <w:bCs/>
          <w:sz w:val="24"/>
          <w:szCs w:val="21"/>
        </w:rPr>
        <w:t>见表</w:t>
      </w:r>
      <w:r>
        <w:rPr>
          <w:rFonts w:ascii="Times New Roman" w:hAnsi="Times New Roman" w:cs="Times New Roman"/>
          <w:bCs/>
          <w:sz w:val="24"/>
          <w:szCs w:val="21"/>
          <w:lang w:val="en-US" w:eastAsia="zh-CN"/>
        </w:rPr>
        <w:t>4.3</w:t>
      </w:r>
      <w:r>
        <w:rPr>
          <w:rFonts w:ascii="Times New Roman" w:hAnsi="Times New Roman" w:cs="Times New Roman"/>
          <w:bCs/>
          <w:sz w:val="24"/>
          <w:szCs w:val="21"/>
        </w:rPr>
        <w:t>-</w:t>
      </w:r>
      <w:r>
        <w:rPr>
          <w:rFonts w:ascii="Times New Roman" w:hAnsi="Times New Roman" w:cs="Times New Roman"/>
          <w:bCs/>
          <w:sz w:val="24"/>
          <w:szCs w:val="21"/>
          <w:lang w:val="en-US" w:eastAsia="zh-CN"/>
        </w:rPr>
        <w:t>1</w:t>
      </w:r>
      <w:r>
        <w:rPr>
          <w:rFonts w:hint="eastAsia" w:ascii="Times New Roman" w:hAnsi="Times New Roman" w:cs="Times New Roman"/>
          <w:bCs/>
          <w:sz w:val="24"/>
          <w:szCs w:val="21"/>
          <w:lang w:val="en-US" w:eastAsia="zh-CN"/>
        </w:rPr>
        <w:t>5</w:t>
      </w:r>
      <w:r>
        <w:rPr>
          <w:rFonts w:ascii="Times New Roman" w:hAnsi="Times New Roman" w:cs="Times New Roman"/>
          <w:bCs/>
          <w:sz w:val="24"/>
          <w:szCs w:val="21"/>
        </w:rPr>
        <w:t>。</w:t>
      </w:r>
    </w:p>
    <w:p w14:paraId="04592BF9">
      <w:pPr>
        <w:tabs>
          <w:tab w:val="left" w:pos="2520"/>
          <w:tab w:val="center" w:pos="4595"/>
        </w:tabs>
        <w:spacing w:line="360" w:lineRule="auto"/>
        <w:ind w:firstLine="1446"/>
        <w:rPr>
          <w:rFonts w:hint="eastAsia" w:hAnsi="宋体"/>
          <w:iCs/>
          <w:sz w:val="24"/>
          <w:szCs w:val="24"/>
        </w:rPr>
      </w:pPr>
      <w:r>
        <w:rPr>
          <w:rFonts w:hint="eastAsia" w:hAnsi="宋体"/>
          <w:b/>
          <w:iCs/>
          <w:sz w:val="24"/>
          <w:szCs w:val="24"/>
        </w:rPr>
        <w:t>表</w:t>
      </w:r>
      <w:r>
        <w:rPr>
          <w:rFonts w:hint="eastAsia" w:hAnsi="宋体"/>
          <w:b/>
          <w:iCs/>
          <w:sz w:val="24"/>
          <w:szCs w:val="24"/>
          <w:lang w:val="en-US" w:eastAsia="zh-CN"/>
        </w:rPr>
        <w:t>4.3</w:t>
      </w:r>
      <w:r>
        <w:rPr>
          <w:rFonts w:hint="eastAsia" w:hAnsi="宋体"/>
          <w:b/>
          <w:iCs/>
          <w:sz w:val="24"/>
          <w:szCs w:val="24"/>
        </w:rPr>
        <w:t>-</w:t>
      </w:r>
      <w:r>
        <w:rPr>
          <w:rFonts w:hint="eastAsia" w:hAnsi="宋体"/>
          <w:b/>
          <w:iCs/>
          <w:sz w:val="24"/>
          <w:szCs w:val="24"/>
          <w:lang w:val="en-US" w:eastAsia="zh-CN"/>
        </w:rPr>
        <w:t>15</w:t>
      </w:r>
      <w:r>
        <w:rPr>
          <w:rFonts w:hint="eastAsia" w:hAnsi="宋体"/>
          <w:b/>
          <w:iCs/>
          <w:sz w:val="24"/>
          <w:szCs w:val="24"/>
        </w:rPr>
        <w:t xml:space="preserve">  </w:t>
      </w:r>
      <w:r>
        <w:rPr>
          <w:rFonts w:hint="eastAsia"/>
          <w:b/>
          <w:sz w:val="24"/>
          <w:szCs w:val="24"/>
        </w:rPr>
        <w:t>项目</w:t>
      </w:r>
      <w:r>
        <w:rPr>
          <w:rFonts w:hint="eastAsia"/>
          <w:b/>
          <w:sz w:val="24"/>
          <w:szCs w:val="24"/>
          <w:lang w:val="en-US" w:eastAsia="zh-CN"/>
        </w:rPr>
        <w:t>生活污水</w:t>
      </w:r>
      <w:r>
        <w:rPr>
          <w:rFonts w:hint="eastAsia" w:hAnsi="宋体"/>
          <w:b/>
          <w:iCs/>
          <w:sz w:val="24"/>
          <w:szCs w:val="24"/>
        </w:rPr>
        <w:t>污染物排预计产生及排放情况</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6"/>
        <w:gridCol w:w="1747"/>
        <w:gridCol w:w="1746"/>
        <w:gridCol w:w="1747"/>
        <w:gridCol w:w="1747"/>
      </w:tblGrid>
      <w:tr w14:paraId="6DEFE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57011576">
            <w:pPr>
              <w:spacing w:line="320" w:lineRule="exact"/>
              <w:ind w:firstLine="420"/>
              <w:jc w:val="center"/>
              <w:rPr>
                <w:rFonts w:hint="eastAsia"/>
                <w:b/>
                <w:bCs/>
                <w:color w:val="000000"/>
                <w:sz w:val="21"/>
                <w:szCs w:val="21"/>
              </w:rPr>
            </w:pPr>
            <w:r>
              <w:rPr>
                <w:rFonts w:hint="eastAsia"/>
                <w:b/>
                <w:bCs/>
                <w:color w:val="000000"/>
                <w:sz w:val="21"/>
                <w:szCs w:val="21"/>
              </w:rPr>
              <w:t>污染物名称</w:t>
            </w:r>
          </w:p>
        </w:tc>
        <w:tc>
          <w:tcPr>
            <w:tcW w:w="1747" w:type="dxa"/>
            <w:noWrap w:val="0"/>
            <w:vAlign w:val="center"/>
          </w:tcPr>
          <w:p w14:paraId="30A442B4">
            <w:pPr>
              <w:spacing w:line="320" w:lineRule="exact"/>
              <w:ind w:left="0" w:firstLine="0"/>
              <w:jc w:val="center"/>
              <w:rPr>
                <w:rFonts w:hint="eastAsia"/>
                <w:b/>
                <w:bCs/>
                <w:color w:val="000000"/>
                <w:sz w:val="21"/>
                <w:szCs w:val="21"/>
              </w:rPr>
            </w:pPr>
            <w:r>
              <w:rPr>
                <w:rFonts w:hint="eastAsia"/>
                <w:b/>
                <w:bCs/>
                <w:color w:val="000000"/>
                <w:sz w:val="21"/>
                <w:szCs w:val="21"/>
              </w:rPr>
              <w:t>产生浓度(mg/L)</w:t>
            </w:r>
          </w:p>
        </w:tc>
        <w:tc>
          <w:tcPr>
            <w:tcW w:w="1746" w:type="dxa"/>
            <w:noWrap w:val="0"/>
            <w:vAlign w:val="center"/>
          </w:tcPr>
          <w:p w14:paraId="5995522C">
            <w:pPr>
              <w:spacing w:line="320" w:lineRule="exact"/>
              <w:ind w:firstLine="420"/>
              <w:jc w:val="center"/>
              <w:rPr>
                <w:rFonts w:hint="eastAsia"/>
                <w:b/>
                <w:bCs/>
                <w:color w:val="000000"/>
                <w:sz w:val="21"/>
                <w:szCs w:val="21"/>
              </w:rPr>
            </w:pPr>
            <w:r>
              <w:rPr>
                <w:rFonts w:hint="eastAsia"/>
                <w:b/>
                <w:bCs/>
                <w:color w:val="000000"/>
                <w:sz w:val="21"/>
                <w:szCs w:val="21"/>
              </w:rPr>
              <w:t>产生量（t/a）</w:t>
            </w:r>
          </w:p>
        </w:tc>
        <w:tc>
          <w:tcPr>
            <w:tcW w:w="1747" w:type="dxa"/>
            <w:noWrap w:val="0"/>
            <w:vAlign w:val="center"/>
          </w:tcPr>
          <w:p w14:paraId="016BBEDA">
            <w:pPr>
              <w:spacing w:line="320" w:lineRule="exact"/>
              <w:ind w:left="0" w:firstLine="0"/>
              <w:jc w:val="center"/>
              <w:rPr>
                <w:rFonts w:hint="eastAsia"/>
                <w:b/>
                <w:bCs/>
                <w:color w:val="000000"/>
                <w:sz w:val="21"/>
                <w:szCs w:val="21"/>
              </w:rPr>
            </w:pPr>
            <w:r>
              <w:rPr>
                <w:rFonts w:hint="eastAsia"/>
                <w:b/>
                <w:bCs/>
                <w:color w:val="000000"/>
                <w:sz w:val="21"/>
                <w:szCs w:val="21"/>
              </w:rPr>
              <w:t>排放浓度(mg/L)</w:t>
            </w:r>
          </w:p>
        </w:tc>
        <w:tc>
          <w:tcPr>
            <w:tcW w:w="1747" w:type="dxa"/>
            <w:noWrap w:val="0"/>
            <w:vAlign w:val="center"/>
          </w:tcPr>
          <w:p w14:paraId="15C39194">
            <w:pPr>
              <w:spacing w:line="320" w:lineRule="exact"/>
              <w:ind w:firstLine="420"/>
              <w:jc w:val="center"/>
              <w:rPr>
                <w:rFonts w:hint="eastAsia"/>
                <w:b/>
                <w:bCs/>
                <w:color w:val="000000"/>
                <w:sz w:val="21"/>
                <w:szCs w:val="21"/>
              </w:rPr>
            </w:pPr>
            <w:r>
              <w:rPr>
                <w:rFonts w:hint="eastAsia"/>
                <w:b/>
                <w:bCs/>
                <w:color w:val="000000"/>
                <w:sz w:val="21"/>
                <w:szCs w:val="21"/>
              </w:rPr>
              <w:t>排放量（t/a）</w:t>
            </w:r>
          </w:p>
        </w:tc>
      </w:tr>
      <w:tr w14:paraId="466A3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2F5BE360">
            <w:pPr>
              <w:spacing w:line="320" w:lineRule="exact"/>
              <w:ind w:firstLine="420"/>
              <w:jc w:val="center"/>
              <w:rPr>
                <w:rFonts w:hint="eastAsia"/>
                <w:color w:val="000000"/>
                <w:sz w:val="21"/>
                <w:szCs w:val="21"/>
              </w:rPr>
            </w:pPr>
            <w:r>
              <w:rPr>
                <w:color w:val="000000"/>
                <w:sz w:val="21"/>
                <w:szCs w:val="21"/>
              </w:rPr>
              <w:t>废水</w:t>
            </w:r>
            <w:r>
              <w:rPr>
                <w:rFonts w:hint="eastAsia"/>
                <w:color w:val="000000"/>
                <w:sz w:val="21"/>
                <w:szCs w:val="21"/>
              </w:rPr>
              <w:t>量</w:t>
            </w:r>
          </w:p>
        </w:tc>
        <w:tc>
          <w:tcPr>
            <w:tcW w:w="1747" w:type="dxa"/>
            <w:noWrap w:val="0"/>
            <w:vAlign w:val="center"/>
          </w:tcPr>
          <w:p w14:paraId="75C0A408">
            <w:pPr>
              <w:spacing w:line="320" w:lineRule="exact"/>
              <w:ind w:firstLine="420"/>
              <w:jc w:val="center"/>
              <w:rPr>
                <w:rFonts w:hint="eastAsia"/>
                <w:color w:val="000000"/>
                <w:sz w:val="21"/>
                <w:szCs w:val="21"/>
              </w:rPr>
            </w:pPr>
            <w:r>
              <w:rPr>
                <w:rFonts w:hint="eastAsia"/>
                <w:color w:val="000000"/>
                <w:sz w:val="21"/>
                <w:szCs w:val="21"/>
              </w:rPr>
              <w:t>/</w:t>
            </w:r>
          </w:p>
        </w:tc>
        <w:tc>
          <w:tcPr>
            <w:tcW w:w="1746" w:type="dxa"/>
            <w:noWrap w:val="0"/>
            <w:vAlign w:val="center"/>
          </w:tcPr>
          <w:p w14:paraId="4C201C3F">
            <w:pPr>
              <w:spacing w:line="320" w:lineRule="exact"/>
              <w:ind w:firstLine="420"/>
              <w:jc w:val="center"/>
              <w:rPr>
                <w:color w:val="000000"/>
                <w:sz w:val="21"/>
                <w:szCs w:val="21"/>
                <w:lang w:val="en-US"/>
              </w:rPr>
            </w:pPr>
            <w:r>
              <w:rPr>
                <w:rFonts w:hint="eastAsia"/>
                <w:color w:val="000000"/>
                <w:sz w:val="21"/>
                <w:szCs w:val="21"/>
                <w:lang w:val="en-US" w:eastAsia="zh-CN"/>
              </w:rPr>
              <w:t>6240</w:t>
            </w:r>
          </w:p>
        </w:tc>
        <w:tc>
          <w:tcPr>
            <w:tcW w:w="1747" w:type="dxa"/>
            <w:noWrap w:val="0"/>
            <w:vAlign w:val="center"/>
          </w:tcPr>
          <w:p w14:paraId="3F98864F">
            <w:pPr>
              <w:spacing w:line="320" w:lineRule="exact"/>
              <w:ind w:firstLine="420"/>
              <w:jc w:val="center"/>
              <w:rPr>
                <w:rFonts w:hint="eastAsia"/>
                <w:color w:val="000000"/>
                <w:sz w:val="21"/>
                <w:szCs w:val="21"/>
              </w:rPr>
            </w:pPr>
            <w:r>
              <w:rPr>
                <w:rFonts w:hint="eastAsia"/>
                <w:color w:val="000000"/>
                <w:sz w:val="21"/>
                <w:szCs w:val="21"/>
              </w:rPr>
              <w:t>/</w:t>
            </w:r>
          </w:p>
        </w:tc>
        <w:tc>
          <w:tcPr>
            <w:tcW w:w="1747" w:type="dxa"/>
            <w:noWrap w:val="0"/>
            <w:vAlign w:val="center"/>
          </w:tcPr>
          <w:p w14:paraId="408C79D1">
            <w:pPr>
              <w:spacing w:line="320" w:lineRule="exact"/>
              <w:ind w:firstLine="420"/>
              <w:jc w:val="center"/>
              <w:rPr>
                <w:color w:val="000000"/>
                <w:sz w:val="21"/>
                <w:szCs w:val="21"/>
                <w:lang w:val="en-US"/>
              </w:rPr>
            </w:pPr>
            <w:r>
              <w:rPr>
                <w:rFonts w:hint="eastAsia"/>
                <w:color w:val="000000"/>
                <w:sz w:val="21"/>
                <w:szCs w:val="21"/>
                <w:lang w:val="en-US" w:eastAsia="zh-CN"/>
              </w:rPr>
              <w:t>6240</w:t>
            </w:r>
          </w:p>
        </w:tc>
      </w:tr>
      <w:tr w14:paraId="6F5DF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48B4C7A9">
            <w:pPr>
              <w:spacing w:line="320" w:lineRule="exact"/>
              <w:ind w:firstLine="420"/>
              <w:jc w:val="center"/>
              <w:rPr>
                <w:rFonts w:hint="eastAsia"/>
                <w:color w:val="000000"/>
                <w:sz w:val="21"/>
                <w:szCs w:val="21"/>
              </w:rPr>
            </w:pPr>
            <w:r>
              <w:rPr>
                <w:color w:val="000000"/>
                <w:sz w:val="21"/>
                <w:szCs w:val="21"/>
              </w:rPr>
              <w:t>COD</w:t>
            </w:r>
          </w:p>
        </w:tc>
        <w:tc>
          <w:tcPr>
            <w:tcW w:w="1747" w:type="dxa"/>
            <w:noWrap w:val="0"/>
            <w:vAlign w:val="center"/>
          </w:tcPr>
          <w:p w14:paraId="17DE4AB9">
            <w:pPr>
              <w:spacing w:line="320" w:lineRule="exact"/>
              <w:ind w:firstLine="420"/>
              <w:jc w:val="center"/>
              <w:rPr>
                <w:color w:val="000000"/>
                <w:sz w:val="21"/>
                <w:szCs w:val="21"/>
                <w:lang w:val="en-US" w:eastAsia="zh-CN"/>
              </w:rPr>
            </w:pPr>
            <w:r>
              <w:rPr>
                <w:rFonts w:hint="eastAsia"/>
                <w:color w:val="000000"/>
                <w:sz w:val="21"/>
                <w:szCs w:val="21"/>
                <w:lang w:val="en-US" w:eastAsia="zh-CN"/>
              </w:rPr>
              <w:t>280</w:t>
            </w:r>
          </w:p>
        </w:tc>
        <w:tc>
          <w:tcPr>
            <w:tcW w:w="1746" w:type="dxa"/>
            <w:noWrap w:val="0"/>
            <w:vAlign w:val="center"/>
          </w:tcPr>
          <w:p w14:paraId="75FE5CDC">
            <w:pPr>
              <w:spacing w:line="320" w:lineRule="exact"/>
              <w:ind w:firstLine="420"/>
              <w:jc w:val="center"/>
              <w:rPr>
                <w:color w:val="000000"/>
                <w:sz w:val="21"/>
                <w:szCs w:val="21"/>
                <w:lang w:val="en-US" w:eastAsia="zh-CN"/>
              </w:rPr>
            </w:pPr>
            <w:r>
              <w:rPr>
                <w:rFonts w:hint="eastAsia"/>
                <w:color w:val="000000"/>
                <w:sz w:val="21"/>
                <w:szCs w:val="21"/>
                <w:lang w:val="en-US" w:eastAsia="zh-CN"/>
              </w:rPr>
              <w:t>1.75</w:t>
            </w:r>
          </w:p>
        </w:tc>
        <w:tc>
          <w:tcPr>
            <w:tcW w:w="1747" w:type="dxa"/>
            <w:noWrap w:val="0"/>
            <w:vAlign w:val="center"/>
          </w:tcPr>
          <w:p w14:paraId="3B94017A">
            <w:pPr>
              <w:spacing w:line="320" w:lineRule="exact"/>
              <w:ind w:firstLine="420"/>
              <w:jc w:val="center"/>
              <w:rPr>
                <w:color w:val="000000"/>
                <w:sz w:val="21"/>
                <w:szCs w:val="21"/>
                <w:lang w:val="en-US" w:eastAsia="zh-CN"/>
              </w:rPr>
            </w:pPr>
            <w:r>
              <w:rPr>
                <w:rFonts w:hint="eastAsia"/>
                <w:color w:val="000000"/>
                <w:sz w:val="21"/>
                <w:szCs w:val="21"/>
                <w:lang w:val="en-US" w:eastAsia="zh-CN"/>
              </w:rPr>
              <w:t>200</w:t>
            </w:r>
          </w:p>
        </w:tc>
        <w:tc>
          <w:tcPr>
            <w:tcW w:w="1747" w:type="dxa"/>
            <w:noWrap w:val="0"/>
            <w:vAlign w:val="center"/>
          </w:tcPr>
          <w:p w14:paraId="1E7C53F4">
            <w:pPr>
              <w:spacing w:line="320" w:lineRule="exact"/>
              <w:ind w:firstLine="420"/>
              <w:jc w:val="center"/>
              <w:rPr>
                <w:color w:val="000000"/>
                <w:sz w:val="21"/>
                <w:szCs w:val="21"/>
                <w:lang w:val="en-US" w:eastAsia="zh-CN"/>
              </w:rPr>
            </w:pPr>
            <w:r>
              <w:rPr>
                <w:rFonts w:hint="eastAsia"/>
                <w:color w:val="000000"/>
                <w:sz w:val="21"/>
                <w:szCs w:val="21"/>
                <w:lang w:val="en-US" w:eastAsia="zh-CN"/>
              </w:rPr>
              <w:t>1.25</w:t>
            </w:r>
          </w:p>
        </w:tc>
      </w:tr>
      <w:tr w14:paraId="19F59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7332F9C2">
            <w:pPr>
              <w:spacing w:line="320" w:lineRule="exact"/>
              <w:ind w:firstLine="420"/>
              <w:jc w:val="center"/>
              <w:rPr>
                <w:rFonts w:hint="eastAsia"/>
                <w:color w:val="000000"/>
                <w:sz w:val="21"/>
                <w:szCs w:val="21"/>
              </w:rPr>
            </w:pPr>
            <w:r>
              <w:rPr>
                <w:color w:val="000000"/>
                <w:sz w:val="21"/>
                <w:szCs w:val="21"/>
              </w:rPr>
              <w:t>BOD5</w:t>
            </w:r>
          </w:p>
        </w:tc>
        <w:tc>
          <w:tcPr>
            <w:tcW w:w="1747" w:type="dxa"/>
            <w:noWrap w:val="0"/>
            <w:vAlign w:val="center"/>
          </w:tcPr>
          <w:p w14:paraId="356DF661">
            <w:pPr>
              <w:spacing w:line="320" w:lineRule="exact"/>
              <w:ind w:firstLine="420"/>
              <w:jc w:val="center"/>
              <w:rPr>
                <w:color w:val="000000"/>
                <w:sz w:val="21"/>
                <w:szCs w:val="21"/>
                <w:lang w:val="en-US" w:eastAsia="zh-CN"/>
              </w:rPr>
            </w:pPr>
            <w:r>
              <w:rPr>
                <w:rFonts w:hint="eastAsia"/>
                <w:color w:val="000000"/>
                <w:sz w:val="21"/>
                <w:szCs w:val="21"/>
                <w:lang w:val="en-US" w:eastAsia="zh-CN"/>
              </w:rPr>
              <w:t>200</w:t>
            </w:r>
          </w:p>
        </w:tc>
        <w:tc>
          <w:tcPr>
            <w:tcW w:w="1746" w:type="dxa"/>
            <w:noWrap w:val="0"/>
            <w:vAlign w:val="center"/>
          </w:tcPr>
          <w:p w14:paraId="0AC999C6">
            <w:pPr>
              <w:spacing w:line="320" w:lineRule="exact"/>
              <w:ind w:firstLine="420"/>
              <w:jc w:val="center"/>
              <w:rPr>
                <w:color w:val="000000"/>
                <w:sz w:val="21"/>
                <w:szCs w:val="21"/>
                <w:lang w:val="en-US" w:eastAsia="zh-CN"/>
              </w:rPr>
            </w:pPr>
            <w:r>
              <w:rPr>
                <w:rFonts w:hint="eastAsia"/>
                <w:color w:val="000000"/>
                <w:sz w:val="21"/>
                <w:szCs w:val="21"/>
                <w:lang w:val="en-US" w:eastAsia="zh-CN"/>
              </w:rPr>
              <w:t>1.25</w:t>
            </w:r>
          </w:p>
        </w:tc>
        <w:tc>
          <w:tcPr>
            <w:tcW w:w="1747" w:type="dxa"/>
            <w:noWrap w:val="0"/>
            <w:vAlign w:val="center"/>
          </w:tcPr>
          <w:p w14:paraId="562C63DF">
            <w:pPr>
              <w:spacing w:line="320" w:lineRule="exact"/>
              <w:ind w:firstLine="420"/>
              <w:jc w:val="center"/>
              <w:rPr>
                <w:color w:val="000000"/>
                <w:sz w:val="21"/>
                <w:szCs w:val="21"/>
                <w:lang w:val="en-US" w:eastAsia="zh-CN"/>
              </w:rPr>
            </w:pPr>
            <w:r>
              <w:rPr>
                <w:rFonts w:hint="eastAsia"/>
                <w:color w:val="000000"/>
                <w:sz w:val="21"/>
                <w:szCs w:val="21"/>
                <w:lang w:val="en-US" w:eastAsia="zh-CN"/>
              </w:rPr>
              <w:t>100</w:t>
            </w:r>
          </w:p>
        </w:tc>
        <w:tc>
          <w:tcPr>
            <w:tcW w:w="1747" w:type="dxa"/>
            <w:noWrap w:val="0"/>
            <w:vAlign w:val="center"/>
          </w:tcPr>
          <w:p w14:paraId="7BE01868">
            <w:pPr>
              <w:spacing w:line="320" w:lineRule="exact"/>
              <w:ind w:firstLine="420"/>
              <w:jc w:val="center"/>
              <w:rPr>
                <w:color w:val="000000"/>
                <w:sz w:val="21"/>
                <w:szCs w:val="21"/>
                <w:lang w:val="en-US" w:eastAsia="zh-CN"/>
              </w:rPr>
            </w:pPr>
            <w:r>
              <w:rPr>
                <w:rFonts w:hint="eastAsia"/>
                <w:color w:val="000000"/>
                <w:sz w:val="21"/>
                <w:szCs w:val="21"/>
                <w:lang w:val="en-US" w:eastAsia="zh-CN"/>
              </w:rPr>
              <w:t>0.62</w:t>
            </w:r>
          </w:p>
        </w:tc>
      </w:tr>
      <w:tr w14:paraId="2F0F2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67CEF160">
            <w:pPr>
              <w:spacing w:line="320" w:lineRule="exact"/>
              <w:ind w:firstLine="420"/>
              <w:jc w:val="center"/>
              <w:rPr>
                <w:color w:val="000000"/>
                <w:sz w:val="21"/>
                <w:szCs w:val="21"/>
              </w:rPr>
            </w:pPr>
            <w:r>
              <w:rPr>
                <w:color w:val="000000"/>
                <w:sz w:val="21"/>
                <w:szCs w:val="21"/>
              </w:rPr>
              <w:t>SS</w:t>
            </w:r>
          </w:p>
        </w:tc>
        <w:tc>
          <w:tcPr>
            <w:tcW w:w="1747" w:type="dxa"/>
            <w:noWrap w:val="0"/>
            <w:vAlign w:val="center"/>
          </w:tcPr>
          <w:p w14:paraId="78549669">
            <w:pPr>
              <w:spacing w:line="320" w:lineRule="exact"/>
              <w:ind w:firstLine="420"/>
              <w:jc w:val="center"/>
              <w:rPr>
                <w:color w:val="000000"/>
                <w:sz w:val="21"/>
                <w:szCs w:val="21"/>
                <w:lang w:val="en-US" w:eastAsia="zh-CN"/>
              </w:rPr>
            </w:pPr>
            <w:r>
              <w:rPr>
                <w:rFonts w:hint="eastAsia"/>
                <w:color w:val="000000"/>
                <w:sz w:val="21"/>
                <w:szCs w:val="21"/>
                <w:lang w:val="en-US" w:eastAsia="zh-CN"/>
              </w:rPr>
              <w:t>150</w:t>
            </w:r>
          </w:p>
        </w:tc>
        <w:tc>
          <w:tcPr>
            <w:tcW w:w="1746" w:type="dxa"/>
            <w:noWrap w:val="0"/>
            <w:vAlign w:val="center"/>
          </w:tcPr>
          <w:p w14:paraId="2ECACE45">
            <w:pPr>
              <w:spacing w:line="320" w:lineRule="exact"/>
              <w:ind w:firstLine="420"/>
              <w:jc w:val="center"/>
              <w:rPr>
                <w:color w:val="000000"/>
                <w:sz w:val="21"/>
                <w:szCs w:val="21"/>
                <w:lang w:val="en-US" w:eastAsia="zh-CN"/>
              </w:rPr>
            </w:pPr>
            <w:r>
              <w:rPr>
                <w:rFonts w:hint="eastAsia"/>
                <w:color w:val="000000"/>
                <w:sz w:val="21"/>
                <w:szCs w:val="21"/>
                <w:lang w:val="en-US" w:eastAsia="zh-CN"/>
              </w:rPr>
              <w:t>0.94</w:t>
            </w:r>
          </w:p>
        </w:tc>
        <w:tc>
          <w:tcPr>
            <w:tcW w:w="1747" w:type="dxa"/>
            <w:noWrap w:val="0"/>
            <w:vAlign w:val="center"/>
          </w:tcPr>
          <w:p w14:paraId="30A2FCE5">
            <w:pPr>
              <w:spacing w:line="320" w:lineRule="exact"/>
              <w:ind w:firstLine="420"/>
              <w:jc w:val="center"/>
              <w:rPr>
                <w:rFonts w:hint="eastAsia"/>
                <w:color w:val="000000"/>
                <w:sz w:val="21"/>
                <w:szCs w:val="21"/>
              </w:rPr>
            </w:pPr>
            <w:r>
              <w:rPr>
                <w:rFonts w:hint="eastAsia"/>
                <w:color w:val="000000"/>
                <w:sz w:val="21"/>
                <w:szCs w:val="21"/>
              </w:rPr>
              <w:t>80</w:t>
            </w:r>
          </w:p>
        </w:tc>
        <w:tc>
          <w:tcPr>
            <w:tcW w:w="1747" w:type="dxa"/>
            <w:noWrap w:val="0"/>
            <w:vAlign w:val="center"/>
          </w:tcPr>
          <w:p w14:paraId="13664A63">
            <w:pPr>
              <w:spacing w:line="320" w:lineRule="exact"/>
              <w:ind w:firstLine="420"/>
              <w:jc w:val="center"/>
              <w:rPr>
                <w:color w:val="000000"/>
                <w:sz w:val="21"/>
                <w:szCs w:val="21"/>
                <w:lang w:val="en-US" w:eastAsia="zh-CN"/>
              </w:rPr>
            </w:pPr>
            <w:r>
              <w:rPr>
                <w:rFonts w:hint="eastAsia"/>
                <w:color w:val="000000"/>
                <w:sz w:val="21"/>
                <w:szCs w:val="21"/>
                <w:lang w:val="en-US" w:eastAsia="zh-CN"/>
              </w:rPr>
              <w:t>0.5</w:t>
            </w:r>
          </w:p>
        </w:tc>
      </w:tr>
      <w:tr w14:paraId="09A2F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0D1D82D6">
            <w:pPr>
              <w:spacing w:line="320" w:lineRule="exact"/>
              <w:ind w:firstLine="420"/>
              <w:jc w:val="center"/>
              <w:rPr>
                <w:rFonts w:hint="eastAsia"/>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1747" w:type="dxa"/>
            <w:noWrap w:val="0"/>
            <w:vAlign w:val="center"/>
          </w:tcPr>
          <w:p w14:paraId="21BD9C79">
            <w:pPr>
              <w:spacing w:line="320" w:lineRule="exact"/>
              <w:ind w:firstLine="420"/>
              <w:jc w:val="center"/>
              <w:rPr>
                <w:color w:val="000000"/>
                <w:sz w:val="21"/>
                <w:szCs w:val="21"/>
                <w:lang w:val="en-US" w:eastAsia="zh-CN"/>
              </w:rPr>
            </w:pPr>
            <w:r>
              <w:rPr>
                <w:rFonts w:hint="eastAsia"/>
                <w:color w:val="000000"/>
                <w:sz w:val="21"/>
                <w:szCs w:val="21"/>
                <w:lang w:val="en-US" w:eastAsia="zh-CN"/>
              </w:rPr>
              <w:t>45</w:t>
            </w:r>
          </w:p>
        </w:tc>
        <w:tc>
          <w:tcPr>
            <w:tcW w:w="1746" w:type="dxa"/>
            <w:noWrap w:val="0"/>
            <w:vAlign w:val="center"/>
          </w:tcPr>
          <w:p w14:paraId="2EFB591F">
            <w:pPr>
              <w:spacing w:line="320" w:lineRule="exact"/>
              <w:ind w:firstLine="420"/>
              <w:jc w:val="center"/>
              <w:rPr>
                <w:color w:val="000000"/>
                <w:sz w:val="21"/>
                <w:szCs w:val="21"/>
                <w:lang w:val="en-US" w:eastAsia="zh-CN"/>
              </w:rPr>
            </w:pPr>
            <w:r>
              <w:rPr>
                <w:rFonts w:hint="eastAsia"/>
                <w:color w:val="000000"/>
                <w:sz w:val="21"/>
                <w:szCs w:val="21"/>
                <w:lang w:val="en-US" w:eastAsia="zh-CN"/>
              </w:rPr>
              <w:t>0.28</w:t>
            </w:r>
          </w:p>
        </w:tc>
        <w:tc>
          <w:tcPr>
            <w:tcW w:w="1747" w:type="dxa"/>
            <w:noWrap w:val="0"/>
            <w:vAlign w:val="center"/>
          </w:tcPr>
          <w:p w14:paraId="1E901D8D">
            <w:pPr>
              <w:spacing w:line="320" w:lineRule="exact"/>
              <w:ind w:firstLine="420"/>
              <w:jc w:val="center"/>
              <w:rPr>
                <w:color w:val="000000"/>
                <w:sz w:val="21"/>
                <w:szCs w:val="21"/>
                <w:lang w:val="en-US" w:eastAsia="zh-CN"/>
              </w:rPr>
            </w:pPr>
            <w:r>
              <w:rPr>
                <w:rFonts w:hint="eastAsia"/>
                <w:color w:val="000000"/>
                <w:sz w:val="21"/>
                <w:szCs w:val="21"/>
                <w:lang w:val="en-US" w:eastAsia="zh-CN"/>
              </w:rPr>
              <w:t>20</w:t>
            </w:r>
          </w:p>
        </w:tc>
        <w:tc>
          <w:tcPr>
            <w:tcW w:w="1747" w:type="dxa"/>
            <w:noWrap w:val="0"/>
            <w:vAlign w:val="center"/>
          </w:tcPr>
          <w:p w14:paraId="63B5864C">
            <w:pPr>
              <w:spacing w:line="320" w:lineRule="exact"/>
              <w:ind w:firstLine="420"/>
              <w:jc w:val="center"/>
              <w:rPr>
                <w:color w:val="000000"/>
                <w:sz w:val="21"/>
                <w:szCs w:val="21"/>
                <w:lang w:val="en-US" w:eastAsia="zh-CN"/>
              </w:rPr>
            </w:pPr>
            <w:r>
              <w:rPr>
                <w:rFonts w:hint="eastAsia"/>
                <w:color w:val="000000"/>
                <w:sz w:val="21"/>
                <w:szCs w:val="21"/>
                <w:lang w:val="en-US" w:eastAsia="zh-CN"/>
              </w:rPr>
              <w:t>0.125</w:t>
            </w:r>
          </w:p>
        </w:tc>
      </w:tr>
      <w:tr w14:paraId="49F6F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79183502">
            <w:pPr>
              <w:spacing w:line="320" w:lineRule="exact"/>
              <w:ind w:firstLine="420"/>
              <w:jc w:val="center"/>
              <w:rPr>
                <w:rFonts w:hint="eastAsia"/>
                <w:color w:val="000000"/>
                <w:sz w:val="21"/>
                <w:szCs w:val="21"/>
              </w:rPr>
            </w:pPr>
            <w:r>
              <w:rPr>
                <w:rFonts w:hint="eastAsia"/>
                <w:color w:val="000000"/>
                <w:sz w:val="21"/>
                <w:szCs w:val="21"/>
              </w:rPr>
              <w:t>总磷</w:t>
            </w:r>
          </w:p>
        </w:tc>
        <w:tc>
          <w:tcPr>
            <w:tcW w:w="1747" w:type="dxa"/>
            <w:noWrap w:val="0"/>
            <w:vAlign w:val="center"/>
          </w:tcPr>
          <w:p w14:paraId="54D3656A">
            <w:pPr>
              <w:spacing w:line="320" w:lineRule="exact"/>
              <w:ind w:firstLine="420"/>
              <w:jc w:val="center"/>
              <w:rPr>
                <w:rFonts w:hint="eastAsia"/>
                <w:color w:val="000000"/>
                <w:sz w:val="21"/>
                <w:szCs w:val="21"/>
                <w:lang w:val="en-US" w:eastAsia="zh-CN"/>
              </w:rPr>
            </w:pPr>
            <w:r>
              <w:rPr>
                <w:rFonts w:hint="eastAsia"/>
                <w:color w:val="000000"/>
                <w:sz w:val="21"/>
                <w:szCs w:val="21"/>
                <w:lang w:val="en-US" w:eastAsia="zh-CN"/>
              </w:rPr>
              <w:t>8</w:t>
            </w:r>
          </w:p>
        </w:tc>
        <w:tc>
          <w:tcPr>
            <w:tcW w:w="1746" w:type="dxa"/>
            <w:noWrap w:val="0"/>
            <w:vAlign w:val="center"/>
          </w:tcPr>
          <w:p w14:paraId="3D2129A4">
            <w:pPr>
              <w:spacing w:line="320" w:lineRule="exact"/>
              <w:ind w:firstLine="420"/>
              <w:jc w:val="center"/>
              <w:rPr>
                <w:color w:val="000000"/>
                <w:sz w:val="21"/>
                <w:szCs w:val="21"/>
                <w:lang w:val="en-US" w:eastAsia="zh-CN"/>
              </w:rPr>
            </w:pPr>
            <w:r>
              <w:rPr>
                <w:rFonts w:hint="eastAsia"/>
                <w:color w:val="000000"/>
                <w:sz w:val="21"/>
                <w:szCs w:val="21"/>
                <w:lang w:val="en-US" w:eastAsia="zh-CN"/>
              </w:rPr>
              <w:t>0.05</w:t>
            </w:r>
          </w:p>
        </w:tc>
        <w:tc>
          <w:tcPr>
            <w:tcW w:w="1747" w:type="dxa"/>
            <w:noWrap w:val="0"/>
            <w:vAlign w:val="center"/>
          </w:tcPr>
          <w:p w14:paraId="30C2B211">
            <w:pPr>
              <w:spacing w:line="320" w:lineRule="exact"/>
              <w:ind w:firstLine="420"/>
              <w:jc w:val="center"/>
              <w:rPr>
                <w:rFonts w:hint="eastAsia"/>
                <w:color w:val="000000"/>
                <w:sz w:val="21"/>
                <w:szCs w:val="21"/>
                <w:lang w:val="en-US" w:eastAsia="zh-CN"/>
              </w:rPr>
            </w:pPr>
            <w:r>
              <w:rPr>
                <w:rFonts w:hint="eastAsia"/>
                <w:color w:val="000000"/>
                <w:sz w:val="21"/>
                <w:szCs w:val="21"/>
                <w:lang w:val="en-US" w:eastAsia="zh-CN"/>
              </w:rPr>
              <w:t>3</w:t>
            </w:r>
          </w:p>
        </w:tc>
        <w:tc>
          <w:tcPr>
            <w:tcW w:w="1747" w:type="dxa"/>
            <w:noWrap w:val="0"/>
            <w:vAlign w:val="center"/>
          </w:tcPr>
          <w:p w14:paraId="28DDE943">
            <w:pPr>
              <w:spacing w:line="320" w:lineRule="exact"/>
              <w:ind w:firstLine="420"/>
              <w:jc w:val="center"/>
              <w:rPr>
                <w:color w:val="000000"/>
                <w:sz w:val="21"/>
                <w:szCs w:val="21"/>
                <w:lang w:val="en-US" w:eastAsia="zh-CN"/>
              </w:rPr>
            </w:pPr>
            <w:r>
              <w:rPr>
                <w:rFonts w:hint="eastAsia"/>
                <w:color w:val="000000"/>
                <w:sz w:val="21"/>
                <w:szCs w:val="21"/>
                <w:lang w:val="en-US" w:eastAsia="zh-CN"/>
              </w:rPr>
              <w:t>0.019</w:t>
            </w:r>
          </w:p>
        </w:tc>
      </w:tr>
      <w:tr w14:paraId="27497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47A29A53">
            <w:pPr>
              <w:spacing w:line="320" w:lineRule="exact"/>
              <w:ind w:firstLine="420"/>
              <w:jc w:val="center"/>
              <w:rPr>
                <w:rFonts w:hint="eastAsia"/>
                <w:color w:val="000000"/>
                <w:sz w:val="21"/>
                <w:szCs w:val="21"/>
              </w:rPr>
            </w:pPr>
            <w:r>
              <w:rPr>
                <w:rFonts w:hint="eastAsia"/>
                <w:color w:val="000000"/>
                <w:sz w:val="21"/>
                <w:szCs w:val="21"/>
              </w:rPr>
              <w:t>动植物油</w:t>
            </w:r>
          </w:p>
        </w:tc>
        <w:tc>
          <w:tcPr>
            <w:tcW w:w="1747" w:type="dxa"/>
            <w:noWrap w:val="0"/>
            <w:vAlign w:val="center"/>
          </w:tcPr>
          <w:p w14:paraId="6E50AF3E">
            <w:pPr>
              <w:spacing w:line="320" w:lineRule="exact"/>
              <w:ind w:firstLine="420"/>
              <w:jc w:val="center"/>
              <w:rPr>
                <w:color w:val="000000"/>
                <w:sz w:val="21"/>
                <w:szCs w:val="21"/>
                <w:lang w:val="en-US" w:eastAsia="zh-CN"/>
              </w:rPr>
            </w:pPr>
            <w:r>
              <w:rPr>
                <w:rFonts w:hint="eastAsia"/>
                <w:color w:val="000000"/>
                <w:sz w:val="21"/>
                <w:szCs w:val="21"/>
                <w:lang w:val="en-US" w:eastAsia="zh-CN"/>
              </w:rPr>
              <w:t>80</w:t>
            </w:r>
          </w:p>
        </w:tc>
        <w:tc>
          <w:tcPr>
            <w:tcW w:w="1746" w:type="dxa"/>
            <w:noWrap w:val="0"/>
            <w:vAlign w:val="center"/>
          </w:tcPr>
          <w:p w14:paraId="4E7758D5">
            <w:pPr>
              <w:spacing w:line="320" w:lineRule="exact"/>
              <w:ind w:firstLine="420"/>
              <w:jc w:val="center"/>
              <w:rPr>
                <w:color w:val="000000"/>
                <w:sz w:val="21"/>
                <w:szCs w:val="21"/>
                <w:lang w:val="en-US" w:eastAsia="zh-CN"/>
              </w:rPr>
            </w:pPr>
            <w:r>
              <w:rPr>
                <w:rFonts w:hint="eastAsia"/>
                <w:color w:val="000000"/>
                <w:sz w:val="21"/>
                <w:szCs w:val="21"/>
                <w:lang w:val="en-US" w:eastAsia="zh-CN"/>
              </w:rPr>
              <w:t>0.5</w:t>
            </w:r>
          </w:p>
        </w:tc>
        <w:tc>
          <w:tcPr>
            <w:tcW w:w="1747" w:type="dxa"/>
            <w:noWrap w:val="0"/>
            <w:vAlign w:val="center"/>
          </w:tcPr>
          <w:p w14:paraId="1EAE6B79">
            <w:pPr>
              <w:spacing w:line="320" w:lineRule="exact"/>
              <w:ind w:firstLine="420"/>
              <w:jc w:val="center"/>
              <w:rPr>
                <w:rFonts w:hint="eastAsia"/>
                <w:color w:val="000000"/>
                <w:sz w:val="21"/>
                <w:szCs w:val="21"/>
                <w:lang w:val="en-US" w:eastAsia="zh-CN"/>
              </w:rPr>
            </w:pPr>
            <w:r>
              <w:rPr>
                <w:rFonts w:hint="eastAsia"/>
                <w:color w:val="000000"/>
                <w:sz w:val="21"/>
                <w:szCs w:val="21"/>
                <w:lang w:val="en-US" w:eastAsia="zh-CN"/>
              </w:rPr>
              <w:t>8</w:t>
            </w:r>
          </w:p>
        </w:tc>
        <w:tc>
          <w:tcPr>
            <w:tcW w:w="1747" w:type="dxa"/>
            <w:noWrap w:val="0"/>
            <w:vAlign w:val="center"/>
          </w:tcPr>
          <w:p w14:paraId="72C20710">
            <w:pPr>
              <w:spacing w:line="320" w:lineRule="exact"/>
              <w:ind w:firstLine="420"/>
              <w:jc w:val="center"/>
              <w:rPr>
                <w:color w:val="000000"/>
                <w:sz w:val="21"/>
                <w:szCs w:val="21"/>
                <w:lang w:val="en-US" w:eastAsia="zh-CN"/>
              </w:rPr>
            </w:pPr>
            <w:r>
              <w:rPr>
                <w:rFonts w:hint="eastAsia"/>
                <w:color w:val="000000"/>
                <w:sz w:val="21"/>
                <w:szCs w:val="21"/>
                <w:lang w:val="en-US" w:eastAsia="zh-CN"/>
              </w:rPr>
              <w:t>0.05</w:t>
            </w:r>
          </w:p>
        </w:tc>
      </w:tr>
    </w:tbl>
    <w:p w14:paraId="46D86914">
      <w:pPr>
        <w:pStyle w:val="282"/>
      </w:pPr>
      <w:r>
        <w:rPr>
          <w:rFonts w:hint="eastAsia"/>
          <w:lang w:val="en-US" w:eastAsia="zh-CN"/>
        </w:rPr>
        <w:t>4.3</w:t>
      </w:r>
      <w:r>
        <w:t>.2.3噪声污染源分析</w:t>
      </w:r>
    </w:p>
    <w:p w14:paraId="1CA6DBCE">
      <w:pPr>
        <w:pStyle w:val="268"/>
        <w:rPr>
          <w:color w:val="000000"/>
          <w:lang w:val="en-US"/>
        </w:rPr>
      </w:pPr>
      <w:r>
        <w:rPr>
          <w:rFonts w:hint="eastAsia"/>
          <w:color w:val="000000"/>
          <w:lang w:val="en-US" w:eastAsia="zh-CN"/>
        </w:rPr>
        <w:t>改扩建后，</w:t>
      </w:r>
      <w:r>
        <w:rPr>
          <w:color w:val="000000"/>
          <w:lang w:val="en-US"/>
        </w:rPr>
        <w:t>项目</w:t>
      </w:r>
      <w:r>
        <w:rPr>
          <w:rFonts w:hint="eastAsia"/>
          <w:color w:val="000000"/>
          <w:lang w:val="en-US" w:eastAsia="zh-CN"/>
        </w:rPr>
        <w:t>噪声源</w:t>
      </w:r>
      <w:r>
        <w:rPr>
          <w:rFonts w:hint="eastAsia"/>
          <w:color w:val="000000"/>
          <w:lang w:val="en-US"/>
        </w:rPr>
        <w:t>主要为机械设备噪声及交通噪声，</w:t>
      </w:r>
      <w:r>
        <w:rPr>
          <w:color w:val="000000"/>
          <w:lang w:val="en-US"/>
        </w:rPr>
        <w:t>设备</w:t>
      </w:r>
      <w:r>
        <w:rPr>
          <w:rFonts w:hint="eastAsia"/>
          <w:color w:val="000000"/>
          <w:lang w:val="en-US"/>
        </w:rPr>
        <w:t>噪声源</w:t>
      </w:r>
      <w:r>
        <w:rPr>
          <w:color w:val="000000"/>
          <w:lang w:val="en-US"/>
        </w:rPr>
        <w:t>主要为</w:t>
      </w:r>
      <w:r>
        <w:rPr>
          <w:rFonts w:hint="eastAsia"/>
          <w:color w:val="000000"/>
          <w:lang w:val="en-US" w:eastAsia="zh-CN"/>
        </w:rPr>
        <w:t>板材生产设备、制胶设备</w:t>
      </w:r>
      <w:r>
        <w:rPr>
          <w:color w:val="000000"/>
          <w:lang w:val="en-US"/>
        </w:rPr>
        <w:t>等。</w:t>
      </w:r>
      <w:r>
        <w:rPr>
          <w:rFonts w:hint="eastAsia"/>
          <w:color w:val="000000"/>
          <w:lang w:val="en-US" w:eastAsia="zh-CN"/>
        </w:rPr>
        <w:t>根据</w:t>
      </w:r>
      <w:r>
        <w:rPr>
          <w:rFonts w:ascii="Times New Roman" w:hAnsi="Times New Roman" w:cs="Times New Roman"/>
          <w:color w:val="FF0000"/>
          <w:sz w:val="24"/>
          <w:lang w:val="en-US" w:eastAsia="zh-CN"/>
        </w:rPr>
        <w:t>云南天朗职业卫生技术服务有限公司出具的检测报告（TLZW/JCBG-051-2019）</w:t>
      </w:r>
      <w:r>
        <w:rPr>
          <w:rFonts w:hint="eastAsia" w:ascii="Times New Roman" w:hAnsi="Times New Roman" w:cs="Times New Roman"/>
          <w:color w:val="FF0000"/>
          <w:sz w:val="24"/>
          <w:lang w:val="en-US" w:eastAsia="zh-CN"/>
        </w:rPr>
        <w:t>，</w:t>
      </w:r>
      <w:r>
        <w:rPr>
          <w:color w:val="000000"/>
          <w:lang w:val="en-US"/>
        </w:rPr>
        <w:t>项目生产设备其噪声声级</w:t>
      </w:r>
      <w:r>
        <w:rPr>
          <w:color w:val="FF0000"/>
          <w:lang w:val="en-US"/>
        </w:rPr>
        <w:t>范围为</w:t>
      </w:r>
      <w:r>
        <w:rPr>
          <w:rFonts w:hint="eastAsia"/>
          <w:color w:val="FF0000"/>
          <w:lang w:val="en-US" w:eastAsia="zh-CN"/>
        </w:rPr>
        <w:t>70</w:t>
      </w:r>
      <w:r>
        <w:rPr>
          <w:bCs/>
          <w:color w:val="FF0000"/>
          <w:lang w:val="en-US"/>
        </w:rPr>
        <w:t>～</w:t>
      </w:r>
      <w:r>
        <w:rPr>
          <w:rFonts w:hint="eastAsia"/>
          <w:color w:val="FF0000"/>
          <w:lang w:val="en-US" w:eastAsia="zh-CN"/>
        </w:rPr>
        <w:t>96.7d</w:t>
      </w:r>
      <w:r>
        <w:rPr>
          <w:color w:val="FF0000"/>
          <w:lang w:val="en-US"/>
        </w:rPr>
        <w:t>B（A），</w:t>
      </w:r>
      <w:r>
        <w:rPr>
          <w:rFonts w:hint="eastAsia"/>
          <w:color w:val="000000"/>
          <w:lang w:val="en-US"/>
        </w:rPr>
        <w:t>交通噪声声级范围为</w:t>
      </w:r>
      <w:r>
        <w:rPr>
          <w:bCs/>
          <w:color w:val="000000"/>
          <w:lang w:val="en-US"/>
        </w:rPr>
        <w:t>60～75</w:t>
      </w:r>
      <w:r>
        <w:rPr>
          <w:color w:val="000000"/>
          <w:szCs w:val="20"/>
          <w:lang w:val="en-US"/>
        </w:rPr>
        <w:t xml:space="preserve"> </w:t>
      </w:r>
      <w:r>
        <w:rPr>
          <w:bCs/>
          <w:color w:val="000000"/>
          <w:lang w:val="en-US"/>
        </w:rPr>
        <w:t>dB（A）</w:t>
      </w:r>
      <w:r>
        <w:rPr>
          <w:color w:val="000000"/>
          <w:lang w:val="en-US"/>
        </w:rPr>
        <w:t>。</w:t>
      </w:r>
      <w:r>
        <w:rPr>
          <w:rFonts w:hint="eastAsia"/>
          <w:color w:val="000000"/>
          <w:lang w:val="en-US" w:eastAsia="zh-CN"/>
        </w:rPr>
        <w:t>经过分析</w:t>
      </w:r>
      <w:r>
        <w:rPr>
          <w:color w:val="000000"/>
          <w:lang w:val="en-US"/>
        </w:rPr>
        <w:t xml:space="preserve">噪声污染源源强及分布见表 </w:t>
      </w:r>
      <w:r>
        <w:rPr>
          <w:rFonts w:hint="eastAsia"/>
          <w:color w:val="000000"/>
          <w:lang w:val="en-US" w:eastAsia="zh-CN"/>
        </w:rPr>
        <w:t>4.3</w:t>
      </w:r>
      <w:r>
        <w:rPr>
          <w:color w:val="000000"/>
          <w:lang w:val="en-US"/>
        </w:rPr>
        <w:t>-</w:t>
      </w:r>
      <w:r>
        <w:rPr>
          <w:rFonts w:hint="eastAsia"/>
          <w:color w:val="000000"/>
          <w:lang w:val="en-US"/>
        </w:rPr>
        <w:t>1</w:t>
      </w:r>
      <w:r>
        <w:rPr>
          <w:rFonts w:hint="eastAsia"/>
          <w:color w:val="000000"/>
          <w:lang w:val="en-US" w:eastAsia="zh-CN"/>
        </w:rPr>
        <w:t>6</w:t>
      </w:r>
      <w:r>
        <w:rPr>
          <w:color w:val="000000"/>
          <w:lang w:val="en-US"/>
        </w:rPr>
        <w:t xml:space="preserve">。 </w:t>
      </w:r>
    </w:p>
    <w:p w14:paraId="5851594E">
      <w:pPr>
        <w:pStyle w:val="268"/>
        <w:ind w:firstLine="0"/>
        <w:jc w:val="center"/>
        <w:rPr>
          <w:rFonts w:hint="eastAsia"/>
          <w:b/>
          <w:lang w:val="en-US"/>
        </w:rPr>
      </w:pPr>
      <w:r>
        <w:rPr>
          <w:b/>
          <w:lang w:val="en-US"/>
        </w:rPr>
        <w:t xml:space="preserve">表 </w:t>
      </w:r>
      <w:r>
        <w:rPr>
          <w:rFonts w:hint="eastAsia"/>
          <w:b/>
          <w:lang w:val="en-US" w:eastAsia="zh-CN"/>
        </w:rPr>
        <w:t>4.3</w:t>
      </w:r>
      <w:r>
        <w:rPr>
          <w:b/>
          <w:lang w:val="en-US"/>
        </w:rPr>
        <w:t>-</w:t>
      </w:r>
      <w:r>
        <w:rPr>
          <w:rFonts w:hint="eastAsia"/>
          <w:b/>
          <w:lang w:val="en-US" w:eastAsia="zh-CN"/>
        </w:rPr>
        <w:t>16</w:t>
      </w:r>
      <w:r>
        <w:rPr>
          <w:b/>
          <w:lang w:val="en-US"/>
        </w:rPr>
        <w:t xml:space="preserve"> 项目噪声源源</w:t>
      </w:r>
      <w:r>
        <w:rPr>
          <w:rFonts w:hint="eastAsia"/>
          <w:b/>
          <w:lang w:val="en-US"/>
        </w:rPr>
        <w:t>强及分布位置表</w:t>
      </w:r>
    </w:p>
    <w:tbl>
      <w:tblPr>
        <w:tblStyle w:val="32"/>
        <w:tblW w:w="8877" w:type="dxa"/>
        <w:tblInd w:w="-108"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1573"/>
        <w:gridCol w:w="1028"/>
        <w:gridCol w:w="1423"/>
        <w:gridCol w:w="2923"/>
        <w:gridCol w:w="996"/>
      </w:tblGrid>
      <w:tr w14:paraId="59192BB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27687F14">
            <w:pPr>
              <w:pStyle w:val="268"/>
              <w:ind w:firstLine="0"/>
              <w:jc w:val="center"/>
              <w:rPr>
                <w:rFonts w:hint="eastAsia"/>
                <w:b/>
                <w:bCs/>
                <w:color w:val="FF0000"/>
                <w:sz w:val="21"/>
                <w:szCs w:val="21"/>
                <w:lang w:val="en-US" w:eastAsia="zh-CN"/>
              </w:rPr>
            </w:pPr>
            <w:r>
              <w:rPr>
                <w:rFonts w:hint="eastAsia"/>
                <w:b/>
                <w:bCs/>
                <w:color w:val="FF0000"/>
                <w:sz w:val="21"/>
                <w:szCs w:val="21"/>
                <w:lang w:val="en-US" w:eastAsia="zh-CN"/>
              </w:rPr>
              <w:t>序号</w:t>
            </w:r>
          </w:p>
        </w:tc>
        <w:tc>
          <w:tcPr>
            <w:tcW w:w="1573" w:type="dxa"/>
            <w:noWrap w:val="0"/>
            <w:vAlign w:val="center"/>
          </w:tcPr>
          <w:p w14:paraId="3D17402D">
            <w:pPr>
              <w:pStyle w:val="268"/>
              <w:ind w:firstLine="0"/>
              <w:jc w:val="center"/>
              <w:rPr>
                <w:rFonts w:hint="eastAsia"/>
                <w:b/>
                <w:bCs/>
                <w:color w:val="FF0000"/>
                <w:sz w:val="21"/>
                <w:szCs w:val="21"/>
                <w:lang w:val="en-US" w:eastAsia="zh-CN"/>
              </w:rPr>
            </w:pPr>
            <w:r>
              <w:rPr>
                <w:rFonts w:hint="eastAsia"/>
                <w:b/>
                <w:bCs/>
                <w:color w:val="FF0000"/>
                <w:sz w:val="21"/>
                <w:szCs w:val="21"/>
                <w:lang w:val="en-US" w:eastAsia="zh-CN"/>
              </w:rPr>
              <w:t>设备名称</w:t>
            </w:r>
          </w:p>
        </w:tc>
        <w:tc>
          <w:tcPr>
            <w:tcW w:w="1028" w:type="dxa"/>
            <w:noWrap w:val="0"/>
            <w:vAlign w:val="center"/>
          </w:tcPr>
          <w:p w14:paraId="5EE966A1">
            <w:pPr>
              <w:pStyle w:val="268"/>
              <w:ind w:firstLine="0"/>
              <w:jc w:val="center"/>
              <w:rPr>
                <w:rFonts w:hint="eastAsia"/>
                <w:b/>
                <w:bCs/>
                <w:color w:val="FF0000"/>
                <w:sz w:val="21"/>
                <w:szCs w:val="21"/>
                <w:lang w:val="en-US" w:eastAsia="zh-CN"/>
              </w:rPr>
            </w:pPr>
            <w:r>
              <w:rPr>
                <w:rFonts w:hint="eastAsia"/>
                <w:b/>
                <w:bCs/>
                <w:color w:val="FF0000"/>
                <w:sz w:val="21"/>
                <w:szCs w:val="21"/>
                <w:lang w:val="en-US" w:eastAsia="zh-CN"/>
              </w:rPr>
              <w:t>数量</w:t>
            </w:r>
          </w:p>
        </w:tc>
        <w:tc>
          <w:tcPr>
            <w:tcW w:w="1423" w:type="dxa"/>
            <w:noWrap w:val="0"/>
            <w:vAlign w:val="center"/>
          </w:tcPr>
          <w:p w14:paraId="40306EEE">
            <w:pPr>
              <w:pStyle w:val="268"/>
              <w:ind w:firstLine="0"/>
              <w:jc w:val="center"/>
              <w:rPr>
                <w:b/>
                <w:bCs/>
                <w:color w:val="FF0000"/>
                <w:sz w:val="21"/>
                <w:szCs w:val="21"/>
                <w:lang w:val="en-US" w:eastAsia="zh-CN"/>
              </w:rPr>
            </w:pPr>
            <w:r>
              <w:rPr>
                <w:rFonts w:hint="eastAsia"/>
                <w:b/>
                <w:bCs/>
                <w:color w:val="FF0000"/>
                <w:sz w:val="21"/>
                <w:szCs w:val="21"/>
                <w:lang w:val="en-US" w:eastAsia="zh-CN"/>
              </w:rPr>
              <w:t>声功率级dB（A）</w:t>
            </w:r>
          </w:p>
        </w:tc>
        <w:tc>
          <w:tcPr>
            <w:tcW w:w="2923" w:type="dxa"/>
            <w:noWrap w:val="0"/>
            <w:vAlign w:val="center"/>
          </w:tcPr>
          <w:p w14:paraId="1390F674">
            <w:pPr>
              <w:pStyle w:val="268"/>
              <w:ind w:firstLine="0"/>
              <w:jc w:val="center"/>
              <w:rPr>
                <w:rFonts w:hint="eastAsia"/>
                <w:b/>
                <w:bCs/>
                <w:color w:val="FF0000"/>
                <w:sz w:val="21"/>
                <w:szCs w:val="21"/>
                <w:lang w:val="en-US" w:eastAsia="zh-CN"/>
              </w:rPr>
            </w:pPr>
            <w:r>
              <w:rPr>
                <w:rFonts w:hint="eastAsia"/>
                <w:b/>
                <w:bCs/>
                <w:color w:val="FF0000"/>
                <w:sz w:val="21"/>
                <w:szCs w:val="21"/>
                <w:lang w:val="en-US" w:eastAsia="zh-CN"/>
              </w:rPr>
              <w:t>已采取降噪措施</w:t>
            </w:r>
          </w:p>
        </w:tc>
        <w:tc>
          <w:tcPr>
            <w:tcW w:w="996" w:type="dxa"/>
            <w:noWrap w:val="0"/>
            <w:vAlign w:val="center"/>
          </w:tcPr>
          <w:p w14:paraId="74814C00">
            <w:pPr>
              <w:pStyle w:val="268"/>
              <w:ind w:firstLine="0"/>
              <w:jc w:val="center"/>
              <w:rPr>
                <w:rFonts w:hint="eastAsia"/>
                <w:b/>
                <w:color w:val="FF0000"/>
                <w:sz w:val="21"/>
                <w:szCs w:val="21"/>
                <w:lang w:val="en-US" w:eastAsia="zh-CN"/>
              </w:rPr>
            </w:pPr>
            <w:r>
              <w:rPr>
                <w:rFonts w:hint="eastAsia"/>
                <w:b/>
                <w:color w:val="FF0000"/>
                <w:sz w:val="21"/>
                <w:szCs w:val="21"/>
                <w:lang w:val="en-US" w:eastAsia="zh-CN"/>
              </w:rPr>
              <w:t>声源位置</w:t>
            </w:r>
          </w:p>
        </w:tc>
      </w:tr>
      <w:tr w14:paraId="2E7C14B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7580520D">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1</w:t>
            </w:r>
          </w:p>
        </w:tc>
        <w:tc>
          <w:tcPr>
            <w:tcW w:w="1573" w:type="dxa"/>
            <w:noWrap w:val="0"/>
            <w:vAlign w:val="center"/>
          </w:tcPr>
          <w:p w14:paraId="11A6AE3E">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断竹机</w:t>
            </w:r>
          </w:p>
        </w:tc>
        <w:tc>
          <w:tcPr>
            <w:tcW w:w="1028" w:type="dxa"/>
            <w:noWrap w:val="0"/>
            <w:vAlign w:val="center"/>
          </w:tcPr>
          <w:p w14:paraId="195FCEC3">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9</w:t>
            </w:r>
          </w:p>
        </w:tc>
        <w:tc>
          <w:tcPr>
            <w:tcW w:w="1423" w:type="dxa"/>
            <w:noWrap w:val="0"/>
            <w:vAlign w:val="center"/>
          </w:tcPr>
          <w:p w14:paraId="7F97B6B8">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83.7</w:t>
            </w:r>
            <w:r>
              <w:rPr>
                <w:rFonts w:hint="eastAsia" w:ascii="Times New Roman" w:hAnsi="Times New Roman" w:eastAsia="宋体" w:cs="Times New Roman"/>
                <w:color w:val="FF0000"/>
                <w:sz w:val="21"/>
                <w:szCs w:val="22"/>
              </w:rPr>
              <w:t>～85</w:t>
            </w:r>
            <w:r>
              <w:rPr>
                <w:rFonts w:hint="eastAsia" w:ascii="Times New Roman" w:hAnsi="Times New Roman" w:eastAsia="宋体" w:cs="Times New Roman"/>
                <w:color w:val="FF0000"/>
                <w:sz w:val="21"/>
                <w:szCs w:val="22"/>
                <w:lang w:val="en-US" w:eastAsia="zh-CN"/>
              </w:rPr>
              <w:t>.2</w:t>
            </w:r>
          </w:p>
        </w:tc>
        <w:tc>
          <w:tcPr>
            <w:tcW w:w="2923" w:type="dxa"/>
            <w:noWrap w:val="0"/>
            <w:vAlign w:val="center"/>
          </w:tcPr>
          <w:p w14:paraId="76B228EC">
            <w:pPr>
              <w:ind w:firstLine="0"/>
              <w:jc w:val="center"/>
              <w:rPr>
                <w:rFonts w:hint="eastAsia"/>
                <w:color w:val="FF0000"/>
                <w:sz w:val="21"/>
                <w:szCs w:val="22"/>
              </w:rPr>
            </w:pPr>
            <w:r>
              <w:rPr>
                <w:rFonts w:hint="eastAsia"/>
                <w:color w:val="FF0000"/>
                <w:sz w:val="21"/>
                <w:szCs w:val="22"/>
              </w:rPr>
              <w:t>减震垫、厂房、围墙隔声</w:t>
            </w:r>
          </w:p>
        </w:tc>
        <w:tc>
          <w:tcPr>
            <w:tcW w:w="996" w:type="dxa"/>
            <w:vMerge w:val="restart"/>
            <w:noWrap w:val="0"/>
            <w:vAlign w:val="center"/>
          </w:tcPr>
          <w:p w14:paraId="7E3E742E">
            <w:pPr>
              <w:pStyle w:val="421"/>
              <w:spacing w:line="321" w:lineRule="exact"/>
              <w:ind w:right="115" w:firstLine="0"/>
              <w:rPr>
                <w:rFonts w:hint="eastAsia"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板材生产车间</w:t>
            </w:r>
          </w:p>
          <w:p w14:paraId="54696980">
            <w:pPr>
              <w:pStyle w:val="421"/>
              <w:spacing w:line="321" w:lineRule="exact"/>
              <w:ind w:right="115" w:firstLine="0"/>
              <w:rPr>
                <w:rFonts w:ascii="Times New Roman" w:hAnsi="Times New Roman" w:eastAsia="宋体" w:cs="Times New Roman"/>
                <w:color w:val="FF0000"/>
                <w:sz w:val="21"/>
                <w:szCs w:val="22"/>
              </w:rPr>
            </w:pPr>
          </w:p>
        </w:tc>
      </w:tr>
      <w:tr w14:paraId="26D8531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5A95D407">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2</w:t>
            </w:r>
          </w:p>
        </w:tc>
        <w:tc>
          <w:tcPr>
            <w:tcW w:w="1573" w:type="dxa"/>
            <w:noWrap w:val="0"/>
            <w:vAlign w:val="center"/>
          </w:tcPr>
          <w:p w14:paraId="24E4E2CA">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刨片机</w:t>
            </w:r>
          </w:p>
        </w:tc>
        <w:tc>
          <w:tcPr>
            <w:tcW w:w="1028" w:type="dxa"/>
            <w:noWrap w:val="0"/>
            <w:vAlign w:val="center"/>
          </w:tcPr>
          <w:p w14:paraId="2A8EEE4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38</w:t>
            </w:r>
          </w:p>
        </w:tc>
        <w:tc>
          <w:tcPr>
            <w:tcW w:w="1423" w:type="dxa"/>
            <w:noWrap w:val="0"/>
            <w:vAlign w:val="center"/>
          </w:tcPr>
          <w:p w14:paraId="03800484">
            <w:pPr>
              <w:pStyle w:val="421"/>
              <w:spacing w:line="321" w:lineRule="exact"/>
              <w:ind w:right="115" w:firstLine="0"/>
              <w:rPr>
                <w:rFonts w:ascii="Times New Roman" w:hAnsi="Times New Roman" w:eastAsia="宋体" w:cs="Times New Roman"/>
                <w:color w:val="FF0000"/>
                <w:sz w:val="21"/>
                <w:szCs w:val="22"/>
                <w:lang w:val="en-US"/>
              </w:rPr>
            </w:pPr>
            <w:r>
              <w:rPr>
                <w:rFonts w:hint="eastAsia" w:ascii="Times New Roman" w:hAnsi="Times New Roman" w:eastAsia="宋体" w:cs="Times New Roman"/>
                <w:color w:val="FF0000"/>
                <w:sz w:val="21"/>
                <w:szCs w:val="22"/>
                <w:lang w:val="en-US" w:eastAsia="zh-CN"/>
              </w:rPr>
              <w:t>86.4</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88.7</w:t>
            </w:r>
          </w:p>
        </w:tc>
        <w:tc>
          <w:tcPr>
            <w:tcW w:w="2923" w:type="dxa"/>
            <w:noWrap w:val="0"/>
            <w:vAlign w:val="center"/>
          </w:tcPr>
          <w:p w14:paraId="06E6580D">
            <w:pPr>
              <w:ind w:firstLine="0"/>
              <w:jc w:val="center"/>
              <w:rPr>
                <w:color w:val="FF0000"/>
                <w:sz w:val="21"/>
                <w:szCs w:val="22"/>
              </w:rPr>
            </w:pPr>
            <w:r>
              <w:rPr>
                <w:rFonts w:hint="eastAsia"/>
                <w:color w:val="FF0000"/>
                <w:sz w:val="21"/>
                <w:szCs w:val="22"/>
              </w:rPr>
              <w:t>减震垫、厂房、围墙隔声</w:t>
            </w:r>
          </w:p>
        </w:tc>
        <w:tc>
          <w:tcPr>
            <w:tcW w:w="996" w:type="dxa"/>
            <w:vMerge w:val="continue"/>
            <w:noWrap w:val="0"/>
            <w:vAlign w:val="center"/>
          </w:tcPr>
          <w:p w14:paraId="318E416C">
            <w:pPr>
              <w:pStyle w:val="421"/>
              <w:ind w:firstLine="480"/>
              <w:rPr>
                <w:rFonts w:hint="eastAsia"/>
                <w:color w:val="FF0000"/>
              </w:rPr>
            </w:pPr>
          </w:p>
        </w:tc>
      </w:tr>
      <w:tr w14:paraId="69DD9B4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2D7BF811">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3</w:t>
            </w:r>
          </w:p>
        </w:tc>
        <w:tc>
          <w:tcPr>
            <w:tcW w:w="1573" w:type="dxa"/>
            <w:noWrap w:val="0"/>
            <w:vAlign w:val="center"/>
          </w:tcPr>
          <w:p w14:paraId="0307B819">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干燥风机</w:t>
            </w:r>
          </w:p>
        </w:tc>
        <w:tc>
          <w:tcPr>
            <w:tcW w:w="1028" w:type="dxa"/>
            <w:noWrap w:val="0"/>
            <w:vAlign w:val="center"/>
          </w:tcPr>
          <w:p w14:paraId="095705A8">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3</w:t>
            </w:r>
          </w:p>
        </w:tc>
        <w:tc>
          <w:tcPr>
            <w:tcW w:w="1423" w:type="dxa"/>
            <w:noWrap w:val="0"/>
            <w:vAlign w:val="center"/>
          </w:tcPr>
          <w:p w14:paraId="1D3F3A42">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rPr>
              <w:t>8</w:t>
            </w:r>
            <w:r>
              <w:rPr>
                <w:rFonts w:hint="eastAsia" w:ascii="Times New Roman" w:hAnsi="Times New Roman" w:eastAsia="宋体" w:cs="Times New Roman"/>
                <w:color w:val="FF0000"/>
                <w:sz w:val="21"/>
                <w:szCs w:val="22"/>
                <w:lang w:val="en-US" w:eastAsia="zh-CN"/>
              </w:rPr>
              <w:t>3.9</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84.7</w:t>
            </w:r>
          </w:p>
        </w:tc>
        <w:tc>
          <w:tcPr>
            <w:tcW w:w="2923" w:type="dxa"/>
            <w:noWrap w:val="0"/>
            <w:vAlign w:val="center"/>
          </w:tcPr>
          <w:p w14:paraId="00CE6650">
            <w:pPr>
              <w:ind w:firstLine="0"/>
              <w:jc w:val="center"/>
              <w:rPr>
                <w:color w:val="FF0000"/>
                <w:sz w:val="21"/>
                <w:szCs w:val="22"/>
              </w:rPr>
            </w:pPr>
            <w:r>
              <w:rPr>
                <w:rFonts w:hint="eastAsia"/>
                <w:color w:val="FF0000"/>
                <w:sz w:val="21"/>
                <w:szCs w:val="22"/>
              </w:rPr>
              <w:t>减震垫、厂房、围墙隔声</w:t>
            </w:r>
          </w:p>
        </w:tc>
        <w:tc>
          <w:tcPr>
            <w:tcW w:w="996" w:type="dxa"/>
            <w:vMerge w:val="continue"/>
            <w:noWrap w:val="0"/>
            <w:vAlign w:val="center"/>
          </w:tcPr>
          <w:p w14:paraId="6FDDA183">
            <w:pPr>
              <w:pStyle w:val="421"/>
              <w:ind w:firstLine="480"/>
              <w:rPr>
                <w:rFonts w:hint="eastAsia"/>
                <w:color w:val="FF0000"/>
              </w:rPr>
            </w:pPr>
          </w:p>
        </w:tc>
      </w:tr>
      <w:tr w14:paraId="0A99E14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27C89EBE">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4</w:t>
            </w:r>
          </w:p>
        </w:tc>
        <w:tc>
          <w:tcPr>
            <w:tcW w:w="1573" w:type="dxa"/>
            <w:noWrap w:val="0"/>
            <w:vAlign w:val="center"/>
          </w:tcPr>
          <w:p w14:paraId="4E58DD0E">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筛选机</w:t>
            </w:r>
          </w:p>
        </w:tc>
        <w:tc>
          <w:tcPr>
            <w:tcW w:w="1028" w:type="dxa"/>
            <w:noWrap w:val="0"/>
            <w:vAlign w:val="center"/>
          </w:tcPr>
          <w:p w14:paraId="6150DC8A">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3</w:t>
            </w:r>
          </w:p>
        </w:tc>
        <w:tc>
          <w:tcPr>
            <w:tcW w:w="1423" w:type="dxa"/>
            <w:noWrap w:val="0"/>
            <w:vAlign w:val="center"/>
          </w:tcPr>
          <w:p w14:paraId="56EA11D3">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80～85</w:t>
            </w:r>
          </w:p>
        </w:tc>
        <w:tc>
          <w:tcPr>
            <w:tcW w:w="2923" w:type="dxa"/>
            <w:noWrap w:val="0"/>
            <w:vAlign w:val="center"/>
          </w:tcPr>
          <w:p w14:paraId="7F067D77">
            <w:pPr>
              <w:ind w:firstLine="0"/>
              <w:jc w:val="center"/>
              <w:rPr>
                <w:color w:val="FF0000"/>
                <w:sz w:val="21"/>
                <w:szCs w:val="22"/>
              </w:rPr>
            </w:pPr>
            <w:r>
              <w:rPr>
                <w:rFonts w:hint="eastAsia"/>
                <w:color w:val="FF0000"/>
                <w:sz w:val="21"/>
                <w:szCs w:val="22"/>
              </w:rPr>
              <w:t>减震垫、厂房、围墙隔声</w:t>
            </w:r>
          </w:p>
        </w:tc>
        <w:tc>
          <w:tcPr>
            <w:tcW w:w="996" w:type="dxa"/>
            <w:vMerge w:val="continue"/>
            <w:noWrap w:val="0"/>
            <w:vAlign w:val="center"/>
          </w:tcPr>
          <w:p w14:paraId="3CD7B8FC">
            <w:pPr>
              <w:pStyle w:val="421"/>
              <w:ind w:firstLine="480"/>
              <w:rPr>
                <w:rFonts w:hint="eastAsia"/>
                <w:color w:val="FF0000"/>
              </w:rPr>
            </w:pPr>
          </w:p>
        </w:tc>
      </w:tr>
      <w:tr w14:paraId="5889C5E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3D169688">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5</w:t>
            </w:r>
          </w:p>
        </w:tc>
        <w:tc>
          <w:tcPr>
            <w:tcW w:w="1573" w:type="dxa"/>
            <w:noWrap w:val="0"/>
            <w:vAlign w:val="center"/>
          </w:tcPr>
          <w:p w14:paraId="22FAF2F5">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拌胶机</w:t>
            </w:r>
          </w:p>
        </w:tc>
        <w:tc>
          <w:tcPr>
            <w:tcW w:w="1028" w:type="dxa"/>
            <w:noWrap w:val="0"/>
            <w:vAlign w:val="center"/>
          </w:tcPr>
          <w:p w14:paraId="37A10F1B">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4</w:t>
            </w:r>
          </w:p>
        </w:tc>
        <w:tc>
          <w:tcPr>
            <w:tcW w:w="1423" w:type="dxa"/>
            <w:noWrap w:val="0"/>
            <w:vAlign w:val="center"/>
          </w:tcPr>
          <w:p w14:paraId="2A81097E">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81.0</w:t>
            </w:r>
            <w:r>
              <w:rPr>
                <w:rFonts w:hint="eastAsia" w:ascii="Times New Roman" w:hAnsi="Times New Roman" w:eastAsia="宋体" w:cs="Times New Roman"/>
                <w:color w:val="FF0000"/>
                <w:sz w:val="21"/>
                <w:szCs w:val="22"/>
              </w:rPr>
              <w:t>～8</w:t>
            </w:r>
            <w:r>
              <w:rPr>
                <w:rFonts w:hint="eastAsia" w:ascii="Times New Roman" w:hAnsi="Times New Roman" w:eastAsia="宋体" w:cs="Times New Roman"/>
                <w:color w:val="FF0000"/>
                <w:sz w:val="21"/>
                <w:szCs w:val="22"/>
                <w:lang w:val="en-US" w:eastAsia="zh-CN"/>
              </w:rPr>
              <w:t>1.7</w:t>
            </w:r>
          </w:p>
        </w:tc>
        <w:tc>
          <w:tcPr>
            <w:tcW w:w="2923" w:type="dxa"/>
            <w:noWrap w:val="0"/>
            <w:vAlign w:val="center"/>
          </w:tcPr>
          <w:p w14:paraId="75865C43">
            <w:pPr>
              <w:ind w:firstLine="0"/>
              <w:jc w:val="center"/>
              <w:rPr>
                <w:rFonts w:hint="eastAsia"/>
                <w:color w:val="FF0000"/>
                <w:sz w:val="21"/>
                <w:szCs w:val="22"/>
                <w:lang w:val="en-US" w:eastAsia="zh-CN" w:bidi="ar-SA"/>
              </w:rPr>
            </w:pPr>
            <w:r>
              <w:rPr>
                <w:rFonts w:hint="eastAsia"/>
                <w:color w:val="FF0000"/>
                <w:sz w:val="21"/>
                <w:szCs w:val="22"/>
              </w:rPr>
              <w:t>减震垫、厂房、围墙隔声</w:t>
            </w:r>
          </w:p>
        </w:tc>
        <w:tc>
          <w:tcPr>
            <w:tcW w:w="996" w:type="dxa"/>
            <w:vMerge w:val="continue"/>
            <w:noWrap w:val="0"/>
            <w:vAlign w:val="center"/>
          </w:tcPr>
          <w:p w14:paraId="36D2BB35">
            <w:pPr>
              <w:pStyle w:val="421"/>
              <w:ind w:firstLine="480"/>
              <w:rPr>
                <w:rFonts w:hint="eastAsia"/>
                <w:bCs/>
                <w:color w:val="FF0000"/>
              </w:rPr>
            </w:pPr>
          </w:p>
        </w:tc>
      </w:tr>
      <w:tr w14:paraId="031090D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7BEA9921">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6</w:t>
            </w:r>
          </w:p>
        </w:tc>
        <w:tc>
          <w:tcPr>
            <w:tcW w:w="1573" w:type="dxa"/>
            <w:noWrap w:val="0"/>
            <w:vAlign w:val="center"/>
          </w:tcPr>
          <w:p w14:paraId="51C1A29F">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齐边锯</w:t>
            </w:r>
          </w:p>
        </w:tc>
        <w:tc>
          <w:tcPr>
            <w:tcW w:w="1028" w:type="dxa"/>
            <w:noWrap w:val="0"/>
            <w:vAlign w:val="center"/>
          </w:tcPr>
          <w:p w14:paraId="3B3F18EA">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1</w:t>
            </w:r>
          </w:p>
        </w:tc>
        <w:tc>
          <w:tcPr>
            <w:tcW w:w="1423" w:type="dxa"/>
            <w:noWrap w:val="0"/>
            <w:vAlign w:val="center"/>
          </w:tcPr>
          <w:p w14:paraId="44289D1A">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80.5</w:t>
            </w:r>
            <w:r>
              <w:rPr>
                <w:rFonts w:hint="eastAsia" w:ascii="Times New Roman" w:hAnsi="Times New Roman" w:eastAsia="宋体" w:cs="Times New Roman"/>
                <w:color w:val="FF0000"/>
                <w:sz w:val="21"/>
                <w:szCs w:val="22"/>
              </w:rPr>
              <w:t>～8</w:t>
            </w:r>
            <w:r>
              <w:rPr>
                <w:rFonts w:hint="eastAsia" w:ascii="Times New Roman" w:hAnsi="Times New Roman" w:eastAsia="宋体" w:cs="Times New Roman"/>
                <w:color w:val="FF0000"/>
                <w:sz w:val="21"/>
                <w:szCs w:val="22"/>
                <w:lang w:val="en-US" w:eastAsia="zh-CN"/>
              </w:rPr>
              <w:t>1.4</w:t>
            </w:r>
          </w:p>
        </w:tc>
        <w:tc>
          <w:tcPr>
            <w:tcW w:w="2923" w:type="dxa"/>
            <w:noWrap w:val="0"/>
            <w:vAlign w:val="center"/>
          </w:tcPr>
          <w:p w14:paraId="1C7F286A">
            <w:pPr>
              <w:ind w:firstLine="0"/>
              <w:jc w:val="center"/>
              <w:rPr>
                <w:color w:val="FF0000"/>
              </w:rPr>
            </w:pPr>
            <w:r>
              <w:rPr>
                <w:rFonts w:hint="eastAsia"/>
                <w:color w:val="FF0000"/>
                <w:sz w:val="21"/>
                <w:szCs w:val="22"/>
              </w:rPr>
              <w:t>减震垫、厂房、围墙</w:t>
            </w:r>
            <w:r>
              <w:rPr>
                <w:color w:val="FF0000"/>
                <w:sz w:val="21"/>
                <w:szCs w:val="22"/>
              </w:rPr>
              <w:t xml:space="preserve"> </w:t>
            </w:r>
            <w:r>
              <w:rPr>
                <w:rFonts w:hint="eastAsia"/>
                <w:color w:val="FF0000"/>
                <w:sz w:val="21"/>
                <w:szCs w:val="22"/>
              </w:rPr>
              <w:t>隔声</w:t>
            </w:r>
          </w:p>
        </w:tc>
        <w:tc>
          <w:tcPr>
            <w:tcW w:w="996" w:type="dxa"/>
            <w:vMerge w:val="continue"/>
            <w:noWrap w:val="0"/>
            <w:vAlign w:val="center"/>
          </w:tcPr>
          <w:p w14:paraId="33431F8B">
            <w:pPr>
              <w:pStyle w:val="421"/>
              <w:ind w:firstLine="480"/>
              <w:rPr>
                <w:rFonts w:hint="eastAsia"/>
                <w:color w:val="FF0000"/>
              </w:rPr>
            </w:pPr>
          </w:p>
        </w:tc>
      </w:tr>
      <w:tr w14:paraId="69ACF54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07D3D195">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7</w:t>
            </w:r>
          </w:p>
        </w:tc>
        <w:tc>
          <w:tcPr>
            <w:tcW w:w="1573" w:type="dxa"/>
            <w:noWrap w:val="0"/>
            <w:vAlign w:val="center"/>
          </w:tcPr>
          <w:p w14:paraId="49F47D77">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热压机</w:t>
            </w:r>
          </w:p>
        </w:tc>
        <w:tc>
          <w:tcPr>
            <w:tcW w:w="1028" w:type="dxa"/>
            <w:noWrap w:val="0"/>
            <w:vAlign w:val="center"/>
          </w:tcPr>
          <w:p w14:paraId="64E84A6F">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4</w:t>
            </w:r>
          </w:p>
        </w:tc>
        <w:tc>
          <w:tcPr>
            <w:tcW w:w="1423" w:type="dxa"/>
            <w:noWrap w:val="0"/>
            <w:vAlign w:val="center"/>
          </w:tcPr>
          <w:p w14:paraId="76C77FFB">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83.2</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84.3</w:t>
            </w:r>
          </w:p>
        </w:tc>
        <w:tc>
          <w:tcPr>
            <w:tcW w:w="2923" w:type="dxa"/>
            <w:noWrap w:val="0"/>
            <w:vAlign w:val="center"/>
          </w:tcPr>
          <w:p w14:paraId="7EE8771A">
            <w:pPr>
              <w:ind w:firstLine="0"/>
              <w:jc w:val="center"/>
              <w:rPr>
                <w:color w:val="FF0000"/>
                <w:sz w:val="21"/>
                <w:szCs w:val="22"/>
              </w:rPr>
            </w:pPr>
            <w:r>
              <w:rPr>
                <w:rFonts w:hint="eastAsia"/>
                <w:color w:val="FF0000"/>
                <w:sz w:val="21"/>
                <w:szCs w:val="22"/>
              </w:rPr>
              <w:t>减震垫、厂房、围墙隔声</w:t>
            </w:r>
          </w:p>
        </w:tc>
        <w:tc>
          <w:tcPr>
            <w:tcW w:w="996" w:type="dxa"/>
            <w:vMerge w:val="continue"/>
            <w:noWrap w:val="0"/>
            <w:vAlign w:val="center"/>
          </w:tcPr>
          <w:p w14:paraId="1AFD7E61">
            <w:pPr>
              <w:pStyle w:val="421"/>
              <w:spacing w:line="321" w:lineRule="exact"/>
              <w:ind w:right="115" w:firstLine="0"/>
              <w:rPr>
                <w:rFonts w:hint="eastAsia" w:ascii="Times New Roman" w:hAnsi="Times New Roman" w:eastAsia="宋体" w:cs="Times New Roman"/>
                <w:color w:val="FF0000"/>
                <w:sz w:val="21"/>
                <w:szCs w:val="22"/>
              </w:rPr>
            </w:pPr>
          </w:p>
        </w:tc>
      </w:tr>
      <w:tr w14:paraId="6B5FE70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1DCB14F6">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8</w:t>
            </w:r>
          </w:p>
        </w:tc>
        <w:tc>
          <w:tcPr>
            <w:tcW w:w="1573" w:type="dxa"/>
            <w:noWrap w:val="0"/>
            <w:vAlign w:val="center"/>
          </w:tcPr>
          <w:p w14:paraId="68B0211B">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砂光机</w:t>
            </w:r>
          </w:p>
        </w:tc>
        <w:tc>
          <w:tcPr>
            <w:tcW w:w="1028" w:type="dxa"/>
            <w:noWrap w:val="0"/>
            <w:vAlign w:val="center"/>
          </w:tcPr>
          <w:p w14:paraId="573EB6FE">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3</w:t>
            </w:r>
          </w:p>
        </w:tc>
        <w:tc>
          <w:tcPr>
            <w:tcW w:w="1423" w:type="dxa"/>
            <w:noWrap w:val="0"/>
            <w:vAlign w:val="center"/>
          </w:tcPr>
          <w:p w14:paraId="70A8F7BB">
            <w:pPr>
              <w:pStyle w:val="421"/>
              <w:spacing w:line="321" w:lineRule="exact"/>
              <w:ind w:right="115" w:firstLine="0"/>
              <w:rPr>
                <w:rFonts w:ascii="Times New Roman" w:hAnsi="Times New Roman" w:eastAsia="宋体" w:cs="Times New Roman"/>
                <w:color w:val="FF0000"/>
                <w:sz w:val="21"/>
                <w:szCs w:val="22"/>
                <w:lang w:val="en-US"/>
              </w:rPr>
            </w:pPr>
            <w:r>
              <w:rPr>
                <w:rFonts w:hint="eastAsia" w:ascii="Times New Roman" w:hAnsi="Times New Roman" w:eastAsia="宋体" w:cs="Times New Roman"/>
                <w:color w:val="FF0000"/>
                <w:sz w:val="21"/>
                <w:szCs w:val="22"/>
                <w:lang w:val="en-US" w:eastAsia="zh-CN"/>
              </w:rPr>
              <w:t>95.2</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96.7</w:t>
            </w:r>
          </w:p>
        </w:tc>
        <w:tc>
          <w:tcPr>
            <w:tcW w:w="2923" w:type="dxa"/>
            <w:noWrap w:val="0"/>
            <w:vAlign w:val="center"/>
          </w:tcPr>
          <w:p w14:paraId="23666A49">
            <w:pPr>
              <w:ind w:firstLine="0"/>
              <w:jc w:val="center"/>
              <w:rPr>
                <w:color w:val="FF0000"/>
                <w:sz w:val="21"/>
                <w:szCs w:val="22"/>
              </w:rPr>
            </w:pPr>
            <w:r>
              <w:rPr>
                <w:rFonts w:hint="eastAsia"/>
                <w:color w:val="FF0000"/>
                <w:sz w:val="21"/>
                <w:szCs w:val="22"/>
              </w:rPr>
              <w:t>减震垫、厂房、围墙隔声</w:t>
            </w:r>
          </w:p>
        </w:tc>
        <w:tc>
          <w:tcPr>
            <w:tcW w:w="996" w:type="dxa"/>
            <w:vMerge w:val="continue"/>
            <w:noWrap w:val="0"/>
            <w:vAlign w:val="center"/>
          </w:tcPr>
          <w:p w14:paraId="710F4E32">
            <w:pPr>
              <w:pStyle w:val="421"/>
              <w:spacing w:line="321" w:lineRule="exact"/>
              <w:ind w:right="115" w:firstLine="0"/>
              <w:rPr>
                <w:rFonts w:hint="eastAsia" w:ascii="Times New Roman" w:hAnsi="Times New Roman" w:eastAsia="宋体" w:cs="Times New Roman"/>
                <w:color w:val="FF0000"/>
                <w:sz w:val="21"/>
                <w:szCs w:val="22"/>
              </w:rPr>
            </w:pPr>
          </w:p>
        </w:tc>
      </w:tr>
      <w:tr w14:paraId="4C4F6CA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2759C967">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9</w:t>
            </w:r>
          </w:p>
        </w:tc>
        <w:tc>
          <w:tcPr>
            <w:tcW w:w="1573" w:type="dxa"/>
            <w:noWrap w:val="0"/>
            <w:vAlign w:val="center"/>
          </w:tcPr>
          <w:p w14:paraId="5D644CBD">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冷压机</w:t>
            </w:r>
          </w:p>
        </w:tc>
        <w:tc>
          <w:tcPr>
            <w:tcW w:w="1028" w:type="dxa"/>
            <w:noWrap w:val="0"/>
            <w:vAlign w:val="center"/>
          </w:tcPr>
          <w:p w14:paraId="688F4336">
            <w:pPr>
              <w:pStyle w:val="421"/>
              <w:spacing w:line="321" w:lineRule="exact"/>
              <w:ind w:right="115" w:firstLine="0"/>
              <w:rPr>
                <w:rFonts w:hint="eastAsia" w:ascii="Times New Roman" w:hAnsi="Times New Roman" w:eastAsia="宋体" w:cs="Times New Roman"/>
                <w:color w:val="FF0000"/>
                <w:sz w:val="21"/>
                <w:szCs w:val="22"/>
                <w:lang w:eastAsia="zh-CN"/>
              </w:rPr>
            </w:pPr>
            <w:r>
              <w:rPr>
                <w:rFonts w:hint="eastAsia" w:ascii="Times New Roman" w:hAnsi="Times New Roman" w:eastAsia="宋体" w:cs="Times New Roman"/>
                <w:color w:val="FF0000"/>
                <w:sz w:val="21"/>
                <w:szCs w:val="22"/>
                <w:lang w:val="en-US" w:eastAsia="zh-CN"/>
              </w:rPr>
              <w:t>2</w:t>
            </w:r>
          </w:p>
        </w:tc>
        <w:tc>
          <w:tcPr>
            <w:tcW w:w="1423" w:type="dxa"/>
            <w:noWrap w:val="0"/>
            <w:vAlign w:val="center"/>
          </w:tcPr>
          <w:p w14:paraId="4A940369">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75～80</w:t>
            </w:r>
          </w:p>
        </w:tc>
        <w:tc>
          <w:tcPr>
            <w:tcW w:w="2923" w:type="dxa"/>
            <w:noWrap w:val="0"/>
            <w:vAlign w:val="center"/>
          </w:tcPr>
          <w:p w14:paraId="7CA78DEB">
            <w:pPr>
              <w:ind w:firstLine="0"/>
              <w:jc w:val="center"/>
              <w:rPr>
                <w:color w:val="FF0000"/>
                <w:sz w:val="21"/>
                <w:szCs w:val="22"/>
              </w:rPr>
            </w:pPr>
            <w:r>
              <w:rPr>
                <w:rFonts w:hint="eastAsia"/>
                <w:color w:val="FF0000"/>
                <w:sz w:val="21"/>
                <w:szCs w:val="22"/>
              </w:rPr>
              <w:t>减震垫、厂房、围墙隔声</w:t>
            </w:r>
          </w:p>
        </w:tc>
        <w:tc>
          <w:tcPr>
            <w:tcW w:w="996" w:type="dxa"/>
            <w:vMerge w:val="continue"/>
            <w:noWrap w:val="0"/>
            <w:vAlign w:val="center"/>
          </w:tcPr>
          <w:p w14:paraId="3074A3AB">
            <w:pPr>
              <w:pStyle w:val="421"/>
              <w:spacing w:line="321" w:lineRule="exact"/>
              <w:ind w:right="115" w:firstLine="0"/>
              <w:rPr>
                <w:rFonts w:ascii="Times New Roman" w:hAnsi="Times New Roman" w:eastAsia="宋体" w:cs="Times New Roman"/>
                <w:color w:val="FF0000"/>
                <w:sz w:val="21"/>
                <w:szCs w:val="22"/>
              </w:rPr>
            </w:pPr>
          </w:p>
        </w:tc>
      </w:tr>
      <w:tr w14:paraId="395613C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0F942E08">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10</w:t>
            </w:r>
          </w:p>
        </w:tc>
        <w:tc>
          <w:tcPr>
            <w:tcW w:w="1573" w:type="dxa"/>
            <w:noWrap w:val="0"/>
            <w:vAlign w:val="center"/>
          </w:tcPr>
          <w:p w14:paraId="0CDED476">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锯边机</w:t>
            </w:r>
          </w:p>
        </w:tc>
        <w:tc>
          <w:tcPr>
            <w:tcW w:w="1028" w:type="dxa"/>
            <w:noWrap w:val="0"/>
            <w:vAlign w:val="center"/>
          </w:tcPr>
          <w:p w14:paraId="7C2D010B">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2</w:t>
            </w:r>
          </w:p>
        </w:tc>
        <w:tc>
          <w:tcPr>
            <w:tcW w:w="1423" w:type="dxa"/>
            <w:noWrap w:val="0"/>
            <w:vAlign w:val="center"/>
          </w:tcPr>
          <w:p w14:paraId="5B0A86E0">
            <w:pPr>
              <w:pStyle w:val="421"/>
              <w:spacing w:line="321" w:lineRule="exact"/>
              <w:ind w:right="115" w:firstLine="0"/>
              <w:rPr>
                <w:rFonts w:ascii="Times New Roman" w:hAnsi="Times New Roman" w:eastAsia="宋体" w:cs="Times New Roman"/>
                <w:color w:val="FF0000"/>
                <w:sz w:val="21"/>
                <w:szCs w:val="22"/>
                <w:lang w:val="en-US"/>
              </w:rPr>
            </w:pPr>
            <w:r>
              <w:rPr>
                <w:rFonts w:hint="eastAsia" w:ascii="Times New Roman" w:hAnsi="Times New Roman" w:eastAsia="宋体" w:cs="Times New Roman"/>
                <w:color w:val="FF0000"/>
                <w:sz w:val="21"/>
                <w:szCs w:val="22"/>
                <w:lang w:val="en-US" w:eastAsia="zh-CN"/>
              </w:rPr>
              <w:t>80.5</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81.4</w:t>
            </w:r>
          </w:p>
        </w:tc>
        <w:tc>
          <w:tcPr>
            <w:tcW w:w="2923" w:type="dxa"/>
            <w:noWrap w:val="0"/>
            <w:vAlign w:val="center"/>
          </w:tcPr>
          <w:p w14:paraId="48BE1D28">
            <w:pPr>
              <w:ind w:firstLine="0"/>
              <w:jc w:val="center"/>
              <w:rPr>
                <w:rFonts w:hint="eastAsia"/>
                <w:color w:val="FF0000"/>
                <w:sz w:val="21"/>
                <w:szCs w:val="22"/>
              </w:rPr>
            </w:pPr>
            <w:r>
              <w:rPr>
                <w:rFonts w:hint="eastAsia"/>
                <w:color w:val="FF0000"/>
                <w:sz w:val="21"/>
                <w:szCs w:val="22"/>
              </w:rPr>
              <w:t>减震垫、厂房、围墙隔声</w:t>
            </w:r>
          </w:p>
        </w:tc>
        <w:tc>
          <w:tcPr>
            <w:tcW w:w="996" w:type="dxa"/>
            <w:vMerge w:val="continue"/>
            <w:noWrap w:val="0"/>
            <w:vAlign w:val="center"/>
          </w:tcPr>
          <w:p w14:paraId="3866DCBD">
            <w:pPr>
              <w:pStyle w:val="421"/>
              <w:spacing w:line="321" w:lineRule="exact"/>
              <w:ind w:right="115" w:firstLine="0"/>
              <w:rPr>
                <w:rFonts w:hint="eastAsia" w:ascii="Times New Roman" w:hAnsi="Times New Roman" w:eastAsia="宋体" w:cs="Times New Roman"/>
                <w:color w:val="FF0000"/>
                <w:sz w:val="21"/>
                <w:szCs w:val="22"/>
              </w:rPr>
            </w:pPr>
          </w:p>
        </w:tc>
      </w:tr>
      <w:tr w14:paraId="56B4EE2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934" w:type="dxa"/>
            <w:noWrap w:val="0"/>
            <w:vAlign w:val="center"/>
          </w:tcPr>
          <w:p w14:paraId="70FEBA87">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11</w:t>
            </w:r>
          </w:p>
        </w:tc>
        <w:tc>
          <w:tcPr>
            <w:tcW w:w="1573" w:type="dxa"/>
            <w:noWrap w:val="0"/>
            <w:vAlign w:val="center"/>
          </w:tcPr>
          <w:p w14:paraId="11E7C08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开槽机</w:t>
            </w:r>
          </w:p>
        </w:tc>
        <w:tc>
          <w:tcPr>
            <w:tcW w:w="1028" w:type="dxa"/>
            <w:noWrap w:val="0"/>
            <w:vAlign w:val="center"/>
          </w:tcPr>
          <w:p w14:paraId="5214574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2</w:t>
            </w:r>
          </w:p>
        </w:tc>
        <w:tc>
          <w:tcPr>
            <w:tcW w:w="1423" w:type="dxa"/>
            <w:noWrap w:val="0"/>
            <w:vAlign w:val="center"/>
          </w:tcPr>
          <w:p w14:paraId="52097D07">
            <w:pPr>
              <w:pStyle w:val="421"/>
              <w:spacing w:line="321" w:lineRule="exact"/>
              <w:ind w:right="115" w:firstLine="0"/>
              <w:rPr>
                <w:rFonts w:ascii="Times New Roman" w:hAnsi="Times New Roman" w:eastAsia="宋体" w:cs="Times New Roman"/>
                <w:color w:val="FF0000"/>
                <w:sz w:val="21"/>
                <w:szCs w:val="22"/>
                <w:lang w:val="en-US"/>
              </w:rPr>
            </w:pPr>
            <w:r>
              <w:rPr>
                <w:rFonts w:hint="eastAsia" w:ascii="Times New Roman" w:hAnsi="Times New Roman" w:eastAsia="宋体" w:cs="Times New Roman"/>
                <w:color w:val="FF0000"/>
                <w:sz w:val="21"/>
                <w:szCs w:val="22"/>
                <w:lang w:val="en-US" w:eastAsia="zh-CN"/>
              </w:rPr>
              <w:t>86.2</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88.3</w:t>
            </w:r>
          </w:p>
        </w:tc>
        <w:tc>
          <w:tcPr>
            <w:tcW w:w="2923" w:type="dxa"/>
            <w:noWrap w:val="0"/>
            <w:vAlign w:val="center"/>
          </w:tcPr>
          <w:p w14:paraId="47101576">
            <w:pPr>
              <w:ind w:firstLine="0"/>
              <w:jc w:val="center"/>
              <w:rPr>
                <w:rFonts w:hint="eastAsia"/>
                <w:color w:val="FF0000"/>
                <w:sz w:val="21"/>
                <w:szCs w:val="22"/>
              </w:rPr>
            </w:pPr>
            <w:r>
              <w:rPr>
                <w:rFonts w:hint="eastAsia"/>
                <w:color w:val="FF0000"/>
                <w:sz w:val="21"/>
                <w:szCs w:val="22"/>
              </w:rPr>
              <w:t>减震垫、厂房、围墙隔声</w:t>
            </w:r>
          </w:p>
        </w:tc>
        <w:tc>
          <w:tcPr>
            <w:tcW w:w="996" w:type="dxa"/>
            <w:vMerge w:val="continue"/>
            <w:noWrap w:val="0"/>
            <w:vAlign w:val="center"/>
          </w:tcPr>
          <w:p w14:paraId="1712A41F">
            <w:pPr>
              <w:pStyle w:val="421"/>
              <w:spacing w:line="321" w:lineRule="exact"/>
              <w:ind w:right="115" w:firstLine="0"/>
              <w:rPr>
                <w:rFonts w:hint="eastAsia" w:ascii="Times New Roman" w:hAnsi="Times New Roman" w:eastAsia="宋体" w:cs="Times New Roman"/>
                <w:color w:val="FF0000"/>
                <w:sz w:val="21"/>
                <w:szCs w:val="22"/>
              </w:rPr>
            </w:pPr>
          </w:p>
        </w:tc>
      </w:tr>
      <w:tr w14:paraId="0D6E4FF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1034D8B0">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12</w:t>
            </w:r>
          </w:p>
        </w:tc>
        <w:tc>
          <w:tcPr>
            <w:tcW w:w="1573" w:type="dxa"/>
            <w:noWrap w:val="0"/>
            <w:vAlign w:val="center"/>
          </w:tcPr>
          <w:p w14:paraId="4D76439B">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往复锯</w:t>
            </w:r>
          </w:p>
        </w:tc>
        <w:tc>
          <w:tcPr>
            <w:tcW w:w="1028" w:type="dxa"/>
            <w:noWrap w:val="0"/>
            <w:vAlign w:val="center"/>
          </w:tcPr>
          <w:p w14:paraId="7D27782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2</w:t>
            </w:r>
          </w:p>
        </w:tc>
        <w:tc>
          <w:tcPr>
            <w:tcW w:w="1423" w:type="dxa"/>
            <w:noWrap w:val="0"/>
            <w:vAlign w:val="center"/>
          </w:tcPr>
          <w:p w14:paraId="2223DD5A">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lang w:val="en-US" w:eastAsia="zh-CN"/>
              </w:rPr>
              <w:t>80</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85</w:t>
            </w:r>
          </w:p>
        </w:tc>
        <w:tc>
          <w:tcPr>
            <w:tcW w:w="2923" w:type="dxa"/>
            <w:noWrap w:val="0"/>
            <w:vAlign w:val="center"/>
          </w:tcPr>
          <w:p w14:paraId="10B3D804">
            <w:pPr>
              <w:ind w:firstLine="0"/>
              <w:jc w:val="center"/>
              <w:rPr>
                <w:rFonts w:hint="eastAsia"/>
                <w:color w:val="FF0000"/>
                <w:sz w:val="21"/>
                <w:szCs w:val="22"/>
              </w:rPr>
            </w:pPr>
            <w:r>
              <w:rPr>
                <w:rFonts w:hint="eastAsia"/>
                <w:color w:val="FF0000"/>
                <w:sz w:val="21"/>
                <w:szCs w:val="22"/>
              </w:rPr>
              <w:t>减震垫、厂房、围墙隔声</w:t>
            </w:r>
          </w:p>
        </w:tc>
        <w:tc>
          <w:tcPr>
            <w:tcW w:w="996" w:type="dxa"/>
            <w:vMerge w:val="continue"/>
            <w:noWrap w:val="0"/>
            <w:vAlign w:val="center"/>
          </w:tcPr>
          <w:p w14:paraId="32317BBC">
            <w:pPr>
              <w:pStyle w:val="421"/>
              <w:spacing w:line="321" w:lineRule="exact"/>
              <w:ind w:right="115" w:firstLine="0"/>
              <w:rPr>
                <w:rFonts w:hint="eastAsia" w:ascii="Times New Roman" w:hAnsi="Times New Roman" w:eastAsia="宋体" w:cs="Times New Roman"/>
                <w:color w:val="FF0000"/>
                <w:sz w:val="21"/>
                <w:szCs w:val="22"/>
              </w:rPr>
            </w:pPr>
          </w:p>
        </w:tc>
      </w:tr>
      <w:tr w14:paraId="7C427A8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344E5709">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13</w:t>
            </w:r>
          </w:p>
        </w:tc>
        <w:tc>
          <w:tcPr>
            <w:tcW w:w="1573" w:type="dxa"/>
            <w:noWrap w:val="0"/>
            <w:vAlign w:val="center"/>
          </w:tcPr>
          <w:p w14:paraId="68450D1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反应釜</w:t>
            </w:r>
          </w:p>
        </w:tc>
        <w:tc>
          <w:tcPr>
            <w:tcW w:w="1028" w:type="dxa"/>
            <w:noWrap w:val="0"/>
            <w:vAlign w:val="center"/>
          </w:tcPr>
          <w:p w14:paraId="587C6341">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2</w:t>
            </w:r>
          </w:p>
        </w:tc>
        <w:tc>
          <w:tcPr>
            <w:tcW w:w="1423" w:type="dxa"/>
            <w:noWrap w:val="0"/>
            <w:vAlign w:val="center"/>
          </w:tcPr>
          <w:p w14:paraId="6B39DE4E">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70</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75</w:t>
            </w:r>
          </w:p>
        </w:tc>
        <w:tc>
          <w:tcPr>
            <w:tcW w:w="2923" w:type="dxa"/>
            <w:noWrap w:val="0"/>
            <w:vAlign w:val="center"/>
          </w:tcPr>
          <w:p w14:paraId="64C25C92">
            <w:pPr>
              <w:ind w:firstLine="0"/>
              <w:jc w:val="center"/>
              <w:rPr>
                <w:rFonts w:hint="eastAsia"/>
                <w:color w:val="FF0000"/>
                <w:sz w:val="21"/>
                <w:szCs w:val="22"/>
              </w:rPr>
            </w:pPr>
            <w:r>
              <w:rPr>
                <w:rFonts w:hint="eastAsia"/>
                <w:color w:val="FF0000"/>
                <w:sz w:val="21"/>
                <w:szCs w:val="22"/>
              </w:rPr>
              <w:t>减震垫、厂房、围墙隔声</w:t>
            </w:r>
          </w:p>
        </w:tc>
        <w:tc>
          <w:tcPr>
            <w:tcW w:w="996" w:type="dxa"/>
            <w:noWrap w:val="0"/>
            <w:vAlign w:val="center"/>
          </w:tcPr>
          <w:p w14:paraId="366E75E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制胶车间</w:t>
            </w:r>
          </w:p>
        </w:tc>
      </w:tr>
      <w:tr w14:paraId="4B4822C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28FE9B32">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14</w:t>
            </w:r>
          </w:p>
        </w:tc>
        <w:tc>
          <w:tcPr>
            <w:tcW w:w="1573" w:type="dxa"/>
            <w:noWrap w:val="0"/>
            <w:vAlign w:val="center"/>
          </w:tcPr>
          <w:p w14:paraId="2D73D502">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空压机</w:t>
            </w:r>
          </w:p>
        </w:tc>
        <w:tc>
          <w:tcPr>
            <w:tcW w:w="1028" w:type="dxa"/>
            <w:noWrap w:val="0"/>
            <w:vAlign w:val="center"/>
          </w:tcPr>
          <w:p w14:paraId="05843251">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2</w:t>
            </w:r>
          </w:p>
        </w:tc>
        <w:tc>
          <w:tcPr>
            <w:tcW w:w="1423" w:type="dxa"/>
            <w:noWrap w:val="0"/>
            <w:vAlign w:val="center"/>
          </w:tcPr>
          <w:p w14:paraId="1B594A90">
            <w:pPr>
              <w:pStyle w:val="421"/>
              <w:spacing w:line="321" w:lineRule="exact"/>
              <w:ind w:right="115" w:firstLine="0"/>
              <w:rPr>
                <w:rFonts w:ascii="Times New Roman" w:hAnsi="Times New Roman" w:eastAsia="宋体" w:cs="Times New Roman"/>
                <w:color w:val="FF0000"/>
                <w:sz w:val="21"/>
                <w:szCs w:val="22"/>
                <w:lang w:val="en-US"/>
              </w:rPr>
            </w:pPr>
            <w:r>
              <w:rPr>
                <w:rFonts w:hint="eastAsia" w:ascii="Times New Roman" w:hAnsi="Times New Roman" w:eastAsia="宋体" w:cs="Times New Roman"/>
                <w:color w:val="FF0000"/>
                <w:sz w:val="21"/>
                <w:szCs w:val="22"/>
                <w:lang w:val="en-US" w:eastAsia="zh-CN"/>
              </w:rPr>
              <w:t>85.2</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85.4</w:t>
            </w:r>
          </w:p>
        </w:tc>
        <w:tc>
          <w:tcPr>
            <w:tcW w:w="2923" w:type="dxa"/>
            <w:noWrap w:val="0"/>
            <w:vAlign w:val="center"/>
          </w:tcPr>
          <w:p w14:paraId="54647EA9">
            <w:pPr>
              <w:ind w:firstLine="0"/>
              <w:jc w:val="center"/>
              <w:rPr>
                <w:rFonts w:hint="eastAsia"/>
                <w:color w:val="FF0000"/>
                <w:sz w:val="21"/>
                <w:szCs w:val="22"/>
                <w:lang w:val="en-US" w:eastAsia="zh-CN" w:bidi="ar-SA"/>
              </w:rPr>
            </w:pPr>
            <w:r>
              <w:rPr>
                <w:rFonts w:hint="eastAsia"/>
                <w:color w:val="FF0000"/>
                <w:sz w:val="21"/>
                <w:szCs w:val="22"/>
              </w:rPr>
              <w:t>减震垫、厂房、围墙隔声</w:t>
            </w:r>
          </w:p>
        </w:tc>
        <w:tc>
          <w:tcPr>
            <w:tcW w:w="996" w:type="dxa"/>
            <w:noWrap w:val="0"/>
            <w:vAlign w:val="center"/>
          </w:tcPr>
          <w:p w14:paraId="61392A4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空压机房</w:t>
            </w:r>
          </w:p>
        </w:tc>
      </w:tr>
      <w:tr w14:paraId="6443120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35D0677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15</w:t>
            </w:r>
          </w:p>
        </w:tc>
        <w:tc>
          <w:tcPr>
            <w:tcW w:w="1573" w:type="dxa"/>
            <w:noWrap w:val="0"/>
            <w:vAlign w:val="center"/>
          </w:tcPr>
          <w:p w14:paraId="4C5EBE2E">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车、铣、刨、钻等机加工设备</w:t>
            </w:r>
          </w:p>
        </w:tc>
        <w:tc>
          <w:tcPr>
            <w:tcW w:w="1028" w:type="dxa"/>
            <w:noWrap w:val="0"/>
            <w:vAlign w:val="center"/>
          </w:tcPr>
          <w:p w14:paraId="6975A1E4">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4</w:t>
            </w:r>
          </w:p>
        </w:tc>
        <w:tc>
          <w:tcPr>
            <w:tcW w:w="1423" w:type="dxa"/>
            <w:noWrap w:val="0"/>
            <w:vAlign w:val="center"/>
          </w:tcPr>
          <w:p w14:paraId="0999A4BF">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85</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9</w:t>
            </w:r>
            <w:r>
              <w:rPr>
                <w:rFonts w:hint="eastAsia" w:ascii="Times New Roman" w:hAnsi="Times New Roman" w:eastAsia="宋体" w:cs="Times New Roman"/>
                <w:color w:val="FF0000"/>
                <w:sz w:val="21"/>
                <w:szCs w:val="22"/>
              </w:rPr>
              <w:t>0</w:t>
            </w:r>
          </w:p>
        </w:tc>
        <w:tc>
          <w:tcPr>
            <w:tcW w:w="2923" w:type="dxa"/>
            <w:noWrap w:val="0"/>
            <w:vAlign w:val="center"/>
          </w:tcPr>
          <w:p w14:paraId="4E6303AB">
            <w:pPr>
              <w:ind w:firstLine="0"/>
              <w:jc w:val="center"/>
              <w:rPr>
                <w:rFonts w:hint="eastAsia"/>
                <w:color w:val="FF0000"/>
                <w:sz w:val="21"/>
                <w:szCs w:val="22"/>
                <w:lang w:val="en-US" w:eastAsia="zh-CN" w:bidi="ar-SA"/>
              </w:rPr>
            </w:pPr>
            <w:r>
              <w:rPr>
                <w:rFonts w:hint="eastAsia"/>
                <w:color w:val="FF0000"/>
                <w:sz w:val="21"/>
                <w:szCs w:val="22"/>
              </w:rPr>
              <w:t>减震垫、厂房、围墙隔声</w:t>
            </w:r>
          </w:p>
        </w:tc>
        <w:tc>
          <w:tcPr>
            <w:tcW w:w="996" w:type="dxa"/>
            <w:noWrap w:val="0"/>
            <w:vAlign w:val="center"/>
          </w:tcPr>
          <w:p w14:paraId="60690CC5">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机械车间</w:t>
            </w:r>
          </w:p>
        </w:tc>
      </w:tr>
      <w:tr w14:paraId="473818C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245B301B">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16</w:t>
            </w:r>
          </w:p>
        </w:tc>
        <w:tc>
          <w:tcPr>
            <w:tcW w:w="1573" w:type="dxa"/>
            <w:noWrap w:val="0"/>
            <w:vAlign w:val="center"/>
          </w:tcPr>
          <w:p w14:paraId="45D6A804">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lang w:val="en-US" w:eastAsia="zh-CN"/>
              </w:rPr>
              <w:t>热载体炉</w:t>
            </w:r>
            <w:r>
              <w:rPr>
                <w:rFonts w:hint="eastAsia" w:ascii="Times New Roman" w:hAnsi="Times New Roman" w:eastAsia="宋体" w:cs="Times New Roman"/>
                <w:color w:val="FF0000"/>
                <w:sz w:val="21"/>
                <w:szCs w:val="22"/>
              </w:rPr>
              <w:t>及风机</w:t>
            </w:r>
          </w:p>
        </w:tc>
        <w:tc>
          <w:tcPr>
            <w:tcW w:w="1028" w:type="dxa"/>
            <w:noWrap w:val="0"/>
            <w:vAlign w:val="center"/>
          </w:tcPr>
          <w:p w14:paraId="02F3C0CA">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1</w:t>
            </w:r>
          </w:p>
        </w:tc>
        <w:tc>
          <w:tcPr>
            <w:tcW w:w="1423" w:type="dxa"/>
            <w:noWrap w:val="0"/>
            <w:vAlign w:val="center"/>
          </w:tcPr>
          <w:p w14:paraId="1441016E">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73.1</w:t>
            </w:r>
            <w:r>
              <w:rPr>
                <w:rFonts w:hint="eastAsia" w:ascii="Times New Roman" w:hAnsi="Times New Roman" w:eastAsia="宋体" w:cs="Times New Roman"/>
                <w:color w:val="FF0000"/>
                <w:sz w:val="21"/>
                <w:szCs w:val="22"/>
              </w:rPr>
              <w:t>～</w:t>
            </w:r>
            <w:r>
              <w:rPr>
                <w:rFonts w:hint="eastAsia" w:ascii="Times New Roman" w:hAnsi="Times New Roman" w:eastAsia="宋体" w:cs="Times New Roman"/>
                <w:color w:val="FF0000"/>
                <w:sz w:val="21"/>
                <w:szCs w:val="22"/>
                <w:lang w:val="en-US" w:eastAsia="zh-CN"/>
              </w:rPr>
              <w:t>79.8</w:t>
            </w:r>
          </w:p>
        </w:tc>
        <w:tc>
          <w:tcPr>
            <w:tcW w:w="2923" w:type="dxa"/>
            <w:noWrap w:val="0"/>
            <w:vAlign w:val="center"/>
          </w:tcPr>
          <w:p w14:paraId="28AACC89">
            <w:pPr>
              <w:ind w:firstLine="0"/>
              <w:jc w:val="center"/>
              <w:rPr>
                <w:rFonts w:hint="eastAsia"/>
                <w:color w:val="FF0000"/>
                <w:sz w:val="21"/>
                <w:szCs w:val="22"/>
              </w:rPr>
            </w:pPr>
            <w:r>
              <w:rPr>
                <w:rFonts w:hint="eastAsia"/>
                <w:color w:val="FF0000"/>
                <w:sz w:val="21"/>
                <w:szCs w:val="22"/>
              </w:rPr>
              <w:t>减震垫、设备间、厂房、围墙隔声</w:t>
            </w:r>
          </w:p>
        </w:tc>
        <w:tc>
          <w:tcPr>
            <w:tcW w:w="996" w:type="dxa"/>
            <w:noWrap w:val="0"/>
            <w:vAlign w:val="center"/>
          </w:tcPr>
          <w:p w14:paraId="73F37D3D">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能源工厂</w:t>
            </w:r>
          </w:p>
        </w:tc>
      </w:tr>
      <w:tr w14:paraId="5514BEC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34" w:type="dxa"/>
            <w:noWrap w:val="0"/>
            <w:vAlign w:val="center"/>
          </w:tcPr>
          <w:p w14:paraId="116A875D">
            <w:pPr>
              <w:pStyle w:val="421"/>
              <w:spacing w:line="321" w:lineRule="exact"/>
              <w:ind w:right="115" w:firstLine="0"/>
              <w:rPr>
                <w:rFonts w:ascii="Times New Roman" w:hAnsi="Times New Roman" w:eastAsia="宋体" w:cs="Times New Roman"/>
                <w:color w:val="FF0000"/>
                <w:sz w:val="21"/>
                <w:szCs w:val="22"/>
                <w:lang w:val="en-US" w:eastAsia="zh-CN"/>
              </w:rPr>
            </w:pPr>
            <w:r>
              <w:rPr>
                <w:rFonts w:hint="eastAsia" w:ascii="Times New Roman" w:hAnsi="Times New Roman" w:eastAsia="宋体" w:cs="Times New Roman"/>
                <w:color w:val="FF0000"/>
                <w:sz w:val="21"/>
                <w:szCs w:val="22"/>
                <w:lang w:val="en-US" w:eastAsia="zh-CN"/>
              </w:rPr>
              <w:t>17</w:t>
            </w:r>
          </w:p>
        </w:tc>
        <w:tc>
          <w:tcPr>
            <w:tcW w:w="1573" w:type="dxa"/>
            <w:noWrap w:val="0"/>
            <w:vAlign w:val="center"/>
          </w:tcPr>
          <w:p w14:paraId="56B39091">
            <w:pPr>
              <w:pStyle w:val="421"/>
              <w:spacing w:line="321" w:lineRule="exact"/>
              <w:ind w:right="115" w:firstLine="0"/>
              <w:rPr>
                <w:rFonts w:ascii="Times New Roman" w:hAnsi="Times New Roman" w:eastAsia="宋体" w:cs="Times New Roman"/>
                <w:color w:val="FF0000"/>
                <w:sz w:val="21"/>
                <w:szCs w:val="22"/>
              </w:rPr>
            </w:pPr>
            <w:r>
              <w:rPr>
                <w:rFonts w:ascii="Times New Roman" w:hAnsi="Times New Roman" w:eastAsia="宋体" w:cs="Times New Roman"/>
                <w:color w:val="FF0000"/>
                <w:sz w:val="21"/>
                <w:szCs w:val="22"/>
              </w:rPr>
              <w:t>进出车辆</w:t>
            </w:r>
          </w:p>
        </w:tc>
        <w:tc>
          <w:tcPr>
            <w:tcW w:w="1028" w:type="dxa"/>
            <w:noWrap w:val="0"/>
            <w:vAlign w:val="center"/>
          </w:tcPr>
          <w:p w14:paraId="4119487D">
            <w:pPr>
              <w:pStyle w:val="421"/>
              <w:spacing w:line="321" w:lineRule="exact"/>
              <w:ind w:right="115" w:firstLine="0"/>
              <w:rPr>
                <w:rFonts w:ascii="Times New Roman" w:hAnsi="Times New Roman" w:eastAsia="宋体" w:cs="Times New Roman"/>
                <w:color w:val="FF0000"/>
                <w:sz w:val="21"/>
                <w:szCs w:val="22"/>
              </w:rPr>
            </w:pPr>
            <w:r>
              <w:rPr>
                <w:rFonts w:ascii="Times New Roman" w:hAnsi="Times New Roman" w:eastAsia="宋体" w:cs="Times New Roman"/>
                <w:color w:val="FF0000"/>
                <w:sz w:val="21"/>
                <w:szCs w:val="22"/>
              </w:rPr>
              <w:t>若干</w:t>
            </w:r>
          </w:p>
        </w:tc>
        <w:tc>
          <w:tcPr>
            <w:tcW w:w="1423" w:type="dxa"/>
            <w:noWrap w:val="0"/>
            <w:vAlign w:val="center"/>
          </w:tcPr>
          <w:p w14:paraId="7DDC5770">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60～75</w:t>
            </w:r>
          </w:p>
        </w:tc>
        <w:tc>
          <w:tcPr>
            <w:tcW w:w="2923" w:type="dxa"/>
            <w:noWrap w:val="0"/>
            <w:vAlign w:val="center"/>
          </w:tcPr>
          <w:p w14:paraId="40F7931A">
            <w:pPr>
              <w:ind w:firstLine="0"/>
              <w:jc w:val="center"/>
              <w:rPr>
                <w:color w:val="FF0000"/>
                <w:sz w:val="21"/>
                <w:szCs w:val="22"/>
              </w:rPr>
            </w:pPr>
            <w:r>
              <w:rPr>
                <w:rFonts w:hint="eastAsia"/>
                <w:color w:val="FF0000"/>
                <w:sz w:val="21"/>
                <w:szCs w:val="22"/>
              </w:rPr>
              <w:t>加强管理</w:t>
            </w:r>
          </w:p>
        </w:tc>
        <w:tc>
          <w:tcPr>
            <w:tcW w:w="996" w:type="dxa"/>
            <w:noWrap w:val="0"/>
            <w:vAlign w:val="center"/>
          </w:tcPr>
          <w:p w14:paraId="452A1A03">
            <w:pPr>
              <w:pStyle w:val="421"/>
              <w:spacing w:line="321" w:lineRule="exact"/>
              <w:ind w:right="115" w:firstLine="0"/>
              <w:rPr>
                <w:rFonts w:hint="eastAsia" w:ascii="Times New Roman" w:hAnsi="Times New Roman" w:eastAsia="宋体" w:cs="Times New Roman"/>
                <w:color w:val="FF0000"/>
                <w:sz w:val="21"/>
                <w:szCs w:val="22"/>
              </w:rPr>
            </w:pPr>
            <w:r>
              <w:rPr>
                <w:rFonts w:hint="eastAsia" w:ascii="Times New Roman" w:hAnsi="Times New Roman" w:eastAsia="宋体" w:cs="Times New Roman"/>
                <w:color w:val="FF0000"/>
                <w:sz w:val="21"/>
                <w:szCs w:val="22"/>
              </w:rPr>
              <w:t>厂区道路</w:t>
            </w:r>
          </w:p>
        </w:tc>
      </w:tr>
    </w:tbl>
    <w:p w14:paraId="2CAFB70D">
      <w:pPr>
        <w:pStyle w:val="282"/>
      </w:pPr>
      <w:bookmarkStart w:id="112" w:name="_Hlk873798"/>
      <w:r>
        <w:rPr>
          <w:rFonts w:hint="eastAsia"/>
          <w:lang w:val="en-US" w:eastAsia="zh-CN"/>
        </w:rPr>
        <w:t>4.3</w:t>
      </w:r>
      <w:r>
        <w:t>.2.4 固体废物污染源分析</w:t>
      </w:r>
    </w:p>
    <w:bookmarkEnd w:id="112"/>
    <w:p w14:paraId="41D411DC">
      <w:pPr>
        <w:pStyle w:val="380"/>
        <w:spacing w:line="360" w:lineRule="auto"/>
        <w:ind w:firstLine="480"/>
        <w:rPr>
          <w:color w:val="000000"/>
        </w:rPr>
      </w:pPr>
      <w:r>
        <w:rPr>
          <w:rFonts w:hint="eastAsia"/>
          <w:color w:val="000000"/>
          <w:lang w:val="en-US" w:eastAsia="zh-CN"/>
        </w:rPr>
        <w:t>改扩建后，</w:t>
      </w:r>
      <w:r>
        <w:rPr>
          <w:color w:val="000000"/>
        </w:rPr>
        <w:t>主要固体废物为</w:t>
      </w:r>
      <w:r>
        <w:rPr>
          <w:rFonts w:hint="eastAsia"/>
          <w:color w:val="000000"/>
          <w:lang w:val="en-US" w:eastAsia="zh-CN"/>
        </w:rPr>
        <w:t>废边角料、炉渣、</w:t>
      </w:r>
      <w:r>
        <w:rPr>
          <w:rFonts w:hint="eastAsia"/>
          <w:color w:val="000000"/>
        </w:rPr>
        <w:t>循环水池沉淀渣、除尘器回收的粉尘、</w:t>
      </w:r>
      <w:r>
        <w:rPr>
          <w:rFonts w:hint="eastAsia"/>
          <w:color w:val="000000"/>
          <w:lang w:val="en-US" w:eastAsia="zh-CN"/>
        </w:rPr>
        <w:t>生活垃圾、制胶废包装材料、更换的废导热油、</w:t>
      </w:r>
      <w:r>
        <w:rPr>
          <w:color w:val="000000"/>
        </w:rPr>
        <w:t>废离子树脂、废机油及</w:t>
      </w:r>
      <w:r>
        <w:rPr>
          <w:rFonts w:hint="eastAsia"/>
          <w:color w:val="000000"/>
          <w:lang w:val="en-US" w:eastAsia="zh-CN"/>
        </w:rPr>
        <w:t>废活性炭、废灯管</w:t>
      </w:r>
      <w:r>
        <w:rPr>
          <w:rFonts w:hint="eastAsia"/>
          <w:color w:val="000000"/>
        </w:rPr>
        <w:t>等</w:t>
      </w:r>
      <w:r>
        <w:rPr>
          <w:color w:val="000000"/>
        </w:rPr>
        <w:t>。</w:t>
      </w:r>
    </w:p>
    <w:p w14:paraId="5731CFB6">
      <w:pPr>
        <w:ind w:firstLine="480"/>
        <w:rPr>
          <w:rFonts w:ascii="Times New Roman" w:hAnsi="Times New Roman" w:eastAsia="宋体" w:cs="Times New Roman"/>
          <w:szCs w:val="22"/>
          <w:lang w:val="en-US" w:eastAsia="zh-CN"/>
        </w:rPr>
      </w:pPr>
      <w:r>
        <w:rPr>
          <w:rFonts w:ascii="Times New Roman" w:hAnsi="Times New Roman" w:eastAsia="宋体" w:cs="Times New Roman"/>
          <w:szCs w:val="22"/>
        </w:rPr>
        <w:t>1、</w:t>
      </w:r>
      <w:r>
        <w:rPr>
          <w:rFonts w:ascii="Times New Roman" w:hAnsi="Times New Roman" w:eastAsia="宋体" w:cs="Times New Roman"/>
          <w:szCs w:val="22"/>
          <w:lang w:val="en-US" w:eastAsia="zh-CN"/>
        </w:rPr>
        <w:t>一般固体废物</w:t>
      </w:r>
    </w:p>
    <w:p w14:paraId="20883D7C">
      <w:pPr>
        <w:ind w:firstLine="480"/>
        <w:rPr>
          <w:rFonts w:ascii="Times New Roman" w:hAnsi="Times New Roman" w:eastAsia="宋体" w:cs="Times New Roman"/>
          <w:color w:val="000000"/>
          <w:sz w:val="24"/>
          <w:szCs w:val="24"/>
        </w:rPr>
      </w:pPr>
      <w:bookmarkStart w:id="113" w:name="_Hlk1227834"/>
      <w:r>
        <w:rPr>
          <w:rFonts w:ascii="Times New Roman" w:hAnsi="Times New Roman" w:eastAsia="宋体" w:cs="Times New Roman"/>
          <w:color w:val="000000"/>
          <w:sz w:val="24"/>
          <w:szCs w:val="24"/>
        </w:rPr>
        <w:t>（1）</w:t>
      </w:r>
      <w:r>
        <w:rPr>
          <w:rFonts w:ascii="Times New Roman" w:hAnsi="Times New Roman" w:eastAsia="宋体" w:cs="Times New Roman"/>
          <w:color w:val="000000"/>
          <w:sz w:val="24"/>
          <w:szCs w:val="24"/>
          <w:lang w:val="en-US" w:eastAsia="zh-CN"/>
        </w:rPr>
        <w:t>板材加工废边角料（S1、S2、S4-S7）</w:t>
      </w:r>
    </w:p>
    <w:p w14:paraId="40CDD863">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根据企业实际生产经验，本项目在生产加工过程中产生的废边角料和</w:t>
      </w:r>
      <w:r>
        <w:rPr>
          <w:rFonts w:ascii="Times New Roman" w:hAnsi="Times New Roman" w:eastAsia="宋体" w:cs="Times New Roman"/>
          <w:color w:val="000000"/>
          <w:sz w:val="24"/>
          <w:szCs w:val="24"/>
          <w:lang w:val="en-US" w:eastAsia="zh-CN"/>
        </w:rPr>
        <w:t>竹</w:t>
      </w:r>
      <w:r>
        <w:rPr>
          <w:rFonts w:ascii="Times New Roman" w:hAnsi="Times New Roman" w:eastAsia="宋体" w:cs="Times New Roman"/>
          <w:color w:val="000000"/>
          <w:sz w:val="24"/>
          <w:szCs w:val="24"/>
        </w:rPr>
        <w:t>屑，</w:t>
      </w:r>
      <w:r>
        <w:rPr>
          <w:rFonts w:ascii="Times New Roman" w:hAnsi="Times New Roman" w:eastAsia="宋体" w:cs="Times New Roman"/>
          <w:color w:val="000000"/>
          <w:sz w:val="24"/>
          <w:szCs w:val="24"/>
          <w:lang w:val="en-US" w:eastAsia="zh-CN"/>
        </w:rPr>
        <w:t>约为原料用量的3.6%，则</w:t>
      </w:r>
      <w:r>
        <w:rPr>
          <w:rFonts w:ascii="Times New Roman" w:hAnsi="Times New Roman" w:eastAsia="宋体" w:cs="Times New Roman"/>
          <w:color w:val="000000"/>
          <w:sz w:val="24"/>
          <w:szCs w:val="24"/>
        </w:rPr>
        <w:t>废边角料以及</w:t>
      </w:r>
      <w:r>
        <w:rPr>
          <w:rFonts w:ascii="Times New Roman" w:hAnsi="Times New Roman" w:eastAsia="宋体" w:cs="Times New Roman"/>
          <w:color w:val="000000"/>
          <w:sz w:val="24"/>
          <w:szCs w:val="24"/>
          <w:lang w:val="en-US" w:eastAsia="zh-CN"/>
        </w:rPr>
        <w:t>竹</w:t>
      </w:r>
      <w:r>
        <w:rPr>
          <w:rFonts w:ascii="Times New Roman" w:hAnsi="Times New Roman" w:eastAsia="宋体" w:cs="Times New Roman"/>
          <w:color w:val="000000"/>
          <w:sz w:val="24"/>
          <w:szCs w:val="24"/>
        </w:rPr>
        <w:t>屑产生量为</w:t>
      </w:r>
      <w:r>
        <w:rPr>
          <w:rFonts w:ascii="Times New Roman" w:hAnsi="Times New Roman" w:eastAsia="宋体" w:cs="Times New Roman"/>
          <w:color w:val="000000"/>
          <w:sz w:val="24"/>
          <w:szCs w:val="24"/>
          <w:lang w:val="en-US" w:eastAsia="zh-CN"/>
        </w:rPr>
        <w:t>9000</w:t>
      </w:r>
      <w:r>
        <w:rPr>
          <w:rFonts w:ascii="Times New Roman" w:hAnsi="Times New Roman" w:eastAsia="宋体" w:cs="Times New Roman"/>
          <w:color w:val="000000"/>
          <w:sz w:val="24"/>
          <w:szCs w:val="24"/>
        </w:rPr>
        <w:t>t/a</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作为厂区内</w:t>
      </w:r>
      <w:r>
        <w:rPr>
          <w:rFonts w:ascii="Times New Roman" w:hAnsi="Times New Roman" w:eastAsia="宋体" w:cs="Times New Roman"/>
          <w:color w:val="000000"/>
          <w:sz w:val="24"/>
          <w:szCs w:val="24"/>
          <w:lang w:val="en-US" w:eastAsia="zh-CN"/>
        </w:rPr>
        <w:t>供热系统</w:t>
      </w:r>
      <w:r>
        <w:rPr>
          <w:rFonts w:ascii="Times New Roman" w:hAnsi="Times New Roman" w:eastAsia="宋体" w:cs="Times New Roman"/>
          <w:color w:val="000000"/>
          <w:sz w:val="24"/>
          <w:szCs w:val="24"/>
        </w:rPr>
        <w:t>燃料使用。</w:t>
      </w:r>
    </w:p>
    <w:p w14:paraId="69118408">
      <w:pPr>
        <w:pStyle w:val="2"/>
        <w:ind w:left="480" w:firstLine="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val="en-US" w:eastAsia="zh-CN"/>
        </w:rPr>
        <w:t>（2）炉渣（S3）</w:t>
      </w:r>
    </w:p>
    <w:p w14:paraId="37F16388">
      <w:pPr>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本项目燃料使用量为</w:t>
      </w:r>
      <w:r>
        <w:rPr>
          <w:rFonts w:ascii="Times New Roman" w:hAnsi="Times New Roman" w:eastAsia="宋体" w:cs="Times New Roman"/>
          <w:color w:val="000000"/>
          <w:sz w:val="24"/>
          <w:szCs w:val="24"/>
          <w:lang w:val="en-US" w:eastAsia="zh-CN"/>
        </w:rPr>
        <w:t>9000</w:t>
      </w:r>
      <w:r>
        <w:rPr>
          <w:rFonts w:ascii="Times New Roman" w:hAnsi="Times New Roman" w:eastAsia="宋体" w:cs="Times New Roman"/>
          <w:color w:val="000000"/>
          <w:sz w:val="24"/>
          <w:szCs w:val="24"/>
        </w:rPr>
        <w:t>t/a，经过类比，生物质燃料燃烧炉渣产生量按用量20%计算，约</w:t>
      </w:r>
      <w:r>
        <w:rPr>
          <w:rFonts w:ascii="Times New Roman" w:hAnsi="Times New Roman" w:eastAsia="宋体" w:cs="Times New Roman"/>
          <w:color w:val="000000"/>
          <w:sz w:val="24"/>
          <w:szCs w:val="24"/>
          <w:lang w:val="en-US" w:eastAsia="zh-CN"/>
        </w:rPr>
        <w:t>1800</w:t>
      </w:r>
      <w:r>
        <w:rPr>
          <w:rFonts w:ascii="Times New Roman" w:hAnsi="Times New Roman" w:eastAsia="宋体" w:cs="Times New Roman"/>
          <w:color w:val="000000"/>
          <w:sz w:val="24"/>
          <w:szCs w:val="24"/>
        </w:rPr>
        <w:t>t/a，主要成分为草木灰，通过人工除渣集中暂存于</w:t>
      </w:r>
      <w:r>
        <w:rPr>
          <w:rFonts w:ascii="Times New Roman" w:hAnsi="Times New Roman" w:eastAsia="宋体" w:cs="Times New Roman"/>
          <w:color w:val="000000"/>
          <w:sz w:val="24"/>
          <w:szCs w:val="24"/>
          <w:lang w:val="en-US" w:eastAsia="zh-CN"/>
        </w:rPr>
        <w:t>能源工厂</w:t>
      </w:r>
      <w:r>
        <w:rPr>
          <w:rFonts w:ascii="Times New Roman" w:hAnsi="Times New Roman" w:eastAsia="宋体" w:cs="Times New Roman"/>
          <w:color w:val="000000"/>
          <w:sz w:val="24"/>
          <w:szCs w:val="24"/>
        </w:rPr>
        <w:t>的一角，</w:t>
      </w:r>
      <w:r>
        <w:rPr>
          <w:rFonts w:ascii="Times New Roman" w:hAnsi="Times New Roman" w:eastAsia="宋体" w:cs="Times New Roman"/>
          <w:color w:val="000000"/>
          <w:sz w:val="24"/>
          <w:szCs w:val="24"/>
          <w:lang w:eastAsia="zh-CN"/>
        </w:rPr>
        <w:t>由附近村民定期清运用于周边农田施肥</w:t>
      </w:r>
      <w:r>
        <w:rPr>
          <w:rFonts w:ascii="Times New Roman" w:hAnsi="Times New Roman" w:eastAsia="宋体" w:cs="Times New Roman"/>
          <w:color w:val="000000"/>
          <w:sz w:val="24"/>
          <w:szCs w:val="24"/>
        </w:rPr>
        <w:t>。</w:t>
      </w:r>
    </w:p>
    <w:p w14:paraId="475EC290">
      <w:pPr>
        <w:ind w:firstLine="480"/>
        <w:rPr>
          <w:rFonts w:ascii="Times New Roman" w:hAnsi="Times New Roman" w:eastAsia="宋体" w:cs="Times New Roman"/>
          <w:sz w:val="24"/>
          <w:szCs w:val="24"/>
        </w:rPr>
      </w:pP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3</w:t>
      </w: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水膜除尘器</w:t>
      </w:r>
      <w:r>
        <w:rPr>
          <w:rFonts w:ascii="Times New Roman" w:hAnsi="Times New Roman" w:eastAsia="宋体" w:cs="Times New Roman"/>
          <w:sz w:val="24"/>
          <w:szCs w:val="24"/>
        </w:rPr>
        <w:t>循环水池沉淀渣</w:t>
      </w:r>
    </w:p>
    <w:p w14:paraId="59C3D253">
      <w:pPr>
        <w:ind w:firstLine="480"/>
        <w:rPr>
          <w:rFonts w:ascii="Times New Roman" w:hAnsi="Times New Roman" w:eastAsia="宋体" w:cs="Times New Roman"/>
          <w:sz w:val="24"/>
          <w:szCs w:val="24"/>
        </w:rPr>
      </w:pPr>
      <w:r>
        <w:rPr>
          <w:rFonts w:ascii="Times New Roman" w:hAnsi="Times New Roman" w:eastAsia="宋体" w:cs="Times New Roman"/>
          <w:sz w:val="24"/>
          <w:szCs w:val="24"/>
        </w:rPr>
        <w:t>本项目</w:t>
      </w:r>
      <w:r>
        <w:rPr>
          <w:rFonts w:ascii="Times New Roman" w:hAnsi="Times New Roman" w:eastAsia="宋体" w:cs="Times New Roman"/>
          <w:sz w:val="24"/>
          <w:szCs w:val="24"/>
          <w:lang w:val="en-US" w:eastAsia="zh-CN"/>
        </w:rPr>
        <w:t>热载体炉及备用6t/h的锅炉均设置有1</w:t>
      </w:r>
      <w:r>
        <w:rPr>
          <w:rFonts w:ascii="Times New Roman" w:hAnsi="Times New Roman" w:eastAsia="宋体" w:cs="Times New Roman"/>
          <w:sz w:val="24"/>
          <w:szCs w:val="24"/>
        </w:rPr>
        <w:t>套水膜除尘装置对锅炉烟气进行除尘，根据项目燃料使用量，水膜除尘效率为</w:t>
      </w:r>
      <w:r>
        <w:rPr>
          <w:rFonts w:ascii="Times New Roman" w:hAnsi="Times New Roman" w:eastAsia="宋体" w:cs="Times New Roman"/>
          <w:sz w:val="24"/>
          <w:szCs w:val="24"/>
          <w:lang w:val="en-US" w:eastAsia="zh-CN"/>
        </w:rPr>
        <w:t>87</w:t>
      </w:r>
      <w:r>
        <w:rPr>
          <w:rFonts w:ascii="Times New Roman" w:hAnsi="Times New Roman" w:eastAsia="宋体" w:cs="Times New Roman"/>
          <w:sz w:val="24"/>
          <w:szCs w:val="24"/>
        </w:rPr>
        <w:t>%，则年产生沉淀渣约</w:t>
      </w:r>
      <w:r>
        <w:rPr>
          <w:rFonts w:ascii="Times New Roman" w:hAnsi="Times New Roman" w:eastAsia="宋体" w:cs="Times New Roman"/>
          <w:sz w:val="24"/>
          <w:szCs w:val="24"/>
          <w:lang w:val="en-US" w:eastAsia="zh-CN"/>
        </w:rPr>
        <w:t>76.1</w:t>
      </w:r>
      <w:r>
        <w:rPr>
          <w:rFonts w:ascii="Times New Roman" w:hAnsi="Times New Roman" w:eastAsia="宋体" w:cs="Times New Roman"/>
          <w:sz w:val="24"/>
          <w:szCs w:val="24"/>
        </w:rPr>
        <w:t>t/a，同炉渣性质一致，</w:t>
      </w:r>
      <w:r>
        <w:rPr>
          <w:rFonts w:ascii="Times New Roman" w:hAnsi="Times New Roman" w:eastAsia="宋体" w:cs="Times New Roman"/>
          <w:color w:val="000000"/>
          <w:sz w:val="24"/>
          <w:szCs w:val="24"/>
          <w:lang w:eastAsia="zh-CN"/>
        </w:rPr>
        <w:t>由附近村民定期清运用于周边农田施肥</w:t>
      </w:r>
      <w:r>
        <w:rPr>
          <w:rFonts w:ascii="Times New Roman" w:hAnsi="Times New Roman" w:eastAsia="宋体" w:cs="Times New Roman"/>
          <w:sz w:val="24"/>
          <w:szCs w:val="24"/>
        </w:rPr>
        <w:t>。</w:t>
      </w:r>
    </w:p>
    <w:p w14:paraId="5348DEB1">
      <w:pPr>
        <w:pStyle w:val="2"/>
        <w:keepNext w:val="0"/>
        <w:keepLines w:val="0"/>
        <w:pageBreakBefore w:val="0"/>
        <w:widowControl/>
        <w:numPr>
          <w:ilvl w:val="0"/>
          <w:numId w:val="0"/>
        </w:num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4</w:t>
      </w:r>
      <w:r>
        <w:rPr>
          <w:rFonts w:ascii="Times New Roman" w:hAnsi="Times New Roman" w:eastAsia="宋体" w:cs="Times New Roman"/>
          <w:sz w:val="24"/>
          <w:szCs w:val="24"/>
          <w:lang w:eastAsia="zh-CN"/>
        </w:rPr>
        <w:t>）</w:t>
      </w:r>
      <w:r>
        <w:rPr>
          <w:rFonts w:ascii="Times New Roman" w:hAnsi="Times New Roman" w:eastAsia="宋体" w:cs="Times New Roman"/>
          <w:sz w:val="24"/>
          <w:szCs w:val="24"/>
        </w:rPr>
        <w:t>回收的粉尘</w:t>
      </w:r>
    </w:p>
    <w:p w14:paraId="61828C39">
      <w:pPr>
        <w:pStyle w:val="2"/>
        <w:keepNext w:val="0"/>
        <w:keepLines w:val="0"/>
        <w:pageBreakBefore w:val="0"/>
        <w:widowControl/>
        <w:spacing w:line="360" w:lineRule="auto"/>
        <w:ind w:left="200" w:firstLine="0"/>
        <w:rPr>
          <w:rFonts w:ascii="Times New Roman" w:hAnsi="Times New Roman" w:eastAsia="宋体" w:cs="Times New Roman"/>
          <w:color w:val="000000"/>
          <w:sz w:val="24"/>
          <w:szCs w:val="24"/>
        </w:rPr>
      </w:pPr>
      <w:r>
        <w:rPr>
          <w:rFonts w:ascii="Times New Roman" w:hAnsi="Times New Roman" w:eastAsia="宋体" w:cs="Times New Roman"/>
          <w:sz w:val="24"/>
          <w:szCs w:val="24"/>
        </w:rPr>
        <w:t xml:space="preserve">   本项目</w:t>
      </w:r>
      <w:r>
        <w:rPr>
          <w:rFonts w:ascii="Times New Roman" w:hAnsi="Times New Roman" w:eastAsia="宋体" w:cs="Times New Roman"/>
          <w:sz w:val="24"/>
          <w:szCs w:val="24"/>
          <w:lang w:val="en-US" w:eastAsia="zh-CN"/>
        </w:rPr>
        <w:t>板材加工分别采用旋风、布袋除尘</w:t>
      </w:r>
      <w:r>
        <w:rPr>
          <w:rFonts w:ascii="Times New Roman" w:hAnsi="Times New Roman" w:eastAsia="宋体" w:cs="Times New Roman"/>
          <w:color w:val="000000"/>
          <w:sz w:val="24"/>
          <w:szCs w:val="24"/>
          <w:lang w:val="en-US" w:eastAsia="zh-CN"/>
        </w:rPr>
        <w:t>器，则回收粉尘量</w:t>
      </w:r>
      <w:r>
        <w:rPr>
          <w:rFonts w:hint="eastAsia" w:ascii="Times New Roman" w:hAnsi="Times New Roman" w:eastAsia="宋体" w:cs="Times New Roman"/>
          <w:color w:val="000000"/>
          <w:sz w:val="24"/>
          <w:szCs w:val="24"/>
          <w:lang w:val="en-US" w:eastAsia="zh-CN"/>
        </w:rPr>
        <w:t>为2511.935</w:t>
      </w:r>
      <w:r>
        <w:rPr>
          <w:rFonts w:ascii="Times New Roman" w:hAnsi="Times New Roman" w:eastAsia="宋体" w:cs="Times New Roman"/>
          <w:color w:val="000000"/>
          <w:sz w:val="24"/>
          <w:szCs w:val="24"/>
          <w:lang w:val="en-US" w:eastAsia="zh-CN"/>
        </w:rPr>
        <w:t>t/a，装袋暂存，作为生物质燃料的原料外售。</w:t>
      </w:r>
    </w:p>
    <w:p w14:paraId="6A72A6EC">
      <w:pPr>
        <w:keepNext w:val="0"/>
        <w:keepLines w:val="0"/>
        <w:pageBreakBefore w:val="0"/>
        <w:widowControl/>
        <w:spacing w:line="360" w:lineRule="auto"/>
        <w:ind w:firstLine="480"/>
        <w:jc w:val="left"/>
        <w:rPr>
          <w:rFonts w:ascii="Times New Roman" w:hAnsi="Times New Roman" w:eastAsia="宋体" w:cs="Times New Roman"/>
        </w:rPr>
      </w:pPr>
      <w:r>
        <w:rPr>
          <w:rFonts w:ascii="Times New Roman" w:hAnsi="Times New Roman" w:eastAsia="宋体" w:cs="Times New Roman"/>
        </w:rPr>
        <w:t>（</w:t>
      </w:r>
      <w:r>
        <w:rPr>
          <w:rFonts w:ascii="Times New Roman" w:hAnsi="Times New Roman" w:eastAsia="宋体" w:cs="Times New Roman"/>
          <w:lang w:val="en-US" w:eastAsia="zh-CN"/>
        </w:rPr>
        <w:t>5</w:t>
      </w:r>
      <w:r>
        <w:rPr>
          <w:rFonts w:ascii="Times New Roman" w:hAnsi="Times New Roman" w:eastAsia="宋体" w:cs="Times New Roman"/>
        </w:rPr>
        <w:t>）生活垃圾</w:t>
      </w:r>
    </w:p>
    <w:p w14:paraId="71060935">
      <w:pPr>
        <w:spacing w:line="360" w:lineRule="auto"/>
        <w:ind w:firstLine="480"/>
        <w:rPr>
          <w:rFonts w:ascii="Times New Roman" w:hAnsi="Times New Roman" w:eastAsia="宋体" w:cs="Times New Roman"/>
          <w:color w:val="000000"/>
          <w:sz w:val="24"/>
          <w:szCs w:val="21"/>
        </w:rPr>
      </w:pPr>
      <w:r>
        <w:rPr>
          <w:rFonts w:ascii="Times New Roman" w:hAnsi="Times New Roman" w:eastAsia="宋体" w:cs="Times New Roman"/>
        </w:rPr>
        <w:t>项目运营期生活垃圾主要来自员工产生的生活垃圾，项目年运行时间为</w:t>
      </w:r>
      <w:r>
        <w:rPr>
          <w:rFonts w:ascii="Times New Roman" w:hAnsi="Times New Roman" w:eastAsia="宋体" w:cs="Times New Roman"/>
          <w:lang w:val="en-US" w:eastAsia="zh-CN"/>
        </w:rPr>
        <w:t>300</w:t>
      </w:r>
      <w:r>
        <w:rPr>
          <w:rFonts w:ascii="Times New Roman" w:hAnsi="Times New Roman" w:eastAsia="宋体" w:cs="Times New Roman"/>
        </w:rPr>
        <w:t>天；根据《第一次全国污染源普查城镇生活源产污系数手册》，住宿员工生活垃圾产生量按每人0.35kg/d计，非住宿员工生活垃圾产生量按照每人0.1kg/d，</w:t>
      </w:r>
      <w:r>
        <w:rPr>
          <w:rFonts w:ascii="Times New Roman" w:hAnsi="Times New Roman" w:eastAsia="宋体" w:cs="Times New Roman"/>
          <w:lang w:val="en-US" w:eastAsia="zh-CN"/>
        </w:rPr>
        <w:t>全厂职工300人，其中仅200人在厂区内食宿，</w:t>
      </w:r>
      <w:r>
        <w:rPr>
          <w:rFonts w:ascii="Times New Roman" w:hAnsi="Times New Roman" w:eastAsia="宋体" w:cs="Times New Roman"/>
        </w:rPr>
        <w:t>则生活垃圾产生量为</w:t>
      </w:r>
      <w:r>
        <w:rPr>
          <w:rFonts w:ascii="Times New Roman" w:hAnsi="Times New Roman" w:eastAsia="宋体" w:cs="Times New Roman"/>
          <w:lang w:val="en-US" w:eastAsia="zh-CN"/>
        </w:rPr>
        <w:t>80</w:t>
      </w:r>
      <w:r>
        <w:rPr>
          <w:rFonts w:ascii="Times New Roman" w:hAnsi="Times New Roman" w:eastAsia="宋体" w:cs="Times New Roman"/>
        </w:rPr>
        <w:t>kg/d（</w:t>
      </w:r>
      <w:r>
        <w:rPr>
          <w:rFonts w:ascii="Times New Roman" w:hAnsi="Times New Roman" w:eastAsia="宋体" w:cs="Times New Roman"/>
          <w:lang w:val="en-US" w:eastAsia="zh-CN"/>
        </w:rPr>
        <w:t>24</w:t>
      </w:r>
      <w:r>
        <w:rPr>
          <w:rFonts w:ascii="Times New Roman" w:hAnsi="Times New Roman" w:eastAsia="宋体" w:cs="Times New Roman"/>
        </w:rPr>
        <w:t>t/a）。</w:t>
      </w:r>
      <w:r>
        <w:rPr>
          <w:rFonts w:ascii="Times New Roman" w:hAnsi="Times New Roman" w:eastAsia="宋体" w:cs="Times New Roman"/>
          <w:lang w:val="en-US" w:eastAsia="zh-CN"/>
        </w:rPr>
        <w:t>厂区内</w:t>
      </w:r>
      <w:r>
        <w:rPr>
          <w:rFonts w:ascii="Times New Roman" w:hAnsi="Times New Roman" w:eastAsia="宋体" w:cs="Times New Roman"/>
          <w:sz w:val="24"/>
          <w:szCs w:val="24"/>
        </w:rPr>
        <w:t>设置</w:t>
      </w:r>
      <w:r>
        <w:rPr>
          <w:rFonts w:ascii="Times New Roman" w:hAnsi="Times New Roman" w:eastAsia="宋体" w:cs="Times New Roman"/>
          <w:color w:val="FF0000"/>
          <w:sz w:val="24"/>
          <w:szCs w:val="24"/>
          <w:lang w:val="en-US" w:eastAsia="zh-CN"/>
        </w:rPr>
        <w:t>有环保垃</w:t>
      </w:r>
      <w:r>
        <w:rPr>
          <w:rFonts w:ascii="Times New Roman" w:hAnsi="Times New Roman" w:eastAsia="宋体" w:cs="Times New Roman"/>
          <w:color w:val="FF0000"/>
          <w:szCs w:val="22"/>
          <w:lang w:val="en-US" w:eastAsia="zh-CN"/>
        </w:rPr>
        <w:t>圾收集桶5</w:t>
      </w:r>
      <w:r>
        <w:rPr>
          <w:rFonts w:ascii="Times New Roman" w:hAnsi="Times New Roman" w:eastAsia="宋体" w:cs="Times New Roman"/>
          <w:color w:val="FF0000"/>
          <w:szCs w:val="22"/>
        </w:rPr>
        <w:t>个收集生活垃圾，</w:t>
      </w:r>
      <w:r>
        <w:rPr>
          <w:rFonts w:ascii="Times New Roman" w:hAnsi="Times New Roman" w:eastAsia="宋体" w:cs="Times New Roman"/>
          <w:szCs w:val="22"/>
        </w:rPr>
        <w:t>垃</w:t>
      </w:r>
      <w:r>
        <w:rPr>
          <w:rFonts w:ascii="Times New Roman" w:hAnsi="Times New Roman" w:eastAsia="宋体" w:cs="Times New Roman"/>
        </w:rPr>
        <w:t>圾收集后委托当地环卫部</w:t>
      </w:r>
      <w:r>
        <w:rPr>
          <w:rFonts w:ascii="Times New Roman" w:hAnsi="Times New Roman" w:eastAsia="宋体" w:cs="Times New Roman"/>
          <w:color w:val="000000"/>
        </w:rPr>
        <w:t>门定期清运处置。</w:t>
      </w:r>
      <w:r>
        <w:rPr>
          <w:rFonts w:ascii="Times New Roman" w:hAnsi="Times New Roman" w:eastAsia="宋体" w:cs="Times New Roman"/>
          <w:color w:val="000000"/>
          <w:sz w:val="24"/>
          <w:szCs w:val="21"/>
        </w:rPr>
        <w:t>食堂泔水企业采用塑料桶分类收集后，</w:t>
      </w:r>
      <w:r>
        <w:rPr>
          <w:rFonts w:ascii="Times New Roman" w:hAnsi="Times New Roman" w:eastAsia="宋体" w:cs="Times New Roman"/>
          <w:color w:val="000000"/>
          <w:sz w:val="24"/>
          <w:szCs w:val="21"/>
          <w:lang w:eastAsia="zh-CN"/>
        </w:rPr>
        <w:t>按照当地相关政府部门管理要求进行处置</w:t>
      </w:r>
      <w:r>
        <w:rPr>
          <w:rFonts w:ascii="Times New Roman" w:hAnsi="Times New Roman" w:eastAsia="宋体" w:cs="Times New Roman"/>
          <w:color w:val="000000"/>
          <w:sz w:val="24"/>
          <w:szCs w:val="21"/>
        </w:rPr>
        <w:t>，不外排。化粪池污泥定期由附近的村民进行清掏作为农家肥使用。</w:t>
      </w:r>
    </w:p>
    <w:p w14:paraId="0E6A0725">
      <w:pPr>
        <w:spacing w:line="360" w:lineRule="auto"/>
        <w:ind w:firstLine="480"/>
        <w:rPr>
          <w:rFonts w:ascii="Times New Roman" w:hAnsi="Times New Roman" w:eastAsia="宋体" w:cs="Times New Roman"/>
          <w:sz w:val="24"/>
          <w:szCs w:val="21"/>
        </w:rPr>
      </w:pPr>
      <w:r>
        <w:rPr>
          <w:rFonts w:ascii="Times New Roman" w:hAnsi="Times New Roman" w:eastAsia="宋体" w:cs="Times New Roman"/>
          <w:sz w:val="24"/>
          <w:szCs w:val="21"/>
        </w:rPr>
        <w:t>此外，本环评要求企业增设的</w:t>
      </w:r>
      <w:r>
        <w:rPr>
          <w:rFonts w:hint="eastAsia" w:ascii="Times New Roman" w:hAnsi="Times New Roman" w:eastAsia="宋体" w:cs="Times New Roman"/>
          <w:sz w:val="24"/>
          <w:szCs w:val="21"/>
          <w:lang w:val="en-US" w:eastAsia="zh-CN"/>
        </w:rPr>
        <w:t>隔油池</w:t>
      </w:r>
      <w:r>
        <w:rPr>
          <w:rFonts w:ascii="Times New Roman" w:hAnsi="Times New Roman" w:eastAsia="宋体" w:cs="Times New Roman"/>
          <w:sz w:val="24"/>
          <w:szCs w:val="21"/>
        </w:rPr>
        <w:t>委托专业的单位定期清掏清运处置。</w:t>
      </w:r>
    </w:p>
    <w:p w14:paraId="01C95A6C">
      <w:pPr>
        <w:pStyle w:val="2"/>
        <w:rPr>
          <w:rFonts w:ascii="Times New Roman" w:hAnsi="Times New Roman" w:eastAsia="宋体" w:cs="Times New Roman"/>
          <w:sz w:val="24"/>
          <w:szCs w:val="21"/>
          <w:lang w:val="en-US" w:eastAsia="zh-CN"/>
        </w:rPr>
      </w:pPr>
      <w:r>
        <w:rPr>
          <w:rFonts w:ascii="Times New Roman" w:hAnsi="Times New Roman" w:eastAsia="宋体" w:cs="Times New Roman"/>
          <w:sz w:val="24"/>
          <w:szCs w:val="21"/>
          <w:lang w:val="en-US" w:eastAsia="zh-CN"/>
        </w:rPr>
        <w:t>2、危险废物</w:t>
      </w:r>
    </w:p>
    <w:p w14:paraId="5C27B755">
      <w:pPr>
        <w:numPr>
          <w:ilvl w:val="0"/>
          <w:numId w:val="0"/>
        </w:numPr>
        <w:ind w:firstLine="480"/>
        <w:rPr>
          <w:rFonts w:ascii="Times New Roman" w:hAnsi="Times New Roman" w:eastAsia="宋体" w:cs="Times New Roman"/>
          <w:color w:val="000000"/>
          <w:szCs w:val="22"/>
        </w:rPr>
      </w:pPr>
      <w:r>
        <w:rPr>
          <w:rFonts w:ascii="Times New Roman" w:hAnsi="Times New Roman" w:eastAsia="宋体" w:cs="Times New Roman"/>
          <w:color w:val="000000"/>
          <w:szCs w:val="22"/>
          <w:lang w:val="en-US" w:eastAsia="zh-CN"/>
        </w:rPr>
        <w:t>（1）制胶生产废包装材料</w:t>
      </w:r>
    </w:p>
    <w:p w14:paraId="208F6083">
      <w:pPr>
        <w:keepNext w:val="0"/>
        <w:keepLines w:val="0"/>
        <w:widowControl/>
        <w:suppressLineNumbers w:val="0"/>
        <w:jc w:val="left"/>
        <w:rPr>
          <w:rFonts w:ascii="Times New Roman" w:hAnsi="Times New Roman" w:eastAsia="宋体" w:cs="Times New Roman"/>
          <w:color w:val="000000"/>
        </w:rPr>
      </w:pPr>
      <w:r>
        <w:rPr>
          <w:rFonts w:ascii="Times New Roman" w:hAnsi="Times New Roman" w:eastAsia="宋体" w:cs="Times New Roman"/>
          <w:color w:val="000000"/>
          <w:sz w:val="24"/>
          <w:szCs w:val="24"/>
          <w:lang w:val="en-US" w:eastAsia="zh-CN" w:bidi="ar"/>
        </w:rPr>
        <w:t>本项目制胶过程中会产生一定量废包装材料、原料包装袋、包装桶，产生量约为 0.5t/a，属于《国家危险废物名录》（2016版）中规定的危险废物，HW13有机树脂类废物。目前厂区内设置有单独的1个危险废物暂存间，环评要求交由资质单位进行回收处置</w:t>
      </w:r>
      <w:r>
        <w:rPr>
          <w:rFonts w:ascii="Times New Roman" w:hAnsi="Times New Roman" w:eastAsia="宋体" w:cs="Times New Roman"/>
          <w:bCs/>
          <w:color w:val="000000"/>
          <w:sz w:val="24"/>
        </w:rPr>
        <w:t>，严禁随意堆放、处置。</w:t>
      </w:r>
    </w:p>
    <w:p w14:paraId="51222960">
      <w:pPr>
        <w:pStyle w:val="2"/>
        <w:ind w:left="480" w:firstLine="0"/>
        <w:rPr>
          <w:rFonts w:ascii="Times New Roman" w:hAnsi="Times New Roman" w:eastAsia="宋体" w:cs="Times New Roman"/>
          <w:color w:val="0000FF"/>
          <w:sz w:val="24"/>
          <w:szCs w:val="24"/>
        </w:rPr>
      </w:pPr>
      <w:r>
        <w:rPr>
          <w:rFonts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2</w:t>
      </w:r>
      <w:r>
        <w:rPr>
          <w:rFonts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更换的废导热油</w:t>
      </w:r>
    </w:p>
    <w:p w14:paraId="280C542C">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据</w:t>
      </w:r>
      <w:r>
        <w:rPr>
          <w:rFonts w:ascii="Times New Roman" w:hAnsi="Times New Roman" w:eastAsia="宋体" w:cs="Times New Roman"/>
          <w:sz w:val="24"/>
          <w:lang w:val="en-US" w:eastAsia="zh-CN"/>
        </w:rPr>
        <w:t>建设方</w:t>
      </w:r>
      <w:r>
        <w:rPr>
          <w:rFonts w:ascii="Times New Roman" w:hAnsi="Times New Roman" w:eastAsia="宋体" w:cs="Times New Roman"/>
          <w:sz w:val="24"/>
        </w:rPr>
        <w:t>提供资料循环导热油，</w:t>
      </w:r>
      <w:r>
        <w:rPr>
          <w:rFonts w:ascii="Times New Roman" w:hAnsi="Times New Roman" w:eastAsia="宋体" w:cs="Times New Roman"/>
          <w:sz w:val="24"/>
          <w:lang w:val="en-US" w:eastAsia="zh-CN"/>
        </w:rPr>
        <w:t>每年补充</w:t>
      </w:r>
      <w:r>
        <w:rPr>
          <w:rFonts w:ascii="Times New Roman" w:hAnsi="Times New Roman" w:eastAsia="宋体" w:cs="Times New Roman"/>
          <w:sz w:val="24"/>
        </w:rPr>
        <w:t>一次，循环使用。</w:t>
      </w:r>
      <w:r>
        <w:rPr>
          <w:rFonts w:ascii="Times New Roman" w:hAnsi="Times New Roman" w:eastAsia="宋体" w:cs="Times New Roman"/>
          <w:sz w:val="24"/>
          <w:lang w:val="en-US" w:eastAsia="zh-CN"/>
        </w:rPr>
        <w:t>3年左右更换一次，废导热油一次更换量约15t，</w:t>
      </w:r>
      <w:r>
        <w:rPr>
          <w:rFonts w:ascii="Times New Roman" w:hAnsi="Times New Roman" w:eastAsia="宋体" w:cs="Times New Roman"/>
          <w:sz w:val="24"/>
        </w:rPr>
        <w:t>属于危险废物，</w:t>
      </w:r>
      <w:r>
        <w:rPr>
          <w:rFonts w:ascii="Times New Roman" w:hAnsi="Times New Roman" w:eastAsia="宋体" w:cs="Times New Roman"/>
          <w:color w:val="000000"/>
          <w:szCs w:val="22"/>
        </w:rPr>
        <w:t>属于“HW08废矿物油与含矿物油废物”类别</w:t>
      </w:r>
      <w:r>
        <w:rPr>
          <w:rFonts w:hint="eastAsia" w:ascii="Times New Roman" w:hAnsi="Times New Roman" w:eastAsia="宋体" w:cs="Times New Roman"/>
          <w:color w:val="000000"/>
          <w:szCs w:val="22"/>
          <w:lang w:eastAsia="zh-CN"/>
        </w:rPr>
        <w:t>，</w:t>
      </w:r>
      <w:r>
        <w:rPr>
          <w:rFonts w:ascii="Times New Roman" w:hAnsi="Times New Roman" w:eastAsia="宋体" w:cs="Times New Roman"/>
          <w:color w:val="000000"/>
          <w:szCs w:val="22"/>
        </w:rPr>
        <w:t>代码为 900-2</w:t>
      </w:r>
      <w:r>
        <w:rPr>
          <w:rFonts w:hint="eastAsia" w:ascii="Times New Roman" w:hAnsi="Times New Roman" w:eastAsia="宋体" w:cs="Times New Roman"/>
          <w:color w:val="000000"/>
          <w:szCs w:val="22"/>
          <w:lang w:val="en-US" w:eastAsia="zh-CN"/>
        </w:rPr>
        <w:t>21</w:t>
      </w:r>
      <w:r>
        <w:rPr>
          <w:rFonts w:ascii="Times New Roman" w:hAnsi="Times New Roman" w:eastAsia="宋体" w:cs="Times New Roman"/>
          <w:color w:val="000000"/>
          <w:szCs w:val="22"/>
        </w:rPr>
        <w:t>-08</w:t>
      </w:r>
      <w:r>
        <w:rPr>
          <w:rFonts w:hint="eastAsia" w:ascii="Times New Roman" w:hAnsi="Times New Roman" w:eastAsia="宋体" w:cs="Times New Roman"/>
          <w:color w:val="000000"/>
          <w:szCs w:val="22"/>
          <w:lang w:eastAsia="zh-CN"/>
        </w:rPr>
        <w:t>。</w:t>
      </w:r>
      <w:r>
        <w:rPr>
          <w:rFonts w:ascii="Times New Roman" w:hAnsi="Times New Roman" w:eastAsia="宋体" w:cs="Times New Roman"/>
          <w:sz w:val="24"/>
        </w:rPr>
        <w:t>环评要求待服务期满后将废导热油交有资质的单位</w:t>
      </w:r>
      <w:r>
        <w:rPr>
          <w:rFonts w:ascii="Times New Roman" w:hAnsi="Times New Roman" w:eastAsia="宋体" w:cs="Times New Roman"/>
          <w:sz w:val="24"/>
          <w:lang w:val="en-US" w:eastAsia="zh-CN"/>
        </w:rPr>
        <w:t>进行更换回收</w:t>
      </w:r>
      <w:r>
        <w:rPr>
          <w:rFonts w:ascii="Times New Roman" w:hAnsi="Times New Roman" w:eastAsia="宋体" w:cs="Times New Roman"/>
          <w:sz w:val="24"/>
        </w:rPr>
        <w:t>处置。</w:t>
      </w:r>
    </w:p>
    <w:p w14:paraId="4E22B5C4">
      <w:pPr>
        <w:pStyle w:val="2"/>
        <w:ind w:left="480" w:firstLine="0"/>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val="en-US" w:eastAsia="zh-CN"/>
        </w:rPr>
        <w:t>（3）废活性炭</w:t>
      </w:r>
    </w:p>
    <w:p w14:paraId="66BFA4EA">
      <w:pPr>
        <w:keepNext w:val="0"/>
        <w:keepLines w:val="0"/>
        <w:widowControl/>
        <w:suppressLineNumbers w:val="0"/>
        <w:jc w:val="left"/>
        <w:rPr>
          <w:rFonts w:ascii="Times New Roman" w:hAnsi="Times New Roman" w:eastAsia="宋体" w:cs="Times New Roman"/>
          <w:sz w:val="24"/>
          <w:szCs w:val="24"/>
        </w:rPr>
      </w:pPr>
      <w:r>
        <w:rPr>
          <w:rFonts w:ascii="Times New Roman" w:hAnsi="Times New Roman" w:eastAsia="宋体" w:cs="Times New Roman"/>
          <w:color w:val="000000"/>
          <w:sz w:val="24"/>
          <w:szCs w:val="24"/>
          <w:lang w:val="en-US" w:eastAsia="zh-CN" w:bidi="ar"/>
        </w:rPr>
        <w:t>单台</w:t>
      </w:r>
      <w:r>
        <w:rPr>
          <w:rFonts w:ascii="Times New Roman" w:hAnsi="Times New Roman" w:eastAsia="宋体" w:cs="Times New Roman"/>
          <w:color w:val="000000"/>
          <w:sz w:val="24"/>
          <w:szCs w:val="24"/>
          <w:lang w:val="en-US" w:eastAsia="zh-CN"/>
        </w:rPr>
        <w:t>UV光催化活性炭吸附一体设备</w:t>
      </w:r>
      <w:r>
        <w:rPr>
          <w:rFonts w:ascii="Times New Roman" w:hAnsi="Times New Roman" w:eastAsia="宋体" w:cs="Times New Roman"/>
          <w:color w:val="000000"/>
          <w:sz w:val="24"/>
          <w:szCs w:val="24"/>
          <w:lang w:val="en-US" w:eastAsia="zh-CN" w:bidi="ar"/>
        </w:rPr>
        <w:t>一次填充活性炭的量为200kg，则2台活性炭总填充量为400kg，约一年更换一次，每次产生量为0.4t/a，属于危险废物，</w:t>
      </w:r>
      <w:r>
        <w:rPr>
          <w:rFonts w:hint="eastAsia" w:ascii="Times New Roman" w:hAnsi="Times New Roman" w:eastAsia="宋体" w:cs="Times New Roman"/>
          <w:color w:val="000000"/>
          <w:sz w:val="24"/>
          <w:szCs w:val="24"/>
          <w:lang w:val="en-US" w:eastAsia="zh-CN" w:bidi="ar"/>
        </w:rPr>
        <w:t>废物类别：HW49其他危险废物，废物</w:t>
      </w:r>
      <w:r>
        <w:rPr>
          <w:rFonts w:ascii="Times New Roman" w:hAnsi="Times New Roman" w:eastAsia="宋体" w:cs="Times New Roman"/>
          <w:color w:val="000000"/>
          <w:szCs w:val="22"/>
        </w:rPr>
        <w:t>代码为 900-</w:t>
      </w:r>
      <w:r>
        <w:rPr>
          <w:rFonts w:hint="eastAsia" w:ascii="Times New Roman" w:hAnsi="Times New Roman" w:eastAsia="宋体" w:cs="Times New Roman"/>
          <w:color w:val="000000"/>
          <w:szCs w:val="22"/>
          <w:lang w:val="en-US" w:eastAsia="zh-CN"/>
        </w:rPr>
        <w:t>039</w:t>
      </w:r>
      <w:r>
        <w:rPr>
          <w:rFonts w:ascii="Times New Roman" w:hAnsi="Times New Roman" w:eastAsia="宋体" w:cs="Times New Roman"/>
          <w:color w:val="000000"/>
          <w:szCs w:val="22"/>
        </w:rPr>
        <w:t>-</w:t>
      </w:r>
      <w:r>
        <w:rPr>
          <w:rFonts w:hint="eastAsia" w:ascii="Times New Roman" w:hAnsi="Times New Roman" w:eastAsia="宋体" w:cs="Times New Roman"/>
          <w:color w:val="000000"/>
          <w:szCs w:val="22"/>
          <w:lang w:val="en-US" w:eastAsia="zh-CN"/>
        </w:rPr>
        <w:t>49。</w:t>
      </w:r>
      <w:r>
        <w:rPr>
          <w:rFonts w:ascii="Times New Roman" w:hAnsi="Times New Roman" w:eastAsia="宋体" w:cs="Times New Roman"/>
          <w:color w:val="000000"/>
          <w:sz w:val="24"/>
          <w:szCs w:val="24"/>
          <w:lang w:val="en-US" w:eastAsia="zh-CN" w:bidi="ar"/>
        </w:rPr>
        <w:t>收集后暂存于危废暂存间内，委托有资质单位进行回收处置。</w:t>
      </w:r>
    </w:p>
    <w:p w14:paraId="73B3B4FF">
      <w:pPr>
        <w:keepNext w:val="0"/>
        <w:keepLines w:val="0"/>
        <w:widowControl/>
        <w:suppressLineNumbers w:val="0"/>
        <w:jc w:val="left"/>
        <w:rPr>
          <w:rFonts w:ascii="Times New Roman" w:hAnsi="Times New Roman" w:eastAsia="宋体" w:cs="Times New Roman"/>
        </w:rPr>
      </w:pPr>
      <w:r>
        <w:rPr>
          <w:rFonts w:ascii="Times New Roman" w:hAnsi="Times New Roman" w:eastAsia="宋体" w:cs="Times New Roman"/>
          <w:color w:val="000000"/>
          <w:sz w:val="24"/>
          <w:szCs w:val="24"/>
          <w:lang w:val="en-US" w:eastAsia="zh-CN" w:bidi="ar"/>
        </w:rPr>
        <w:t>（4）废灯管</w:t>
      </w:r>
    </w:p>
    <w:p w14:paraId="47DBB5FA">
      <w:pPr>
        <w:spacing w:line="360" w:lineRule="auto"/>
        <w:ind w:firstLine="480"/>
        <w:rPr>
          <w:rFonts w:ascii="Times New Roman" w:hAnsi="Times New Roman" w:eastAsia="宋体" w:cs="Times New Roman"/>
          <w:sz w:val="24"/>
          <w:szCs w:val="22"/>
        </w:rPr>
      </w:pPr>
      <w:r>
        <w:rPr>
          <w:rFonts w:ascii="Times New Roman" w:hAnsi="Times New Roman" w:eastAsia="宋体" w:cs="Times New Roman"/>
          <w:sz w:val="24"/>
          <w:szCs w:val="24"/>
          <w:lang w:val="en-US" w:eastAsia="zh-CN"/>
        </w:rPr>
        <w:t>本项目单台</w:t>
      </w:r>
      <w:r>
        <w:rPr>
          <w:rFonts w:ascii="Times New Roman" w:hAnsi="Times New Roman" w:eastAsia="宋体" w:cs="Times New Roman"/>
          <w:color w:val="000000"/>
          <w:sz w:val="24"/>
          <w:szCs w:val="24"/>
          <w:lang w:val="en-US" w:eastAsia="zh-CN"/>
        </w:rPr>
        <w:t>UV光催化活性炭吸附一体设备</w:t>
      </w:r>
      <w:r>
        <w:rPr>
          <w:rFonts w:ascii="Times New Roman" w:hAnsi="Times New Roman" w:eastAsia="宋体" w:cs="Times New Roman"/>
          <w:sz w:val="24"/>
          <w:szCs w:val="24"/>
          <w:lang w:val="en-US" w:eastAsia="zh-CN"/>
        </w:rPr>
        <w:t>中设120支灯管，每根重0.2kg，则两台设备灯管总计240支，2年更换一次，则每次更换的废灯管产生量为0.048t，均属于危险废物</w:t>
      </w:r>
      <w:r>
        <w:rPr>
          <w:rFonts w:hint="eastAsia" w:ascii="Times New Roman" w:hAnsi="Times New Roman" w:eastAsia="宋体" w:cs="Times New Roman"/>
          <w:sz w:val="24"/>
          <w:szCs w:val="24"/>
          <w:lang w:val="en-US" w:eastAsia="zh-CN"/>
        </w:rPr>
        <w:t>，</w:t>
      </w:r>
      <w:r>
        <w:rPr>
          <w:rFonts w:ascii="Times New Roman" w:hAnsi="Times New Roman" w:eastAsia="宋体" w:cs="Times New Roman"/>
          <w:color w:val="000000"/>
          <w:sz w:val="24"/>
          <w:szCs w:val="24"/>
          <w:lang w:val="en-US" w:eastAsia="zh-CN" w:bidi="ar"/>
        </w:rPr>
        <w:t>废物类别：HW29</w:t>
      </w:r>
      <w:r>
        <w:rPr>
          <w:rFonts w:hint="eastAsia" w:ascii="Times New Roman" w:hAnsi="Times New Roman" w:eastAsia="宋体" w:cs="Times New Roman"/>
          <w:color w:val="000000"/>
          <w:sz w:val="24"/>
          <w:szCs w:val="24"/>
          <w:lang w:val="en-US" w:eastAsia="zh-CN" w:bidi="ar"/>
        </w:rPr>
        <w:t>含汞废物</w:t>
      </w:r>
      <w:r>
        <w:rPr>
          <w:rFonts w:ascii="Times New Roman" w:hAnsi="Times New Roman" w:eastAsia="宋体" w:cs="Times New Roman"/>
          <w:color w:val="000000"/>
          <w:sz w:val="24"/>
          <w:szCs w:val="24"/>
          <w:lang w:val="en-US" w:eastAsia="zh-CN" w:bidi="ar"/>
        </w:rPr>
        <w:t>，废物代码：900-023-29。项目废灯管采用桶装密封，存于危险废物暂存间中，定期交由有资质单位</w:t>
      </w:r>
      <w:r>
        <w:rPr>
          <w:rFonts w:ascii="Times New Roman" w:hAnsi="Times New Roman" w:eastAsia="宋体" w:cs="Times New Roman"/>
          <w:sz w:val="24"/>
          <w:szCs w:val="22"/>
          <w:lang w:val="en-US" w:eastAsia="zh-CN"/>
        </w:rPr>
        <w:t xml:space="preserve">进行回收处理。 </w:t>
      </w:r>
    </w:p>
    <w:p w14:paraId="610EF508">
      <w:pPr>
        <w:pStyle w:val="380"/>
        <w:keepNext w:val="0"/>
        <w:keepLines w:val="0"/>
        <w:pageBreakBefore w:val="0"/>
        <w:widowControl/>
        <w:spacing w:line="360" w:lineRule="auto"/>
        <w:ind w:firstLine="480"/>
        <w:rPr>
          <w:rFonts w:ascii="Times New Roman" w:hAnsi="Times New Roman" w:eastAsia="宋体" w:cs="Times New Roman"/>
          <w:szCs w:val="22"/>
        </w:rPr>
      </w:pPr>
      <w:r>
        <w:rPr>
          <w:rFonts w:ascii="Times New Roman" w:hAnsi="Times New Roman" w:eastAsia="宋体" w:cs="Times New Roman"/>
          <w:szCs w:val="22"/>
        </w:rPr>
        <w:t>（</w:t>
      </w:r>
      <w:r>
        <w:rPr>
          <w:rFonts w:ascii="Times New Roman" w:hAnsi="Times New Roman" w:eastAsia="宋体" w:cs="Times New Roman"/>
          <w:szCs w:val="22"/>
          <w:lang w:val="en-US" w:eastAsia="zh-CN"/>
        </w:rPr>
        <w:t>5</w:t>
      </w:r>
      <w:r>
        <w:rPr>
          <w:rFonts w:ascii="Times New Roman" w:hAnsi="Times New Roman" w:eastAsia="宋体" w:cs="Times New Roman"/>
          <w:szCs w:val="22"/>
        </w:rPr>
        <w:t>）废离子树脂</w:t>
      </w:r>
    </w:p>
    <w:p w14:paraId="4EADF304">
      <w:pPr>
        <w:pStyle w:val="380"/>
        <w:keepNext w:val="0"/>
        <w:keepLines w:val="0"/>
        <w:pageBreakBefore w:val="0"/>
        <w:widowControl/>
        <w:spacing w:line="360" w:lineRule="auto"/>
        <w:ind w:firstLine="480"/>
        <w:rPr>
          <w:rFonts w:ascii="Times New Roman" w:hAnsi="Times New Roman" w:eastAsia="宋体" w:cs="Times New Roman"/>
          <w:color w:val="000000"/>
          <w:szCs w:val="22"/>
        </w:rPr>
      </w:pPr>
      <w:r>
        <w:rPr>
          <w:rFonts w:ascii="Times New Roman" w:hAnsi="Times New Roman" w:eastAsia="宋体" w:cs="Times New Roman"/>
          <w:szCs w:val="22"/>
        </w:rPr>
        <w:t>本项目软水设备中的交换树脂采用的是恢复钠离子交换树脂，同时</w:t>
      </w:r>
      <w:r>
        <w:rPr>
          <w:rFonts w:ascii="Times New Roman" w:hAnsi="Times New Roman" w:eastAsia="宋体" w:cs="Times New Roman"/>
          <w:color w:val="000000"/>
          <w:szCs w:val="22"/>
        </w:rPr>
        <w:t>软水设备上配套设置树脂过滤再生设备。软水器中的树脂失去活性后，经使用添加了再生盐（NaCl）的软水反复冲洗、再生处理后即可恢复活性，可反复使用，平时无需更换。根据建设单位提供的资料，项目软水设备中的树脂仅在使用一定长的期限后，待树脂磨损老化严重无法再满足软水制备要求时方才进行更换；约3~4年更换一次，废树脂产生量约100kg/次；根据《国家危险废物名录》</w:t>
      </w:r>
      <w:r>
        <w:rPr>
          <w:rFonts w:ascii="Times New Roman" w:hAnsi="Times New Roman" w:eastAsia="宋体" w:cs="Times New Roman"/>
          <w:color w:val="000000"/>
          <w:szCs w:val="22"/>
          <w:lang w:eastAsia="zh-CN"/>
        </w:rPr>
        <w:t>（</w:t>
      </w:r>
      <w:r>
        <w:rPr>
          <w:rFonts w:ascii="Times New Roman" w:hAnsi="Times New Roman" w:eastAsia="宋体" w:cs="Times New Roman"/>
          <w:color w:val="000000"/>
          <w:szCs w:val="22"/>
          <w:lang w:val="en-US" w:eastAsia="zh-CN"/>
        </w:rPr>
        <w:t>2016版</w:t>
      </w:r>
      <w:r>
        <w:rPr>
          <w:rFonts w:ascii="Times New Roman" w:hAnsi="Times New Roman" w:eastAsia="宋体" w:cs="Times New Roman"/>
          <w:color w:val="000000"/>
          <w:szCs w:val="22"/>
          <w:lang w:eastAsia="zh-CN"/>
        </w:rPr>
        <w:t>）</w:t>
      </w:r>
      <w:r>
        <w:rPr>
          <w:rFonts w:ascii="Times New Roman" w:hAnsi="Times New Roman" w:eastAsia="宋体" w:cs="Times New Roman"/>
          <w:color w:val="000000"/>
          <w:szCs w:val="22"/>
        </w:rPr>
        <w:t>中对危险废物的分类更换后废弃离子树脂属于“HW13有机树脂类废物”类别</w:t>
      </w:r>
      <w:r>
        <w:rPr>
          <w:rFonts w:hint="eastAsia" w:ascii="Times New Roman" w:hAnsi="Times New Roman" w:eastAsia="宋体" w:cs="Times New Roman"/>
          <w:color w:val="000000"/>
          <w:szCs w:val="22"/>
          <w:lang w:eastAsia="zh-CN"/>
        </w:rPr>
        <w:t>，</w:t>
      </w:r>
      <w:r>
        <w:rPr>
          <w:rFonts w:hint="eastAsia" w:ascii="Times New Roman" w:hAnsi="Times New Roman" w:eastAsia="宋体" w:cs="Times New Roman"/>
          <w:color w:val="000000"/>
          <w:szCs w:val="22"/>
          <w:lang w:val="en-US" w:eastAsia="zh-CN"/>
        </w:rPr>
        <w:t>代码为900-015-13</w:t>
      </w:r>
      <w:r>
        <w:rPr>
          <w:rFonts w:ascii="Times New Roman" w:hAnsi="Times New Roman" w:eastAsia="宋体" w:cs="Times New Roman"/>
          <w:color w:val="000000"/>
          <w:szCs w:val="22"/>
        </w:rPr>
        <w:t>。树脂属危险废物，由厂家负责定期更换并返回生产厂家。</w:t>
      </w:r>
    </w:p>
    <w:p w14:paraId="67814BFF">
      <w:pPr>
        <w:pStyle w:val="380"/>
        <w:keepNext w:val="0"/>
        <w:keepLines w:val="0"/>
        <w:pageBreakBefore w:val="0"/>
        <w:widowControl/>
        <w:spacing w:line="360" w:lineRule="auto"/>
        <w:ind w:firstLine="480"/>
        <w:rPr>
          <w:rFonts w:ascii="Times New Roman" w:hAnsi="Times New Roman" w:eastAsia="宋体" w:cs="Times New Roman"/>
          <w:szCs w:val="22"/>
          <w:lang w:val="en-US" w:eastAsia="zh-CN"/>
        </w:rPr>
      </w:pPr>
      <w:r>
        <w:rPr>
          <w:rFonts w:ascii="Times New Roman" w:hAnsi="Times New Roman" w:eastAsia="宋体" w:cs="Times New Roman"/>
          <w:szCs w:val="22"/>
        </w:rPr>
        <w:t>（</w:t>
      </w:r>
      <w:r>
        <w:rPr>
          <w:rFonts w:ascii="Times New Roman" w:hAnsi="Times New Roman" w:eastAsia="宋体" w:cs="Times New Roman"/>
          <w:szCs w:val="22"/>
          <w:lang w:val="en-US" w:eastAsia="zh-CN"/>
        </w:rPr>
        <w:t>6</w:t>
      </w:r>
      <w:r>
        <w:rPr>
          <w:rFonts w:ascii="Times New Roman" w:hAnsi="Times New Roman" w:eastAsia="宋体" w:cs="Times New Roman"/>
          <w:szCs w:val="22"/>
        </w:rPr>
        <w:t>）废机油</w:t>
      </w:r>
      <w:r>
        <w:rPr>
          <w:rFonts w:ascii="Times New Roman" w:hAnsi="Times New Roman" w:eastAsia="宋体" w:cs="Times New Roman"/>
          <w:szCs w:val="22"/>
          <w:lang w:eastAsia="zh-CN"/>
        </w:rPr>
        <w:t>、</w:t>
      </w:r>
      <w:r>
        <w:rPr>
          <w:rFonts w:ascii="Times New Roman" w:hAnsi="Times New Roman" w:eastAsia="宋体" w:cs="Times New Roman"/>
          <w:szCs w:val="22"/>
          <w:lang w:val="en-US" w:eastAsia="zh-CN"/>
        </w:rPr>
        <w:t>废抹布</w:t>
      </w:r>
    </w:p>
    <w:p w14:paraId="3B8E6C26">
      <w:pPr>
        <w:pStyle w:val="380"/>
        <w:keepNext w:val="0"/>
        <w:keepLines w:val="0"/>
        <w:pageBreakBefore w:val="0"/>
        <w:widowControl/>
        <w:spacing w:line="360" w:lineRule="auto"/>
        <w:ind w:firstLine="480"/>
        <w:rPr>
          <w:rFonts w:ascii="Times New Roman" w:hAnsi="Times New Roman" w:eastAsia="宋体" w:cs="Times New Roman"/>
          <w:color w:val="000000"/>
          <w:szCs w:val="22"/>
        </w:rPr>
      </w:pPr>
      <w:r>
        <w:rPr>
          <w:rFonts w:ascii="Times New Roman" w:hAnsi="Times New Roman" w:eastAsia="宋体" w:cs="Times New Roman"/>
          <w:szCs w:val="22"/>
        </w:rPr>
        <w:t>本项目机械设备每</w:t>
      </w:r>
      <w:r>
        <w:rPr>
          <w:rFonts w:ascii="Times New Roman" w:hAnsi="Times New Roman" w:eastAsia="宋体" w:cs="Times New Roman"/>
          <w:color w:val="000000"/>
          <w:szCs w:val="22"/>
        </w:rPr>
        <w:t>年因维修和更换会产生一定量的废机油</w:t>
      </w:r>
      <w:r>
        <w:rPr>
          <w:rFonts w:ascii="Times New Roman" w:hAnsi="Times New Roman" w:eastAsia="宋体" w:cs="Times New Roman"/>
          <w:color w:val="000000"/>
          <w:szCs w:val="22"/>
          <w:lang w:eastAsia="zh-CN"/>
        </w:rPr>
        <w:t>、</w:t>
      </w:r>
      <w:r>
        <w:rPr>
          <w:rFonts w:ascii="Times New Roman" w:hAnsi="Times New Roman" w:eastAsia="宋体" w:cs="Times New Roman"/>
          <w:color w:val="000000"/>
          <w:szCs w:val="22"/>
          <w:lang w:val="en-US" w:eastAsia="zh-CN"/>
        </w:rPr>
        <w:t>废抹布</w:t>
      </w:r>
      <w:r>
        <w:rPr>
          <w:rFonts w:ascii="Times New Roman" w:hAnsi="Times New Roman" w:eastAsia="宋体" w:cs="Times New Roman"/>
          <w:color w:val="000000"/>
          <w:szCs w:val="22"/>
        </w:rPr>
        <w:t>，</w:t>
      </w:r>
      <w:r>
        <w:rPr>
          <w:rFonts w:ascii="Times New Roman" w:hAnsi="Times New Roman" w:eastAsia="宋体" w:cs="Times New Roman"/>
          <w:color w:val="000000"/>
          <w:szCs w:val="22"/>
          <w:lang w:val="en-US" w:eastAsia="zh-CN"/>
        </w:rPr>
        <w:t>根据建设方实际经验，废机油</w:t>
      </w:r>
      <w:r>
        <w:rPr>
          <w:rFonts w:ascii="Times New Roman" w:hAnsi="Times New Roman" w:eastAsia="宋体" w:cs="Times New Roman"/>
          <w:color w:val="000000"/>
          <w:szCs w:val="22"/>
        </w:rPr>
        <w:t>产生量约为0.5t/a</w:t>
      </w:r>
      <w:r>
        <w:rPr>
          <w:rFonts w:ascii="Times New Roman" w:hAnsi="Times New Roman" w:eastAsia="宋体" w:cs="Times New Roman"/>
          <w:color w:val="000000"/>
          <w:szCs w:val="22"/>
          <w:lang w:eastAsia="zh-CN"/>
        </w:rPr>
        <w:t>，</w:t>
      </w:r>
      <w:r>
        <w:rPr>
          <w:rFonts w:ascii="Times New Roman" w:hAnsi="Times New Roman" w:eastAsia="宋体" w:cs="Times New Roman"/>
          <w:color w:val="000000"/>
          <w:szCs w:val="22"/>
          <w:lang w:val="en-US" w:eastAsia="zh-CN"/>
        </w:rPr>
        <w:t>废抹布产生量0.1t/a</w:t>
      </w:r>
      <w:r>
        <w:rPr>
          <w:rFonts w:ascii="Times New Roman" w:hAnsi="Times New Roman" w:eastAsia="宋体" w:cs="Times New Roman"/>
          <w:color w:val="000000"/>
          <w:szCs w:val="22"/>
        </w:rPr>
        <w:t>。根据《国家危险废物名录》</w:t>
      </w:r>
      <w:r>
        <w:rPr>
          <w:rFonts w:ascii="Times New Roman" w:hAnsi="Times New Roman" w:eastAsia="宋体" w:cs="Times New Roman"/>
          <w:color w:val="000000"/>
          <w:szCs w:val="22"/>
          <w:lang w:eastAsia="zh-CN"/>
        </w:rPr>
        <w:t>（</w:t>
      </w:r>
      <w:r>
        <w:rPr>
          <w:rFonts w:ascii="Times New Roman" w:hAnsi="Times New Roman" w:eastAsia="宋体" w:cs="Times New Roman"/>
          <w:color w:val="000000"/>
          <w:szCs w:val="22"/>
          <w:lang w:val="en-US" w:eastAsia="zh-CN"/>
        </w:rPr>
        <w:t>2016版</w:t>
      </w:r>
      <w:r>
        <w:rPr>
          <w:rFonts w:ascii="Times New Roman" w:hAnsi="Times New Roman" w:eastAsia="宋体" w:cs="Times New Roman"/>
          <w:color w:val="000000"/>
          <w:szCs w:val="22"/>
          <w:lang w:eastAsia="zh-CN"/>
        </w:rPr>
        <w:t>）</w:t>
      </w:r>
      <w:r>
        <w:rPr>
          <w:rFonts w:ascii="Times New Roman" w:hAnsi="Times New Roman" w:eastAsia="宋体" w:cs="Times New Roman"/>
          <w:color w:val="000000"/>
          <w:szCs w:val="22"/>
        </w:rPr>
        <w:t>中对危险废物的分类废机油属于“HW08废矿物油与含矿物油废物”类别</w:t>
      </w:r>
      <w:r>
        <w:rPr>
          <w:rFonts w:hint="eastAsia" w:ascii="Times New Roman" w:hAnsi="Times New Roman" w:eastAsia="宋体" w:cs="Times New Roman"/>
          <w:color w:val="000000"/>
          <w:szCs w:val="22"/>
          <w:lang w:eastAsia="zh-CN"/>
        </w:rPr>
        <w:t>，</w:t>
      </w:r>
      <w:r>
        <w:rPr>
          <w:rFonts w:ascii="Times New Roman" w:hAnsi="Times New Roman" w:eastAsia="宋体" w:cs="Times New Roman"/>
          <w:color w:val="000000"/>
          <w:szCs w:val="22"/>
        </w:rPr>
        <w:t>代码为 900-217-08。按  GB18597-2001《危险废物贮存污染控制标准》要求，暂存于危废暂存间，交由具有危废处置资质的单位处置。含油废抹布、手套已列入危险废物豁免管理清单，混入生活垃圾的可按生活垃圾处理。</w:t>
      </w:r>
    </w:p>
    <w:bookmarkEnd w:id="113"/>
    <w:p w14:paraId="05CB31D5">
      <w:pPr>
        <w:pStyle w:val="2"/>
        <w:ind w:firstLine="480"/>
        <w:rPr>
          <w:rFonts w:ascii="Times New Roman" w:hAnsi="Times New Roman" w:eastAsia="宋体" w:cs="Times New Roman"/>
          <w:b/>
          <w:bCs/>
          <w:sz w:val="24"/>
        </w:rPr>
      </w:pPr>
      <w:bookmarkStart w:id="114" w:name="_Hlk312236"/>
      <w:r>
        <w:rPr>
          <w:rFonts w:ascii="Times New Roman" w:hAnsi="Times New Roman" w:eastAsia="宋体" w:cs="Times New Roman"/>
          <w:sz w:val="24"/>
        </w:rPr>
        <w:t>综上所述，该项目固体废物分析结果汇总见表</w:t>
      </w:r>
      <w:r>
        <w:rPr>
          <w:rFonts w:ascii="Times New Roman" w:hAnsi="Times New Roman" w:eastAsia="宋体" w:cs="Times New Roman"/>
          <w:sz w:val="24"/>
          <w:lang w:val="en-US" w:eastAsia="zh-CN"/>
        </w:rPr>
        <w:t>4.</w:t>
      </w:r>
      <w:r>
        <w:rPr>
          <w:rFonts w:ascii="Times New Roman" w:hAnsi="Times New Roman" w:eastAsia="宋体" w:cs="Times New Roman"/>
          <w:sz w:val="24"/>
        </w:rPr>
        <w:t>3-1</w:t>
      </w:r>
      <w:r>
        <w:rPr>
          <w:rFonts w:hint="eastAsia" w:ascii="Times New Roman" w:hAnsi="Times New Roman" w:eastAsia="宋体" w:cs="Times New Roman"/>
          <w:sz w:val="24"/>
          <w:lang w:val="en-US" w:eastAsia="zh-CN"/>
        </w:rPr>
        <w:t>7</w:t>
      </w:r>
      <w:r>
        <w:rPr>
          <w:rFonts w:ascii="Times New Roman" w:hAnsi="Times New Roman" w:eastAsia="宋体" w:cs="Times New Roman"/>
          <w:sz w:val="24"/>
        </w:rPr>
        <w:t>。</w:t>
      </w:r>
    </w:p>
    <w:p w14:paraId="082F55F9">
      <w:pPr>
        <w:pStyle w:val="2"/>
        <w:ind w:firstLine="482"/>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3-1</w:t>
      </w:r>
      <w:r>
        <w:rPr>
          <w:rFonts w:hint="eastAsia" w:ascii="Times New Roman" w:hAnsi="Times New Roman" w:eastAsia="宋体" w:cs="Times New Roman"/>
          <w:b/>
          <w:bCs/>
          <w:sz w:val="24"/>
          <w:szCs w:val="24"/>
          <w:lang w:val="en-US" w:eastAsia="zh-CN"/>
        </w:rPr>
        <w:t xml:space="preserve">7 </w:t>
      </w:r>
      <w:r>
        <w:rPr>
          <w:rFonts w:ascii="Times New Roman" w:hAnsi="Times New Roman" w:eastAsia="宋体" w:cs="Times New Roman"/>
          <w:b/>
          <w:bCs/>
          <w:sz w:val="24"/>
          <w:szCs w:val="24"/>
        </w:rPr>
        <w:t>本项目固体废物分析结果汇总表</w:t>
      </w:r>
    </w:p>
    <w:tbl>
      <w:tblPr>
        <w:tblStyle w:val="32"/>
        <w:tblW w:w="84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96"/>
        <w:gridCol w:w="1440"/>
        <w:gridCol w:w="1141"/>
        <w:gridCol w:w="1019"/>
        <w:gridCol w:w="1533"/>
        <w:gridCol w:w="2689"/>
      </w:tblGrid>
      <w:tr w14:paraId="1A597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7" w:hRule="atLeast"/>
          <w:jc w:val="center"/>
        </w:trPr>
        <w:tc>
          <w:tcPr>
            <w:tcW w:w="596" w:type="dxa"/>
            <w:noWrap w:val="0"/>
            <w:tcMar>
              <w:left w:w="28" w:type="dxa"/>
              <w:right w:w="28" w:type="dxa"/>
            </w:tcMar>
            <w:vAlign w:val="center"/>
          </w:tcPr>
          <w:p w14:paraId="06FDA90C">
            <w:pPr>
              <w:widowControl w:val="0"/>
              <w:spacing w:before="40" w:after="40"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序号</w:t>
            </w:r>
          </w:p>
        </w:tc>
        <w:tc>
          <w:tcPr>
            <w:tcW w:w="1440" w:type="dxa"/>
            <w:noWrap w:val="0"/>
            <w:tcMar>
              <w:left w:w="28" w:type="dxa"/>
              <w:right w:w="28" w:type="dxa"/>
            </w:tcMar>
            <w:vAlign w:val="center"/>
          </w:tcPr>
          <w:p w14:paraId="2C140549">
            <w:pPr>
              <w:widowControl w:val="0"/>
              <w:spacing w:before="40" w:after="40"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废弃物名称</w:t>
            </w:r>
          </w:p>
        </w:tc>
        <w:tc>
          <w:tcPr>
            <w:tcW w:w="1141" w:type="dxa"/>
            <w:noWrap w:val="0"/>
            <w:tcMar>
              <w:left w:w="28" w:type="dxa"/>
              <w:right w:w="28" w:type="dxa"/>
            </w:tcMar>
            <w:vAlign w:val="center"/>
          </w:tcPr>
          <w:p w14:paraId="30AEFB39">
            <w:pPr>
              <w:widowControl w:val="0"/>
              <w:spacing w:before="40" w:after="40"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排放量</w:t>
            </w:r>
          </w:p>
        </w:tc>
        <w:tc>
          <w:tcPr>
            <w:tcW w:w="1019" w:type="dxa"/>
            <w:noWrap w:val="0"/>
            <w:tcMar>
              <w:left w:w="28" w:type="dxa"/>
              <w:right w:w="28" w:type="dxa"/>
            </w:tcMar>
            <w:vAlign w:val="center"/>
          </w:tcPr>
          <w:p w14:paraId="615D6B6A">
            <w:pPr>
              <w:widowControl w:val="0"/>
              <w:spacing w:before="40" w:after="40"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来源</w:t>
            </w:r>
          </w:p>
        </w:tc>
        <w:tc>
          <w:tcPr>
            <w:tcW w:w="1533" w:type="dxa"/>
            <w:noWrap w:val="0"/>
            <w:tcMar>
              <w:left w:w="28" w:type="dxa"/>
              <w:right w:w="28" w:type="dxa"/>
            </w:tcMar>
            <w:vAlign w:val="center"/>
          </w:tcPr>
          <w:p w14:paraId="0D1E8608">
            <w:pPr>
              <w:widowControl w:val="0"/>
              <w:spacing w:before="40" w:after="40"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废物类别</w:t>
            </w:r>
          </w:p>
        </w:tc>
        <w:tc>
          <w:tcPr>
            <w:tcW w:w="2689" w:type="dxa"/>
            <w:noWrap w:val="0"/>
            <w:tcMar>
              <w:left w:w="28" w:type="dxa"/>
              <w:right w:w="28" w:type="dxa"/>
            </w:tcMar>
            <w:vAlign w:val="center"/>
          </w:tcPr>
          <w:p w14:paraId="756ED473">
            <w:pPr>
              <w:widowControl w:val="0"/>
              <w:spacing w:before="40" w:after="40"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处理方法</w:t>
            </w:r>
          </w:p>
        </w:tc>
      </w:tr>
      <w:tr w14:paraId="2A386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64FCC25D">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1440" w:type="dxa"/>
            <w:noWrap w:val="0"/>
            <w:tcMar>
              <w:left w:w="28" w:type="dxa"/>
              <w:right w:w="28" w:type="dxa"/>
            </w:tcMar>
            <w:vAlign w:val="center"/>
          </w:tcPr>
          <w:p w14:paraId="6A0CD13F">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废边角料</w:t>
            </w:r>
          </w:p>
        </w:tc>
        <w:tc>
          <w:tcPr>
            <w:tcW w:w="1141" w:type="dxa"/>
            <w:noWrap w:val="0"/>
            <w:tcMar>
              <w:left w:w="28" w:type="dxa"/>
              <w:right w:w="28" w:type="dxa"/>
            </w:tcMar>
            <w:vAlign w:val="center"/>
          </w:tcPr>
          <w:p w14:paraId="7468DF83">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9000</w:t>
            </w:r>
            <w:r>
              <w:rPr>
                <w:rFonts w:hint="eastAsia" w:ascii="Times New Roman" w:hAnsi="Times New Roman" w:eastAsia="宋体" w:cs="Times New Roman"/>
                <w:color w:val="000000"/>
                <w:sz w:val="21"/>
                <w:szCs w:val="21"/>
              </w:rPr>
              <w:t>t/a</w:t>
            </w:r>
          </w:p>
        </w:tc>
        <w:tc>
          <w:tcPr>
            <w:tcW w:w="1019" w:type="dxa"/>
            <w:noWrap w:val="0"/>
            <w:tcMar>
              <w:left w:w="28" w:type="dxa"/>
              <w:right w:w="28" w:type="dxa"/>
            </w:tcMar>
            <w:vAlign w:val="center"/>
          </w:tcPr>
          <w:p w14:paraId="5F2F8BB8">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板材</w:t>
            </w:r>
            <w:r>
              <w:rPr>
                <w:rFonts w:hint="eastAsia" w:ascii="Times New Roman" w:hAnsi="Times New Roman" w:eastAsia="宋体" w:cs="Times New Roman"/>
                <w:color w:val="000000"/>
                <w:sz w:val="21"/>
                <w:szCs w:val="21"/>
              </w:rPr>
              <w:t>加工</w:t>
            </w:r>
          </w:p>
        </w:tc>
        <w:tc>
          <w:tcPr>
            <w:tcW w:w="1533" w:type="dxa"/>
            <w:noWrap w:val="0"/>
            <w:tcMar>
              <w:left w:w="28" w:type="dxa"/>
              <w:right w:w="28" w:type="dxa"/>
            </w:tcMar>
            <w:vAlign w:val="center"/>
          </w:tcPr>
          <w:p w14:paraId="53A0F4BB">
            <w:pPr>
              <w:widowControl w:val="0"/>
              <w:spacing w:before="40" w:after="40"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一般</w:t>
            </w:r>
            <w:r>
              <w:rPr>
                <w:rFonts w:hint="eastAsia" w:ascii="Times New Roman" w:hAnsi="Times New Roman" w:eastAsia="宋体" w:cs="Times New Roman"/>
                <w:color w:val="000000"/>
                <w:sz w:val="21"/>
                <w:szCs w:val="21"/>
              </w:rPr>
              <w:t>固体</w:t>
            </w:r>
            <w:r>
              <w:rPr>
                <w:rFonts w:ascii="Times New Roman" w:hAnsi="Times New Roman" w:eastAsia="宋体" w:cs="Times New Roman"/>
                <w:color w:val="000000"/>
                <w:sz w:val="21"/>
                <w:szCs w:val="21"/>
              </w:rPr>
              <w:t>废物</w:t>
            </w:r>
          </w:p>
        </w:tc>
        <w:tc>
          <w:tcPr>
            <w:tcW w:w="2689" w:type="dxa"/>
            <w:noWrap w:val="0"/>
            <w:tcMar>
              <w:left w:w="28" w:type="dxa"/>
              <w:right w:w="28" w:type="dxa"/>
            </w:tcMar>
            <w:vAlign w:val="center"/>
          </w:tcPr>
          <w:p w14:paraId="41281135">
            <w:pPr>
              <w:widowControl w:val="0"/>
              <w:spacing w:line="240" w:lineRule="auto"/>
              <w:ind w:firstLine="0"/>
              <w:jc w:val="center"/>
              <w:rPr>
                <w:rFonts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作为厂区供热系统燃料使用</w:t>
            </w:r>
          </w:p>
        </w:tc>
      </w:tr>
      <w:tr w14:paraId="24A05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62C85F76">
            <w:pPr>
              <w:widowControl w:val="0"/>
              <w:spacing w:before="40" w:after="40"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1440" w:type="dxa"/>
            <w:noWrap w:val="0"/>
            <w:tcMar>
              <w:left w:w="28" w:type="dxa"/>
              <w:right w:w="28" w:type="dxa"/>
            </w:tcMar>
            <w:vAlign w:val="center"/>
          </w:tcPr>
          <w:p w14:paraId="576F3F00">
            <w:pPr>
              <w:widowControl w:val="0"/>
              <w:spacing w:before="40" w:after="40"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炉渣</w:t>
            </w:r>
          </w:p>
        </w:tc>
        <w:tc>
          <w:tcPr>
            <w:tcW w:w="1141" w:type="dxa"/>
            <w:noWrap w:val="0"/>
            <w:tcMar>
              <w:left w:w="28" w:type="dxa"/>
              <w:right w:w="28" w:type="dxa"/>
            </w:tcMar>
            <w:vAlign w:val="center"/>
          </w:tcPr>
          <w:p w14:paraId="10269BE2">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1800t/a</w:t>
            </w:r>
          </w:p>
        </w:tc>
        <w:tc>
          <w:tcPr>
            <w:tcW w:w="1019" w:type="dxa"/>
            <w:noWrap w:val="0"/>
            <w:tcMar>
              <w:left w:w="28" w:type="dxa"/>
              <w:right w:w="28" w:type="dxa"/>
            </w:tcMar>
            <w:vAlign w:val="center"/>
          </w:tcPr>
          <w:p w14:paraId="46CDBD22">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锅炉</w:t>
            </w:r>
          </w:p>
        </w:tc>
        <w:tc>
          <w:tcPr>
            <w:tcW w:w="1533" w:type="dxa"/>
            <w:noWrap w:val="0"/>
            <w:tcMar>
              <w:left w:w="28" w:type="dxa"/>
              <w:right w:w="28" w:type="dxa"/>
            </w:tcMar>
            <w:vAlign w:val="center"/>
          </w:tcPr>
          <w:p w14:paraId="29187FD3">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一般固体废物</w:t>
            </w:r>
          </w:p>
        </w:tc>
        <w:tc>
          <w:tcPr>
            <w:tcW w:w="2689" w:type="dxa"/>
            <w:vMerge w:val="restart"/>
            <w:noWrap w:val="0"/>
            <w:tcMar>
              <w:left w:w="28" w:type="dxa"/>
              <w:right w:w="28" w:type="dxa"/>
            </w:tcMar>
            <w:vAlign w:val="center"/>
          </w:tcPr>
          <w:p w14:paraId="0079946C">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由附近村民定期清运用于周边农田施肥</w:t>
            </w:r>
          </w:p>
        </w:tc>
      </w:tr>
      <w:tr w14:paraId="00E6D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30053802">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440" w:type="dxa"/>
            <w:noWrap w:val="0"/>
            <w:tcMar>
              <w:left w:w="28" w:type="dxa"/>
              <w:right w:w="28" w:type="dxa"/>
            </w:tcMar>
            <w:vAlign w:val="center"/>
          </w:tcPr>
          <w:p w14:paraId="4170F470">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沉淀渣</w:t>
            </w:r>
          </w:p>
        </w:tc>
        <w:tc>
          <w:tcPr>
            <w:tcW w:w="1141" w:type="dxa"/>
            <w:noWrap w:val="0"/>
            <w:tcMar>
              <w:left w:w="28" w:type="dxa"/>
              <w:right w:w="28" w:type="dxa"/>
            </w:tcMar>
            <w:vAlign w:val="center"/>
          </w:tcPr>
          <w:p w14:paraId="3CF68BA1">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76.1t/a</w:t>
            </w:r>
          </w:p>
        </w:tc>
        <w:tc>
          <w:tcPr>
            <w:tcW w:w="1019" w:type="dxa"/>
            <w:noWrap w:val="0"/>
            <w:tcMar>
              <w:left w:w="28" w:type="dxa"/>
              <w:right w:w="28" w:type="dxa"/>
            </w:tcMar>
            <w:vAlign w:val="center"/>
          </w:tcPr>
          <w:p w14:paraId="3C7EE372">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水膜除尘器循环水池</w:t>
            </w:r>
          </w:p>
        </w:tc>
        <w:tc>
          <w:tcPr>
            <w:tcW w:w="1533" w:type="dxa"/>
            <w:noWrap w:val="0"/>
            <w:tcMar>
              <w:left w:w="28" w:type="dxa"/>
              <w:right w:w="28" w:type="dxa"/>
            </w:tcMar>
            <w:vAlign w:val="center"/>
          </w:tcPr>
          <w:p w14:paraId="3C40BB52">
            <w:pPr>
              <w:widowControl w:val="0"/>
              <w:spacing w:before="40" w:after="40" w:line="240" w:lineRule="auto"/>
              <w:ind w:firstLine="0"/>
              <w:jc w:val="center"/>
              <w:rPr>
                <w:rFonts w:hint="eastAsia"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一般</w:t>
            </w:r>
            <w:r>
              <w:rPr>
                <w:rFonts w:hint="eastAsia" w:ascii="Times New Roman" w:hAnsi="Times New Roman" w:eastAsia="宋体" w:cs="Times New Roman"/>
                <w:color w:val="000000"/>
                <w:sz w:val="21"/>
                <w:szCs w:val="21"/>
              </w:rPr>
              <w:t>固体</w:t>
            </w:r>
            <w:r>
              <w:rPr>
                <w:rFonts w:ascii="Times New Roman" w:hAnsi="Times New Roman" w:eastAsia="宋体" w:cs="Times New Roman"/>
                <w:color w:val="000000"/>
                <w:sz w:val="21"/>
                <w:szCs w:val="21"/>
              </w:rPr>
              <w:t>废物</w:t>
            </w:r>
          </w:p>
        </w:tc>
        <w:tc>
          <w:tcPr>
            <w:tcW w:w="2689" w:type="dxa"/>
            <w:vMerge w:val="continue"/>
            <w:noWrap w:val="0"/>
            <w:tcMar>
              <w:left w:w="28" w:type="dxa"/>
              <w:right w:w="28" w:type="dxa"/>
            </w:tcMar>
            <w:vAlign w:val="center"/>
          </w:tcPr>
          <w:p w14:paraId="393E5827">
            <w:pPr>
              <w:widowControl w:val="0"/>
              <w:spacing w:line="240" w:lineRule="auto"/>
              <w:ind w:firstLine="0"/>
              <w:jc w:val="center"/>
              <w:rPr>
                <w:rFonts w:hint="eastAsia"/>
                <w:color w:val="000000"/>
                <w:sz w:val="21"/>
                <w:szCs w:val="21"/>
              </w:rPr>
            </w:pPr>
          </w:p>
        </w:tc>
      </w:tr>
      <w:tr w14:paraId="404C8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22CB75DE">
            <w:pPr>
              <w:widowControl w:val="0"/>
              <w:spacing w:before="40" w:after="40" w:line="240" w:lineRule="auto"/>
              <w:ind w:firstLine="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4</w:t>
            </w:r>
          </w:p>
        </w:tc>
        <w:tc>
          <w:tcPr>
            <w:tcW w:w="1440" w:type="dxa"/>
            <w:noWrap w:val="0"/>
            <w:tcMar>
              <w:left w:w="28" w:type="dxa"/>
              <w:right w:w="28" w:type="dxa"/>
            </w:tcMar>
            <w:vAlign w:val="center"/>
          </w:tcPr>
          <w:p w14:paraId="6CD922CF">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回收粉尘</w:t>
            </w:r>
          </w:p>
        </w:tc>
        <w:tc>
          <w:tcPr>
            <w:tcW w:w="1141" w:type="dxa"/>
            <w:noWrap w:val="0"/>
            <w:tcMar>
              <w:left w:w="28" w:type="dxa"/>
              <w:right w:w="28" w:type="dxa"/>
            </w:tcMar>
            <w:vAlign w:val="center"/>
          </w:tcPr>
          <w:p w14:paraId="2EE868CA">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2511.935</w:t>
            </w:r>
            <w:r>
              <w:rPr>
                <w:rFonts w:hint="eastAsia" w:ascii="Times New Roman" w:hAnsi="Times New Roman" w:eastAsia="宋体" w:cs="Times New Roman"/>
                <w:color w:val="000000"/>
                <w:sz w:val="21"/>
                <w:szCs w:val="21"/>
              </w:rPr>
              <w:t>t/a</w:t>
            </w:r>
          </w:p>
        </w:tc>
        <w:tc>
          <w:tcPr>
            <w:tcW w:w="1019" w:type="dxa"/>
            <w:noWrap w:val="0"/>
            <w:tcMar>
              <w:left w:w="28" w:type="dxa"/>
              <w:right w:w="28" w:type="dxa"/>
            </w:tcMar>
            <w:vAlign w:val="center"/>
          </w:tcPr>
          <w:p w14:paraId="6B079A23">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板材</w:t>
            </w:r>
            <w:r>
              <w:rPr>
                <w:rFonts w:hint="eastAsia" w:ascii="Times New Roman" w:hAnsi="Times New Roman" w:eastAsia="宋体" w:cs="Times New Roman"/>
                <w:color w:val="000000"/>
                <w:sz w:val="21"/>
                <w:szCs w:val="21"/>
              </w:rPr>
              <w:t>加工</w:t>
            </w:r>
            <w:r>
              <w:rPr>
                <w:rFonts w:hint="eastAsia" w:ascii="Times New Roman" w:hAnsi="Times New Roman" w:eastAsia="宋体" w:cs="Times New Roman"/>
                <w:color w:val="000000"/>
                <w:sz w:val="21"/>
                <w:szCs w:val="21"/>
                <w:lang w:val="en-US" w:eastAsia="zh-CN"/>
              </w:rPr>
              <w:t>除尘器</w:t>
            </w:r>
          </w:p>
        </w:tc>
        <w:tc>
          <w:tcPr>
            <w:tcW w:w="1533" w:type="dxa"/>
            <w:noWrap w:val="0"/>
            <w:tcMar>
              <w:left w:w="28" w:type="dxa"/>
              <w:right w:w="28" w:type="dxa"/>
            </w:tcMar>
            <w:vAlign w:val="center"/>
          </w:tcPr>
          <w:p w14:paraId="7B6FA05B">
            <w:pPr>
              <w:widowControl w:val="0"/>
              <w:spacing w:before="40" w:after="40"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一般</w:t>
            </w:r>
            <w:r>
              <w:rPr>
                <w:rFonts w:hint="eastAsia" w:ascii="Times New Roman" w:hAnsi="Times New Roman" w:eastAsia="宋体" w:cs="Times New Roman"/>
                <w:color w:val="000000"/>
                <w:sz w:val="21"/>
                <w:szCs w:val="21"/>
              </w:rPr>
              <w:t>固体</w:t>
            </w:r>
            <w:r>
              <w:rPr>
                <w:rFonts w:ascii="Times New Roman" w:hAnsi="Times New Roman" w:eastAsia="宋体" w:cs="Times New Roman"/>
                <w:color w:val="000000"/>
                <w:sz w:val="21"/>
                <w:szCs w:val="21"/>
              </w:rPr>
              <w:t>废物</w:t>
            </w:r>
          </w:p>
        </w:tc>
        <w:tc>
          <w:tcPr>
            <w:tcW w:w="2689" w:type="dxa"/>
            <w:noWrap w:val="0"/>
            <w:tcMar>
              <w:left w:w="28" w:type="dxa"/>
              <w:right w:w="28" w:type="dxa"/>
            </w:tcMar>
            <w:vAlign w:val="center"/>
          </w:tcPr>
          <w:p w14:paraId="2B7C328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作为生物质燃料的原料外售</w:t>
            </w:r>
          </w:p>
        </w:tc>
      </w:tr>
      <w:tr w14:paraId="2AC02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6511D343">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5</w:t>
            </w:r>
          </w:p>
        </w:tc>
        <w:tc>
          <w:tcPr>
            <w:tcW w:w="1440" w:type="dxa"/>
            <w:noWrap w:val="0"/>
            <w:tcMar>
              <w:left w:w="28" w:type="dxa"/>
              <w:right w:w="28" w:type="dxa"/>
            </w:tcMar>
            <w:vAlign w:val="center"/>
          </w:tcPr>
          <w:p w14:paraId="332E1041">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生活垃圾</w:t>
            </w:r>
          </w:p>
        </w:tc>
        <w:tc>
          <w:tcPr>
            <w:tcW w:w="1141" w:type="dxa"/>
            <w:noWrap w:val="0"/>
            <w:tcMar>
              <w:left w:w="28" w:type="dxa"/>
              <w:right w:w="28" w:type="dxa"/>
            </w:tcMar>
            <w:vAlign w:val="center"/>
          </w:tcPr>
          <w:p w14:paraId="5C44BB74">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24</w:t>
            </w:r>
            <w:r>
              <w:rPr>
                <w:rFonts w:hint="eastAsia" w:ascii="Times New Roman" w:hAnsi="Times New Roman" w:eastAsia="宋体" w:cs="Times New Roman"/>
                <w:color w:val="000000"/>
                <w:sz w:val="21"/>
                <w:szCs w:val="21"/>
              </w:rPr>
              <w:t>t/a</w:t>
            </w:r>
          </w:p>
        </w:tc>
        <w:tc>
          <w:tcPr>
            <w:tcW w:w="1019" w:type="dxa"/>
            <w:noWrap w:val="0"/>
            <w:tcMar>
              <w:left w:w="28" w:type="dxa"/>
              <w:right w:w="28" w:type="dxa"/>
            </w:tcMar>
            <w:vAlign w:val="center"/>
          </w:tcPr>
          <w:p w14:paraId="3C8855B1">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办公、生活</w:t>
            </w:r>
          </w:p>
        </w:tc>
        <w:tc>
          <w:tcPr>
            <w:tcW w:w="1533" w:type="dxa"/>
            <w:noWrap w:val="0"/>
            <w:tcMar>
              <w:left w:w="28" w:type="dxa"/>
              <w:right w:w="28" w:type="dxa"/>
            </w:tcMar>
            <w:vAlign w:val="center"/>
          </w:tcPr>
          <w:p w14:paraId="1B31C2CD">
            <w:pPr>
              <w:widowControl w:val="0"/>
              <w:spacing w:before="40" w:after="40"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一般</w:t>
            </w:r>
            <w:r>
              <w:rPr>
                <w:rFonts w:hint="eastAsia" w:ascii="Times New Roman" w:hAnsi="Times New Roman" w:eastAsia="宋体" w:cs="Times New Roman"/>
                <w:color w:val="000000"/>
                <w:sz w:val="21"/>
                <w:szCs w:val="21"/>
              </w:rPr>
              <w:t>固体</w:t>
            </w:r>
            <w:r>
              <w:rPr>
                <w:rFonts w:ascii="Times New Roman" w:hAnsi="Times New Roman" w:eastAsia="宋体" w:cs="Times New Roman"/>
                <w:color w:val="000000"/>
                <w:sz w:val="21"/>
                <w:szCs w:val="21"/>
              </w:rPr>
              <w:t>废物</w:t>
            </w:r>
          </w:p>
        </w:tc>
        <w:tc>
          <w:tcPr>
            <w:tcW w:w="2689" w:type="dxa"/>
            <w:noWrap w:val="0"/>
            <w:tcMar>
              <w:left w:w="28" w:type="dxa"/>
              <w:right w:w="28" w:type="dxa"/>
            </w:tcMar>
            <w:vAlign w:val="center"/>
          </w:tcPr>
          <w:p w14:paraId="5485745C">
            <w:pPr>
              <w:widowControl w:val="0"/>
              <w:spacing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由当地环卫部门定期清运集中处置</w:t>
            </w:r>
          </w:p>
        </w:tc>
      </w:tr>
      <w:tr w14:paraId="36DCE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0671E39D">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6</w:t>
            </w:r>
          </w:p>
        </w:tc>
        <w:tc>
          <w:tcPr>
            <w:tcW w:w="1440" w:type="dxa"/>
            <w:noWrap w:val="0"/>
            <w:tcMar>
              <w:left w:w="28" w:type="dxa"/>
              <w:right w:w="28" w:type="dxa"/>
            </w:tcMar>
            <w:vAlign w:val="center"/>
          </w:tcPr>
          <w:p w14:paraId="57EF730B">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食堂泔水</w:t>
            </w:r>
          </w:p>
        </w:tc>
        <w:tc>
          <w:tcPr>
            <w:tcW w:w="1141" w:type="dxa"/>
            <w:noWrap w:val="0"/>
            <w:tcMar>
              <w:left w:w="28" w:type="dxa"/>
              <w:right w:w="28" w:type="dxa"/>
            </w:tcMar>
            <w:vAlign w:val="center"/>
          </w:tcPr>
          <w:p w14:paraId="646CA256">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少量</w:t>
            </w:r>
          </w:p>
        </w:tc>
        <w:tc>
          <w:tcPr>
            <w:tcW w:w="1019" w:type="dxa"/>
            <w:noWrap w:val="0"/>
            <w:tcMar>
              <w:left w:w="28" w:type="dxa"/>
              <w:right w:w="28" w:type="dxa"/>
            </w:tcMar>
            <w:vAlign w:val="center"/>
          </w:tcPr>
          <w:p w14:paraId="7FAFCF43">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食堂</w:t>
            </w:r>
          </w:p>
        </w:tc>
        <w:tc>
          <w:tcPr>
            <w:tcW w:w="1533" w:type="dxa"/>
            <w:noWrap w:val="0"/>
            <w:tcMar>
              <w:left w:w="28" w:type="dxa"/>
              <w:right w:w="28" w:type="dxa"/>
            </w:tcMar>
            <w:vAlign w:val="center"/>
          </w:tcPr>
          <w:p w14:paraId="5ADF63A3">
            <w:pPr>
              <w:widowControl w:val="0"/>
              <w:spacing w:before="40" w:after="40"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一般</w:t>
            </w:r>
            <w:r>
              <w:rPr>
                <w:rFonts w:hint="eastAsia" w:ascii="Times New Roman" w:hAnsi="Times New Roman" w:eastAsia="宋体" w:cs="Times New Roman"/>
                <w:color w:val="000000"/>
                <w:sz w:val="21"/>
                <w:szCs w:val="21"/>
              </w:rPr>
              <w:t>固体</w:t>
            </w:r>
            <w:r>
              <w:rPr>
                <w:rFonts w:ascii="Times New Roman" w:hAnsi="Times New Roman" w:eastAsia="宋体" w:cs="Times New Roman"/>
                <w:color w:val="000000"/>
                <w:sz w:val="21"/>
                <w:szCs w:val="21"/>
              </w:rPr>
              <w:t>废物</w:t>
            </w:r>
          </w:p>
        </w:tc>
        <w:tc>
          <w:tcPr>
            <w:tcW w:w="2689" w:type="dxa"/>
            <w:noWrap w:val="0"/>
            <w:tcMar>
              <w:left w:w="28" w:type="dxa"/>
              <w:right w:w="28" w:type="dxa"/>
            </w:tcMar>
            <w:vAlign w:val="center"/>
          </w:tcPr>
          <w:p w14:paraId="616FD538">
            <w:pPr>
              <w:widowControl w:val="0"/>
              <w:spacing w:line="240" w:lineRule="auto"/>
              <w:ind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按照当地相关政府部门管理要求进行处置</w:t>
            </w:r>
          </w:p>
        </w:tc>
      </w:tr>
      <w:tr w14:paraId="2C62B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5C9D1100">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7</w:t>
            </w:r>
          </w:p>
        </w:tc>
        <w:tc>
          <w:tcPr>
            <w:tcW w:w="1440" w:type="dxa"/>
            <w:noWrap w:val="0"/>
            <w:tcMar>
              <w:left w:w="28" w:type="dxa"/>
              <w:right w:w="28" w:type="dxa"/>
            </w:tcMar>
            <w:vAlign w:val="center"/>
          </w:tcPr>
          <w:p w14:paraId="4BFC68BF">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化粪池</w:t>
            </w:r>
            <w:r>
              <w:rPr>
                <w:rFonts w:hint="eastAsia" w:ascii="Times New Roman" w:hAnsi="Times New Roman" w:eastAsia="宋体" w:cs="Times New Roman"/>
                <w:color w:val="000000"/>
                <w:sz w:val="21"/>
                <w:szCs w:val="21"/>
              </w:rPr>
              <w:t>污泥</w:t>
            </w:r>
          </w:p>
        </w:tc>
        <w:tc>
          <w:tcPr>
            <w:tcW w:w="1141" w:type="dxa"/>
            <w:noWrap w:val="0"/>
            <w:tcMar>
              <w:left w:w="28" w:type="dxa"/>
              <w:right w:w="28" w:type="dxa"/>
            </w:tcMar>
            <w:vAlign w:val="center"/>
          </w:tcPr>
          <w:p w14:paraId="3A8A5140">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少量</w:t>
            </w:r>
          </w:p>
        </w:tc>
        <w:tc>
          <w:tcPr>
            <w:tcW w:w="1019" w:type="dxa"/>
            <w:noWrap w:val="0"/>
            <w:tcMar>
              <w:left w:w="28" w:type="dxa"/>
              <w:right w:w="28" w:type="dxa"/>
            </w:tcMar>
            <w:vAlign w:val="center"/>
          </w:tcPr>
          <w:p w14:paraId="2B883B30">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化粪池</w:t>
            </w:r>
          </w:p>
        </w:tc>
        <w:tc>
          <w:tcPr>
            <w:tcW w:w="1533" w:type="dxa"/>
            <w:noWrap w:val="0"/>
            <w:tcMar>
              <w:left w:w="28" w:type="dxa"/>
              <w:right w:w="28" w:type="dxa"/>
            </w:tcMar>
            <w:vAlign w:val="center"/>
          </w:tcPr>
          <w:p w14:paraId="59538FE5">
            <w:pPr>
              <w:widowControl w:val="0"/>
              <w:spacing w:before="40" w:after="40"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一般</w:t>
            </w:r>
            <w:r>
              <w:rPr>
                <w:rFonts w:hint="eastAsia" w:ascii="Times New Roman" w:hAnsi="Times New Roman" w:eastAsia="宋体" w:cs="Times New Roman"/>
                <w:color w:val="000000"/>
                <w:sz w:val="21"/>
                <w:szCs w:val="21"/>
              </w:rPr>
              <w:t>固体</w:t>
            </w:r>
            <w:r>
              <w:rPr>
                <w:rFonts w:ascii="Times New Roman" w:hAnsi="Times New Roman" w:eastAsia="宋体" w:cs="Times New Roman"/>
                <w:color w:val="000000"/>
                <w:sz w:val="21"/>
                <w:szCs w:val="21"/>
              </w:rPr>
              <w:t>废物</w:t>
            </w:r>
          </w:p>
        </w:tc>
        <w:tc>
          <w:tcPr>
            <w:tcW w:w="2689" w:type="dxa"/>
            <w:noWrap w:val="0"/>
            <w:tcMar>
              <w:left w:w="28" w:type="dxa"/>
              <w:right w:w="28" w:type="dxa"/>
            </w:tcMar>
            <w:vAlign w:val="center"/>
          </w:tcPr>
          <w:p w14:paraId="626D1B9D">
            <w:pPr>
              <w:widowControl w:val="0"/>
              <w:spacing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由附近村民定期清运作为农家肥使用</w:t>
            </w:r>
          </w:p>
        </w:tc>
      </w:tr>
      <w:tr w14:paraId="3B69E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72F67400">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8</w:t>
            </w:r>
          </w:p>
        </w:tc>
        <w:tc>
          <w:tcPr>
            <w:tcW w:w="1440" w:type="dxa"/>
            <w:noWrap w:val="0"/>
            <w:tcMar>
              <w:left w:w="28" w:type="dxa"/>
              <w:right w:w="28" w:type="dxa"/>
            </w:tcMar>
            <w:vAlign w:val="center"/>
          </w:tcPr>
          <w:p w14:paraId="2FB79782">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废油脂</w:t>
            </w:r>
          </w:p>
        </w:tc>
        <w:tc>
          <w:tcPr>
            <w:tcW w:w="1141" w:type="dxa"/>
            <w:noWrap w:val="0"/>
            <w:tcMar>
              <w:left w:w="28" w:type="dxa"/>
              <w:right w:w="28" w:type="dxa"/>
            </w:tcMar>
            <w:vAlign w:val="center"/>
          </w:tcPr>
          <w:p w14:paraId="6556DD31">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少量</w:t>
            </w:r>
          </w:p>
        </w:tc>
        <w:tc>
          <w:tcPr>
            <w:tcW w:w="1019" w:type="dxa"/>
            <w:noWrap w:val="0"/>
            <w:tcMar>
              <w:left w:w="28" w:type="dxa"/>
              <w:right w:w="28" w:type="dxa"/>
            </w:tcMar>
            <w:vAlign w:val="center"/>
          </w:tcPr>
          <w:p w14:paraId="539C67C0">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隔油池</w:t>
            </w:r>
          </w:p>
        </w:tc>
        <w:tc>
          <w:tcPr>
            <w:tcW w:w="1533" w:type="dxa"/>
            <w:noWrap w:val="0"/>
            <w:tcMar>
              <w:left w:w="28" w:type="dxa"/>
              <w:right w:w="28" w:type="dxa"/>
            </w:tcMar>
            <w:vAlign w:val="center"/>
          </w:tcPr>
          <w:p w14:paraId="66323B96">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一般</w:t>
            </w:r>
            <w:r>
              <w:rPr>
                <w:rFonts w:hint="eastAsia" w:ascii="Times New Roman" w:hAnsi="Times New Roman" w:eastAsia="宋体" w:cs="Times New Roman"/>
                <w:color w:val="000000"/>
                <w:sz w:val="21"/>
                <w:szCs w:val="21"/>
              </w:rPr>
              <w:t>固体</w:t>
            </w:r>
            <w:r>
              <w:rPr>
                <w:rFonts w:ascii="Times New Roman" w:hAnsi="Times New Roman" w:eastAsia="宋体" w:cs="Times New Roman"/>
                <w:color w:val="000000"/>
                <w:sz w:val="21"/>
                <w:szCs w:val="21"/>
              </w:rPr>
              <w:t>废物</w:t>
            </w:r>
          </w:p>
        </w:tc>
        <w:tc>
          <w:tcPr>
            <w:tcW w:w="2689" w:type="dxa"/>
            <w:noWrap w:val="0"/>
            <w:tcMar>
              <w:left w:w="28" w:type="dxa"/>
              <w:right w:w="28" w:type="dxa"/>
            </w:tcMar>
            <w:vAlign w:val="center"/>
          </w:tcPr>
          <w:p w14:paraId="5D5B4F0A">
            <w:pPr>
              <w:widowControl w:val="0"/>
              <w:spacing w:line="240" w:lineRule="auto"/>
              <w:ind w:firstLine="0"/>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委托专业的单位清淘处置</w:t>
            </w:r>
          </w:p>
        </w:tc>
      </w:tr>
      <w:tr w14:paraId="2C910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57D66E7A">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9</w:t>
            </w:r>
          </w:p>
        </w:tc>
        <w:tc>
          <w:tcPr>
            <w:tcW w:w="1440" w:type="dxa"/>
            <w:noWrap w:val="0"/>
            <w:tcMar>
              <w:left w:w="28" w:type="dxa"/>
              <w:right w:w="28" w:type="dxa"/>
            </w:tcMar>
            <w:vAlign w:val="center"/>
          </w:tcPr>
          <w:p w14:paraId="3E2E2C17">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制胶生产废包装材料</w:t>
            </w:r>
          </w:p>
        </w:tc>
        <w:tc>
          <w:tcPr>
            <w:tcW w:w="1141" w:type="dxa"/>
            <w:noWrap w:val="0"/>
            <w:tcMar>
              <w:left w:w="28" w:type="dxa"/>
              <w:right w:w="28" w:type="dxa"/>
            </w:tcMar>
            <w:vAlign w:val="center"/>
          </w:tcPr>
          <w:p w14:paraId="257220B5">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0.</w:t>
            </w:r>
            <w:r>
              <w:rPr>
                <w:rFonts w:hint="eastAsia" w:ascii="Times New Roman" w:hAnsi="Times New Roman" w:eastAsia="宋体" w:cs="Times New Roman"/>
                <w:color w:val="000000"/>
                <w:sz w:val="21"/>
                <w:szCs w:val="21"/>
                <w:lang w:val="en-US" w:eastAsia="zh-CN"/>
              </w:rPr>
              <w:t>5</w:t>
            </w:r>
            <w:r>
              <w:rPr>
                <w:rFonts w:hint="eastAsia" w:ascii="Times New Roman" w:hAnsi="Times New Roman" w:eastAsia="宋体" w:cs="Times New Roman"/>
                <w:color w:val="000000"/>
                <w:sz w:val="21"/>
                <w:szCs w:val="21"/>
              </w:rPr>
              <w:t>t/a</w:t>
            </w:r>
          </w:p>
        </w:tc>
        <w:tc>
          <w:tcPr>
            <w:tcW w:w="1019" w:type="dxa"/>
            <w:noWrap w:val="0"/>
            <w:tcMar>
              <w:left w:w="28" w:type="dxa"/>
              <w:right w:w="28" w:type="dxa"/>
            </w:tcMar>
            <w:vAlign w:val="center"/>
          </w:tcPr>
          <w:p w14:paraId="2D4814D5">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制胶车间</w:t>
            </w:r>
          </w:p>
        </w:tc>
        <w:tc>
          <w:tcPr>
            <w:tcW w:w="1533" w:type="dxa"/>
            <w:noWrap w:val="0"/>
            <w:tcMar>
              <w:left w:w="28" w:type="dxa"/>
              <w:right w:w="28" w:type="dxa"/>
            </w:tcMar>
            <w:vAlign w:val="center"/>
          </w:tcPr>
          <w:p w14:paraId="07C93268">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HW13</w:t>
            </w:r>
            <w:r>
              <w:rPr>
                <w:rFonts w:ascii="Times New Roman" w:hAnsi="宋体" w:eastAsia="宋体" w:cs="Times New Roman"/>
                <w:color w:val="000000"/>
                <w:sz w:val="21"/>
                <w:szCs w:val="21"/>
              </w:rPr>
              <w:t>有机树脂类废物</w:t>
            </w:r>
          </w:p>
        </w:tc>
        <w:tc>
          <w:tcPr>
            <w:tcW w:w="2689" w:type="dxa"/>
            <w:noWrap w:val="0"/>
            <w:tcMar>
              <w:left w:w="28" w:type="dxa"/>
              <w:right w:w="28" w:type="dxa"/>
            </w:tcMar>
            <w:vAlign w:val="center"/>
          </w:tcPr>
          <w:p w14:paraId="5B355548">
            <w:pPr>
              <w:widowControl w:val="0"/>
              <w:spacing w:line="240" w:lineRule="auto"/>
              <w:ind w:firstLine="0"/>
              <w:jc w:val="center"/>
              <w:rPr>
                <w:rFonts w:hint="eastAsia" w:ascii="宋体" w:hAnsi="宋体" w:eastAsia="宋体" w:cs="Times New Roman"/>
                <w:color w:val="000000"/>
                <w:sz w:val="21"/>
                <w:szCs w:val="21"/>
              </w:rPr>
            </w:pPr>
            <w:r>
              <w:rPr>
                <w:rFonts w:ascii="Times New Roman" w:hAnsi="Times New Roman" w:eastAsia="宋体" w:cs="Times New Roman"/>
                <w:color w:val="000000"/>
                <w:sz w:val="21"/>
                <w:szCs w:val="21"/>
                <w:lang w:val="en-US" w:eastAsia="zh-CN" w:bidi="ar"/>
              </w:rPr>
              <w:t>交</w:t>
            </w:r>
            <w:r>
              <w:rPr>
                <w:rFonts w:hint="eastAsia" w:ascii="Times New Roman" w:hAnsi="Times New Roman" w:eastAsia="宋体" w:cs="Times New Roman"/>
                <w:color w:val="000000"/>
                <w:sz w:val="21"/>
                <w:szCs w:val="21"/>
                <w:lang w:val="en-US" w:eastAsia="zh-CN" w:bidi="ar"/>
              </w:rPr>
              <w:t>有</w:t>
            </w:r>
            <w:r>
              <w:rPr>
                <w:rFonts w:ascii="Times New Roman" w:hAnsi="Times New Roman" w:eastAsia="宋体" w:cs="Times New Roman"/>
                <w:color w:val="000000"/>
                <w:sz w:val="21"/>
                <w:szCs w:val="21"/>
                <w:lang w:val="en-US" w:eastAsia="zh-CN" w:bidi="ar"/>
              </w:rPr>
              <w:t>资质单位进行回收处置</w:t>
            </w:r>
          </w:p>
        </w:tc>
      </w:tr>
      <w:tr w14:paraId="0529B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7901CE49">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440" w:type="dxa"/>
            <w:noWrap w:val="0"/>
            <w:tcMar>
              <w:left w:w="28" w:type="dxa"/>
              <w:right w:w="28" w:type="dxa"/>
            </w:tcMar>
            <w:vAlign w:val="center"/>
          </w:tcPr>
          <w:p w14:paraId="4FC9D2DC">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废活性炭</w:t>
            </w:r>
          </w:p>
        </w:tc>
        <w:tc>
          <w:tcPr>
            <w:tcW w:w="1141" w:type="dxa"/>
            <w:noWrap w:val="0"/>
            <w:tcMar>
              <w:left w:w="28" w:type="dxa"/>
              <w:right w:w="28" w:type="dxa"/>
            </w:tcMar>
            <w:vAlign w:val="center"/>
          </w:tcPr>
          <w:p w14:paraId="415E4650">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0.4t/a</w:t>
            </w:r>
          </w:p>
        </w:tc>
        <w:tc>
          <w:tcPr>
            <w:tcW w:w="1019" w:type="dxa"/>
            <w:vMerge w:val="restart"/>
            <w:noWrap w:val="0"/>
            <w:tcMar>
              <w:left w:w="28" w:type="dxa"/>
              <w:right w:w="28" w:type="dxa"/>
            </w:tcMar>
            <w:vAlign w:val="center"/>
          </w:tcPr>
          <w:p w14:paraId="3146677D">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UV光催化活性炭吸附一体设备</w:t>
            </w:r>
          </w:p>
        </w:tc>
        <w:tc>
          <w:tcPr>
            <w:tcW w:w="1533" w:type="dxa"/>
            <w:noWrap w:val="0"/>
            <w:tcMar>
              <w:left w:w="28" w:type="dxa"/>
              <w:right w:w="28" w:type="dxa"/>
            </w:tcMar>
            <w:vAlign w:val="center"/>
          </w:tcPr>
          <w:p w14:paraId="298DE8AF">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HW49其他废物</w:t>
            </w:r>
          </w:p>
        </w:tc>
        <w:tc>
          <w:tcPr>
            <w:tcW w:w="2689" w:type="dxa"/>
            <w:vMerge w:val="restart"/>
            <w:noWrap w:val="0"/>
            <w:tcMar>
              <w:left w:w="28" w:type="dxa"/>
              <w:right w:w="28" w:type="dxa"/>
            </w:tcMar>
            <w:vAlign w:val="center"/>
          </w:tcPr>
          <w:p w14:paraId="45094FC3">
            <w:pPr>
              <w:widowControl w:val="0"/>
              <w:spacing w:line="240" w:lineRule="auto"/>
              <w:ind w:firstLine="0"/>
              <w:jc w:val="center"/>
              <w:rPr>
                <w:rFonts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定期更换，</w:t>
            </w:r>
            <w:r>
              <w:rPr>
                <w:rFonts w:ascii="Times New Roman" w:hAnsi="Times New Roman" w:eastAsia="宋体" w:cs="Times New Roman"/>
                <w:color w:val="000000"/>
                <w:sz w:val="21"/>
                <w:szCs w:val="21"/>
                <w:lang w:val="en-US" w:eastAsia="zh-CN" w:bidi="ar"/>
              </w:rPr>
              <w:t>交</w:t>
            </w:r>
            <w:r>
              <w:rPr>
                <w:rFonts w:hint="eastAsia" w:ascii="Times New Roman" w:hAnsi="Times New Roman" w:eastAsia="宋体" w:cs="Times New Roman"/>
                <w:color w:val="000000"/>
                <w:sz w:val="21"/>
                <w:szCs w:val="21"/>
                <w:lang w:val="en-US" w:eastAsia="zh-CN" w:bidi="ar"/>
              </w:rPr>
              <w:t>有</w:t>
            </w:r>
            <w:r>
              <w:rPr>
                <w:rFonts w:ascii="Times New Roman" w:hAnsi="Times New Roman" w:eastAsia="宋体" w:cs="Times New Roman"/>
                <w:color w:val="000000"/>
                <w:sz w:val="21"/>
                <w:szCs w:val="21"/>
                <w:lang w:val="en-US" w:eastAsia="zh-CN" w:bidi="ar"/>
              </w:rPr>
              <w:t>资质单位进行回收处置</w:t>
            </w:r>
          </w:p>
        </w:tc>
      </w:tr>
      <w:tr w14:paraId="1DD34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2A094E03">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w:t>
            </w:r>
          </w:p>
        </w:tc>
        <w:tc>
          <w:tcPr>
            <w:tcW w:w="1440" w:type="dxa"/>
            <w:noWrap w:val="0"/>
            <w:tcMar>
              <w:left w:w="28" w:type="dxa"/>
              <w:right w:w="28" w:type="dxa"/>
            </w:tcMar>
            <w:vAlign w:val="center"/>
          </w:tcPr>
          <w:p w14:paraId="3AFB159E">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废灯管</w:t>
            </w:r>
          </w:p>
        </w:tc>
        <w:tc>
          <w:tcPr>
            <w:tcW w:w="1141" w:type="dxa"/>
            <w:noWrap w:val="0"/>
            <w:tcMar>
              <w:left w:w="28" w:type="dxa"/>
              <w:right w:w="28" w:type="dxa"/>
            </w:tcMar>
            <w:vAlign w:val="center"/>
          </w:tcPr>
          <w:p w14:paraId="3CBDA86E">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0.048t/次</w:t>
            </w:r>
          </w:p>
        </w:tc>
        <w:tc>
          <w:tcPr>
            <w:tcW w:w="1019" w:type="dxa"/>
            <w:vMerge w:val="continue"/>
            <w:noWrap w:val="0"/>
            <w:tcMar>
              <w:left w:w="28" w:type="dxa"/>
              <w:right w:w="28" w:type="dxa"/>
            </w:tcMar>
            <w:vAlign w:val="center"/>
          </w:tcPr>
          <w:p w14:paraId="68E780D9">
            <w:pPr>
              <w:widowControl w:val="0"/>
              <w:spacing w:before="40" w:after="40" w:line="240" w:lineRule="auto"/>
              <w:ind w:firstLine="0"/>
              <w:jc w:val="center"/>
              <w:rPr>
                <w:rFonts w:hint="eastAsia" w:ascii="Times New Roman" w:hAnsi="Times New Roman" w:eastAsia="宋体" w:cs="Times New Roman"/>
                <w:color w:val="000000"/>
                <w:sz w:val="21"/>
                <w:szCs w:val="21"/>
                <w:lang w:val="en-US" w:eastAsia="zh-CN"/>
              </w:rPr>
            </w:pPr>
          </w:p>
        </w:tc>
        <w:tc>
          <w:tcPr>
            <w:tcW w:w="1533" w:type="dxa"/>
            <w:noWrap w:val="0"/>
            <w:tcMar>
              <w:left w:w="28" w:type="dxa"/>
              <w:right w:w="28" w:type="dxa"/>
            </w:tcMar>
            <w:vAlign w:val="center"/>
          </w:tcPr>
          <w:p w14:paraId="3BBB8CF5">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HW29含汞废物</w:t>
            </w:r>
          </w:p>
        </w:tc>
        <w:tc>
          <w:tcPr>
            <w:tcW w:w="2689" w:type="dxa"/>
            <w:vMerge w:val="continue"/>
            <w:noWrap w:val="0"/>
            <w:tcMar>
              <w:left w:w="28" w:type="dxa"/>
              <w:right w:w="28" w:type="dxa"/>
            </w:tcMar>
            <w:vAlign w:val="center"/>
          </w:tcPr>
          <w:p w14:paraId="7CC4DB85">
            <w:pPr>
              <w:widowControl w:val="0"/>
              <w:spacing w:line="240" w:lineRule="auto"/>
              <w:ind w:firstLine="0"/>
              <w:jc w:val="center"/>
              <w:rPr>
                <w:rFonts w:hint="eastAsia" w:ascii="宋体" w:hAnsi="宋体" w:eastAsia="宋体" w:cs="Times New Roman"/>
                <w:color w:val="000000"/>
                <w:sz w:val="21"/>
                <w:szCs w:val="21"/>
              </w:rPr>
            </w:pPr>
          </w:p>
        </w:tc>
      </w:tr>
      <w:tr w14:paraId="3D1DA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71AB857D">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440" w:type="dxa"/>
            <w:noWrap w:val="0"/>
            <w:tcMar>
              <w:left w:w="28" w:type="dxa"/>
              <w:right w:w="28" w:type="dxa"/>
            </w:tcMar>
            <w:vAlign w:val="center"/>
          </w:tcPr>
          <w:p w14:paraId="17C8D979">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废导热油</w:t>
            </w:r>
          </w:p>
        </w:tc>
        <w:tc>
          <w:tcPr>
            <w:tcW w:w="1141" w:type="dxa"/>
            <w:noWrap w:val="0"/>
            <w:tcMar>
              <w:left w:w="28" w:type="dxa"/>
              <w:right w:w="28" w:type="dxa"/>
            </w:tcMar>
            <w:vAlign w:val="center"/>
          </w:tcPr>
          <w:p w14:paraId="1786B533">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15t/a</w:t>
            </w:r>
          </w:p>
        </w:tc>
        <w:tc>
          <w:tcPr>
            <w:tcW w:w="1019" w:type="dxa"/>
            <w:noWrap w:val="0"/>
            <w:tcMar>
              <w:left w:w="28" w:type="dxa"/>
              <w:right w:w="28" w:type="dxa"/>
            </w:tcMar>
            <w:vAlign w:val="center"/>
          </w:tcPr>
          <w:p w14:paraId="2F173558">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热载体炉</w:t>
            </w:r>
          </w:p>
        </w:tc>
        <w:tc>
          <w:tcPr>
            <w:tcW w:w="1533" w:type="dxa"/>
            <w:noWrap w:val="0"/>
            <w:tcMar>
              <w:left w:w="28" w:type="dxa"/>
              <w:right w:w="28" w:type="dxa"/>
            </w:tcMar>
            <w:vAlign w:val="center"/>
          </w:tcPr>
          <w:p w14:paraId="7C210795">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HW08废矿物油与含矿物油废物</w:t>
            </w:r>
          </w:p>
        </w:tc>
        <w:tc>
          <w:tcPr>
            <w:tcW w:w="2689" w:type="dxa"/>
            <w:noWrap w:val="0"/>
            <w:tcMar>
              <w:left w:w="28" w:type="dxa"/>
              <w:right w:w="28" w:type="dxa"/>
            </w:tcMar>
            <w:vAlign w:val="center"/>
          </w:tcPr>
          <w:p w14:paraId="33CAE0DC">
            <w:pPr>
              <w:widowControl w:val="0"/>
              <w:spacing w:line="240" w:lineRule="auto"/>
              <w:ind w:firstLine="0"/>
              <w:jc w:val="center"/>
              <w:rPr>
                <w:rFonts w:hint="eastAsia" w:ascii="宋体" w:hAnsi="宋体" w:eastAsia="宋体" w:cs="Times New Roman"/>
                <w:color w:val="000000"/>
                <w:sz w:val="21"/>
                <w:szCs w:val="21"/>
              </w:rPr>
            </w:pPr>
            <w:r>
              <w:rPr>
                <w:rFonts w:ascii="Times New Roman" w:hAnsi="Times New Roman" w:eastAsia="宋体" w:cs="Times New Roman"/>
                <w:color w:val="000000"/>
                <w:sz w:val="21"/>
                <w:szCs w:val="21"/>
              </w:rPr>
              <w:t>交有资质的单位</w:t>
            </w:r>
            <w:r>
              <w:rPr>
                <w:rFonts w:hint="eastAsia" w:ascii="Times New Roman" w:hAnsi="Times New Roman" w:eastAsia="宋体" w:cs="Times New Roman"/>
                <w:color w:val="000000"/>
                <w:sz w:val="21"/>
                <w:szCs w:val="21"/>
                <w:lang w:val="en-US" w:eastAsia="zh-CN"/>
              </w:rPr>
              <w:t>进行更换回收</w:t>
            </w:r>
            <w:r>
              <w:rPr>
                <w:rFonts w:ascii="Times New Roman" w:hAnsi="Times New Roman" w:eastAsia="宋体" w:cs="Times New Roman"/>
                <w:color w:val="000000"/>
                <w:sz w:val="21"/>
                <w:szCs w:val="21"/>
              </w:rPr>
              <w:t>处置</w:t>
            </w:r>
          </w:p>
        </w:tc>
      </w:tr>
      <w:tr w14:paraId="329AA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0A80E872">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w:t>
            </w:r>
          </w:p>
        </w:tc>
        <w:tc>
          <w:tcPr>
            <w:tcW w:w="1440" w:type="dxa"/>
            <w:noWrap w:val="0"/>
            <w:tcMar>
              <w:left w:w="28" w:type="dxa"/>
              <w:right w:w="28" w:type="dxa"/>
            </w:tcMar>
            <w:vAlign w:val="center"/>
          </w:tcPr>
          <w:p w14:paraId="46C808CB">
            <w:pPr>
              <w:pStyle w:val="2"/>
              <w:ind w:firstLine="0"/>
              <w:jc w:val="center"/>
              <w:rPr>
                <w:rFonts w:hint="eastAsia" w:ascii="Times New Roman" w:hAnsi="Times New Roman" w:eastAsia="宋体" w:cs="Times New Roman"/>
                <w:color w:val="000000"/>
                <w:sz w:val="21"/>
                <w:szCs w:val="21"/>
              </w:rPr>
            </w:pPr>
            <w:r>
              <w:rPr>
                <w:rFonts w:hint="eastAsia"/>
                <w:color w:val="000000"/>
                <w:sz w:val="21"/>
                <w:szCs w:val="21"/>
              </w:rPr>
              <w:t>废离子树脂</w:t>
            </w:r>
          </w:p>
        </w:tc>
        <w:tc>
          <w:tcPr>
            <w:tcW w:w="1141" w:type="dxa"/>
            <w:noWrap w:val="0"/>
            <w:tcMar>
              <w:left w:w="28" w:type="dxa"/>
              <w:right w:w="28" w:type="dxa"/>
            </w:tcMar>
            <w:vAlign w:val="center"/>
          </w:tcPr>
          <w:p w14:paraId="17FC569F">
            <w:pPr>
              <w:pStyle w:val="2"/>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0.1t/a</w:t>
            </w:r>
          </w:p>
        </w:tc>
        <w:tc>
          <w:tcPr>
            <w:tcW w:w="1019" w:type="dxa"/>
            <w:noWrap w:val="0"/>
            <w:tcMar>
              <w:left w:w="28" w:type="dxa"/>
              <w:right w:w="28" w:type="dxa"/>
            </w:tcMar>
            <w:vAlign w:val="center"/>
          </w:tcPr>
          <w:p w14:paraId="02777F8E">
            <w:pPr>
              <w:widowControl w:val="0"/>
              <w:spacing w:before="40" w:after="40" w:line="240" w:lineRule="auto"/>
              <w:ind w:firstLine="0"/>
              <w:jc w:val="center"/>
              <w:rPr>
                <w:rFonts w:hint="eastAsia" w:ascii="Times New Roman" w:hAnsi="Times New Roman" w:eastAsia="宋体" w:cs="Times New Roman"/>
                <w:color w:val="000000"/>
                <w:sz w:val="21"/>
                <w:szCs w:val="21"/>
              </w:rPr>
            </w:pPr>
            <w:r>
              <w:rPr>
                <w:rFonts w:hint="eastAsia"/>
                <w:color w:val="000000"/>
                <w:sz w:val="21"/>
                <w:szCs w:val="21"/>
              </w:rPr>
              <w:t>软水设备</w:t>
            </w:r>
          </w:p>
        </w:tc>
        <w:tc>
          <w:tcPr>
            <w:tcW w:w="1533" w:type="dxa"/>
            <w:noWrap w:val="0"/>
            <w:tcMar>
              <w:left w:w="28" w:type="dxa"/>
              <w:right w:w="28" w:type="dxa"/>
            </w:tcMar>
            <w:vAlign w:val="center"/>
          </w:tcPr>
          <w:p w14:paraId="01D7DF79">
            <w:pPr>
              <w:widowControl w:val="0"/>
              <w:spacing w:before="40" w:after="40"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HW13有机树脂类废物</w:t>
            </w:r>
          </w:p>
        </w:tc>
        <w:tc>
          <w:tcPr>
            <w:tcW w:w="2689" w:type="dxa"/>
            <w:noWrap w:val="0"/>
            <w:tcMar>
              <w:left w:w="28" w:type="dxa"/>
              <w:right w:w="28" w:type="dxa"/>
            </w:tcMar>
            <w:vAlign w:val="center"/>
          </w:tcPr>
          <w:p w14:paraId="3A9E87D5">
            <w:pPr>
              <w:widowControl w:val="0"/>
              <w:spacing w:line="240" w:lineRule="auto"/>
              <w:ind w:firstLine="0"/>
              <w:jc w:val="center"/>
              <w:rPr>
                <w:rFonts w:hint="eastAsia" w:ascii="宋体" w:hAnsi="宋体" w:eastAsia="宋体" w:cs="Times New Roman"/>
                <w:color w:val="000000"/>
                <w:sz w:val="21"/>
                <w:szCs w:val="21"/>
              </w:rPr>
            </w:pPr>
            <w:r>
              <w:rPr>
                <w:rFonts w:ascii="Times New Roman" w:hAnsi="Times New Roman" w:eastAsia="宋体" w:cs="Times New Roman"/>
                <w:color w:val="000000"/>
                <w:sz w:val="21"/>
                <w:szCs w:val="21"/>
              </w:rPr>
              <w:t>由厂家负责定期更换并返回生产厂家</w:t>
            </w:r>
          </w:p>
        </w:tc>
      </w:tr>
      <w:tr w14:paraId="6239E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56AE66CB">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w:t>
            </w:r>
          </w:p>
        </w:tc>
        <w:tc>
          <w:tcPr>
            <w:tcW w:w="1440" w:type="dxa"/>
            <w:noWrap w:val="0"/>
            <w:tcMar>
              <w:left w:w="28" w:type="dxa"/>
              <w:right w:w="28" w:type="dxa"/>
            </w:tcMar>
            <w:vAlign w:val="center"/>
          </w:tcPr>
          <w:p w14:paraId="6E2F71F4">
            <w:pPr>
              <w:pStyle w:val="2"/>
              <w:ind w:firstLine="0"/>
              <w:jc w:val="center"/>
              <w:rPr>
                <w:rFonts w:hint="eastAsia" w:eastAsia="宋体"/>
                <w:color w:val="000000"/>
                <w:sz w:val="21"/>
                <w:szCs w:val="21"/>
                <w:lang w:val="en-US" w:eastAsia="zh-CN"/>
              </w:rPr>
            </w:pPr>
            <w:r>
              <w:rPr>
                <w:rFonts w:hint="eastAsia"/>
                <w:color w:val="000000"/>
                <w:sz w:val="21"/>
                <w:szCs w:val="21"/>
                <w:lang w:val="en-US" w:eastAsia="zh-CN"/>
              </w:rPr>
              <w:t>废机油</w:t>
            </w:r>
          </w:p>
        </w:tc>
        <w:tc>
          <w:tcPr>
            <w:tcW w:w="1141" w:type="dxa"/>
            <w:noWrap w:val="0"/>
            <w:tcMar>
              <w:left w:w="28" w:type="dxa"/>
              <w:right w:w="28" w:type="dxa"/>
            </w:tcMar>
            <w:vAlign w:val="center"/>
          </w:tcPr>
          <w:p w14:paraId="18D451BB">
            <w:pPr>
              <w:pStyle w:val="2"/>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0.5t/a</w:t>
            </w:r>
          </w:p>
        </w:tc>
        <w:tc>
          <w:tcPr>
            <w:tcW w:w="1019" w:type="dxa"/>
            <w:vMerge w:val="restart"/>
            <w:noWrap w:val="0"/>
            <w:tcMar>
              <w:left w:w="28" w:type="dxa"/>
              <w:right w:w="28" w:type="dxa"/>
            </w:tcMar>
            <w:vAlign w:val="center"/>
          </w:tcPr>
          <w:p w14:paraId="2E37E220">
            <w:pPr>
              <w:widowControl w:val="0"/>
              <w:spacing w:before="40" w:after="40" w:line="240" w:lineRule="auto"/>
              <w:ind w:firstLine="0"/>
              <w:jc w:val="center"/>
              <w:rPr>
                <w:rFonts w:hint="eastAsia" w:eastAsia="宋体"/>
                <w:color w:val="000000"/>
                <w:sz w:val="21"/>
                <w:szCs w:val="21"/>
                <w:lang w:val="en-US" w:eastAsia="zh-CN"/>
              </w:rPr>
            </w:pPr>
            <w:r>
              <w:rPr>
                <w:rFonts w:hint="eastAsia"/>
                <w:color w:val="000000"/>
                <w:sz w:val="21"/>
                <w:szCs w:val="21"/>
                <w:lang w:val="en-US" w:eastAsia="zh-CN"/>
              </w:rPr>
              <w:t>机修</w:t>
            </w:r>
          </w:p>
        </w:tc>
        <w:tc>
          <w:tcPr>
            <w:tcW w:w="1533" w:type="dxa"/>
            <w:noWrap w:val="0"/>
            <w:tcMar>
              <w:left w:w="28" w:type="dxa"/>
              <w:right w:w="28" w:type="dxa"/>
            </w:tcMar>
            <w:vAlign w:val="center"/>
          </w:tcPr>
          <w:p w14:paraId="67F0CD76">
            <w:pPr>
              <w:widowControl w:val="0"/>
              <w:spacing w:before="40" w:after="40"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HW08废矿物油与含矿物油废物</w:t>
            </w:r>
          </w:p>
        </w:tc>
        <w:tc>
          <w:tcPr>
            <w:tcW w:w="2689" w:type="dxa"/>
            <w:noWrap w:val="0"/>
            <w:tcMar>
              <w:left w:w="28" w:type="dxa"/>
              <w:right w:w="28" w:type="dxa"/>
            </w:tcMar>
            <w:vAlign w:val="center"/>
          </w:tcPr>
          <w:p w14:paraId="1DD2E3BE">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交由具有危废处置资质的单位处置</w:t>
            </w:r>
          </w:p>
        </w:tc>
      </w:tr>
      <w:tr w14:paraId="76E05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7" w:hRule="atLeast"/>
          <w:jc w:val="center"/>
        </w:trPr>
        <w:tc>
          <w:tcPr>
            <w:tcW w:w="596" w:type="dxa"/>
            <w:noWrap w:val="0"/>
            <w:tcMar>
              <w:left w:w="28" w:type="dxa"/>
              <w:right w:w="28" w:type="dxa"/>
            </w:tcMar>
            <w:vAlign w:val="center"/>
          </w:tcPr>
          <w:p w14:paraId="1206CD4A">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1440" w:type="dxa"/>
            <w:noWrap w:val="0"/>
            <w:tcMar>
              <w:left w:w="28" w:type="dxa"/>
              <w:right w:w="28" w:type="dxa"/>
            </w:tcMar>
            <w:vAlign w:val="center"/>
          </w:tcPr>
          <w:p w14:paraId="2FB7893A">
            <w:pPr>
              <w:pStyle w:val="2"/>
              <w:ind w:firstLine="0"/>
              <w:jc w:val="center"/>
              <w:rPr>
                <w:color w:val="000000"/>
                <w:sz w:val="21"/>
                <w:szCs w:val="21"/>
                <w:lang w:val="en-US" w:eastAsia="zh-CN"/>
              </w:rPr>
            </w:pPr>
            <w:r>
              <w:rPr>
                <w:rFonts w:hint="eastAsia"/>
                <w:color w:val="000000"/>
                <w:sz w:val="21"/>
                <w:szCs w:val="21"/>
                <w:lang w:val="en-US" w:eastAsia="zh-CN"/>
              </w:rPr>
              <w:t>废抹布</w:t>
            </w:r>
          </w:p>
        </w:tc>
        <w:tc>
          <w:tcPr>
            <w:tcW w:w="1141" w:type="dxa"/>
            <w:noWrap w:val="0"/>
            <w:tcMar>
              <w:left w:w="28" w:type="dxa"/>
              <w:right w:w="28" w:type="dxa"/>
            </w:tcMar>
            <w:vAlign w:val="center"/>
          </w:tcPr>
          <w:p w14:paraId="0DAAB897">
            <w:pPr>
              <w:pStyle w:val="2"/>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0.1t/a</w:t>
            </w:r>
          </w:p>
        </w:tc>
        <w:tc>
          <w:tcPr>
            <w:tcW w:w="1019" w:type="dxa"/>
            <w:vMerge w:val="continue"/>
            <w:noWrap w:val="0"/>
            <w:tcMar>
              <w:left w:w="28" w:type="dxa"/>
              <w:right w:w="28" w:type="dxa"/>
            </w:tcMar>
            <w:vAlign w:val="center"/>
          </w:tcPr>
          <w:p w14:paraId="0CA670A3">
            <w:pPr>
              <w:widowControl w:val="0"/>
              <w:spacing w:before="40" w:after="40" w:line="240" w:lineRule="auto"/>
              <w:ind w:firstLine="0"/>
              <w:jc w:val="center"/>
              <w:rPr>
                <w:rFonts w:hint="eastAsia"/>
                <w:color w:val="000000"/>
                <w:sz w:val="21"/>
                <w:szCs w:val="21"/>
                <w:lang w:val="en-US" w:eastAsia="zh-CN"/>
              </w:rPr>
            </w:pPr>
          </w:p>
        </w:tc>
        <w:tc>
          <w:tcPr>
            <w:tcW w:w="1533" w:type="dxa"/>
            <w:noWrap w:val="0"/>
            <w:tcMar>
              <w:left w:w="28" w:type="dxa"/>
              <w:right w:w="28" w:type="dxa"/>
            </w:tcMar>
            <w:vAlign w:val="center"/>
          </w:tcPr>
          <w:p w14:paraId="60FFF573">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一般固废</w:t>
            </w:r>
          </w:p>
        </w:tc>
        <w:tc>
          <w:tcPr>
            <w:tcW w:w="2689" w:type="dxa"/>
            <w:noWrap w:val="0"/>
            <w:tcMar>
              <w:left w:w="28" w:type="dxa"/>
              <w:right w:w="28" w:type="dxa"/>
            </w:tcMar>
            <w:vAlign w:val="center"/>
          </w:tcPr>
          <w:p w14:paraId="06949A2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混入生活垃圾，委托环卫部门清运处理</w:t>
            </w:r>
          </w:p>
        </w:tc>
      </w:tr>
    </w:tbl>
    <w:p w14:paraId="4B4B95F4">
      <w:pPr>
        <w:pStyle w:val="282"/>
      </w:pPr>
      <w:r>
        <w:rPr>
          <w:rFonts w:hint="eastAsia"/>
          <w:lang w:val="en-US" w:eastAsia="zh-CN"/>
        </w:rPr>
        <w:t>4.3</w:t>
      </w:r>
      <w:r>
        <w:rPr>
          <w:rFonts w:hint="eastAsia"/>
        </w:rPr>
        <w:t>.2.5非正常排放</w:t>
      </w:r>
      <w:r>
        <w:t>污染源分析</w:t>
      </w:r>
    </w:p>
    <w:p w14:paraId="48B6D2F9">
      <w:pPr>
        <w:pStyle w:val="2"/>
        <w:ind w:firstLine="480"/>
        <w:rPr>
          <w:rFonts w:eastAsia="宋体"/>
          <w:sz w:val="24"/>
          <w:szCs w:val="24"/>
          <w:lang w:val="en-US" w:eastAsia="zh-CN"/>
        </w:rPr>
      </w:pPr>
      <w:r>
        <w:rPr>
          <w:rFonts w:hint="eastAsia"/>
          <w:sz w:val="24"/>
          <w:szCs w:val="24"/>
          <w:lang w:val="en-US" w:eastAsia="zh-CN"/>
        </w:rPr>
        <w:t>非正常排放指非正常工况下污染物排放，如检修、污染物排放控制措施达到应有的效率、工艺设备运转异常等情况下排放。本次评价考虑板材加工除尘器、供热系统水膜除尘+电离捕捉器、</w:t>
      </w:r>
      <w:r>
        <w:rPr>
          <w:rFonts w:hint="eastAsia" w:ascii="Times New Roman" w:hAnsi="Times New Roman" w:eastAsia="宋体" w:cs="Times New Roman"/>
          <w:bCs w:val="0"/>
          <w:color w:val="000000"/>
          <w:sz w:val="24"/>
          <w:szCs w:val="24"/>
          <w:lang w:val="en-US" w:eastAsia="zh-CN" w:bidi="ar-SA"/>
        </w:rPr>
        <w:t>UV光催化活性炭吸附一体设备，净化处理效率降为50%时废气的排放情况。非正常情况下排放污染物的情况如下表：</w:t>
      </w:r>
    </w:p>
    <w:p w14:paraId="6C387CD5">
      <w:pPr>
        <w:pStyle w:val="2"/>
        <w:ind w:firstLine="480"/>
        <w:jc w:val="center"/>
        <w:rPr>
          <w:rFonts w:ascii="Times New Roman" w:hAnsi="Times New Roman" w:eastAsia="宋体" w:cs="Times New Roman"/>
          <w:b/>
          <w:bCs/>
          <w:color w:val="FF0000"/>
          <w:sz w:val="24"/>
          <w:szCs w:val="24"/>
          <w:lang w:val="en-US" w:eastAsia="zh-CN"/>
        </w:rPr>
      </w:pPr>
      <w:r>
        <w:rPr>
          <w:rFonts w:ascii="Times New Roman" w:hAnsi="Times New Roman" w:cs="Times New Roman"/>
          <w:b/>
          <w:bCs/>
          <w:color w:val="FF0000"/>
          <w:sz w:val="24"/>
          <w:szCs w:val="24"/>
          <w:lang w:val="en-US" w:eastAsia="zh-CN"/>
        </w:rPr>
        <w:t>表4.3-1</w:t>
      </w:r>
      <w:r>
        <w:rPr>
          <w:rFonts w:hint="eastAsia" w:ascii="Times New Roman" w:hAnsi="Times New Roman" w:cs="Times New Roman"/>
          <w:b/>
          <w:bCs/>
          <w:color w:val="FF0000"/>
          <w:sz w:val="24"/>
          <w:szCs w:val="24"/>
          <w:lang w:val="en-US" w:eastAsia="zh-CN"/>
        </w:rPr>
        <w:t>8</w:t>
      </w:r>
      <w:r>
        <w:rPr>
          <w:rFonts w:ascii="Times New Roman" w:hAnsi="Times New Roman" w:cs="Times New Roman"/>
          <w:b/>
          <w:bCs/>
          <w:color w:val="FF0000"/>
          <w:sz w:val="24"/>
          <w:szCs w:val="24"/>
          <w:lang w:val="en-US" w:eastAsia="zh-CN"/>
        </w:rPr>
        <w:t xml:space="preserve">  项目污染物非正常排放情况表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682"/>
        <w:gridCol w:w="1449"/>
        <w:gridCol w:w="2132"/>
        <w:gridCol w:w="2132"/>
      </w:tblGrid>
      <w:tr w14:paraId="12F6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noWrap w:val="0"/>
            <w:vAlign w:val="center"/>
          </w:tcPr>
          <w:p w14:paraId="0A8C9E99">
            <w:pPr>
              <w:pStyle w:val="2"/>
              <w:widowControl w:val="0"/>
              <w:jc w:val="center"/>
              <w:rPr>
                <w:rFonts w:ascii="Times New Roman" w:hAnsi="Times New Roman" w:eastAsia="宋体" w:cs="Times New Roman"/>
                <w:b/>
                <w:bCs/>
                <w:color w:val="FF0000"/>
                <w:sz w:val="21"/>
                <w:szCs w:val="21"/>
                <w:vertAlign w:val="baseline"/>
                <w:lang w:val="en-US" w:eastAsia="zh-CN"/>
              </w:rPr>
            </w:pPr>
            <w:r>
              <w:rPr>
                <w:rFonts w:ascii="Times New Roman" w:hAnsi="Times New Roman" w:eastAsia="宋体" w:cs="Times New Roman"/>
                <w:b/>
                <w:bCs/>
                <w:color w:val="FF0000"/>
                <w:sz w:val="21"/>
                <w:szCs w:val="21"/>
                <w:vertAlign w:val="baseline"/>
                <w:lang w:val="en-US" w:eastAsia="zh-CN"/>
              </w:rPr>
              <w:t>污染源</w:t>
            </w:r>
          </w:p>
        </w:tc>
        <w:tc>
          <w:tcPr>
            <w:tcW w:w="2131" w:type="dxa"/>
            <w:gridSpan w:val="2"/>
            <w:noWrap w:val="0"/>
            <w:vAlign w:val="center"/>
          </w:tcPr>
          <w:p w14:paraId="5832A196">
            <w:pPr>
              <w:pStyle w:val="2"/>
              <w:widowControl w:val="0"/>
              <w:jc w:val="center"/>
              <w:rPr>
                <w:rFonts w:ascii="Times New Roman" w:hAnsi="Times New Roman" w:eastAsia="宋体" w:cs="Times New Roman"/>
                <w:b/>
                <w:bCs/>
                <w:color w:val="FF0000"/>
                <w:sz w:val="21"/>
                <w:szCs w:val="21"/>
                <w:vertAlign w:val="baseline"/>
                <w:lang w:val="en-US" w:eastAsia="zh-CN"/>
              </w:rPr>
            </w:pPr>
            <w:r>
              <w:rPr>
                <w:rFonts w:ascii="Times New Roman" w:hAnsi="Times New Roman" w:eastAsia="宋体" w:cs="Times New Roman"/>
                <w:b/>
                <w:bCs/>
                <w:color w:val="FF0000"/>
                <w:sz w:val="21"/>
                <w:szCs w:val="21"/>
                <w:vertAlign w:val="baseline"/>
                <w:lang w:val="en-US" w:eastAsia="zh-CN"/>
              </w:rPr>
              <w:t>污染物</w:t>
            </w:r>
          </w:p>
        </w:tc>
        <w:tc>
          <w:tcPr>
            <w:tcW w:w="2132" w:type="dxa"/>
            <w:noWrap w:val="0"/>
            <w:vAlign w:val="center"/>
          </w:tcPr>
          <w:p w14:paraId="08CD8F21">
            <w:pPr>
              <w:pStyle w:val="2"/>
              <w:widowControl w:val="0"/>
              <w:jc w:val="center"/>
              <w:rPr>
                <w:rFonts w:ascii="Times New Roman" w:hAnsi="Times New Roman" w:eastAsia="宋体" w:cs="Times New Roman"/>
                <w:b/>
                <w:bCs/>
                <w:color w:val="FF0000"/>
                <w:sz w:val="21"/>
                <w:szCs w:val="21"/>
                <w:vertAlign w:val="baseline"/>
                <w:lang w:val="en-US" w:eastAsia="zh-CN"/>
              </w:rPr>
            </w:pPr>
            <w:r>
              <w:rPr>
                <w:rFonts w:ascii="Times New Roman" w:hAnsi="Times New Roman" w:eastAsia="宋体" w:cs="Times New Roman"/>
                <w:b/>
                <w:bCs/>
                <w:color w:val="FF0000"/>
                <w:sz w:val="21"/>
                <w:szCs w:val="21"/>
                <w:vertAlign w:val="baseline"/>
                <w:lang w:val="en-US" w:eastAsia="zh-CN"/>
              </w:rPr>
              <w:t>排放速率（kg/h）</w:t>
            </w:r>
          </w:p>
        </w:tc>
        <w:tc>
          <w:tcPr>
            <w:tcW w:w="2132" w:type="dxa"/>
            <w:noWrap w:val="0"/>
            <w:vAlign w:val="center"/>
          </w:tcPr>
          <w:p w14:paraId="62F5578A">
            <w:pPr>
              <w:pStyle w:val="2"/>
              <w:widowControl w:val="0"/>
              <w:jc w:val="center"/>
              <w:rPr>
                <w:rFonts w:ascii="Times New Roman" w:hAnsi="Times New Roman" w:eastAsia="宋体" w:cs="Times New Roman"/>
                <w:b/>
                <w:bCs/>
                <w:color w:val="FF0000"/>
                <w:sz w:val="21"/>
                <w:szCs w:val="21"/>
                <w:vertAlign w:val="baseline"/>
                <w:lang w:val="en-US" w:eastAsia="zh-CN"/>
              </w:rPr>
            </w:pPr>
            <w:r>
              <w:rPr>
                <w:rFonts w:ascii="Times New Roman" w:hAnsi="Times New Roman" w:eastAsia="宋体" w:cs="Times New Roman"/>
                <w:b/>
                <w:bCs/>
                <w:color w:val="FF0000"/>
                <w:sz w:val="21"/>
                <w:szCs w:val="21"/>
                <w:vertAlign w:val="baseline"/>
                <w:lang w:val="en-US" w:eastAsia="zh-CN"/>
              </w:rPr>
              <w:t>排放浓（mg/m</w:t>
            </w:r>
            <w:r>
              <w:rPr>
                <w:rFonts w:ascii="Times New Roman" w:hAnsi="Times New Roman" w:eastAsia="宋体" w:cs="Times New Roman"/>
                <w:b/>
                <w:bCs/>
                <w:color w:val="FF0000"/>
                <w:sz w:val="21"/>
                <w:szCs w:val="21"/>
                <w:vertAlign w:val="superscript"/>
                <w:lang w:val="en-US" w:eastAsia="zh-CN"/>
              </w:rPr>
              <w:t>3</w:t>
            </w:r>
            <w:r>
              <w:rPr>
                <w:rFonts w:ascii="Times New Roman" w:hAnsi="Times New Roman" w:eastAsia="宋体" w:cs="Times New Roman"/>
                <w:b/>
                <w:bCs/>
                <w:color w:val="FF0000"/>
                <w:sz w:val="21"/>
                <w:szCs w:val="21"/>
                <w:vertAlign w:val="baseline"/>
                <w:lang w:val="en-US" w:eastAsia="zh-CN"/>
              </w:rPr>
              <w:t>）</w:t>
            </w:r>
          </w:p>
        </w:tc>
      </w:tr>
      <w:tr w14:paraId="7D127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noWrap w:val="0"/>
            <w:vAlign w:val="center"/>
          </w:tcPr>
          <w:p w14:paraId="727BB034">
            <w:pPr>
              <w:pStyle w:val="2"/>
              <w:widowControl w:val="0"/>
              <w:ind w:firstLine="840"/>
              <w:jc w:val="both"/>
              <w:rPr>
                <w:rFonts w:ascii="Times New Roman" w:hAnsi="Times New Roman" w:eastAsia="宋体" w:cs="Times New Roman"/>
                <w:color w:val="FF0000"/>
                <w:sz w:val="21"/>
                <w:szCs w:val="21"/>
                <w:vertAlign w:val="baseline"/>
              </w:rPr>
            </w:pPr>
            <w:r>
              <w:rPr>
                <w:rFonts w:ascii="Times New Roman" w:hAnsi="Times New Roman" w:eastAsia="宋体" w:cs="Times New Roman"/>
                <w:color w:val="FF0000"/>
                <w:sz w:val="21"/>
                <w:szCs w:val="21"/>
                <w:vertAlign w:val="baseline"/>
                <w:lang w:val="en-US" w:eastAsia="zh-CN"/>
              </w:rPr>
              <w:t>P1</w:t>
            </w:r>
          </w:p>
        </w:tc>
        <w:tc>
          <w:tcPr>
            <w:tcW w:w="2131" w:type="dxa"/>
            <w:gridSpan w:val="2"/>
            <w:noWrap w:val="0"/>
            <w:vAlign w:val="center"/>
          </w:tcPr>
          <w:p w14:paraId="689ED6CD">
            <w:pPr>
              <w:pStyle w:val="2"/>
              <w:widowControl w:val="0"/>
              <w:ind w:left="0" w:firstLine="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粉尘</w:t>
            </w:r>
          </w:p>
        </w:tc>
        <w:tc>
          <w:tcPr>
            <w:tcW w:w="2132" w:type="dxa"/>
            <w:noWrap w:val="0"/>
            <w:vAlign w:val="center"/>
          </w:tcPr>
          <w:p w14:paraId="1DFDEB42">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133.7</w:t>
            </w:r>
          </w:p>
        </w:tc>
        <w:tc>
          <w:tcPr>
            <w:tcW w:w="2132" w:type="dxa"/>
            <w:noWrap w:val="0"/>
            <w:vAlign w:val="center"/>
          </w:tcPr>
          <w:p w14:paraId="5CC3AA9B">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6685</w:t>
            </w:r>
          </w:p>
        </w:tc>
      </w:tr>
      <w:tr w14:paraId="76646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restart"/>
            <w:noWrap w:val="0"/>
            <w:vAlign w:val="center"/>
          </w:tcPr>
          <w:p w14:paraId="22BB0B4A">
            <w:pPr>
              <w:pStyle w:val="2"/>
              <w:widowControl w:val="0"/>
              <w:ind w:left="0" w:firstLine="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P2</w:t>
            </w:r>
          </w:p>
        </w:tc>
        <w:tc>
          <w:tcPr>
            <w:tcW w:w="682" w:type="dxa"/>
            <w:vMerge w:val="restart"/>
            <w:noWrap w:val="0"/>
            <w:vAlign w:val="center"/>
          </w:tcPr>
          <w:p w14:paraId="3A2B433F">
            <w:pPr>
              <w:widowControl w:val="0"/>
              <w:spacing w:line="240" w:lineRule="auto"/>
              <w:ind w:firstLine="0"/>
              <w:jc w:val="center"/>
              <w:rPr>
                <w:rFonts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热压、贴面</w:t>
            </w:r>
          </w:p>
        </w:tc>
        <w:tc>
          <w:tcPr>
            <w:tcW w:w="1449" w:type="dxa"/>
            <w:noWrap w:val="0"/>
            <w:vAlign w:val="center"/>
          </w:tcPr>
          <w:p w14:paraId="6B636972">
            <w:pPr>
              <w:widowControl w:val="0"/>
              <w:spacing w:line="240" w:lineRule="auto"/>
              <w:ind w:firstLine="0"/>
              <w:jc w:val="center"/>
              <w:rPr>
                <w:rFonts w:ascii="Times New Roman" w:hAnsi="Times New Roman" w:eastAsia="宋体" w:cs="Times New Roman"/>
                <w:color w:val="FF0000"/>
                <w:sz w:val="18"/>
                <w:szCs w:val="18"/>
                <w:lang w:val="en-US" w:eastAsia="zh-CN"/>
              </w:rPr>
            </w:pPr>
            <w:r>
              <w:rPr>
                <w:rFonts w:ascii="Times New Roman" w:hAnsi="Times New Roman" w:eastAsia="宋体" w:cs="Times New Roman"/>
                <w:color w:val="FF0000"/>
                <w:sz w:val="18"/>
                <w:szCs w:val="18"/>
                <w:lang w:val="en-US" w:eastAsia="zh-CN"/>
              </w:rPr>
              <w:t>甲醛</w:t>
            </w:r>
          </w:p>
        </w:tc>
        <w:tc>
          <w:tcPr>
            <w:tcW w:w="2132" w:type="dxa"/>
            <w:noWrap w:val="0"/>
            <w:vAlign w:val="center"/>
          </w:tcPr>
          <w:p w14:paraId="2E73B9C2">
            <w:pPr>
              <w:pStyle w:val="2"/>
              <w:widowControl w:val="0"/>
              <w:jc w:val="center"/>
              <w:rPr>
                <w:rFonts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0.55</w:t>
            </w:r>
          </w:p>
        </w:tc>
        <w:tc>
          <w:tcPr>
            <w:tcW w:w="2132" w:type="dxa"/>
            <w:noWrap w:val="0"/>
            <w:vAlign w:val="center"/>
          </w:tcPr>
          <w:p w14:paraId="431281F4">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55</w:t>
            </w:r>
          </w:p>
        </w:tc>
      </w:tr>
      <w:tr w14:paraId="5CA21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continue"/>
            <w:noWrap w:val="0"/>
            <w:vAlign w:val="center"/>
          </w:tcPr>
          <w:p w14:paraId="218E4F96">
            <w:pPr>
              <w:pStyle w:val="2"/>
              <w:widowControl w:val="0"/>
              <w:jc w:val="center"/>
              <w:rPr>
                <w:rFonts w:ascii="Times New Roman" w:hAnsi="Times New Roman" w:eastAsia="宋体" w:cs="Times New Roman"/>
                <w:color w:val="FF0000"/>
                <w:sz w:val="21"/>
                <w:szCs w:val="21"/>
                <w:vertAlign w:val="baseline"/>
              </w:rPr>
            </w:pPr>
          </w:p>
        </w:tc>
        <w:tc>
          <w:tcPr>
            <w:tcW w:w="682" w:type="dxa"/>
            <w:vMerge w:val="continue"/>
            <w:noWrap w:val="0"/>
            <w:vAlign w:val="center"/>
          </w:tcPr>
          <w:p w14:paraId="67B55ED8">
            <w:pPr>
              <w:widowControl w:val="0"/>
              <w:spacing w:line="240" w:lineRule="auto"/>
              <w:ind w:firstLine="0"/>
              <w:jc w:val="center"/>
              <w:rPr>
                <w:rFonts w:ascii="Times New Roman" w:hAnsi="Times New Roman" w:eastAsia="宋体" w:cs="Times New Roman"/>
                <w:color w:val="FF0000"/>
                <w:sz w:val="21"/>
                <w:szCs w:val="21"/>
                <w:vertAlign w:val="baseline"/>
              </w:rPr>
            </w:pPr>
          </w:p>
        </w:tc>
        <w:tc>
          <w:tcPr>
            <w:tcW w:w="1449" w:type="dxa"/>
            <w:noWrap w:val="0"/>
            <w:vAlign w:val="center"/>
          </w:tcPr>
          <w:p w14:paraId="6D2C6FD7">
            <w:pPr>
              <w:widowControl w:val="0"/>
              <w:spacing w:line="240" w:lineRule="auto"/>
              <w:ind w:firstLine="0"/>
              <w:jc w:val="center"/>
              <w:rPr>
                <w:rFonts w:ascii="Times New Roman" w:hAnsi="Times New Roman" w:eastAsia="宋体" w:cs="Times New Roman"/>
                <w:color w:val="FF0000"/>
                <w:sz w:val="18"/>
                <w:szCs w:val="18"/>
                <w:lang w:val="en-US" w:eastAsia="zh-CN"/>
              </w:rPr>
            </w:pPr>
            <w:r>
              <w:rPr>
                <w:rFonts w:ascii="Times New Roman" w:hAnsi="Times New Roman" w:eastAsia="宋体" w:cs="Times New Roman"/>
                <w:color w:val="FF0000"/>
                <w:sz w:val="18"/>
                <w:szCs w:val="18"/>
                <w:lang w:val="en-US" w:eastAsia="zh-CN"/>
              </w:rPr>
              <w:t>酚类</w:t>
            </w:r>
          </w:p>
        </w:tc>
        <w:tc>
          <w:tcPr>
            <w:tcW w:w="2132" w:type="dxa"/>
            <w:noWrap w:val="0"/>
            <w:vAlign w:val="center"/>
          </w:tcPr>
          <w:p w14:paraId="430DCF2F">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0.625</w:t>
            </w:r>
          </w:p>
        </w:tc>
        <w:tc>
          <w:tcPr>
            <w:tcW w:w="2132" w:type="dxa"/>
            <w:noWrap w:val="0"/>
            <w:vAlign w:val="center"/>
          </w:tcPr>
          <w:p w14:paraId="1A6B4E67">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50</w:t>
            </w:r>
          </w:p>
        </w:tc>
      </w:tr>
      <w:tr w14:paraId="1EA52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continue"/>
            <w:noWrap w:val="0"/>
            <w:vAlign w:val="center"/>
          </w:tcPr>
          <w:p w14:paraId="41A42552">
            <w:pPr>
              <w:pStyle w:val="2"/>
              <w:widowControl w:val="0"/>
              <w:jc w:val="center"/>
              <w:rPr>
                <w:rFonts w:ascii="Times New Roman" w:hAnsi="Times New Roman" w:eastAsia="宋体" w:cs="Times New Roman"/>
                <w:color w:val="FF0000"/>
                <w:sz w:val="21"/>
                <w:szCs w:val="21"/>
                <w:vertAlign w:val="baseline"/>
              </w:rPr>
            </w:pPr>
          </w:p>
        </w:tc>
        <w:tc>
          <w:tcPr>
            <w:tcW w:w="682" w:type="dxa"/>
            <w:vMerge w:val="continue"/>
            <w:noWrap w:val="0"/>
            <w:vAlign w:val="center"/>
          </w:tcPr>
          <w:p w14:paraId="36DDEB29">
            <w:pPr>
              <w:widowControl w:val="0"/>
              <w:spacing w:line="240" w:lineRule="auto"/>
              <w:ind w:firstLine="0"/>
              <w:jc w:val="center"/>
              <w:rPr>
                <w:rFonts w:ascii="Times New Roman" w:hAnsi="Times New Roman" w:eastAsia="宋体" w:cs="Times New Roman"/>
                <w:color w:val="FF0000"/>
                <w:sz w:val="21"/>
                <w:szCs w:val="21"/>
                <w:vertAlign w:val="baseline"/>
              </w:rPr>
            </w:pPr>
          </w:p>
        </w:tc>
        <w:tc>
          <w:tcPr>
            <w:tcW w:w="1449" w:type="dxa"/>
            <w:noWrap w:val="0"/>
            <w:vAlign w:val="center"/>
          </w:tcPr>
          <w:p w14:paraId="1A8321AC">
            <w:pPr>
              <w:widowControl w:val="0"/>
              <w:spacing w:line="240" w:lineRule="auto"/>
              <w:ind w:firstLine="0"/>
              <w:jc w:val="center"/>
              <w:rPr>
                <w:rFonts w:ascii="Times New Roman" w:hAnsi="Times New Roman" w:eastAsia="宋体" w:cs="Times New Roman"/>
                <w:color w:val="FF0000"/>
                <w:sz w:val="18"/>
                <w:szCs w:val="18"/>
                <w:lang w:val="en-US" w:eastAsia="zh-CN"/>
              </w:rPr>
            </w:pPr>
            <w:r>
              <w:rPr>
                <w:rFonts w:ascii="Times New Roman" w:hAnsi="Times New Roman" w:eastAsia="宋体" w:cs="Times New Roman"/>
                <w:color w:val="FF0000"/>
                <w:sz w:val="18"/>
                <w:szCs w:val="18"/>
                <w:lang w:val="en-US" w:eastAsia="zh-CN"/>
              </w:rPr>
              <w:t>VOCs</w:t>
            </w:r>
          </w:p>
        </w:tc>
        <w:tc>
          <w:tcPr>
            <w:tcW w:w="2132" w:type="dxa"/>
            <w:noWrap w:val="0"/>
            <w:vAlign w:val="center"/>
          </w:tcPr>
          <w:p w14:paraId="5EC252D2">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0.125</w:t>
            </w:r>
          </w:p>
        </w:tc>
        <w:tc>
          <w:tcPr>
            <w:tcW w:w="2132" w:type="dxa"/>
            <w:noWrap w:val="0"/>
            <w:vAlign w:val="center"/>
          </w:tcPr>
          <w:p w14:paraId="0EEC401A">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12.5</w:t>
            </w:r>
          </w:p>
        </w:tc>
      </w:tr>
      <w:tr w14:paraId="3B006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2131" w:type="dxa"/>
            <w:vMerge w:val="continue"/>
            <w:noWrap w:val="0"/>
            <w:vAlign w:val="center"/>
          </w:tcPr>
          <w:p w14:paraId="0C2229F3">
            <w:pPr>
              <w:pStyle w:val="2"/>
              <w:widowControl w:val="0"/>
              <w:jc w:val="center"/>
              <w:rPr>
                <w:rFonts w:ascii="Times New Roman" w:hAnsi="Times New Roman" w:eastAsia="宋体" w:cs="Times New Roman"/>
                <w:color w:val="FF0000"/>
                <w:sz w:val="21"/>
                <w:szCs w:val="21"/>
                <w:vertAlign w:val="baseline"/>
              </w:rPr>
            </w:pPr>
          </w:p>
        </w:tc>
        <w:tc>
          <w:tcPr>
            <w:tcW w:w="682" w:type="dxa"/>
            <w:vMerge w:val="restart"/>
            <w:noWrap w:val="0"/>
            <w:vAlign w:val="center"/>
          </w:tcPr>
          <w:p w14:paraId="5C25E486">
            <w:pPr>
              <w:widowControl w:val="0"/>
              <w:spacing w:line="240" w:lineRule="auto"/>
              <w:ind w:firstLine="0"/>
              <w:jc w:val="center"/>
              <w:rPr>
                <w:rFonts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制胶废气</w:t>
            </w:r>
          </w:p>
        </w:tc>
        <w:tc>
          <w:tcPr>
            <w:tcW w:w="1449" w:type="dxa"/>
            <w:noWrap w:val="0"/>
            <w:vAlign w:val="center"/>
          </w:tcPr>
          <w:p w14:paraId="5F8784DD">
            <w:pPr>
              <w:widowControl w:val="0"/>
              <w:spacing w:line="240" w:lineRule="auto"/>
              <w:ind w:firstLine="0"/>
              <w:jc w:val="center"/>
              <w:rPr>
                <w:rFonts w:ascii="Times New Roman" w:hAnsi="Times New Roman" w:eastAsia="宋体" w:cs="Times New Roman"/>
                <w:color w:val="FF0000"/>
                <w:sz w:val="18"/>
                <w:szCs w:val="18"/>
                <w:lang w:val="en-US" w:eastAsia="zh-CN" w:bidi="ar-SA"/>
              </w:rPr>
            </w:pPr>
            <w:r>
              <w:rPr>
                <w:rFonts w:ascii="Times New Roman" w:hAnsi="Times New Roman" w:eastAsia="宋体" w:cs="Times New Roman"/>
                <w:color w:val="FF0000"/>
                <w:sz w:val="18"/>
                <w:szCs w:val="18"/>
                <w:lang w:val="en-US" w:eastAsia="zh-CN"/>
              </w:rPr>
              <w:t>甲醛</w:t>
            </w:r>
          </w:p>
        </w:tc>
        <w:tc>
          <w:tcPr>
            <w:tcW w:w="2132" w:type="dxa"/>
            <w:noWrap w:val="0"/>
            <w:vAlign w:val="center"/>
          </w:tcPr>
          <w:p w14:paraId="1A53F8BE">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0.07</w:t>
            </w:r>
          </w:p>
        </w:tc>
        <w:tc>
          <w:tcPr>
            <w:tcW w:w="2132" w:type="dxa"/>
            <w:noWrap w:val="0"/>
            <w:vAlign w:val="center"/>
          </w:tcPr>
          <w:p w14:paraId="0086AC45">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136</w:t>
            </w:r>
          </w:p>
        </w:tc>
      </w:tr>
      <w:tr w14:paraId="513D7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continue"/>
            <w:noWrap w:val="0"/>
            <w:vAlign w:val="center"/>
          </w:tcPr>
          <w:p w14:paraId="1BEEE80B">
            <w:pPr>
              <w:pStyle w:val="2"/>
              <w:widowControl w:val="0"/>
              <w:jc w:val="center"/>
              <w:rPr>
                <w:rFonts w:ascii="Times New Roman" w:hAnsi="Times New Roman" w:eastAsia="宋体" w:cs="Times New Roman"/>
                <w:color w:val="FF0000"/>
                <w:sz w:val="21"/>
                <w:szCs w:val="21"/>
                <w:vertAlign w:val="baseline"/>
              </w:rPr>
            </w:pPr>
          </w:p>
        </w:tc>
        <w:tc>
          <w:tcPr>
            <w:tcW w:w="682" w:type="dxa"/>
            <w:vMerge w:val="continue"/>
            <w:noWrap w:val="0"/>
            <w:vAlign w:val="center"/>
          </w:tcPr>
          <w:p w14:paraId="7EABB78A">
            <w:pPr>
              <w:widowControl w:val="0"/>
              <w:spacing w:line="240" w:lineRule="auto"/>
              <w:ind w:firstLine="0"/>
              <w:jc w:val="center"/>
              <w:rPr>
                <w:rFonts w:ascii="Times New Roman" w:hAnsi="Times New Roman" w:eastAsia="宋体" w:cs="Times New Roman"/>
                <w:color w:val="FF0000"/>
                <w:sz w:val="18"/>
                <w:szCs w:val="18"/>
                <w:lang w:val="en-US" w:eastAsia="zh-CN"/>
              </w:rPr>
            </w:pPr>
          </w:p>
        </w:tc>
        <w:tc>
          <w:tcPr>
            <w:tcW w:w="1449" w:type="dxa"/>
            <w:noWrap w:val="0"/>
            <w:vAlign w:val="center"/>
          </w:tcPr>
          <w:p w14:paraId="0C0C0AAD">
            <w:pPr>
              <w:widowControl w:val="0"/>
              <w:spacing w:line="240" w:lineRule="auto"/>
              <w:ind w:firstLine="0"/>
              <w:jc w:val="center"/>
              <w:rPr>
                <w:rFonts w:ascii="Times New Roman" w:hAnsi="Times New Roman" w:eastAsia="宋体" w:cs="Times New Roman"/>
                <w:color w:val="FF0000"/>
                <w:sz w:val="18"/>
                <w:szCs w:val="18"/>
                <w:lang w:val="en-US" w:eastAsia="zh-CN" w:bidi="ar-SA"/>
              </w:rPr>
            </w:pPr>
            <w:r>
              <w:rPr>
                <w:rFonts w:ascii="Times New Roman" w:hAnsi="Times New Roman" w:eastAsia="宋体" w:cs="Times New Roman"/>
                <w:color w:val="FF0000"/>
                <w:sz w:val="18"/>
                <w:szCs w:val="18"/>
                <w:lang w:val="en-US" w:eastAsia="zh-CN"/>
              </w:rPr>
              <w:t>酚类</w:t>
            </w:r>
          </w:p>
        </w:tc>
        <w:tc>
          <w:tcPr>
            <w:tcW w:w="2132" w:type="dxa"/>
            <w:noWrap w:val="0"/>
            <w:vAlign w:val="center"/>
          </w:tcPr>
          <w:p w14:paraId="3917DC18">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0.027</w:t>
            </w:r>
          </w:p>
        </w:tc>
        <w:tc>
          <w:tcPr>
            <w:tcW w:w="2132" w:type="dxa"/>
            <w:noWrap w:val="0"/>
            <w:vAlign w:val="center"/>
          </w:tcPr>
          <w:p w14:paraId="6DBECE75">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5.4</w:t>
            </w:r>
          </w:p>
        </w:tc>
      </w:tr>
      <w:tr w14:paraId="752AC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continue"/>
            <w:noWrap w:val="0"/>
            <w:vAlign w:val="center"/>
          </w:tcPr>
          <w:p w14:paraId="7A93240C">
            <w:pPr>
              <w:pStyle w:val="2"/>
              <w:widowControl w:val="0"/>
              <w:jc w:val="center"/>
              <w:rPr>
                <w:rFonts w:ascii="Times New Roman" w:hAnsi="Times New Roman" w:eastAsia="宋体" w:cs="Times New Roman"/>
                <w:color w:val="FF0000"/>
                <w:sz w:val="21"/>
                <w:szCs w:val="21"/>
                <w:vertAlign w:val="baseline"/>
              </w:rPr>
            </w:pPr>
          </w:p>
        </w:tc>
        <w:tc>
          <w:tcPr>
            <w:tcW w:w="682" w:type="dxa"/>
            <w:vMerge w:val="continue"/>
            <w:noWrap w:val="0"/>
            <w:vAlign w:val="center"/>
          </w:tcPr>
          <w:p w14:paraId="5ABB6666">
            <w:pPr>
              <w:widowControl w:val="0"/>
              <w:spacing w:line="240" w:lineRule="auto"/>
              <w:ind w:firstLine="0"/>
              <w:jc w:val="center"/>
              <w:rPr>
                <w:rFonts w:ascii="Times New Roman" w:hAnsi="Times New Roman" w:eastAsia="宋体" w:cs="Times New Roman"/>
                <w:color w:val="FF0000"/>
                <w:sz w:val="18"/>
                <w:szCs w:val="18"/>
                <w:lang w:val="en-US" w:eastAsia="zh-CN"/>
              </w:rPr>
            </w:pPr>
          </w:p>
        </w:tc>
        <w:tc>
          <w:tcPr>
            <w:tcW w:w="1449" w:type="dxa"/>
            <w:noWrap w:val="0"/>
            <w:vAlign w:val="center"/>
          </w:tcPr>
          <w:p w14:paraId="2AB1B1C7">
            <w:pPr>
              <w:widowControl w:val="0"/>
              <w:spacing w:line="240" w:lineRule="auto"/>
              <w:ind w:firstLine="0"/>
              <w:jc w:val="center"/>
              <w:rPr>
                <w:rFonts w:ascii="Times New Roman" w:hAnsi="Times New Roman" w:eastAsia="宋体" w:cs="Times New Roman"/>
                <w:color w:val="FF0000"/>
                <w:sz w:val="18"/>
                <w:szCs w:val="18"/>
                <w:lang w:val="en-US" w:eastAsia="zh-CN" w:bidi="ar-SA"/>
              </w:rPr>
            </w:pPr>
            <w:r>
              <w:rPr>
                <w:rFonts w:ascii="Times New Roman" w:hAnsi="Times New Roman" w:eastAsia="宋体" w:cs="Times New Roman"/>
                <w:color w:val="FF0000"/>
                <w:sz w:val="18"/>
                <w:szCs w:val="18"/>
                <w:lang w:val="en-US" w:eastAsia="zh-CN"/>
              </w:rPr>
              <w:t>VOCs</w:t>
            </w:r>
          </w:p>
        </w:tc>
        <w:tc>
          <w:tcPr>
            <w:tcW w:w="2132" w:type="dxa"/>
            <w:noWrap w:val="0"/>
            <w:vAlign w:val="center"/>
          </w:tcPr>
          <w:p w14:paraId="06D48A04">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0.069</w:t>
            </w:r>
          </w:p>
        </w:tc>
        <w:tc>
          <w:tcPr>
            <w:tcW w:w="2132" w:type="dxa"/>
            <w:noWrap w:val="0"/>
            <w:vAlign w:val="center"/>
          </w:tcPr>
          <w:p w14:paraId="3B3BCF7C">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13.8</w:t>
            </w:r>
          </w:p>
        </w:tc>
      </w:tr>
      <w:tr w14:paraId="00ACE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continue"/>
            <w:noWrap w:val="0"/>
            <w:vAlign w:val="center"/>
          </w:tcPr>
          <w:p w14:paraId="5EB7B050">
            <w:pPr>
              <w:pStyle w:val="2"/>
              <w:widowControl w:val="0"/>
              <w:jc w:val="center"/>
              <w:rPr>
                <w:rFonts w:ascii="Times New Roman" w:hAnsi="Times New Roman" w:eastAsia="宋体" w:cs="Times New Roman"/>
                <w:color w:val="FF0000"/>
                <w:sz w:val="21"/>
                <w:szCs w:val="21"/>
                <w:vertAlign w:val="baseline"/>
              </w:rPr>
            </w:pPr>
          </w:p>
        </w:tc>
        <w:tc>
          <w:tcPr>
            <w:tcW w:w="682" w:type="dxa"/>
            <w:vMerge w:val="continue"/>
            <w:noWrap w:val="0"/>
            <w:vAlign w:val="center"/>
          </w:tcPr>
          <w:p w14:paraId="772A855E">
            <w:pPr>
              <w:widowControl w:val="0"/>
              <w:spacing w:line="240" w:lineRule="auto"/>
              <w:ind w:firstLine="0"/>
              <w:jc w:val="center"/>
              <w:rPr>
                <w:rFonts w:ascii="Times New Roman" w:hAnsi="Times New Roman" w:eastAsia="宋体" w:cs="Times New Roman"/>
                <w:color w:val="FF0000"/>
                <w:sz w:val="18"/>
                <w:szCs w:val="18"/>
                <w:lang w:val="en-US" w:eastAsia="zh-CN"/>
              </w:rPr>
            </w:pPr>
          </w:p>
        </w:tc>
        <w:tc>
          <w:tcPr>
            <w:tcW w:w="1449" w:type="dxa"/>
            <w:noWrap w:val="0"/>
            <w:vAlign w:val="center"/>
          </w:tcPr>
          <w:p w14:paraId="2AC557F1">
            <w:pPr>
              <w:widowControl w:val="0"/>
              <w:spacing w:line="240" w:lineRule="auto"/>
              <w:ind w:firstLine="0"/>
              <w:jc w:val="center"/>
              <w:rPr>
                <w:rFonts w:ascii="Times New Roman" w:hAnsi="Times New Roman" w:eastAsia="宋体" w:cs="Times New Roman"/>
                <w:color w:val="FF0000"/>
                <w:sz w:val="18"/>
                <w:szCs w:val="18"/>
                <w:lang w:val="en-US" w:eastAsia="zh-CN" w:bidi="ar-SA"/>
              </w:rPr>
            </w:pPr>
            <w:r>
              <w:rPr>
                <w:rFonts w:ascii="Times New Roman" w:hAnsi="Times New Roman" w:eastAsia="宋体" w:cs="Times New Roman"/>
                <w:color w:val="FF0000"/>
                <w:sz w:val="18"/>
                <w:szCs w:val="18"/>
                <w:lang w:val="en-US" w:eastAsia="zh-CN"/>
              </w:rPr>
              <w:t>氨</w:t>
            </w:r>
          </w:p>
        </w:tc>
        <w:tc>
          <w:tcPr>
            <w:tcW w:w="2132" w:type="dxa"/>
            <w:noWrap w:val="0"/>
            <w:vAlign w:val="center"/>
          </w:tcPr>
          <w:p w14:paraId="10E2B312">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0.0013</w:t>
            </w:r>
          </w:p>
        </w:tc>
        <w:tc>
          <w:tcPr>
            <w:tcW w:w="2132" w:type="dxa"/>
            <w:noWrap w:val="0"/>
            <w:vAlign w:val="center"/>
          </w:tcPr>
          <w:p w14:paraId="055B99C0">
            <w:pPr>
              <w:pStyle w:val="2"/>
              <w:widowControl w:val="0"/>
              <w:ind w:firstLine="42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0.026</w:t>
            </w:r>
          </w:p>
        </w:tc>
      </w:tr>
      <w:tr w14:paraId="196A9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restart"/>
            <w:noWrap w:val="0"/>
            <w:vAlign w:val="center"/>
          </w:tcPr>
          <w:p w14:paraId="20ED09E1">
            <w:pPr>
              <w:pStyle w:val="2"/>
              <w:widowControl w:val="0"/>
              <w:ind w:left="0" w:firstLine="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P3</w:t>
            </w:r>
          </w:p>
        </w:tc>
        <w:tc>
          <w:tcPr>
            <w:tcW w:w="2131" w:type="dxa"/>
            <w:gridSpan w:val="2"/>
            <w:noWrap w:val="0"/>
            <w:vAlign w:val="center"/>
          </w:tcPr>
          <w:p w14:paraId="71DC346C">
            <w:pPr>
              <w:widowControl w:val="0"/>
              <w:spacing w:line="240" w:lineRule="auto"/>
              <w:ind w:firstLine="0"/>
              <w:jc w:val="center"/>
              <w:rPr>
                <w:rFonts w:ascii="Times New Roman" w:hAnsi="Times New Roman" w:eastAsia="宋体" w:cs="Times New Roman"/>
                <w:color w:val="FF0000"/>
                <w:sz w:val="18"/>
                <w:szCs w:val="18"/>
                <w:lang w:val="en-US" w:eastAsia="zh-CN"/>
              </w:rPr>
            </w:pPr>
            <w:r>
              <w:rPr>
                <w:rFonts w:ascii="Times New Roman" w:hAnsi="Times New Roman" w:eastAsia="宋体" w:cs="Times New Roman"/>
                <w:bCs/>
                <w:color w:val="FF0000"/>
                <w:sz w:val="18"/>
                <w:szCs w:val="18"/>
              </w:rPr>
              <w:t>烟尘</w:t>
            </w:r>
          </w:p>
        </w:tc>
        <w:tc>
          <w:tcPr>
            <w:tcW w:w="2132" w:type="dxa"/>
            <w:noWrap w:val="0"/>
            <w:vAlign w:val="center"/>
          </w:tcPr>
          <w:p w14:paraId="35284FEE">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6.07</w:t>
            </w:r>
          </w:p>
        </w:tc>
        <w:tc>
          <w:tcPr>
            <w:tcW w:w="2132" w:type="dxa"/>
            <w:noWrap w:val="0"/>
            <w:vAlign w:val="center"/>
          </w:tcPr>
          <w:p w14:paraId="74C029F8">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481.1</w:t>
            </w:r>
          </w:p>
        </w:tc>
      </w:tr>
      <w:tr w14:paraId="079FC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continue"/>
            <w:noWrap w:val="0"/>
            <w:vAlign w:val="center"/>
          </w:tcPr>
          <w:p w14:paraId="25B589FE">
            <w:pPr>
              <w:pStyle w:val="2"/>
              <w:widowControl w:val="0"/>
              <w:jc w:val="center"/>
              <w:rPr>
                <w:rFonts w:ascii="Times New Roman" w:hAnsi="Times New Roman" w:eastAsia="宋体" w:cs="Times New Roman"/>
                <w:color w:val="FF0000"/>
                <w:sz w:val="21"/>
                <w:szCs w:val="21"/>
                <w:vertAlign w:val="baseline"/>
              </w:rPr>
            </w:pPr>
          </w:p>
        </w:tc>
        <w:tc>
          <w:tcPr>
            <w:tcW w:w="2131" w:type="dxa"/>
            <w:gridSpan w:val="2"/>
            <w:noWrap w:val="0"/>
            <w:vAlign w:val="center"/>
          </w:tcPr>
          <w:p w14:paraId="484A8C35">
            <w:pPr>
              <w:widowControl w:val="0"/>
              <w:spacing w:line="240" w:lineRule="auto"/>
              <w:ind w:firstLine="0"/>
              <w:jc w:val="center"/>
              <w:rPr>
                <w:rFonts w:ascii="Times New Roman" w:hAnsi="Times New Roman" w:eastAsia="宋体" w:cs="Times New Roman"/>
                <w:color w:val="FF0000"/>
                <w:sz w:val="18"/>
                <w:szCs w:val="18"/>
                <w:lang w:val="en-US" w:eastAsia="zh-CN"/>
              </w:rPr>
            </w:pPr>
            <w:r>
              <w:rPr>
                <w:rFonts w:ascii="Times New Roman" w:hAnsi="Times New Roman" w:eastAsia="宋体" w:cs="Times New Roman"/>
                <w:bCs/>
                <w:color w:val="FF0000"/>
                <w:sz w:val="18"/>
                <w:szCs w:val="18"/>
              </w:rPr>
              <w:t>SO</w:t>
            </w:r>
            <w:r>
              <w:rPr>
                <w:rFonts w:ascii="Times New Roman" w:hAnsi="Times New Roman" w:eastAsia="宋体" w:cs="Times New Roman"/>
                <w:bCs/>
                <w:color w:val="FF0000"/>
                <w:sz w:val="18"/>
                <w:szCs w:val="18"/>
                <w:vertAlign w:val="subscript"/>
              </w:rPr>
              <w:t>2</w:t>
            </w:r>
          </w:p>
        </w:tc>
        <w:tc>
          <w:tcPr>
            <w:tcW w:w="2132" w:type="dxa"/>
            <w:noWrap w:val="0"/>
            <w:vAlign w:val="center"/>
          </w:tcPr>
          <w:p w14:paraId="2164DC47">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0.28</w:t>
            </w:r>
          </w:p>
        </w:tc>
        <w:tc>
          <w:tcPr>
            <w:tcW w:w="2132" w:type="dxa"/>
            <w:noWrap w:val="0"/>
            <w:vAlign w:val="center"/>
          </w:tcPr>
          <w:p w14:paraId="7B9EC5A4">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24</w:t>
            </w:r>
          </w:p>
        </w:tc>
      </w:tr>
      <w:tr w14:paraId="05C0C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1" w:type="dxa"/>
            <w:vMerge w:val="continue"/>
            <w:noWrap w:val="0"/>
            <w:vAlign w:val="center"/>
          </w:tcPr>
          <w:p w14:paraId="240E130F">
            <w:pPr>
              <w:pStyle w:val="2"/>
              <w:widowControl w:val="0"/>
              <w:jc w:val="center"/>
              <w:rPr>
                <w:rFonts w:ascii="Times New Roman" w:hAnsi="Times New Roman" w:eastAsia="宋体" w:cs="Times New Roman"/>
                <w:color w:val="FF0000"/>
                <w:sz w:val="21"/>
                <w:szCs w:val="21"/>
                <w:vertAlign w:val="baseline"/>
              </w:rPr>
            </w:pPr>
          </w:p>
        </w:tc>
        <w:tc>
          <w:tcPr>
            <w:tcW w:w="2131" w:type="dxa"/>
            <w:gridSpan w:val="2"/>
            <w:noWrap w:val="0"/>
            <w:vAlign w:val="center"/>
          </w:tcPr>
          <w:p w14:paraId="283B55DC">
            <w:pPr>
              <w:widowControl w:val="0"/>
              <w:spacing w:line="240" w:lineRule="auto"/>
              <w:ind w:firstLine="0"/>
              <w:jc w:val="center"/>
              <w:rPr>
                <w:rFonts w:ascii="Times New Roman" w:hAnsi="Times New Roman" w:eastAsia="宋体" w:cs="Times New Roman"/>
                <w:color w:val="FF0000"/>
                <w:sz w:val="18"/>
                <w:szCs w:val="18"/>
                <w:lang w:val="en-US" w:eastAsia="zh-CN"/>
              </w:rPr>
            </w:pPr>
            <w:r>
              <w:rPr>
                <w:rFonts w:ascii="Times New Roman" w:hAnsi="Times New Roman" w:eastAsia="宋体" w:cs="Times New Roman"/>
                <w:bCs/>
                <w:color w:val="FF0000"/>
                <w:sz w:val="18"/>
                <w:szCs w:val="18"/>
              </w:rPr>
              <w:t>NO</w:t>
            </w:r>
            <w:r>
              <w:rPr>
                <w:rFonts w:ascii="Times New Roman" w:hAnsi="Times New Roman" w:eastAsia="宋体" w:cs="Times New Roman"/>
                <w:bCs/>
                <w:color w:val="FF0000"/>
                <w:sz w:val="18"/>
                <w:szCs w:val="18"/>
                <w:lang w:val="en-US" w:eastAsia="zh-CN"/>
              </w:rPr>
              <w:t>x</w:t>
            </w:r>
          </w:p>
        </w:tc>
        <w:tc>
          <w:tcPr>
            <w:tcW w:w="2132" w:type="dxa"/>
            <w:noWrap w:val="0"/>
            <w:vAlign w:val="center"/>
          </w:tcPr>
          <w:p w14:paraId="43C64105">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1.04</w:t>
            </w:r>
          </w:p>
        </w:tc>
        <w:tc>
          <w:tcPr>
            <w:tcW w:w="2132" w:type="dxa"/>
            <w:noWrap w:val="0"/>
            <w:vAlign w:val="center"/>
          </w:tcPr>
          <w:p w14:paraId="2B24EE26">
            <w:pPr>
              <w:pStyle w:val="2"/>
              <w:widowControl w:val="0"/>
              <w:jc w:val="center"/>
              <w:rPr>
                <w:rFonts w:ascii="Times New Roman" w:hAnsi="Times New Roman" w:eastAsia="宋体" w:cs="Times New Roman"/>
                <w:color w:val="FF0000"/>
                <w:sz w:val="21"/>
                <w:szCs w:val="21"/>
                <w:vertAlign w:val="baseline"/>
                <w:lang w:val="en-US" w:eastAsia="zh-CN"/>
              </w:rPr>
            </w:pPr>
            <w:r>
              <w:rPr>
                <w:rFonts w:ascii="Times New Roman" w:hAnsi="Times New Roman" w:eastAsia="宋体" w:cs="Times New Roman"/>
                <w:color w:val="FF0000"/>
                <w:sz w:val="21"/>
                <w:szCs w:val="21"/>
                <w:vertAlign w:val="baseline"/>
                <w:lang w:val="en-US" w:eastAsia="zh-CN"/>
              </w:rPr>
              <w:t>82.5</w:t>
            </w:r>
          </w:p>
        </w:tc>
      </w:tr>
    </w:tbl>
    <w:p w14:paraId="399CC638">
      <w:pPr>
        <w:pStyle w:val="187"/>
        <w:rPr>
          <w:rFonts w:hint="eastAsia" w:ascii="Times New Roman" w:hAnsi="Times New Roman"/>
          <w:bCs/>
          <w:lang w:val="en-US" w:eastAsia="zh-CN"/>
        </w:rPr>
      </w:pPr>
      <w:bookmarkStart w:id="115" w:name="_Toc5858"/>
      <w:bookmarkStart w:id="116" w:name="_Toc7636"/>
      <w:r>
        <w:rPr>
          <w:rFonts w:hint="eastAsia" w:ascii="Times New Roman" w:hAnsi="Times New Roman"/>
          <w:bCs/>
          <w:color w:val="FF0000"/>
          <w:lang w:val="en-US" w:eastAsia="zh-CN"/>
        </w:rPr>
        <w:t>4.4改扩建完成前后项目运营期污染物</w:t>
      </w:r>
      <w:r>
        <w:rPr>
          <w:rFonts w:hint="eastAsia" w:ascii="Times New Roman" w:hAnsi="Times New Roman"/>
          <w:bCs/>
          <w:lang w:val="en-US" w:eastAsia="zh-CN"/>
        </w:rPr>
        <w:t>排污“三笔帐”情况</w:t>
      </w:r>
      <w:bookmarkEnd w:id="114"/>
    </w:p>
    <w:p w14:paraId="23DC5F15">
      <w:pPr>
        <w:numPr>
          <w:ilvl w:val="0"/>
          <w:numId w:val="0"/>
        </w:numPr>
        <w:spacing w:line="360" w:lineRule="auto"/>
        <w:ind w:right="28" w:firstLine="480"/>
        <w:rPr>
          <w:rFonts w:hint="eastAsia"/>
          <w:color w:val="000000"/>
          <w:sz w:val="24"/>
        </w:rPr>
      </w:pPr>
      <w:r>
        <w:rPr>
          <w:rFonts w:hint="eastAsia"/>
          <w:color w:val="000000"/>
          <w:sz w:val="24"/>
          <w:lang w:eastAsia="zh-CN"/>
        </w:rPr>
        <w:t>项目</w:t>
      </w:r>
      <w:r>
        <w:rPr>
          <w:rFonts w:hint="eastAsia"/>
          <w:color w:val="000000"/>
          <w:sz w:val="24"/>
          <w:lang w:val="en-US" w:eastAsia="zh-CN"/>
        </w:rPr>
        <w:t>改扩建</w:t>
      </w:r>
      <w:r>
        <w:rPr>
          <w:rFonts w:hint="eastAsia"/>
          <w:color w:val="000000"/>
          <w:sz w:val="24"/>
          <w:lang w:eastAsia="zh-CN"/>
        </w:rPr>
        <w:t>前后</w:t>
      </w:r>
      <w:r>
        <w:rPr>
          <w:rFonts w:hint="eastAsia"/>
          <w:color w:val="000000"/>
          <w:sz w:val="24"/>
        </w:rPr>
        <w:t>运营期污染物</w:t>
      </w:r>
      <w:r>
        <w:rPr>
          <w:rFonts w:ascii="宋体" w:hAnsi="宋体"/>
          <w:color w:val="000000"/>
          <w:sz w:val="24"/>
        </w:rPr>
        <w:t>排污“三笔帐”</w:t>
      </w:r>
      <w:r>
        <w:rPr>
          <w:rFonts w:hint="eastAsia" w:ascii="宋体" w:hAnsi="宋体"/>
          <w:color w:val="000000"/>
          <w:sz w:val="24"/>
        </w:rPr>
        <w:t>情况</w:t>
      </w:r>
      <w:r>
        <w:rPr>
          <w:rFonts w:hint="eastAsia"/>
          <w:color w:val="000000"/>
          <w:sz w:val="24"/>
        </w:rPr>
        <w:t>详见下表</w:t>
      </w:r>
      <w:r>
        <w:rPr>
          <w:rFonts w:hint="eastAsia"/>
          <w:color w:val="000000"/>
          <w:sz w:val="24"/>
          <w:lang w:val="en-US" w:eastAsia="zh-CN"/>
        </w:rPr>
        <w:t>4.4</w:t>
      </w:r>
      <w:r>
        <w:rPr>
          <w:rFonts w:hint="eastAsia"/>
          <w:color w:val="000000"/>
          <w:sz w:val="24"/>
        </w:rPr>
        <w:t>-1。</w:t>
      </w:r>
    </w:p>
    <w:p w14:paraId="08D9AB59">
      <w:pPr>
        <w:tabs>
          <w:tab w:val="left" w:pos="8100"/>
        </w:tabs>
        <w:spacing w:line="360" w:lineRule="auto"/>
        <w:jc w:val="center"/>
        <w:rPr>
          <w:rFonts w:hint="eastAsia" w:ascii="宋体" w:hAnsi="Courier New"/>
          <w:b/>
          <w:color w:val="000000"/>
          <w:sz w:val="24"/>
          <w:lang w:val="en-GB" w:eastAsia="zh-TW"/>
        </w:rPr>
      </w:pPr>
      <w:r>
        <w:rPr>
          <w:b/>
          <w:color w:val="000000"/>
          <w:sz w:val="24"/>
        </w:rPr>
        <w:t>表</w:t>
      </w:r>
      <w:r>
        <w:rPr>
          <w:rFonts w:hint="eastAsia"/>
          <w:b/>
          <w:color w:val="000000"/>
          <w:sz w:val="24"/>
          <w:lang w:val="en-US" w:eastAsia="zh-CN"/>
        </w:rPr>
        <w:t>4.4</w:t>
      </w:r>
      <w:r>
        <w:rPr>
          <w:b/>
          <w:color w:val="000000"/>
          <w:sz w:val="24"/>
        </w:rPr>
        <w:t>-</w:t>
      </w:r>
      <w:r>
        <w:rPr>
          <w:rFonts w:hint="eastAsia"/>
          <w:b/>
          <w:color w:val="000000"/>
          <w:sz w:val="24"/>
        </w:rPr>
        <w:t>1</w:t>
      </w:r>
      <w:r>
        <w:rPr>
          <w:rFonts w:ascii="宋体" w:hAnsi="Courier New"/>
          <w:b/>
          <w:color w:val="000000"/>
          <w:sz w:val="24"/>
          <w:lang w:val="en-GB" w:eastAsia="zh-TW"/>
        </w:rPr>
        <w:t>项目</w:t>
      </w:r>
      <w:r>
        <w:rPr>
          <w:rFonts w:hint="eastAsia" w:ascii="宋体" w:hAnsi="Courier New"/>
          <w:b/>
          <w:color w:val="000000"/>
          <w:sz w:val="24"/>
          <w:lang w:val="en-US" w:eastAsia="zh-CN"/>
        </w:rPr>
        <w:t>改扩建</w:t>
      </w:r>
      <w:r>
        <w:rPr>
          <w:rFonts w:hint="eastAsia" w:ascii="宋体" w:hAnsi="Courier New"/>
          <w:b/>
          <w:color w:val="000000"/>
          <w:sz w:val="24"/>
          <w:lang w:val="en-GB" w:eastAsia="zh-CN"/>
        </w:rPr>
        <w:t>前</w:t>
      </w:r>
      <w:r>
        <w:rPr>
          <w:rFonts w:ascii="宋体" w:hAnsi="Courier New"/>
          <w:b/>
          <w:color w:val="000000"/>
          <w:sz w:val="24"/>
          <w:lang w:val="en-GB" w:eastAsia="zh-TW"/>
        </w:rPr>
        <w:t>后总各污染物排放总量一览表</w:t>
      </w:r>
    </w:p>
    <w:tbl>
      <w:tblPr>
        <w:tblStyle w:val="32"/>
        <w:tblW w:w="84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0"/>
        <w:gridCol w:w="1208"/>
        <w:gridCol w:w="1161"/>
        <w:gridCol w:w="1178"/>
        <w:gridCol w:w="1011"/>
        <w:gridCol w:w="1010"/>
        <w:gridCol w:w="1036"/>
        <w:gridCol w:w="1272"/>
      </w:tblGrid>
      <w:tr w14:paraId="26CE1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restart"/>
            <w:noWrap w:val="0"/>
            <w:vAlign w:val="center"/>
          </w:tcPr>
          <w:p w14:paraId="181FD55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项目</w:t>
            </w:r>
          </w:p>
        </w:tc>
        <w:tc>
          <w:tcPr>
            <w:tcW w:w="1208" w:type="dxa"/>
            <w:vMerge w:val="restart"/>
            <w:noWrap w:val="0"/>
            <w:vAlign w:val="center"/>
          </w:tcPr>
          <w:p w14:paraId="2DC64D2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污染物</w:t>
            </w:r>
          </w:p>
        </w:tc>
        <w:tc>
          <w:tcPr>
            <w:tcW w:w="1161" w:type="dxa"/>
            <w:noWrap w:val="0"/>
            <w:vAlign w:val="center"/>
          </w:tcPr>
          <w:p w14:paraId="783A5FF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原有项目</w:t>
            </w:r>
          </w:p>
        </w:tc>
        <w:tc>
          <w:tcPr>
            <w:tcW w:w="2189" w:type="dxa"/>
            <w:gridSpan w:val="2"/>
            <w:noWrap w:val="0"/>
            <w:vAlign w:val="center"/>
          </w:tcPr>
          <w:p w14:paraId="6B1A71C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本工程</w:t>
            </w:r>
          </w:p>
        </w:tc>
        <w:tc>
          <w:tcPr>
            <w:tcW w:w="1010" w:type="dxa"/>
            <w:vMerge w:val="restart"/>
            <w:noWrap w:val="0"/>
            <w:vAlign w:val="center"/>
          </w:tcPr>
          <w:p w14:paraId="790BC92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以新带老削减量（t/a）</w:t>
            </w:r>
          </w:p>
        </w:tc>
        <w:tc>
          <w:tcPr>
            <w:tcW w:w="1036" w:type="dxa"/>
            <w:vMerge w:val="restart"/>
            <w:noWrap w:val="0"/>
            <w:vAlign w:val="center"/>
          </w:tcPr>
          <w:p w14:paraId="6B465D9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扩建后总排放量（t/a）</w:t>
            </w:r>
          </w:p>
        </w:tc>
        <w:tc>
          <w:tcPr>
            <w:tcW w:w="1272" w:type="dxa"/>
            <w:vMerge w:val="restart"/>
            <w:noWrap w:val="0"/>
            <w:vAlign w:val="center"/>
          </w:tcPr>
          <w:p w14:paraId="43FC556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增减量（t/a）</w:t>
            </w:r>
          </w:p>
        </w:tc>
      </w:tr>
      <w:tr w14:paraId="408BC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42B584C2">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vMerge w:val="continue"/>
            <w:noWrap w:val="0"/>
            <w:vAlign w:val="center"/>
          </w:tcPr>
          <w:p w14:paraId="24C07717">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161" w:type="dxa"/>
            <w:noWrap w:val="0"/>
            <w:vAlign w:val="center"/>
          </w:tcPr>
          <w:p w14:paraId="027430E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排放量（t/a）</w:t>
            </w:r>
          </w:p>
        </w:tc>
        <w:tc>
          <w:tcPr>
            <w:tcW w:w="1178" w:type="dxa"/>
            <w:noWrap w:val="0"/>
            <w:vAlign w:val="center"/>
          </w:tcPr>
          <w:p w14:paraId="49DF5B4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产生量（t/a）</w:t>
            </w:r>
          </w:p>
        </w:tc>
        <w:tc>
          <w:tcPr>
            <w:tcW w:w="1011" w:type="dxa"/>
            <w:noWrap w:val="0"/>
            <w:vAlign w:val="center"/>
          </w:tcPr>
          <w:p w14:paraId="40F7227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排放量（t/a）</w:t>
            </w:r>
          </w:p>
        </w:tc>
        <w:tc>
          <w:tcPr>
            <w:tcW w:w="1010" w:type="dxa"/>
            <w:vMerge w:val="continue"/>
            <w:noWrap w:val="0"/>
            <w:vAlign w:val="center"/>
          </w:tcPr>
          <w:p w14:paraId="11AD8D22">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036" w:type="dxa"/>
            <w:vMerge w:val="continue"/>
            <w:noWrap w:val="0"/>
            <w:vAlign w:val="center"/>
          </w:tcPr>
          <w:p w14:paraId="0163E5A0">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72" w:type="dxa"/>
            <w:vMerge w:val="continue"/>
            <w:noWrap w:val="0"/>
            <w:vAlign w:val="center"/>
          </w:tcPr>
          <w:p w14:paraId="70698770">
            <w:pPr>
              <w:widowControl w:val="0"/>
              <w:spacing w:line="240" w:lineRule="auto"/>
              <w:ind w:firstLine="0"/>
              <w:jc w:val="center"/>
              <w:rPr>
                <w:rFonts w:ascii="Times New Roman" w:hAnsi="Times New Roman" w:eastAsia="宋体" w:cs="Times New Roman"/>
                <w:color w:val="000000"/>
                <w:sz w:val="21"/>
                <w:szCs w:val="21"/>
                <w:lang w:val="en-US" w:eastAsia="zh-CN"/>
              </w:rPr>
            </w:pPr>
          </w:p>
        </w:tc>
      </w:tr>
      <w:tr w14:paraId="60484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restart"/>
            <w:noWrap w:val="0"/>
            <w:vAlign w:val="center"/>
          </w:tcPr>
          <w:p w14:paraId="25888FF9">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废气</w:t>
            </w:r>
          </w:p>
        </w:tc>
        <w:tc>
          <w:tcPr>
            <w:tcW w:w="1208" w:type="dxa"/>
            <w:noWrap w:val="0"/>
            <w:vAlign w:val="center"/>
          </w:tcPr>
          <w:p w14:paraId="186ABEE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粉尘</w:t>
            </w:r>
          </w:p>
        </w:tc>
        <w:tc>
          <w:tcPr>
            <w:tcW w:w="1161" w:type="dxa"/>
            <w:noWrap w:val="0"/>
            <w:vAlign w:val="center"/>
          </w:tcPr>
          <w:p w14:paraId="665DD06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178" w:type="dxa"/>
            <w:noWrap w:val="0"/>
            <w:vAlign w:val="center"/>
          </w:tcPr>
          <w:p w14:paraId="1381C1B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2529.6</w:t>
            </w:r>
          </w:p>
        </w:tc>
        <w:tc>
          <w:tcPr>
            <w:tcW w:w="1011" w:type="dxa"/>
            <w:noWrap w:val="0"/>
            <w:vAlign w:val="center"/>
          </w:tcPr>
          <w:p w14:paraId="7F5EBBE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9.445</w:t>
            </w:r>
          </w:p>
        </w:tc>
        <w:tc>
          <w:tcPr>
            <w:tcW w:w="1010" w:type="dxa"/>
            <w:noWrap w:val="0"/>
            <w:vAlign w:val="center"/>
          </w:tcPr>
          <w:p w14:paraId="25D16DD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36" w:type="dxa"/>
            <w:noWrap w:val="0"/>
            <w:vAlign w:val="center"/>
          </w:tcPr>
          <w:p w14:paraId="3D9208A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14.665</w:t>
            </w:r>
          </w:p>
        </w:tc>
        <w:tc>
          <w:tcPr>
            <w:tcW w:w="1272" w:type="dxa"/>
            <w:noWrap w:val="0"/>
            <w:vAlign w:val="center"/>
          </w:tcPr>
          <w:p w14:paraId="45FD817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9.445</w:t>
            </w:r>
          </w:p>
        </w:tc>
      </w:tr>
      <w:tr w14:paraId="5AA7A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2E239C28">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1EF208C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烟尘</w:t>
            </w:r>
          </w:p>
        </w:tc>
        <w:tc>
          <w:tcPr>
            <w:tcW w:w="1161" w:type="dxa"/>
            <w:noWrap w:val="0"/>
            <w:vAlign w:val="center"/>
          </w:tcPr>
          <w:p w14:paraId="129C079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4.51</w:t>
            </w:r>
          </w:p>
        </w:tc>
        <w:tc>
          <w:tcPr>
            <w:tcW w:w="1178" w:type="dxa"/>
            <w:noWrap w:val="0"/>
            <w:vAlign w:val="center"/>
          </w:tcPr>
          <w:p w14:paraId="5553CBC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pacing w:val="8"/>
                <w:sz w:val="21"/>
                <w:szCs w:val="21"/>
                <w:lang w:val="en-US" w:eastAsia="zh-CN"/>
              </w:rPr>
              <w:t>11.376</w:t>
            </w:r>
          </w:p>
        </w:tc>
        <w:tc>
          <w:tcPr>
            <w:tcW w:w="1011" w:type="dxa"/>
            <w:noWrap w:val="0"/>
            <w:vAlign w:val="center"/>
          </w:tcPr>
          <w:p w14:paraId="2891BFD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3.96</w:t>
            </w:r>
          </w:p>
        </w:tc>
        <w:tc>
          <w:tcPr>
            <w:tcW w:w="1010" w:type="dxa"/>
            <w:noWrap w:val="0"/>
            <w:vAlign w:val="center"/>
          </w:tcPr>
          <w:p w14:paraId="31D9A0A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4.51</w:t>
            </w:r>
          </w:p>
        </w:tc>
        <w:tc>
          <w:tcPr>
            <w:tcW w:w="1036" w:type="dxa"/>
            <w:noWrap w:val="0"/>
            <w:vAlign w:val="center"/>
          </w:tcPr>
          <w:p w14:paraId="345324B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3.96</w:t>
            </w:r>
          </w:p>
        </w:tc>
        <w:tc>
          <w:tcPr>
            <w:tcW w:w="1272" w:type="dxa"/>
            <w:noWrap w:val="0"/>
            <w:vAlign w:val="center"/>
          </w:tcPr>
          <w:p w14:paraId="465F911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-0.55</w:t>
            </w:r>
          </w:p>
        </w:tc>
      </w:tr>
      <w:tr w14:paraId="31943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5D4660D1">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2AA36BF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SO</w:t>
            </w:r>
            <w:r>
              <w:rPr>
                <w:rFonts w:ascii="Times New Roman" w:hAnsi="Times New Roman" w:eastAsia="宋体" w:cs="Times New Roman"/>
                <w:color w:val="000000"/>
                <w:sz w:val="21"/>
                <w:szCs w:val="21"/>
                <w:vertAlign w:val="subscript"/>
                <w:lang w:val="en-US" w:eastAsia="zh-CN"/>
              </w:rPr>
              <w:t>2</w:t>
            </w:r>
          </w:p>
        </w:tc>
        <w:tc>
          <w:tcPr>
            <w:tcW w:w="1161" w:type="dxa"/>
            <w:noWrap w:val="0"/>
            <w:vAlign w:val="center"/>
          </w:tcPr>
          <w:p w14:paraId="7564FEE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1.88</w:t>
            </w:r>
          </w:p>
        </w:tc>
        <w:tc>
          <w:tcPr>
            <w:tcW w:w="1178" w:type="dxa"/>
            <w:noWrap w:val="0"/>
            <w:vAlign w:val="center"/>
          </w:tcPr>
          <w:p w14:paraId="5B78306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pacing w:val="8"/>
                <w:sz w:val="21"/>
                <w:szCs w:val="21"/>
                <w:lang w:val="en-US" w:eastAsia="zh-CN"/>
              </w:rPr>
              <w:t>4.032</w:t>
            </w:r>
          </w:p>
        </w:tc>
        <w:tc>
          <w:tcPr>
            <w:tcW w:w="1011" w:type="dxa"/>
            <w:noWrap w:val="0"/>
            <w:vAlign w:val="center"/>
          </w:tcPr>
          <w:p w14:paraId="7B11471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1.0</w:t>
            </w:r>
          </w:p>
        </w:tc>
        <w:tc>
          <w:tcPr>
            <w:tcW w:w="1010" w:type="dxa"/>
            <w:noWrap w:val="0"/>
            <w:vAlign w:val="center"/>
          </w:tcPr>
          <w:p w14:paraId="75E1EEC2">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1.88</w:t>
            </w:r>
          </w:p>
        </w:tc>
        <w:tc>
          <w:tcPr>
            <w:tcW w:w="1036" w:type="dxa"/>
            <w:noWrap w:val="0"/>
            <w:vAlign w:val="center"/>
          </w:tcPr>
          <w:p w14:paraId="1AC9A61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1.0</w:t>
            </w:r>
          </w:p>
        </w:tc>
        <w:tc>
          <w:tcPr>
            <w:tcW w:w="1272" w:type="dxa"/>
            <w:noWrap w:val="0"/>
            <w:vAlign w:val="center"/>
          </w:tcPr>
          <w:p w14:paraId="0BC8478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-0.88</w:t>
            </w:r>
          </w:p>
        </w:tc>
      </w:tr>
      <w:tr w14:paraId="3013F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6059853A">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7D331B25">
            <w:pPr>
              <w:widowControl w:val="0"/>
              <w:spacing w:line="240" w:lineRule="auto"/>
              <w:ind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NO</w:t>
            </w:r>
            <w:r>
              <w:rPr>
                <w:rFonts w:ascii="Times New Roman" w:hAnsi="Times New Roman" w:eastAsia="宋体" w:cs="Times New Roman"/>
                <w:sz w:val="21"/>
                <w:szCs w:val="21"/>
                <w:vertAlign w:val="subscript"/>
                <w:lang w:val="en-US" w:eastAsia="zh-CN"/>
              </w:rPr>
              <w:t>x</w:t>
            </w:r>
          </w:p>
        </w:tc>
        <w:tc>
          <w:tcPr>
            <w:tcW w:w="1161" w:type="dxa"/>
            <w:noWrap w:val="0"/>
            <w:vAlign w:val="center"/>
          </w:tcPr>
          <w:p w14:paraId="114FECA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5.26</w:t>
            </w:r>
          </w:p>
        </w:tc>
        <w:tc>
          <w:tcPr>
            <w:tcW w:w="1178" w:type="dxa"/>
            <w:noWrap w:val="0"/>
            <w:vAlign w:val="center"/>
          </w:tcPr>
          <w:p w14:paraId="6F2EFBC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pacing w:val="8"/>
                <w:sz w:val="21"/>
                <w:szCs w:val="21"/>
                <w:lang w:val="en-US" w:eastAsia="zh-CN"/>
              </w:rPr>
              <w:t>14.688</w:t>
            </w:r>
          </w:p>
        </w:tc>
        <w:tc>
          <w:tcPr>
            <w:tcW w:w="1011" w:type="dxa"/>
            <w:noWrap w:val="0"/>
            <w:vAlign w:val="center"/>
          </w:tcPr>
          <w:p w14:paraId="0E17F95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5.976</w:t>
            </w:r>
          </w:p>
        </w:tc>
        <w:tc>
          <w:tcPr>
            <w:tcW w:w="1010" w:type="dxa"/>
            <w:noWrap w:val="0"/>
            <w:vAlign w:val="center"/>
          </w:tcPr>
          <w:p w14:paraId="2E474E72">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5.26</w:t>
            </w:r>
          </w:p>
        </w:tc>
        <w:tc>
          <w:tcPr>
            <w:tcW w:w="1036" w:type="dxa"/>
            <w:noWrap w:val="0"/>
            <w:vAlign w:val="center"/>
          </w:tcPr>
          <w:p w14:paraId="400ECA7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5.976</w:t>
            </w:r>
          </w:p>
        </w:tc>
        <w:tc>
          <w:tcPr>
            <w:tcW w:w="1272" w:type="dxa"/>
            <w:noWrap w:val="0"/>
            <w:vAlign w:val="center"/>
          </w:tcPr>
          <w:p w14:paraId="0161050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+0.716</w:t>
            </w:r>
          </w:p>
        </w:tc>
      </w:tr>
      <w:tr w14:paraId="18117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30934210">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1986CD33">
            <w:pPr>
              <w:widowControl w:val="0"/>
              <w:spacing w:line="240" w:lineRule="auto"/>
              <w:ind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甲醛</w:t>
            </w:r>
          </w:p>
        </w:tc>
        <w:tc>
          <w:tcPr>
            <w:tcW w:w="1161" w:type="dxa"/>
            <w:noWrap w:val="0"/>
            <w:vAlign w:val="center"/>
          </w:tcPr>
          <w:p w14:paraId="6D59A39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178" w:type="dxa"/>
            <w:noWrap w:val="0"/>
            <w:vAlign w:val="center"/>
          </w:tcPr>
          <w:p w14:paraId="6323FC1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9.08459</w:t>
            </w:r>
          </w:p>
        </w:tc>
        <w:tc>
          <w:tcPr>
            <w:tcW w:w="1011" w:type="dxa"/>
            <w:noWrap w:val="0"/>
            <w:vAlign w:val="center"/>
          </w:tcPr>
          <w:p w14:paraId="5E89BDD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0.90944</w:t>
            </w:r>
          </w:p>
        </w:tc>
        <w:tc>
          <w:tcPr>
            <w:tcW w:w="1010" w:type="dxa"/>
            <w:noWrap w:val="0"/>
            <w:vAlign w:val="center"/>
          </w:tcPr>
          <w:p w14:paraId="455909F2">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36" w:type="dxa"/>
            <w:noWrap w:val="0"/>
            <w:vAlign w:val="center"/>
          </w:tcPr>
          <w:p w14:paraId="63BE9E4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0.90944</w:t>
            </w:r>
          </w:p>
        </w:tc>
        <w:tc>
          <w:tcPr>
            <w:tcW w:w="1272" w:type="dxa"/>
            <w:noWrap w:val="0"/>
            <w:vAlign w:val="center"/>
          </w:tcPr>
          <w:p w14:paraId="2642B7B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+0.90944</w:t>
            </w:r>
          </w:p>
        </w:tc>
      </w:tr>
      <w:tr w14:paraId="66AD7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29DF3668">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361E62B0">
            <w:pPr>
              <w:widowControl w:val="0"/>
              <w:spacing w:line="240" w:lineRule="auto"/>
              <w:ind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氨</w:t>
            </w:r>
          </w:p>
        </w:tc>
        <w:tc>
          <w:tcPr>
            <w:tcW w:w="1161" w:type="dxa"/>
            <w:noWrap w:val="0"/>
            <w:vAlign w:val="center"/>
          </w:tcPr>
          <w:p w14:paraId="740FC62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178" w:type="dxa"/>
            <w:noWrap w:val="0"/>
            <w:vAlign w:val="center"/>
          </w:tcPr>
          <w:p w14:paraId="7C1271F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0.0185</w:t>
            </w:r>
          </w:p>
        </w:tc>
        <w:tc>
          <w:tcPr>
            <w:tcW w:w="1011" w:type="dxa"/>
            <w:noWrap w:val="0"/>
            <w:vAlign w:val="center"/>
          </w:tcPr>
          <w:p w14:paraId="01C107F2">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0.00185</w:t>
            </w:r>
          </w:p>
        </w:tc>
        <w:tc>
          <w:tcPr>
            <w:tcW w:w="1010" w:type="dxa"/>
            <w:noWrap w:val="0"/>
            <w:vAlign w:val="center"/>
          </w:tcPr>
          <w:p w14:paraId="09978F3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36" w:type="dxa"/>
            <w:noWrap w:val="0"/>
            <w:vAlign w:val="center"/>
          </w:tcPr>
          <w:p w14:paraId="22B024F9">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0.00185</w:t>
            </w:r>
          </w:p>
        </w:tc>
        <w:tc>
          <w:tcPr>
            <w:tcW w:w="1272" w:type="dxa"/>
            <w:noWrap w:val="0"/>
            <w:vAlign w:val="center"/>
          </w:tcPr>
          <w:p w14:paraId="0B0FAC1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+0.00185</w:t>
            </w:r>
          </w:p>
        </w:tc>
      </w:tr>
      <w:tr w14:paraId="245CF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37B2133E">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70C2F8AF">
            <w:pPr>
              <w:widowControl w:val="0"/>
              <w:spacing w:line="240" w:lineRule="auto"/>
              <w:ind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酚类</w:t>
            </w:r>
          </w:p>
        </w:tc>
        <w:tc>
          <w:tcPr>
            <w:tcW w:w="1161" w:type="dxa"/>
            <w:noWrap w:val="0"/>
            <w:vAlign w:val="center"/>
          </w:tcPr>
          <w:p w14:paraId="51ECD34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178" w:type="dxa"/>
            <w:noWrap w:val="0"/>
            <w:vAlign w:val="center"/>
          </w:tcPr>
          <w:p w14:paraId="204228F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9.39</w:t>
            </w:r>
          </w:p>
        </w:tc>
        <w:tc>
          <w:tcPr>
            <w:tcW w:w="1011" w:type="dxa"/>
            <w:noWrap w:val="0"/>
            <w:vAlign w:val="center"/>
          </w:tcPr>
          <w:p w14:paraId="4B958AC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0.939</w:t>
            </w:r>
          </w:p>
        </w:tc>
        <w:tc>
          <w:tcPr>
            <w:tcW w:w="1010" w:type="dxa"/>
            <w:noWrap w:val="0"/>
            <w:vAlign w:val="center"/>
          </w:tcPr>
          <w:p w14:paraId="3C74E4D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36" w:type="dxa"/>
            <w:noWrap w:val="0"/>
            <w:vAlign w:val="center"/>
          </w:tcPr>
          <w:p w14:paraId="0515378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0.939</w:t>
            </w:r>
          </w:p>
        </w:tc>
        <w:tc>
          <w:tcPr>
            <w:tcW w:w="1272" w:type="dxa"/>
            <w:noWrap w:val="0"/>
            <w:vAlign w:val="center"/>
          </w:tcPr>
          <w:p w14:paraId="5BAB9F4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+0.939</w:t>
            </w:r>
          </w:p>
        </w:tc>
      </w:tr>
      <w:tr w14:paraId="08845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560" w:type="dxa"/>
            <w:vMerge w:val="continue"/>
            <w:noWrap w:val="0"/>
            <w:vAlign w:val="center"/>
          </w:tcPr>
          <w:p w14:paraId="73BA3FBD">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0DBA8B0F">
            <w:pPr>
              <w:widowControl w:val="0"/>
              <w:spacing w:line="240" w:lineRule="auto"/>
              <w:ind w:firstLine="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VOC</w:t>
            </w:r>
            <w:r>
              <w:rPr>
                <w:rFonts w:ascii="Times New Roman" w:hAnsi="Times New Roman" w:eastAsia="宋体" w:cs="Times New Roman"/>
                <w:sz w:val="21"/>
                <w:szCs w:val="21"/>
                <w:vertAlign w:val="subscript"/>
                <w:lang w:val="en-US" w:eastAsia="zh-CN"/>
              </w:rPr>
              <w:t>s</w:t>
            </w:r>
          </w:p>
        </w:tc>
        <w:tc>
          <w:tcPr>
            <w:tcW w:w="1161" w:type="dxa"/>
            <w:noWrap w:val="0"/>
            <w:vAlign w:val="center"/>
          </w:tcPr>
          <w:p w14:paraId="3002F11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178" w:type="dxa"/>
            <w:noWrap w:val="0"/>
            <w:vAlign w:val="center"/>
          </w:tcPr>
          <w:p w14:paraId="2A83713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2.8</w:t>
            </w:r>
          </w:p>
        </w:tc>
        <w:tc>
          <w:tcPr>
            <w:tcW w:w="1011" w:type="dxa"/>
            <w:noWrap w:val="0"/>
            <w:vAlign w:val="center"/>
          </w:tcPr>
          <w:p w14:paraId="289AB3C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0.28</w:t>
            </w:r>
          </w:p>
        </w:tc>
        <w:tc>
          <w:tcPr>
            <w:tcW w:w="1010" w:type="dxa"/>
            <w:noWrap w:val="0"/>
            <w:vAlign w:val="center"/>
          </w:tcPr>
          <w:p w14:paraId="0085631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36" w:type="dxa"/>
            <w:noWrap w:val="0"/>
            <w:vAlign w:val="center"/>
          </w:tcPr>
          <w:p w14:paraId="00DACB9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0.28</w:t>
            </w:r>
          </w:p>
        </w:tc>
        <w:tc>
          <w:tcPr>
            <w:tcW w:w="1272" w:type="dxa"/>
            <w:noWrap w:val="0"/>
            <w:vAlign w:val="center"/>
          </w:tcPr>
          <w:p w14:paraId="5C41ACD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+0.28</w:t>
            </w:r>
          </w:p>
        </w:tc>
      </w:tr>
      <w:tr w14:paraId="32F4D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0" w:type="dxa"/>
            <w:vMerge w:val="continue"/>
            <w:noWrap w:val="0"/>
            <w:vAlign w:val="center"/>
          </w:tcPr>
          <w:p w14:paraId="7A932CD0">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2D42E28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恶臭</w:t>
            </w:r>
          </w:p>
        </w:tc>
        <w:tc>
          <w:tcPr>
            <w:tcW w:w="1161" w:type="dxa"/>
            <w:noWrap w:val="0"/>
            <w:vAlign w:val="center"/>
          </w:tcPr>
          <w:p w14:paraId="4294843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178" w:type="dxa"/>
            <w:noWrap w:val="0"/>
            <w:vAlign w:val="center"/>
          </w:tcPr>
          <w:p w14:paraId="0A0F0D5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11" w:type="dxa"/>
            <w:noWrap w:val="0"/>
            <w:vAlign w:val="center"/>
          </w:tcPr>
          <w:p w14:paraId="6C49AB0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10" w:type="dxa"/>
            <w:noWrap w:val="0"/>
            <w:vAlign w:val="center"/>
          </w:tcPr>
          <w:p w14:paraId="1B982E0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36" w:type="dxa"/>
            <w:noWrap w:val="0"/>
            <w:vAlign w:val="center"/>
          </w:tcPr>
          <w:p w14:paraId="4EECF3C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272" w:type="dxa"/>
            <w:noWrap w:val="0"/>
            <w:vAlign w:val="center"/>
          </w:tcPr>
          <w:p w14:paraId="634A0A72">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增加</w:t>
            </w:r>
          </w:p>
        </w:tc>
      </w:tr>
      <w:tr w14:paraId="59B44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0" w:type="dxa"/>
            <w:vMerge w:val="continue"/>
            <w:noWrap w:val="0"/>
            <w:vAlign w:val="center"/>
          </w:tcPr>
          <w:p w14:paraId="71F76C63">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66321A5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汽车尾气</w:t>
            </w:r>
          </w:p>
        </w:tc>
        <w:tc>
          <w:tcPr>
            <w:tcW w:w="1161" w:type="dxa"/>
            <w:noWrap w:val="0"/>
            <w:vAlign w:val="center"/>
          </w:tcPr>
          <w:p w14:paraId="20ACEF0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178" w:type="dxa"/>
            <w:noWrap w:val="0"/>
            <w:vAlign w:val="center"/>
          </w:tcPr>
          <w:p w14:paraId="43BD8CF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11" w:type="dxa"/>
            <w:noWrap w:val="0"/>
            <w:vAlign w:val="center"/>
          </w:tcPr>
          <w:p w14:paraId="32005A4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10" w:type="dxa"/>
            <w:noWrap w:val="0"/>
            <w:vAlign w:val="center"/>
          </w:tcPr>
          <w:p w14:paraId="64394A40">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36" w:type="dxa"/>
            <w:noWrap w:val="0"/>
            <w:vAlign w:val="center"/>
          </w:tcPr>
          <w:p w14:paraId="65ADB9B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272" w:type="dxa"/>
            <w:noWrap w:val="0"/>
            <w:vAlign w:val="center"/>
          </w:tcPr>
          <w:p w14:paraId="5CC4976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增加</w:t>
            </w:r>
          </w:p>
        </w:tc>
      </w:tr>
      <w:tr w14:paraId="2C68D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0" w:type="dxa"/>
            <w:vMerge w:val="continue"/>
            <w:noWrap w:val="0"/>
            <w:vAlign w:val="center"/>
          </w:tcPr>
          <w:p w14:paraId="1B43FC19">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5E451E99">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柴油发电机燃油废气</w:t>
            </w:r>
          </w:p>
        </w:tc>
        <w:tc>
          <w:tcPr>
            <w:tcW w:w="1161" w:type="dxa"/>
            <w:noWrap w:val="0"/>
            <w:vAlign w:val="center"/>
          </w:tcPr>
          <w:p w14:paraId="0169B48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178" w:type="dxa"/>
            <w:noWrap w:val="0"/>
            <w:vAlign w:val="center"/>
          </w:tcPr>
          <w:p w14:paraId="1B97397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11" w:type="dxa"/>
            <w:noWrap w:val="0"/>
            <w:vAlign w:val="center"/>
          </w:tcPr>
          <w:p w14:paraId="6C553769">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10" w:type="dxa"/>
            <w:noWrap w:val="0"/>
            <w:vAlign w:val="center"/>
          </w:tcPr>
          <w:p w14:paraId="77392742">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036" w:type="dxa"/>
            <w:noWrap w:val="0"/>
            <w:vAlign w:val="center"/>
          </w:tcPr>
          <w:p w14:paraId="43D74A3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少量</w:t>
            </w:r>
          </w:p>
        </w:tc>
        <w:tc>
          <w:tcPr>
            <w:tcW w:w="1272" w:type="dxa"/>
            <w:noWrap w:val="0"/>
            <w:vAlign w:val="center"/>
          </w:tcPr>
          <w:p w14:paraId="4CC4E75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不变</w:t>
            </w:r>
          </w:p>
        </w:tc>
      </w:tr>
      <w:tr w14:paraId="291CB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0" w:type="dxa"/>
            <w:vMerge w:val="continue"/>
            <w:noWrap w:val="0"/>
            <w:vAlign w:val="center"/>
          </w:tcPr>
          <w:p w14:paraId="35CFF8B1">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28F0D93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食堂油烟</w:t>
            </w:r>
          </w:p>
        </w:tc>
        <w:tc>
          <w:tcPr>
            <w:tcW w:w="1161" w:type="dxa"/>
            <w:noWrap w:val="0"/>
            <w:vAlign w:val="center"/>
          </w:tcPr>
          <w:p w14:paraId="59B7E52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w:t>
            </w:r>
          </w:p>
        </w:tc>
        <w:tc>
          <w:tcPr>
            <w:tcW w:w="1178" w:type="dxa"/>
            <w:noWrap w:val="0"/>
            <w:vAlign w:val="center"/>
          </w:tcPr>
          <w:p w14:paraId="119D9F19">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0.0225</w:t>
            </w:r>
          </w:p>
        </w:tc>
        <w:tc>
          <w:tcPr>
            <w:tcW w:w="1011" w:type="dxa"/>
            <w:noWrap w:val="0"/>
            <w:vAlign w:val="center"/>
          </w:tcPr>
          <w:p w14:paraId="4E226C8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0.009</w:t>
            </w:r>
          </w:p>
        </w:tc>
        <w:tc>
          <w:tcPr>
            <w:tcW w:w="1010" w:type="dxa"/>
            <w:noWrap w:val="0"/>
            <w:vAlign w:val="center"/>
          </w:tcPr>
          <w:p w14:paraId="6B16738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w:t>
            </w:r>
          </w:p>
        </w:tc>
        <w:tc>
          <w:tcPr>
            <w:tcW w:w="1036" w:type="dxa"/>
            <w:noWrap w:val="0"/>
            <w:vAlign w:val="center"/>
          </w:tcPr>
          <w:p w14:paraId="1F2D686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0.009</w:t>
            </w:r>
          </w:p>
        </w:tc>
        <w:tc>
          <w:tcPr>
            <w:tcW w:w="1272" w:type="dxa"/>
            <w:noWrap w:val="0"/>
            <w:vAlign w:val="center"/>
          </w:tcPr>
          <w:p w14:paraId="64E2696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减少</w:t>
            </w:r>
          </w:p>
        </w:tc>
      </w:tr>
      <w:tr w14:paraId="5559A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560" w:type="dxa"/>
            <w:vMerge w:val="restart"/>
            <w:noWrap w:val="0"/>
            <w:vAlign w:val="center"/>
          </w:tcPr>
          <w:p w14:paraId="385E003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废水</w:t>
            </w:r>
          </w:p>
        </w:tc>
        <w:tc>
          <w:tcPr>
            <w:tcW w:w="1208" w:type="dxa"/>
            <w:noWrap w:val="0"/>
            <w:vAlign w:val="center"/>
          </w:tcPr>
          <w:p w14:paraId="0F6C43F0">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废水量</w:t>
            </w:r>
          </w:p>
        </w:tc>
        <w:tc>
          <w:tcPr>
            <w:tcW w:w="1161" w:type="dxa"/>
            <w:noWrap w:val="0"/>
            <w:vAlign w:val="center"/>
          </w:tcPr>
          <w:p w14:paraId="4B5A33E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5760</w:t>
            </w:r>
          </w:p>
        </w:tc>
        <w:tc>
          <w:tcPr>
            <w:tcW w:w="1178" w:type="dxa"/>
            <w:noWrap w:val="0"/>
            <w:vAlign w:val="center"/>
          </w:tcPr>
          <w:p w14:paraId="19D2C17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6240</w:t>
            </w:r>
          </w:p>
        </w:tc>
        <w:tc>
          <w:tcPr>
            <w:tcW w:w="1011" w:type="dxa"/>
            <w:noWrap w:val="0"/>
            <w:vAlign w:val="center"/>
          </w:tcPr>
          <w:p w14:paraId="37A929E2">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6240</w:t>
            </w:r>
          </w:p>
        </w:tc>
        <w:tc>
          <w:tcPr>
            <w:tcW w:w="1010" w:type="dxa"/>
            <w:noWrap w:val="0"/>
            <w:vAlign w:val="center"/>
          </w:tcPr>
          <w:p w14:paraId="0CFDE88D">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5760</w:t>
            </w:r>
          </w:p>
        </w:tc>
        <w:tc>
          <w:tcPr>
            <w:tcW w:w="1036" w:type="dxa"/>
            <w:noWrap w:val="0"/>
            <w:vAlign w:val="center"/>
          </w:tcPr>
          <w:p w14:paraId="63A4433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6240</w:t>
            </w:r>
          </w:p>
        </w:tc>
        <w:tc>
          <w:tcPr>
            <w:tcW w:w="1272" w:type="dxa"/>
            <w:noWrap w:val="0"/>
            <w:vAlign w:val="center"/>
          </w:tcPr>
          <w:p w14:paraId="290766E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+480</w:t>
            </w:r>
          </w:p>
        </w:tc>
      </w:tr>
      <w:tr w14:paraId="52B2D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560" w:type="dxa"/>
            <w:vMerge w:val="continue"/>
            <w:noWrap w:val="0"/>
            <w:vAlign w:val="center"/>
          </w:tcPr>
          <w:p w14:paraId="34B0EDD5">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0B345E7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CODcr</w:t>
            </w:r>
          </w:p>
        </w:tc>
        <w:tc>
          <w:tcPr>
            <w:tcW w:w="1161" w:type="dxa"/>
            <w:noWrap w:val="0"/>
            <w:vAlign w:val="center"/>
          </w:tcPr>
          <w:p w14:paraId="0A874ED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1.15</w:t>
            </w:r>
          </w:p>
        </w:tc>
        <w:tc>
          <w:tcPr>
            <w:tcW w:w="1178" w:type="dxa"/>
            <w:noWrap w:val="0"/>
            <w:vAlign w:val="center"/>
          </w:tcPr>
          <w:p w14:paraId="3E8F3F5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1.75</w:t>
            </w:r>
          </w:p>
        </w:tc>
        <w:tc>
          <w:tcPr>
            <w:tcW w:w="1011" w:type="dxa"/>
            <w:noWrap w:val="0"/>
            <w:vAlign w:val="center"/>
          </w:tcPr>
          <w:p w14:paraId="487DEA3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1.25</w:t>
            </w:r>
          </w:p>
        </w:tc>
        <w:tc>
          <w:tcPr>
            <w:tcW w:w="1010" w:type="dxa"/>
            <w:noWrap w:val="0"/>
            <w:vAlign w:val="center"/>
          </w:tcPr>
          <w:p w14:paraId="4B904949">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1.15</w:t>
            </w:r>
          </w:p>
        </w:tc>
        <w:tc>
          <w:tcPr>
            <w:tcW w:w="1036" w:type="dxa"/>
            <w:noWrap w:val="0"/>
            <w:vAlign w:val="center"/>
          </w:tcPr>
          <w:p w14:paraId="1070842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1.25</w:t>
            </w:r>
          </w:p>
        </w:tc>
        <w:tc>
          <w:tcPr>
            <w:tcW w:w="1272" w:type="dxa"/>
            <w:noWrap w:val="0"/>
            <w:vAlign w:val="center"/>
          </w:tcPr>
          <w:p w14:paraId="1A76B66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+0.1</w:t>
            </w:r>
          </w:p>
        </w:tc>
      </w:tr>
      <w:tr w14:paraId="49F35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0" w:type="dxa"/>
            <w:vMerge w:val="continue"/>
            <w:noWrap w:val="0"/>
            <w:vAlign w:val="center"/>
          </w:tcPr>
          <w:p w14:paraId="1D6183D4">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49B0FFEB">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NH</w:t>
            </w:r>
            <w:r>
              <w:rPr>
                <w:rFonts w:ascii="Times New Roman" w:hAnsi="Times New Roman" w:eastAsia="宋体" w:cs="Times New Roman"/>
                <w:color w:val="000000"/>
                <w:sz w:val="21"/>
                <w:szCs w:val="21"/>
                <w:vertAlign w:val="subscript"/>
                <w:lang w:val="en-US" w:eastAsia="zh-CN"/>
              </w:rPr>
              <w:t>3</w:t>
            </w:r>
            <w:r>
              <w:rPr>
                <w:rFonts w:ascii="Times New Roman" w:hAnsi="Times New Roman" w:eastAsia="宋体" w:cs="Times New Roman"/>
                <w:color w:val="000000"/>
                <w:sz w:val="21"/>
                <w:szCs w:val="21"/>
                <w:lang w:val="en-US" w:eastAsia="zh-CN"/>
              </w:rPr>
              <w:t>-N</w:t>
            </w:r>
          </w:p>
        </w:tc>
        <w:tc>
          <w:tcPr>
            <w:tcW w:w="1161" w:type="dxa"/>
            <w:noWrap w:val="0"/>
            <w:vAlign w:val="center"/>
          </w:tcPr>
          <w:p w14:paraId="1750744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0.12</w:t>
            </w:r>
          </w:p>
        </w:tc>
        <w:tc>
          <w:tcPr>
            <w:tcW w:w="1178" w:type="dxa"/>
            <w:noWrap w:val="0"/>
            <w:vAlign w:val="center"/>
          </w:tcPr>
          <w:p w14:paraId="0A0E55A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0.28</w:t>
            </w:r>
          </w:p>
        </w:tc>
        <w:tc>
          <w:tcPr>
            <w:tcW w:w="1011" w:type="dxa"/>
            <w:noWrap w:val="0"/>
            <w:vAlign w:val="center"/>
          </w:tcPr>
          <w:p w14:paraId="78A2EB77">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0.125</w:t>
            </w:r>
          </w:p>
        </w:tc>
        <w:tc>
          <w:tcPr>
            <w:tcW w:w="1010" w:type="dxa"/>
            <w:noWrap w:val="0"/>
            <w:vAlign w:val="center"/>
          </w:tcPr>
          <w:p w14:paraId="2345F20C">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0.12</w:t>
            </w:r>
          </w:p>
        </w:tc>
        <w:tc>
          <w:tcPr>
            <w:tcW w:w="1036" w:type="dxa"/>
            <w:noWrap w:val="0"/>
            <w:vAlign w:val="center"/>
          </w:tcPr>
          <w:p w14:paraId="7DC845E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0.125</w:t>
            </w:r>
          </w:p>
        </w:tc>
        <w:tc>
          <w:tcPr>
            <w:tcW w:w="1272" w:type="dxa"/>
            <w:noWrap w:val="0"/>
            <w:vAlign w:val="center"/>
          </w:tcPr>
          <w:p w14:paraId="173456AA">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+0.005</w:t>
            </w:r>
          </w:p>
        </w:tc>
      </w:tr>
      <w:tr w14:paraId="40806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0" w:type="dxa"/>
            <w:vMerge w:val="restart"/>
            <w:noWrap w:val="0"/>
            <w:vAlign w:val="center"/>
          </w:tcPr>
          <w:p w14:paraId="389F0E2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固体废物</w:t>
            </w:r>
          </w:p>
        </w:tc>
        <w:tc>
          <w:tcPr>
            <w:tcW w:w="1208" w:type="dxa"/>
            <w:noWrap w:val="0"/>
            <w:vAlign w:val="center"/>
          </w:tcPr>
          <w:p w14:paraId="1D48C64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生产固废</w:t>
            </w:r>
          </w:p>
        </w:tc>
        <w:tc>
          <w:tcPr>
            <w:tcW w:w="1161" w:type="dxa"/>
            <w:noWrap w:val="0"/>
            <w:vAlign w:val="center"/>
          </w:tcPr>
          <w:p w14:paraId="5046ECC1">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178" w:type="dxa"/>
            <w:noWrap w:val="0"/>
            <w:vAlign w:val="center"/>
          </w:tcPr>
          <w:p w14:paraId="4DD6C756">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13404.683</w:t>
            </w:r>
          </w:p>
        </w:tc>
        <w:tc>
          <w:tcPr>
            <w:tcW w:w="1011" w:type="dxa"/>
            <w:noWrap w:val="0"/>
            <w:vAlign w:val="center"/>
          </w:tcPr>
          <w:p w14:paraId="3D9B45E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10" w:type="dxa"/>
            <w:noWrap w:val="0"/>
            <w:vAlign w:val="center"/>
          </w:tcPr>
          <w:p w14:paraId="417FF6A5">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36" w:type="dxa"/>
            <w:noWrap w:val="0"/>
            <w:vAlign w:val="center"/>
          </w:tcPr>
          <w:p w14:paraId="2BC3CF60">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272" w:type="dxa"/>
            <w:noWrap w:val="0"/>
            <w:vAlign w:val="center"/>
          </w:tcPr>
          <w:p w14:paraId="73920B2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r>
      <w:tr w14:paraId="52A01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0" w:type="dxa"/>
            <w:vMerge w:val="continue"/>
            <w:noWrap w:val="0"/>
            <w:vAlign w:val="center"/>
          </w:tcPr>
          <w:p w14:paraId="1048E69A">
            <w:pPr>
              <w:widowControl w:val="0"/>
              <w:spacing w:line="240" w:lineRule="auto"/>
              <w:ind w:firstLine="0"/>
              <w:jc w:val="center"/>
              <w:rPr>
                <w:rFonts w:ascii="Times New Roman" w:hAnsi="Times New Roman" w:eastAsia="宋体" w:cs="Times New Roman"/>
                <w:color w:val="000000"/>
                <w:sz w:val="21"/>
                <w:szCs w:val="21"/>
                <w:lang w:val="en-US" w:eastAsia="zh-CN"/>
              </w:rPr>
            </w:pPr>
          </w:p>
        </w:tc>
        <w:tc>
          <w:tcPr>
            <w:tcW w:w="1208" w:type="dxa"/>
            <w:noWrap w:val="0"/>
            <w:vAlign w:val="center"/>
          </w:tcPr>
          <w:p w14:paraId="48340BA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生活垃圾</w:t>
            </w:r>
          </w:p>
        </w:tc>
        <w:tc>
          <w:tcPr>
            <w:tcW w:w="1161" w:type="dxa"/>
            <w:noWrap w:val="0"/>
            <w:vAlign w:val="center"/>
          </w:tcPr>
          <w:p w14:paraId="181AAF9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178" w:type="dxa"/>
            <w:noWrap w:val="0"/>
            <w:vAlign w:val="center"/>
          </w:tcPr>
          <w:p w14:paraId="269369A8">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24</w:t>
            </w:r>
          </w:p>
        </w:tc>
        <w:tc>
          <w:tcPr>
            <w:tcW w:w="1011" w:type="dxa"/>
            <w:noWrap w:val="0"/>
            <w:vAlign w:val="center"/>
          </w:tcPr>
          <w:p w14:paraId="1ED6177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10" w:type="dxa"/>
            <w:noWrap w:val="0"/>
            <w:vAlign w:val="center"/>
          </w:tcPr>
          <w:p w14:paraId="03F2E123">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036" w:type="dxa"/>
            <w:noWrap w:val="0"/>
            <w:vAlign w:val="center"/>
          </w:tcPr>
          <w:p w14:paraId="7AE1567F">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c>
          <w:tcPr>
            <w:tcW w:w="1272" w:type="dxa"/>
            <w:noWrap w:val="0"/>
            <w:vAlign w:val="center"/>
          </w:tcPr>
          <w:p w14:paraId="6CA2CF04">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lang w:val="en-US" w:eastAsia="zh-CN"/>
              </w:rPr>
              <w:t>0</w:t>
            </w:r>
          </w:p>
        </w:tc>
      </w:tr>
    </w:tbl>
    <w:p w14:paraId="62E77330">
      <w:pPr>
        <w:pStyle w:val="2"/>
        <w:rPr>
          <w:rFonts w:hint="eastAsia"/>
          <w:color w:val="000000"/>
        </w:rPr>
      </w:pPr>
    </w:p>
    <w:bookmarkEnd w:id="115"/>
    <w:p w14:paraId="0C44D46E">
      <w:pPr>
        <w:pStyle w:val="2"/>
        <w:ind w:firstLine="0"/>
        <w:rPr>
          <w:rFonts w:hint="eastAsia" w:ascii="Times New Roman" w:hAnsi="Times New Roman" w:cs="Times New Roman"/>
          <w:b/>
          <w:sz w:val="24"/>
          <w:szCs w:val="24"/>
        </w:rPr>
        <w:sectPr>
          <w:pgSz w:w="11910" w:h="16840" w:orient="landscape"/>
          <w:pgMar w:top="1440" w:right="1800" w:bottom="1440" w:left="1800" w:header="720" w:footer="720" w:gutter="0"/>
          <w:pgNumType w:start="1"/>
          <w:cols w:space="1701" w:num="1"/>
        </w:sectPr>
      </w:pPr>
    </w:p>
    <w:bookmarkEnd w:id="116"/>
    <w:p w14:paraId="7CA6A697">
      <w:pPr>
        <w:pStyle w:val="186"/>
        <w:numPr>
          <w:ilvl w:val="0"/>
          <w:numId w:val="3"/>
        </w:numPr>
        <w:ind w:firstLine="640"/>
        <w:rPr>
          <w:rFonts w:hint="eastAsia"/>
          <w:bCs/>
          <w:lang w:val="en-US" w:eastAsia="zh-CN"/>
        </w:rPr>
      </w:pPr>
      <w:bookmarkStart w:id="117" w:name="_Toc336286043"/>
      <w:bookmarkStart w:id="118" w:name="_Toc418954605"/>
      <w:bookmarkStart w:id="119" w:name="_Toc246137278"/>
      <w:bookmarkStart w:id="120" w:name="_Toc167703772"/>
      <w:r>
        <w:rPr>
          <w:rFonts w:hint="eastAsia"/>
          <w:bCs/>
          <w:lang w:val="en-US" w:eastAsia="zh-CN"/>
        </w:rPr>
        <w:t xml:space="preserve"> </w:t>
      </w:r>
      <w:bookmarkEnd w:id="117"/>
      <w:bookmarkEnd w:id="118"/>
      <w:bookmarkStart w:id="121" w:name="_Toc167702564"/>
      <w:bookmarkStart w:id="122" w:name="_Toc167703771"/>
      <w:bookmarkStart w:id="123" w:name="_Toc10454"/>
      <w:r>
        <w:rPr>
          <w:rFonts w:hint="eastAsia"/>
          <w:bCs/>
          <w:lang w:val="en-US" w:eastAsia="zh-CN"/>
        </w:rPr>
        <w:t>环境现状调查与评价</w:t>
      </w:r>
      <w:bookmarkEnd w:id="119"/>
    </w:p>
    <w:p w14:paraId="497646E1">
      <w:pPr>
        <w:pStyle w:val="187"/>
        <w:rPr>
          <w:rFonts w:ascii="Times New Roman" w:hAnsi="Times New Roman"/>
        </w:rPr>
      </w:pPr>
      <w:bookmarkStart w:id="124" w:name="_Toc286776415"/>
      <w:bookmarkStart w:id="125" w:name="_Toc286775612"/>
      <w:bookmarkStart w:id="126" w:name="_Toc418954606"/>
      <w:bookmarkStart w:id="127" w:name="_Toc336286044"/>
      <w:bookmarkStart w:id="128" w:name="_Toc15363"/>
      <w:bookmarkStart w:id="129" w:name="_Toc275000986"/>
      <w:r>
        <w:rPr>
          <w:rFonts w:hint="eastAsia" w:ascii="Times New Roman" w:hAnsi="Times New Roman"/>
          <w:lang w:val="en-US" w:eastAsia="zh-CN"/>
        </w:rPr>
        <w:t>5</w:t>
      </w:r>
      <w:r>
        <w:rPr>
          <w:rFonts w:hint="eastAsia" w:ascii="Times New Roman" w:hAnsi="Times New Roman"/>
        </w:rPr>
        <w:t>.1 自然环境概况</w:t>
      </w:r>
      <w:bookmarkEnd w:id="120"/>
      <w:bookmarkEnd w:id="121"/>
      <w:bookmarkEnd w:id="122"/>
      <w:bookmarkEnd w:id="123"/>
      <w:bookmarkEnd w:id="124"/>
      <w:bookmarkEnd w:id="125"/>
      <w:bookmarkEnd w:id="126"/>
      <w:bookmarkEnd w:id="127"/>
    </w:p>
    <w:p w14:paraId="087059EF">
      <w:pPr>
        <w:pStyle w:val="188"/>
      </w:pPr>
      <w:r>
        <w:rPr>
          <w:rFonts w:hint="eastAsia"/>
          <w:lang w:val="en-US" w:eastAsia="zh-CN"/>
        </w:rPr>
        <w:t>5</w:t>
      </w:r>
      <w:r>
        <w:t xml:space="preserve">.1.1 </w:t>
      </w:r>
      <w:r>
        <w:rPr>
          <w:rFonts w:hint="eastAsia"/>
        </w:rPr>
        <w:t>地理</w:t>
      </w:r>
      <w:r>
        <w:t>位置</w:t>
      </w:r>
    </w:p>
    <w:p w14:paraId="34B2A1F8">
      <w:pPr>
        <w:ind w:firstLine="480"/>
        <w:rPr>
          <w:szCs w:val="22"/>
        </w:rPr>
      </w:pPr>
      <w:r>
        <w:t>芒市位于我国西南部</w:t>
      </w:r>
      <w:r>
        <w:rPr>
          <w:rFonts w:hint="eastAsia"/>
        </w:rPr>
        <w:t>，</w:t>
      </w:r>
      <w:r>
        <w:t>位于北纬 24°05′～24°39′，东经 98°01′～98°44′之间。古为"滇越乘象国"地，是中国历史上较早通向世界的门户之一，是古代著名"南方丝绸之路"的重要驿站，素有"滇西边陲第一镇"之称，是德宏州政治、经济、文化中心和交通、通信枢纽，是中国通向东南亚、南亚的重要门户。芒市国土总面积2987平方公里（其中山区占74%，坝区占26%），东西距71公里、南北距62公里，城市建成区面积18.6</w:t>
      </w:r>
      <w:r>
        <w:rPr>
          <w:szCs w:val="22"/>
        </w:rPr>
        <w:t>6平方公里。</w:t>
      </w:r>
    </w:p>
    <w:p w14:paraId="5672416D">
      <w:pPr>
        <w:ind w:firstLine="480"/>
        <w:rPr>
          <w:color w:val="000000"/>
          <w:szCs w:val="24"/>
        </w:rPr>
      </w:pPr>
      <w:r>
        <w:rPr>
          <w:color w:val="000000"/>
          <w:szCs w:val="24"/>
        </w:rPr>
        <w:t>项目位于</w:t>
      </w:r>
      <w:r>
        <w:rPr>
          <w:rFonts w:hint="eastAsia"/>
          <w:bCs/>
          <w:spacing w:val="4"/>
          <w:szCs w:val="24"/>
        </w:rPr>
        <w:t>德宏州芒市镇大湾村委会街坡村民小组（奥环水泥厂西面）</w:t>
      </w:r>
      <w:r>
        <w:rPr>
          <w:rFonts w:hint="eastAsia"/>
          <w:color w:val="000000"/>
          <w:szCs w:val="24"/>
        </w:rPr>
        <w:t>，位于芒市城区边缘，</w:t>
      </w:r>
      <w:r>
        <w:rPr>
          <w:color w:val="000000"/>
          <w:szCs w:val="24"/>
        </w:rPr>
        <w:t>项目</w:t>
      </w:r>
      <w:r>
        <w:rPr>
          <w:rFonts w:hint="eastAsia" w:eastAsia="宋体"/>
          <w:color w:val="000000"/>
          <w:szCs w:val="24"/>
          <w:lang w:val="en-US" w:eastAsia="zh-CN"/>
        </w:rPr>
        <w:t>南</w:t>
      </w:r>
      <w:r>
        <w:rPr>
          <w:rFonts w:hint="eastAsia"/>
          <w:color w:val="000000"/>
          <w:szCs w:val="24"/>
        </w:rPr>
        <w:t>侧</w:t>
      </w:r>
      <w:r>
        <w:rPr>
          <w:color w:val="000000"/>
          <w:szCs w:val="24"/>
        </w:rPr>
        <w:t>有一条简易道路</w:t>
      </w:r>
      <w:r>
        <w:rPr>
          <w:rFonts w:hint="eastAsia"/>
          <w:color w:val="000000"/>
          <w:szCs w:val="24"/>
        </w:rPr>
        <w:t>与G320国道连接</w:t>
      </w:r>
      <w:r>
        <w:rPr>
          <w:color w:val="000000"/>
          <w:szCs w:val="24"/>
        </w:rPr>
        <w:t>，</w:t>
      </w:r>
      <w:r>
        <w:rPr>
          <w:rFonts w:hint="eastAsia" w:eastAsia="宋体"/>
          <w:color w:val="000000"/>
          <w:szCs w:val="24"/>
          <w:lang w:val="en-US" w:eastAsia="zh-CN"/>
        </w:rPr>
        <w:t>北侧</w:t>
      </w:r>
      <w:r>
        <w:rPr>
          <w:rFonts w:hint="eastAsia"/>
          <w:color w:val="000000"/>
          <w:szCs w:val="24"/>
        </w:rPr>
        <w:t>为缓坡山林隔山林为土瓦庄园及精诚汽修；东侧为山林，隔山林约</w:t>
      </w:r>
      <w:r>
        <w:rPr>
          <w:rFonts w:hint="eastAsia" w:eastAsia="宋体"/>
          <w:color w:val="000000"/>
          <w:szCs w:val="24"/>
          <w:lang w:val="en-US" w:eastAsia="zh-CN"/>
        </w:rPr>
        <w:t>9</w:t>
      </w:r>
      <w:r>
        <w:rPr>
          <w:rFonts w:hint="eastAsia"/>
          <w:color w:val="000000"/>
          <w:szCs w:val="24"/>
        </w:rPr>
        <w:t>0m处为广允交通液化气站仓库</w:t>
      </w:r>
      <w:r>
        <w:rPr>
          <w:rFonts w:hint="eastAsia" w:eastAsia="宋体"/>
          <w:color w:val="000000"/>
          <w:szCs w:val="24"/>
          <w:lang w:eastAsia="zh-CN"/>
        </w:rPr>
        <w:t>；</w:t>
      </w:r>
      <w:r>
        <w:rPr>
          <w:rFonts w:hint="eastAsia" w:eastAsia="宋体"/>
          <w:color w:val="000000"/>
          <w:szCs w:val="24"/>
          <w:lang w:val="en-US" w:eastAsia="zh-CN"/>
        </w:rPr>
        <w:t>项目南侧、西侧为双红新村；项目东北侧70m处为中东灰窑新村</w:t>
      </w:r>
      <w:r>
        <w:rPr>
          <w:rFonts w:hint="eastAsia"/>
          <w:color w:val="000000"/>
          <w:szCs w:val="24"/>
        </w:rPr>
        <w:t>。</w:t>
      </w:r>
      <w:r>
        <w:rPr>
          <w:color w:val="000000"/>
          <w:szCs w:val="24"/>
        </w:rPr>
        <w:t>（详见附图3项目</w:t>
      </w:r>
      <w:r>
        <w:rPr>
          <w:rFonts w:hint="eastAsia"/>
          <w:color w:val="000000"/>
          <w:szCs w:val="24"/>
        </w:rPr>
        <w:t>区</w:t>
      </w:r>
      <w:r>
        <w:rPr>
          <w:color w:val="000000"/>
          <w:szCs w:val="24"/>
        </w:rPr>
        <w:t>周边环境关系图）</w:t>
      </w:r>
    </w:p>
    <w:p w14:paraId="02406F21">
      <w:pPr>
        <w:pStyle w:val="188"/>
      </w:pPr>
      <w:r>
        <w:rPr>
          <w:rFonts w:hint="eastAsia"/>
          <w:lang w:val="en-US" w:eastAsia="zh-CN"/>
        </w:rPr>
        <w:t>5</w:t>
      </w:r>
      <w:r>
        <w:t>.1.2</w:t>
      </w:r>
      <w:r>
        <w:rPr>
          <w:rFonts w:hint="eastAsia"/>
        </w:rPr>
        <w:t xml:space="preserve"> 地形</w:t>
      </w:r>
      <w:r>
        <w:t>地貌</w:t>
      </w:r>
    </w:p>
    <w:p w14:paraId="62A15724">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芒市处于云贵高原西部，横断山脉的南延部分，高黎贡山南段西侧，山脉、 </w:t>
      </w:r>
    </w:p>
    <w:p w14:paraId="77839602">
      <w:pPr>
        <w:keepNext w:val="0"/>
        <w:keepLines w:val="0"/>
        <w:widowControl/>
        <w:suppressLineNumbers w:val="0"/>
        <w:ind w:left="0" w:firstLine="0"/>
        <w:jc w:val="left"/>
      </w:pPr>
      <w:r>
        <w:rPr>
          <w:rFonts w:hint="eastAsia" w:ascii="宋体" w:hAnsi="宋体" w:eastAsia="宋体" w:cs="宋体"/>
          <w:color w:val="000000"/>
          <w:sz w:val="24"/>
          <w:szCs w:val="24"/>
          <w:lang w:val="en-US" w:eastAsia="zh-CN" w:bidi="ar"/>
        </w:rPr>
        <w:t xml:space="preserve">河流呈北东、南西向延伸；地势北东高、南西低，坝区海拔一般在 </w:t>
      </w:r>
      <w:r>
        <w:rPr>
          <w:rFonts w:ascii="Times New Roman" w:hAnsi="Times New Roman" w:eastAsia="宋体" w:cs="Times New Roman"/>
          <w:color w:val="000000"/>
          <w:sz w:val="24"/>
          <w:szCs w:val="24"/>
          <w:lang w:val="en-US" w:eastAsia="zh-CN" w:bidi="ar"/>
        </w:rPr>
        <w:t>760.0</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947.0m </w:t>
      </w:r>
      <w:r>
        <w:rPr>
          <w:rFonts w:hint="eastAsia" w:ascii="宋体" w:hAnsi="宋体" w:eastAsia="宋体" w:cs="宋体"/>
          <w:color w:val="000000"/>
          <w:sz w:val="24"/>
          <w:szCs w:val="24"/>
          <w:lang w:val="en-US" w:eastAsia="zh-CN" w:bidi="ar"/>
        </w:rPr>
        <w:t xml:space="preserve">（其中潞西盆地海拔 </w:t>
      </w:r>
      <w:r>
        <w:rPr>
          <w:rFonts w:ascii="Times New Roman" w:hAnsi="Times New Roman" w:eastAsia="宋体" w:cs="Times New Roman"/>
          <w:color w:val="000000"/>
          <w:sz w:val="24"/>
          <w:szCs w:val="24"/>
          <w:lang w:val="en-US" w:eastAsia="zh-CN" w:bidi="ar"/>
        </w:rPr>
        <w:t>869</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947m</w:t>
      </w:r>
      <w:r>
        <w:rPr>
          <w:rFonts w:hint="eastAsia" w:ascii="宋体" w:hAnsi="宋体" w:eastAsia="宋体" w:cs="宋体"/>
          <w:color w:val="000000"/>
          <w:sz w:val="24"/>
          <w:szCs w:val="24"/>
          <w:lang w:val="en-US" w:eastAsia="zh-CN" w:bidi="ar"/>
        </w:rPr>
        <w:t xml:space="preserve">，遮放盆地海拔 </w:t>
      </w:r>
      <w:r>
        <w:rPr>
          <w:rFonts w:ascii="Times New Roman" w:hAnsi="Times New Roman" w:eastAsia="宋体" w:cs="Times New Roman"/>
          <w:color w:val="000000"/>
          <w:sz w:val="24"/>
          <w:szCs w:val="24"/>
          <w:lang w:val="en-US" w:eastAsia="zh-CN" w:bidi="ar"/>
        </w:rPr>
        <w:t>760</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960m</w:t>
      </w:r>
      <w:r>
        <w:rPr>
          <w:rFonts w:hint="eastAsia" w:ascii="宋体" w:hAnsi="宋体" w:eastAsia="宋体" w:cs="宋体"/>
          <w:color w:val="000000"/>
          <w:sz w:val="24"/>
          <w:szCs w:val="24"/>
          <w:lang w:val="en-US" w:eastAsia="zh-CN" w:bidi="ar"/>
        </w:rPr>
        <w:t xml:space="preserve">），山区海拔一般在 </w:t>
      </w:r>
      <w:r>
        <w:rPr>
          <w:rFonts w:ascii="Times New Roman" w:hAnsi="Times New Roman" w:eastAsia="宋体" w:cs="Times New Roman"/>
          <w:color w:val="000000"/>
          <w:sz w:val="24"/>
          <w:szCs w:val="24"/>
          <w:lang w:val="en-US" w:eastAsia="zh-CN" w:bidi="ar"/>
        </w:rPr>
        <w:t>1200.0</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2300.0m</w:t>
      </w:r>
      <w:r>
        <w:rPr>
          <w:rFonts w:hint="eastAsia" w:ascii="宋体" w:hAnsi="宋体" w:eastAsia="宋体" w:cs="宋体"/>
          <w:color w:val="000000"/>
          <w:sz w:val="24"/>
          <w:szCs w:val="24"/>
          <w:lang w:val="en-US" w:eastAsia="zh-CN" w:bidi="ar"/>
        </w:rPr>
        <w:t xml:space="preserve">，西部分水岭地带海拔一般在 </w:t>
      </w:r>
      <w:r>
        <w:rPr>
          <w:rFonts w:ascii="Times New Roman" w:hAnsi="Times New Roman" w:eastAsia="宋体" w:cs="Times New Roman"/>
          <w:color w:val="000000"/>
          <w:sz w:val="24"/>
          <w:szCs w:val="24"/>
          <w:lang w:val="en-US" w:eastAsia="zh-CN" w:bidi="ar"/>
        </w:rPr>
        <w:t>1600.0</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1700.0m</w:t>
      </w:r>
      <w:r>
        <w:rPr>
          <w:rFonts w:hint="eastAsia" w:ascii="宋体" w:hAnsi="宋体" w:eastAsia="宋体" w:cs="宋体"/>
          <w:color w:val="000000"/>
          <w:sz w:val="24"/>
          <w:szCs w:val="24"/>
          <w:lang w:val="en-US" w:eastAsia="zh-CN" w:bidi="ar"/>
        </w:rPr>
        <w:t xml:space="preserve">，东部分水岭海拔一般在 </w:t>
      </w:r>
      <w:r>
        <w:rPr>
          <w:rFonts w:ascii="Times New Roman" w:hAnsi="Times New Roman" w:eastAsia="宋体" w:cs="Times New Roman"/>
          <w:color w:val="000000"/>
          <w:sz w:val="24"/>
          <w:szCs w:val="24"/>
          <w:lang w:val="en-US" w:eastAsia="zh-CN" w:bidi="ar"/>
        </w:rPr>
        <w:t>2400</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2700m</w:t>
      </w:r>
      <w:r>
        <w:rPr>
          <w:rFonts w:hint="eastAsia" w:ascii="宋体" w:hAnsi="宋体" w:eastAsia="宋体" w:cs="宋体"/>
          <w:color w:val="000000"/>
          <w:sz w:val="24"/>
          <w:szCs w:val="24"/>
          <w:lang w:val="en-US" w:eastAsia="zh-CN" w:bidi="ar"/>
        </w:rPr>
        <w:t xml:space="preserve">，最高点位于该区南东部的尖坡山峰，海拔 </w:t>
      </w:r>
      <w:r>
        <w:rPr>
          <w:rFonts w:ascii="Times New Roman" w:hAnsi="Times New Roman" w:eastAsia="宋体" w:cs="Times New Roman"/>
          <w:color w:val="000000"/>
          <w:sz w:val="24"/>
          <w:szCs w:val="24"/>
          <w:lang w:val="en-US" w:eastAsia="zh-CN" w:bidi="ar"/>
        </w:rPr>
        <w:t>2761.00m</w:t>
      </w:r>
      <w:r>
        <w:rPr>
          <w:rFonts w:hint="eastAsia" w:ascii="宋体" w:hAnsi="宋体" w:eastAsia="宋体" w:cs="宋体"/>
          <w:color w:val="000000"/>
          <w:sz w:val="24"/>
          <w:szCs w:val="24"/>
          <w:lang w:val="en-US" w:eastAsia="zh-CN" w:bidi="ar"/>
        </w:rPr>
        <w:t>， 最低点位于南西部龙川江河谷的户焕，海拔</w:t>
      </w:r>
      <w:r>
        <w:rPr>
          <w:rFonts w:ascii="Times New Roman" w:hAnsi="Times New Roman" w:eastAsia="宋体" w:cs="Times New Roman"/>
          <w:color w:val="000000"/>
          <w:sz w:val="24"/>
          <w:szCs w:val="24"/>
          <w:lang w:val="en-US" w:eastAsia="zh-CN" w:bidi="ar"/>
        </w:rPr>
        <w:t>776.00m</w:t>
      </w:r>
      <w:r>
        <w:rPr>
          <w:rFonts w:hint="eastAsia" w:ascii="宋体" w:hAnsi="宋体" w:eastAsia="宋体" w:cs="宋体"/>
          <w:color w:val="000000"/>
          <w:sz w:val="24"/>
          <w:szCs w:val="24"/>
          <w:lang w:val="en-US" w:eastAsia="zh-CN" w:bidi="ar"/>
        </w:rPr>
        <w:t xml:space="preserve">，相对高差 </w:t>
      </w:r>
      <w:r>
        <w:rPr>
          <w:rFonts w:ascii="Times New Roman" w:hAnsi="Times New Roman" w:eastAsia="宋体" w:cs="Times New Roman"/>
          <w:color w:val="000000"/>
          <w:sz w:val="24"/>
          <w:szCs w:val="24"/>
          <w:lang w:val="en-US" w:eastAsia="zh-CN" w:bidi="ar"/>
        </w:rPr>
        <w:t>1995.0m</w:t>
      </w:r>
      <w:r>
        <w:rPr>
          <w:rFonts w:hint="eastAsia" w:ascii="宋体" w:hAnsi="宋体" w:eastAsia="宋体" w:cs="宋体"/>
          <w:color w:val="000000"/>
          <w:sz w:val="24"/>
          <w:szCs w:val="24"/>
          <w:lang w:val="en-US" w:eastAsia="zh-CN" w:bidi="ar"/>
        </w:rPr>
        <w:t>。区内地貌包括侵蚀堆积地貌、岩溶地貌、构造剥蚀地貌、构造侵蚀地貌及火山堆积地貌五大成因类型。</w:t>
      </w:r>
    </w:p>
    <w:p w14:paraId="1BD25E79">
      <w:pPr>
        <w:ind w:firstLine="360"/>
        <w:rPr>
          <w:rFonts w:hint="eastAsia"/>
          <w:szCs w:val="24"/>
        </w:rPr>
      </w:pPr>
      <w:r>
        <w:rPr>
          <w:rFonts w:hint="eastAsia"/>
          <w:szCs w:val="24"/>
        </w:rPr>
        <w:t>本项目场地地形属于缓坡山地，</w:t>
      </w:r>
      <w:r>
        <w:rPr>
          <w:rFonts w:hint="eastAsia" w:eastAsia="宋体"/>
          <w:szCs w:val="24"/>
          <w:lang w:val="en-US" w:eastAsia="zh-CN"/>
        </w:rPr>
        <w:t>东</w:t>
      </w:r>
      <w:r>
        <w:rPr>
          <w:rFonts w:hint="eastAsia"/>
          <w:szCs w:val="24"/>
        </w:rPr>
        <w:t>高</w:t>
      </w:r>
      <w:r>
        <w:rPr>
          <w:rFonts w:hint="eastAsia" w:eastAsia="宋体"/>
          <w:szCs w:val="24"/>
          <w:lang w:val="en-US" w:eastAsia="zh-CN"/>
        </w:rPr>
        <w:t>西</w:t>
      </w:r>
      <w:r>
        <w:rPr>
          <w:rFonts w:hint="eastAsia"/>
          <w:szCs w:val="24"/>
        </w:rPr>
        <w:t>低、坡度不大，无滑坡、泥石流等不良现象。</w:t>
      </w:r>
    </w:p>
    <w:p w14:paraId="0636ED06">
      <w:pPr>
        <w:pStyle w:val="188"/>
      </w:pPr>
      <w:r>
        <w:rPr>
          <w:rFonts w:hint="eastAsia"/>
          <w:lang w:val="en-US" w:eastAsia="zh-CN"/>
        </w:rPr>
        <w:t>5</w:t>
      </w:r>
      <w:r>
        <w:t xml:space="preserve">.1.3 </w:t>
      </w:r>
      <w:r>
        <w:rPr>
          <w:rFonts w:hint="eastAsia"/>
        </w:rPr>
        <w:t>地质构造</w:t>
      </w:r>
    </w:p>
    <w:p w14:paraId="636F1B1E">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芒市属藏滇地槽褶皱系的横断山地槽褶皱带的一部分，北西以龙陵—瑞丽大断裂为界，与陇川—瑞丽复式背斜构造区相连，东及南与绕廊街—等养复式背斜构造区相邻。呈一向南东凸出的“新月”形。区内构造较简单，为一褶皱宽缓的复式向斜构造，向斜轴以北东向为主。 </w:t>
      </w:r>
    </w:p>
    <w:p w14:paraId="3972FD67">
      <w:pPr>
        <w:pStyle w:val="188"/>
        <w:rPr>
          <w:rFonts w:hint="eastAsia"/>
        </w:rPr>
      </w:pPr>
      <w:r>
        <w:rPr>
          <w:rFonts w:hint="eastAsia"/>
          <w:lang w:val="en-US" w:eastAsia="zh-CN"/>
        </w:rPr>
        <w:t>5</w:t>
      </w:r>
      <w:r>
        <w:t>.1.</w:t>
      </w:r>
      <w:r>
        <w:rPr>
          <w:rFonts w:hint="eastAsia"/>
        </w:rPr>
        <w:t xml:space="preserve">4 </w:t>
      </w:r>
      <w:r>
        <w:t>气候气象</w:t>
      </w:r>
    </w:p>
    <w:p w14:paraId="3B4BEBD0">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芒市地处滇西东部、横断山脉西侧，低纬高原，属南亚热带季风气候，热量丰富，气候温和，具有夏长冬短、干湿分明、冬无严寒、夏无酷暑，日照时间长、 雨量充沛、冬季多雾等特点。 </w:t>
      </w:r>
    </w:p>
    <w:p w14:paraId="4D07D44A">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据芒市气象站观测资料统计，多年平均气温 </w:t>
      </w:r>
      <w:r>
        <w:rPr>
          <w:rFonts w:ascii="Times New Roman" w:hAnsi="Times New Roman" w:eastAsia="宋体" w:cs="Times New Roman"/>
          <w:color w:val="000000"/>
          <w:sz w:val="24"/>
          <w:szCs w:val="24"/>
          <w:lang w:val="en-US" w:eastAsia="zh-CN" w:bidi="ar"/>
        </w:rPr>
        <w:t>20.3</w:t>
      </w:r>
      <w:r>
        <w:rPr>
          <w:rFonts w:hint="eastAsia" w:ascii="宋体" w:hAnsi="宋体" w:eastAsia="宋体" w:cs="宋体"/>
          <w:color w:val="000000"/>
          <w:sz w:val="24"/>
          <w:szCs w:val="24"/>
          <w:lang w:val="en-US" w:eastAsia="zh-CN" w:bidi="ar"/>
        </w:rPr>
        <w:t>℃，最热月（</w:t>
      </w:r>
      <w:r>
        <w:rPr>
          <w:rFonts w:ascii="Times New Roman" w:hAnsi="Times New Roman" w:eastAsia="宋体" w:cs="Times New Roman"/>
          <w:color w:val="000000"/>
          <w:sz w:val="24"/>
          <w:szCs w:val="24"/>
          <w:lang w:val="en-US" w:eastAsia="zh-CN" w:bidi="ar"/>
        </w:rPr>
        <w:t xml:space="preserve">6 </w:t>
      </w:r>
      <w:r>
        <w:rPr>
          <w:rFonts w:hint="eastAsia" w:ascii="宋体" w:hAnsi="宋体" w:eastAsia="宋体" w:cs="宋体"/>
          <w:color w:val="000000"/>
          <w:sz w:val="24"/>
          <w:szCs w:val="24"/>
          <w:lang w:val="en-US" w:eastAsia="zh-CN" w:bidi="ar"/>
        </w:rPr>
        <w:t xml:space="preserve">月）平均气 温 </w:t>
      </w:r>
      <w:r>
        <w:rPr>
          <w:rFonts w:ascii="Times New Roman" w:hAnsi="Times New Roman" w:eastAsia="宋体" w:cs="Times New Roman"/>
          <w:color w:val="000000"/>
          <w:sz w:val="24"/>
          <w:szCs w:val="24"/>
          <w:lang w:val="en-US" w:eastAsia="zh-CN" w:bidi="ar"/>
        </w:rPr>
        <w:t>24.1</w:t>
      </w:r>
      <w:r>
        <w:rPr>
          <w:rFonts w:hint="eastAsia" w:ascii="宋体" w:hAnsi="宋体" w:eastAsia="宋体" w:cs="宋体"/>
          <w:color w:val="000000"/>
          <w:sz w:val="24"/>
          <w:szCs w:val="24"/>
          <w:lang w:val="en-US" w:eastAsia="zh-CN" w:bidi="ar"/>
        </w:rPr>
        <w:t>℃，最冷月（</w:t>
      </w:r>
      <w:r>
        <w:rPr>
          <w:rFonts w:ascii="Times New Roman" w:hAnsi="Times New Roman" w:eastAsia="宋体" w:cs="Times New Roman"/>
          <w:color w:val="000000"/>
          <w:sz w:val="24"/>
          <w:szCs w:val="24"/>
          <w:lang w:val="en-US" w:eastAsia="zh-CN" w:bidi="ar"/>
        </w:rPr>
        <w:t xml:space="preserve">1 </w:t>
      </w:r>
      <w:r>
        <w:rPr>
          <w:rFonts w:hint="eastAsia" w:ascii="宋体" w:hAnsi="宋体" w:eastAsia="宋体" w:cs="宋体"/>
          <w:color w:val="000000"/>
          <w:sz w:val="24"/>
          <w:szCs w:val="24"/>
          <w:lang w:val="en-US" w:eastAsia="zh-CN" w:bidi="ar"/>
        </w:rPr>
        <w:t xml:space="preserve">月）平均气温 </w:t>
      </w:r>
      <w:r>
        <w:rPr>
          <w:rFonts w:ascii="Times New Roman" w:hAnsi="Times New Roman" w:eastAsia="宋体" w:cs="Times New Roman"/>
          <w:color w:val="000000"/>
          <w:sz w:val="24"/>
          <w:szCs w:val="24"/>
          <w:lang w:val="en-US" w:eastAsia="zh-CN" w:bidi="ar"/>
        </w:rPr>
        <w:t>12.3</w:t>
      </w:r>
      <w:r>
        <w:rPr>
          <w:rFonts w:hint="eastAsia" w:ascii="宋体" w:hAnsi="宋体" w:eastAsia="宋体" w:cs="宋体"/>
          <w:color w:val="000000"/>
          <w:sz w:val="24"/>
          <w:szCs w:val="24"/>
          <w:lang w:val="en-US" w:eastAsia="zh-CN" w:bidi="ar"/>
        </w:rPr>
        <w:t xml:space="preserve">℃，历年极端最高气温 </w:t>
      </w:r>
      <w:r>
        <w:rPr>
          <w:rFonts w:ascii="Times New Roman" w:hAnsi="Times New Roman" w:eastAsia="宋体" w:cs="Times New Roman"/>
          <w:color w:val="000000"/>
          <w:sz w:val="24"/>
          <w:szCs w:val="24"/>
          <w:lang w:val="en-US" w:eastAsia="zh-CN" w:bidi="ar"/>
        </w:rPr>
        <w:t>36.9</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2012 </w:t>
      </w:r>
      <w:r>
        <w:rPr>
          <w:rFonts w:hint="eastAsia" w:ascii="宋体" w:hAnsi="宋体" w:eastAsia="宋体" w:cs="宋体"/>
          <w:color w:val="000000"/>
          <w:sz w:val="24"/>
          <w:szCs w:val="24"/>
          <w:lang w:val="en-US" w:eastAsia="zh-CN" w:bidi="ar"/>
        </w:rPr>
        <w:t xml:space="preserve">年 </w:t>
      </w:r>
      <w:r>
        <w:rPr>
          <w:rFonts w:ascii="Times New Roman" w:hAnsi="Times New Roman" w:eastAsia="宋体" w:cs="Times New Roman"/>
          <w:color w:val="000000"/>
          <w:sz w:val="24"/>
          <w:szCs w:val="24"/>
          <w:lang w:val="en-US" w:eastAsia="zh-CN" w:bidi="ar"/>
        </w:rPr>
        <w:t xml:space="preserve">5 </w:t>
      </w:r>
      <w:r>
        <w:rPr>
          <w:rFonts w:hint="eastAsia" w:ascii="宋体" w:hAnsi="宋体" w:eastAsia="宋体" w:cs="宋体"/>
          <w:color w:val="000000"/>
          <w:sz w:val="24"/>
          <w:szCs w:val="24"/>
          <w:lang w:val="en-US" w:eastAsia="zh-CN" w:bidi="ar"/>
        </w:rPr>
        <w:t xml:space="preserve">月 </w:t>
      </w:r>
      <w:r>
        <w:rPr>
          <w:rFonts w:ascii="Times New Roman" w:hAnsi="Times New Roman" w:eastAsia="宋体" w:cs="Times New Roman"/>
          <w:color w:val="000000"/>
          <w:sz w:val="24"/>
          <w:szCs w:val="24"/>
          <w:lang w:val="en-US" w:eastAsia="zh-CN" w:bidi="ar"/>
        </w:rPr>
        <w:t xml:space="preserve">26 </w:t>
      </w:r>
      <w:r>
        <w:rPr>
          <w:rFonts w:hint="eastAsia" w:ascii="宋体" w:hAnsi="宋体" w:eastAsia="宋体" w:cs="宋体"/>
          <w:color w:val="000000"/>
          <w:sz w:val="24"/>
          <w:szCs w:val="24"/>
          <w:lang w:val="en-US" w:eastAsia="zh-CN" w:bidi="ar"/>
        </w:rPr>
        <w:t xml:space="preserve">日），极端最低气温 </w:t>
      </w:r>
      <w:r>
        <w:rPr>
          <w:rFonts w:ascii="Times New Roman" w:hAnsi="Times New Roman" w:eastAsia="宋体" w:cs="Times New Roman"/>
          <w:color w:val="000000"/>
          <w:sz w:val="24"/>
          <w:szCs w:val="24"/>
          <w:lang w:val="en-US" w:eastAsia="zh-CN" w:bidi="ar"/>
        </w:rPr>
        <w:t>1</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1999 </w:t>
      </w:r>
      <w:r>
        <w:rPr>
          <w:rFonts w:hint="eastAsia" w:ascii="宋体" w:hAnsi="宋体" w:eastAsia="宋体" w:cs="宋体"/>
          <w:color w:val="000000"/>
          <w:sz w:val="24"/>
          <w:szCs w:val="24"/>
          <w:lang w:val="en-US" w:eastAsia="zh-CN" w:bidi="ar"/>
        </w:rPr>
        <w:t xml:space="preserve">年 </w:t>
      </w:r>
      <w:r>
        <w:rPr>
          <w:rFonts w:ascii="Times New Roman" w:hAnsi="Times New Roman" w:eastAsia="宋体" w:cs="Times New Roman"/>
          <w:color w:val="000000"/>
          <w:sz w:val="24"/>
          <w:szCs w:val="24"/>
          <w:lang w:val="en-US" w:eastAsia="zh-CN" w:bidi="ar"/>
        </w:rPr>
        <w:t xml:space="preserve">12 </w:t>
      </w:r>
      <w:r>
        <w:rPr>
          <w:rFonts w:hint="eastAsia" w:ascii="宋体" w:hAnsi="宋体" w:eastAsia="宋体" w:cs="宋体"/>
          <w:color w:val="000000"/>
          <w:sz w:val="24"/>
          <w:szCs w:val="24"/>
          <w:lang w:val="en-US" w:eastAsia="zh-CN" w:bidi="ar"/>
        </w:rPr>
        <w:t xml:space="preserve">月 </w:t>
      </w:r>
      <w:r>
        <w:rPr>
          <w:rFonts w:ascii="Times New Roman" w:hAnsi="Times New Roman" w:eastAsia="宋体" w:cs="Times New Roman"/>
          <w:color w:val="000000"/>
          <w:sz w:val="24"/>
          <w:szCs w:val="24"/>
          <w:lang w:val="en-US" w:eastAsia="zh-CN" w:bidi="ar"/>
        </w:rPr>
        <w:t xml:space="preserve">26 </w:t>
      </w:r>
      <w:r>
        <w:rPr>
          <w:rFonts w:hint="eastAsia" w:ascii="宋体" w:hAnsi="宋体" w:eastAsia="宋体" w:cs="宋体"/>
          <w:color w:val="000000"/>
          <w:sz w:val="24"/>
          <w:szCs w:val="24"/>
          <w:lang w:val="en-US" w:eastAsia="zh-CN" w:bidi="ar"/>
        </w:rPr>
        <w:t xml:space="preserve">日）。年平均降水量 </w:t>
      </w:r>
      <w:r>
        <w:rPr>
          <w:rFonts w:ascii="Times New Roman" w:hAnsi="Times New Roman" w:eastAsia="宋体" w:cs="Times New Roman"/>
          <w:color w:val="000000"/>
          <w:sz w:val="24"/>
          <w:szCs w:val="24"/>
          <w:lang w:val="en-US" w:eastAsia="zh-CN" w:bidi="ar"/>
        </w:rPr>
        <w:t>1609.6mm</w:t>
      </w:r>
      <w:r>
        <w:rPr>
          <w:rFonts w:hint="eastAsia" w:ascii="宋体" w:hAnsi="宋体" w:eastAsia="宋体" w:cs="宋体"/>
          <w:color w:val="000000"/>
          <w:sz w:val="24"/>
          <w:szCs w:val="24"/>
          <w:lang w:val="en-US" w:eastAsia="zh-CN" w:bidi="ar"/>
        </w:rPr>
        <w:t xml:space="preserve">， 年最多降水量 </w:t>
      </w:r>
      <w:r>
        <w:rPr>
          <w:rFonts w:ascii="Times New Roman" w:hAnsi="Times New Roman" w:eastAsia="宋体" w:cs="Times New Roman"/>
          <w:color w:val="000000"/>
          <w:sz w:val="24"/>
          <w:szCs w:val="24"/>
          <w:lang w:val="en-US" w:eastAsia="zh-CN" w:bidi="ar"/>
        </w:rPr>
        <w:t>2294.4mm</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2001 </w:t>
      </w:r>
      <w:r>
        <w:rPr>
          <w:rFonts w:hint="eastAsia" w:ascii="宋体" w:hAnsi="宋体" w:eastAsia="宋体" w:cs="宋体"/>
          <w:color w:val="000000"/>
          <w:sz w:val="24"/>
          <w:szCs w:val="24"/>
          <w:lang w:val="en-US" w:eastAsia="zh-CN" w:bidi="ar"/>
        </w:rPr>
        <w:t xml:space="preserve">年），年最少降水量 </w:t>
      </w:r>
      <w:r>
        <w:rPr>
          <w:rFonts w:ascii="Times New Roman" w:hAnsi="Times New Roman" w:eastAsia="宋体" w:cs="Times New Roman"/>
          <w:color w:val="000000"/>
          <w:sz w:val="24"/>
          <w:szCs w:val="24"/>
          <w:lang w:val="en-US" w:eastAsia="zh-CN" w:bidi="ar"/>
        </w:rPr>
        <w:t>1177.3mm</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2006 </w:t>
      </w:r>
      <w:r>
        <w:rPr>
          <w:rFonts w:hint="eastAsia" w:ascii="宋体" w:hAnsi="宋体" w:eastAsia="宋体" w:cs="宋体"/>
          <w:color w:val="000000"/>
          <w:sz w:val="24"/>
          <w:szCs w:val="24"/>
          <w:lang w:val="en-US" w:eastAsia="zh-CN" w:bidi="ar"/>
        </w:rPr>
        <w:t>年），雨 季（</w:t>
      </w:r>
      <w:r>
        <w:rPr>
          <w:rFonts w:ascii="Times New Roman" w:hAnsi="Times New Roman" w:eastAsia="宋体" w:cs="Times New Roman"/>
          <w:color w:val="000000"/>
          <w:sz w:val="24"/>
          <w:szCs w:val="24"/>
          <w:lang w:val="en-US" w:eastAsia="zh-CN" w:bidi="ar"/>
        </w:rPr>
        <w:t xml:space="preserve">5~10 </w:t>
      </w:r>
      <w:r>
        <w:rPr>
          <w:rFonts w:hint="eastAsia" w:ascii="宋体" w:hAnsi="宋体" w:eastAsia="宋体" w:cs="宋体"/>
          <w:color w:val="000000"/>
          <w:sz w:val="24"/>
          <w:szCs w:val="24"/>
          <w:lang w:val="en-US" w:eastAsia="zh-CN" w:bidi="ar"/>
        </w:rPr>
        <w:t xml:space="preserve">月）降雨量 </w:t>
      </w:r>
      <w:r>
        <w:rPr>
          <w:rFonts w:ascii="Times New Roman" w:hAnsi="Times New Roman" w:eastAsia="宋体" w:cs="Times New Roman"/>
          <w:color w:val="000000"/>
          <w:sz w:val="24"/>
          <w:szCs w:val="24"/>
          <w:lang w:val="en-US" w:eastAsia="zh-CN" w:bidi="ar"/>
        </w:rPr>
        <w:t>1454.3mm</w:t>
      </w:r>
      <w:r>
        <w:rPr>
          <w:rFonts w:hint="eastAsia" w:ascii="宋体" w:hAnsi="宋体" w:eastAsia="宋体" w:cs="宋体"/>
          <w:color w:val="000000"/>
          <w:sz w:val="24"/>
          <w:szCs w:val="24"/>
          <w:lang w:val="en-US" w:eastAsia="zh-CN" w:bidi="ar"/>
        </w:rPr>
        <w:t xml:space="preserve">，占全年降雨量的 </w:t>
      </w:r>
      <w:r>
        <w:rPr>
          <w:rFonts w:ascii="Times New Roman" w:hAnsi="Times New Roman" w:eastAsia="宋体" w:cs="Times New Roman"/>
          <w:color w:val="000000"/>
          <w:sz w:val="24"/>
          <w:szCs w:val="24"/>
          <w:lang w:val="en-US" w:eastAsia="zh-CN" w:bidi="ar"/>
        </w:rPr>
        <w:t>88%</w:t>
      </w:r>
      <w:r>
        <w:rPr>
          <w:rFonts w:hint="eastAsia" w:ascii="宋体" w:hAnsi="宋体" w:eastAsia="宋体" w:cs="宋体"/>
          <w:color w:val="000000"/>
          <w:sz w:val="24"/>
          <w:szCs w:val="24"/>
          <w:lang w:val="en-US" w:eastAsia="zh-CN" w:bidi="ar"/>
        </w:rPr>
        <w:t xml:space="preserve">，年平均降雨日数 </w:t>
      </w:r>
      <w:r>
        <w:rPr>
          <w:rFonts w:ascii="Times New Roman" w:hAnsi="Times New Roman" w:eastAsia="宋体" w:cs="Times New Roman"/>
          <w:color w:val="000000"/>
          <w:sz w:val="24"/>
          <w:szCs w:val="24"/>
          <w:lang w:val="en-US" w:eastAsia="zh-CN" w:bidi="ar"/>
        </w:rPr>
        <w:t xml:space="preserve">170 </w:t>
      </w:r>
      <w:r>
        <w:rPr>
          <w:rFonts w:hint="eastAsia" w:ascii="宋体" w:hAnsi="宋体" w:eastAsia="宋体" w:cs="宋体"/>
          <w:color w:val="000000"/>
          <w:sz w:val="24"/>
          <w:szCs w:val="24"/>
          <w:lang w:val="en-US" w:eastAsia="zh-CN" w:bidi="ar"/>
        </w:rPr>
        <w:t xml:space="preserve">天，一日最大降水量 </w:t>
      </w:r>
      <w:r>
        <w:rPr>
          <w:rFonts w:ascii="Times New Roman" w:hAnsi="Times New Roman" w:eastAsia="宋体" w:cs="Times New Roman"/>
          <w:color w:val="000000"/>
          <w:sz w:val="24"/>
          <w:szCs w:val="24"/>
          <w:lang w:val="en-US" w:eastAsia="zh-CN" w:bidi="ar"/>
        </w:rPr>
        <w:t>158.3mm</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2002 </w:t>
      </w:r>
      <w:r>
        <w:rPr>
          <w:rFonts w:hint="eastAsia" w:ascii="宋体" w:hAnsi="宋体" w:eastAsia="宋体" w:cs="宋体"/>
          <w:color w:val="000000"/>
          <w:sz w:val="24"/>
          <w:szCs w:val="24"/>
          <w:lang w:val="en-US" w:eastAsia="zh-CN" w:bidi="ar"/>
        </w:rPr>
        <w:t xml:space="preserve">年 </w:t>
      </w:r>
      <w:r>
        <w:rPr>
          <w:rFonts w:ascii="Times New Roman" w:hAnsi="Times New Roman" w:eastAsia="宋体" w:cs="Times New Roman"/>
          <w:color w:val="000000"/>
          <w:sz w:val="24"/>
          <w:szCs w:val="24"/>
          <w:lang w:val="en-US" w:eastAsia="zh-CN" w:bidi="ar"/>
        </w:rPr>
        <w:t xml:space="preserve">10 </w:t>
      </w:r>
      <w:r>
        <w:rPr>
          <w:rFonts w:hint="eastAsia" w:ascii="宋体" w:hAnsi="宋体" w:eastAsia="宋体" w:cs="宋体"/>
          <w:color w:val="000000"/>
          <w:sz w:val="24"/>
          <w:szCs w:val="24"/>
          <w:lang w:val="en-US" w:eastAsia="zh-CN" w:bidi="ar"/>
        </w:rPr>
        <w:t xml:space="preserve">月 </w:t>
      </w:r>
      <w:r>
        <w:rPr>
          <w:rFonts w:ascii="Times New Roman" w:hAnsi="Times New Roman" w:eastAsia="宋体" w:cs="Times New Roman"/>
          <w:color w:val="000000"/>
          <w:sz w:val="24"/>
          <w:szCs w:val="24"/>
          <w:lang w:val="en-US" w:eastAsia="zh-CN" w:bidi="ar"/>
        </w:rPr>
        <w:t xml:space="preserve">25 </w:t>
      </w:r>
      <w:r>
        <w:rPr>
          <w:rFonts w:hint="eastAsia" w:ascii="宋体" w:hAnsi="宋体" w:eastAsia="宋体" w:cs="宋体"/>
          <w:color w:val="000000"/>
          <w:sz w:val="24"/>
          <w:szCs w:val="24"/>
          <w:lang w:val="en-US" w:eastAsia="zh-CN" w:bidi="ar"/>
        </w:rPr>
        <w:t xml:space="preserve">日）。年日照时数 </w:t>
      </w:r>
      <w:r>
        <w:rPr>
          <w:rFonts w:ascii="Times New Roman" w:hAnsi="Times New Roman" w:eastAsia="宋体" w:cs="Times New Roman"/>
          <w:color w:val="000000"/>
          <w:sz w:val="24"/>
          <w:szCs w:val="24"/>
          <w:lang w:val="en-US" w:eastAsia="zh-CN" w:bidi="ar"/>
        </w:rPr>
        <w:t xml:space="preserve">2252.9 </w:t>
      </w:r>
      <w:r>
        <w:rPr>
          <w:rFonts w:hint="eastAsia" w:ascii="宋体" w:hAnsi="宋体" w:eastAsia="宋体" w:cs="宋体"/>
          <w:color w:val="000000"/>
          <w:sz w:val="24"/>
          <w:szCs w:val="24"/>
          <w:lang w:val="en-US" w:eastAsia="zh-CN" w:bidi="ar"/>
        </w:rPr>
        <w:t xml:space="preserve">小时，蒸 发量 </w:t>
      </w:r>
      <w:r>
        <w:rPr>
          <w:rFonts w:ascii="Times New Roman" w:hAnsi="Times New Roman" w:eastAsia="宋体" w:cs="Times New Roman"/>
          <w:color w:val="000000"/>
          <w:sz w:val="24"/>
          <w:szCs w:val="24"/>
          <w:lang w:val="en-US" w:eastAsia="zh-CN" w:bidi="ar"/>
        </w:rPr>
        <w:t>1723.6mm</w:t>
      </w:r>
      <w:r>
        <w:rPr>
          <w:rFonts w:hint="eastAsia" w:ascii="宋体" w:hAnsi="宋体" w:eastAsia="宋体" w:cs="宋体"/>
          <w:color w:val="000000"/>
          <w:sz w:val="24"/>
          <w:szCs w:val="24"/>
          <w:lang w:val="en-US" w:eastAsia="zh-CN" w:bidi="ar"/>
        </w:rPr>
        <w:t xml:space="preserve">，无霜期 </w:t>
      </w:r>
      <w:r>
        <w:rPr>
          <w:rFonts w:ascii="Times New Roman" w:hAnsi="Times New Roman" w:eastAsia="宋体" w:cs="Times New Roman"/>
          <w:color w:val="000000"/>
          <w:sz w:val="24"/>
          <w:szCs w:val="24"/>
          <w:lang w:val="en-US" w:eastAsia="zh-CN" w:bidi="ar"/>
        </w:rPr>
        <w:t xml:space="preserve">315 </w:t>
      </w:r>
      <w:r>
        <w:rPr>
          <w:rFonts w:hint="eastAsia" w:ascii="宋体" w:hAnsi="宋体" w:eastAsia="宋体" w:cs="宋体"/>
          <w:color w:val="000000"/>
          <w:sz w:val="24"/>
          <w:szCs w:val="24"/>
          <w:lang w:val="en-US" w:eastAsia="zh-CN" w:bidi="ar"/>
        </w:rPr>
        <w:t xml:space="preserve">天；风向多为西南风，多年平均风速 </w:t>
      </w:r>
      <w:r>
        <w:rPr>
          <w:rFonts w:ascii="Times New Roman" w:hAnsi="Times New Roman" w:eastAsia="宋体" w:cs="Times New Roman"/>
          <w:color w:val="000000"/>
          <w:sz w:val="24"/>
          <w:szCs w:val="24"/>
          <w:lang w:val="en-US" w:eastAsia="zh-CN" w:bidi="ar"/>
        </w:rPr>
        <w:t>0.9m/s</w:t>
      </w:r>
      <w:r>
        <w:rPr>
          <w:rFonts w:hint="eastAsia" w:ascii="宋体" w:hAnsi="宋体" w:eastAsia="宋体" w:cs="宋体"/>
          <w:color w:val="000000"/>
          <w:sz w:val="24"/>
          <w:szCs w:val="24"/>
          <w:lang w:val="en-US" w:eastAsia="zh-CN" w:bidi="ar"/>
        </w:rPr>
        <w:t xml:space="preserve">，最大风速 </w:t>
      </w:r>
      <w:r>
        <w:rPr>
          <w:rFonts w:ascii="Times New Roman" w:hAnsi="Times New Roman" w:eastAsia="宋体" w:cs="Times New Roman"/>
          <w:color w:val="000000"/>
          <w:sz w:val="24"/>
          <w:szCs w:val="24"/>
          <w:lang w:val="en-US" w:eastAsia="zh-CN" w:bidi="ar"/>
        </w:rPr>
        <w:t>25.8m/s</w:t>
      </w:r>
      <w:r>
        <w:rPr>
          <w:rFonts w:hint="eastAsia" w:ascii="宋体" w:hAnsi="宋体" w:eastAsia="宋体" w:cs="宋体"/>
          <w:color w:val="000000"/>
          <w:sz w:val="24"/>
          <w:szCs w:val="24"/>
          <w:lang w:val="en-US" w:eastAsia="zh-CN" w:bidi="ar"/>
        </w:rPr>
        <w:t>。</w:t>
      </w:r>
    </w:p>
    <w:p w14:paraId="3197DDDD">
      <w:pPr>
        <w:pStyle w:val="188"/>
      </w:pPr>
      <w:r>
        <w:rPr>
          <w:rFonts w:hint="eastAsia"/>
          <w:lang w:val="en-US" w:eastAsia="zh-CN"/>
        </w:rPr>
        <w:t>5</w:t>
      </w:r>
      <w:r>
        <w:t>.1.</w:t>
      </w:r>
      <w:r>
        <w:rPr>
          <w:rFonts w:hint="eastAsia"/>
        </w:rPr>
        <w:t>5</w:t>
      </w:r>
      <w:r>
        <w:t xml:space="preserve"> </w:t>
      </w:r>
      <w:r>
        <w:rPr>
          <w:rFonts w:hint="eastAsia"/>
        </w:rPr>
        <w:t>河流水系</w:t>
      </w:r>
    </w:p>
    <w:p w14:paraId="68B20574">
      <w:pPr>
        <w:ind w:firstLine="480"/>
        <w:rPr>
          <w:rFonts w:hint="eastAsia"/>
          <w:szCs w:val="24"/>
        </w:rPr>
      </w:pPr>
      <w:r>
        <w:rPr>
          <w:rFonts w:hint="eastAsia"/>
          <w:szCs w:val="24"/>
        </w:rPr>
        <w:t>德宏水系主要有“三江四河”。“三江”即大盈江、瑞丽江（陇川江）、怒江；“四河”即芒市河、南畹河、户撒河、芒东河（萝卜坝河）。芒市年均地表水量为23.11亿m</w:t>
      </w:r>
      <w:r>
        <w:rPr>
          <w:rFonts w:hint="eastAsia"/>
          <w:szCs w:val="24"/>
          <w:vertAlign w:val="superscript"/>
        </w:rPr>
        <w:t>3</w:t>
      </w:r>
      <w:r>
        <w:rPr>
          <w:rFonts w:hint="eastAsia"/>
          <w:szCs w:val="24"/>
        </w:rPr>
        <w:t>，河流分别属伊洛瓦底江和怒江水系。其中属伊洛瓦底江水系河流139条，流域面积约2360km</w:t>
      </w:r>
      <w:r>
        <w:rPr>
          <w:rFonts w:hint="eastAsia"/>
          <w:szCs w:val="24"/>
          <w:vertAlign w:val="superscript"/>
        </w:rPr>
        <w:t>2</w:t>
      </w:r>
      <w:r>
        <w:rPr>
          <w:rFonts w:hint="eastAsia"/>
          <w:szCs w:val="24"/>
        </w:rPr>
        <w:t>，主要河流有龙江、芒市大河、二级支流主要有放马桥河、中河、户养河、轩岗河等，属怒江水系有大小河流90多条，流域面积570 km</w:t>
      </w:r>
      <w:r>
        <w:rPr>
          <w:rFonts w:hint="eastAsia"/>
          <w:szCs w:val="24"/>
          <w:vertAlign w:val="superscript"/>
        </w:rPr>
        <w:t>2</w:t>
      </w:r>
      <w:r>
        <w:rPr>
          <w:rFonts w:hint="eastAsia"/>
          <w:szCs w:val="24"/>
        </w:rPr>
        <w:t>，主要支流有：朗油河、即毕河、万马河、清水河等。</w:t>
      </w:r>
    </w:p>
    <w:p w14:paraId="31576408">
      <w:pPr>
        <w:ind w:firstLine="480"/>
        <w:rPr>
          <w:rFonts w:hint="eastAsia"/>
          <w:szCs w:val="24"/>
        </w:rPr>
      </w:pPr>
      <w:r>
        <w:rPr>
          <w:rFonts w:hint="eastAsia"/>
          <w:szCs w:val="24"/>
        </w:rPr>
        <w:t>芒市</w:t>
      </w:r>
      <w:r>
        <w:rPr>
          <w:szCs w:val="24"/>
        </w:rPr>
        <w:t>共有大小河流</w:t>
      </w:r>
      <w:r>
        <w:rPr>
          <w:rFonts w:hint="eastAsia"/>
          <w:szCs w:val="24"/>
        </w:rPr>
        <w:t>229条</w:t>
      </w:r>
      <w:r>
        <w:rPr>
          <w:szCs w:val="24"/>
        </w:rPr>
        <w:t>，多年平均总产水量</w:t>
      </w:r>
      <w:r>
        <w:rPr>
          <w:rFonts w:hint="eastAsia"/>
          <w:szCs w:val="24"/>
        </w:rPr>
        <w:t>31.8亿</w:t>
      </w:r>
      <w:r>
        <w:rPr>
          <w:szCs w:val="24"/>
        </w:rPr>
        <w:t>m</w:t>
      </w:r>
      <w:r>
        <w:rPr>
          <w:szCs w:val="24"/>
          <w:vertAlign w:val="superscript"/>
        </w:rPr>
        <w:t>3</w:t>
      </w:r>
      <w:r>
        <w:rPr>
          <w:rFonts w:hint="eastAsia"/>
          <w:szCs w:val="24"/>
        </w:rPr>
        <w:t>，</w:t>
      </w:r>
      <w:r>
        <w:rPr>
          <w:szCs w:val="24"/>
        </w:rPr>
        <w:t>年</w:t>
      </w:r>
      <w:r>
        <w:rPr>
          <w:rFonts w:hint="eastAsia"/>
          <w:szCs w:val="24"/>
        </w:rPr>
        <w:t>均</w:t>
      </w:r>
      <w:r>
        <w:rPr>
          <w:szCs w:val="24"/>
        </w:rPr>
        <w:t>地表径流量</w:t>
      </w:r>
      <w:r>
        <w:rPr>
          <w:rFonts w:hint="eastAsia"/>
          <w:szCs w:val="24"/>
        </w:rPr>
        <w:t>23.11亿</w:t>
      </w:r>
      <w:r>
        <w:rPr>
          <w:szCs w:val="24"/>
        </w:rPr>
        <w:t>m</w:t>
      </w:r>
      <w:r>
        <w:rPr>
          <w:szCs w:val="24"/>
          <w:vertAlign w:val="superscript"/>
        </w:rPr>
        <w:t>3</w:t>
      </w:r>
      <w:r>
        <w:rPr>
          <w:rFonts w:hint="eastAsia"/>
          <w:szCs w:val="24"/>
        </w:rPr>
        <w:t>，流域面积2360平方</w:t>
      </w:r>
      <w:r>
        <w:rPr>
          <w:szCs w:val="24"/>
        </w:rPr>
        <w:t>公里</w:t>
      </w:r>
      <w:r>
        <w:rPr>
          <w:rFonts w:hint="eastAsia"/>
          <w:szCs w:val="24"/>
        </w:rPr>
        <w:t>。</w:t>
      </w:r>
    </w:p>
    <w:p w14:paraId="6C0D52E9">
      <w:pPr>
        <w:ind w:firstLine="480"/>
        <w:rPr>
          <w:rFonts w:hint="eastAsia"/>
          <w:szCs w:val="24"/>
        </w:rPr>
      </w:pPr>
      <w:r>
        <w:rPr>
          <w:rFonts w:hint="eastAsia"/>
          <w:szCs w:val="24"/>
        </w:rPr>
        <w:t>本项目最近的地表水</w:t>
      </w:r>
      <w:r>
        <w:rPr>
          <w:rFonts w:hint="eastAsia"/>
          <w:color w:val="000000"/>
          <w:szCs w:val="24"/>
        </w:rPr>
        <w:t>体为项目区北侧</w:t>
      </w:r>
      <w:r>
        <w:rPr>
          <w:rFonts w:hint="eastAsia"/>
          <w:color w:val="000000"/>
          <w:szCs w:val="24"/>
          <w:lang w:val="en-US" w:eastAsia="zh-CN"/>
        </w:rPr>
        <w:t>600</w:t>
      </w:r>
      <w:r>
        <w:rPr>
          <w:rFonts w:hint="eastAsia"/>
          <w:color w:val="000000"/>
          <w:szCs w:val="24"/>
        </w:rPr>
        <w:t>m处的芒市大河，芒市</w:t>
      </w:r>
      <w:r>
        <w:rPr>
          <w:szCs w:val="24"/>
        </w:rPr>
        <w:t>大河发源于龙陵县金竹村北部诸山溪，从大山</w:t>
      </w:r>
      <w:r>
        <w:rPr>
          <w:rFonts w:hint="eastAsia"/>
          <w:szCs w:val="24"/>
        </w:rPr>
        <w:t>田</w:t>
      </w:r>
      <w:r>
        <w:rPr>
          <w:szCs w:val="24"/>
        </w:rPr>
        <w:t>进入芒市境内，入境海拔</w:t>
      </w:r>
      <w:r>
        <w:rPr>
          <w:rFonts w:hint="eastAsia"/>
          <w:szCs w:val="24"/>
        </w:rPr>
        <w:t>1300m。至帕连</w:t>
      </w:r>
      <w:r>
        <w:rPr>
          <w:szCs w:val="24"/>
        </w:rPr>
        <w:t>进入芒市盆底首部，沿东北至西北流经遮告、芒黑、弄相、风</w:t>
      </w:r>
      <w:r>
        <w:rPr>
          <w:rFonts w:hint="eastAsia"/>
          <w:szCs w:val="24"/>
        </w:rPr>
        <w:t>平</w:t>
      </w:r>
      <w:r>
        <w:rPr>
          <w:szCs w:val="24"/>
        </w:rPr>
        <w:t>、芒波</w:t>
      </w:r>
      <w:r>
        <w:rPr>
          <w:rFonts w:hint="eastAsia"/>
          <w:szCs w:val="24"/>
        </w:rPr>
        <w:t>、</w:t>
      </w:r>
      <w:r>
        <w:rPr>
          <w:szCs w:val="24"/>
        </w:rPr>
        <w:t>帕底、允门，纵穿</w:t>
      </w:r>
      <w:r>
        <w:rPr>
          <w:rFonts w:hint="eastAsia"/>
          <w:szCs w:val="24"/>
        </w:rPr>
        <w:t>芒市坝</w:t>
      </w:r>
      <w:r>
        <w:rPr>
          <w:szCs w:val="24"/>
        </w:rPr>
        <w:t>，而后进入三台山峡谷，至遮放镇芒里寨出谷进入遮放盆底，纵贯盆</w:t>
      </w:r>
      <w:r>
        <w:rPr>
          <w:rFonts w:hint="eastAsia"/>
          <w:szCs w:val="24"/>
        </w:rPr>
        <w:t>地</w:t>
      </w:r>
      <w:r>
        <w:rPr>
          <w:szCs w:val="24"/>
        </w:rPr>
        <w:t>内的团结、户信</w:t>
      </w:r>
      <w:r>
        <w:rPr>
          <w:rFonts w:hint="eastAsia"/>
          <w:szCs w:val="24"/>
        </w:rPr>
        <w:t>、</w:t>
      </w:r>
      <w:r>
        <w:rPr>
          <w:szCs w:val="24"/>
        </w:rPr>
        <w:t>芒瓦、东相、至南蚌西注入龙江，汇口海拔</w:t>
      </w:r>
      <w:r>
        <w:rPr>
          <w:rFonts w:hint="eastAsia"/>
          <w:szCs w:val="24"/>
        </w:rPr>
        <w:t>783</w:t>
      </w:r>
      <w:r>
        <w:rPr>
          <w:szCs w:val="24"/>
        </w:rPr>
        <w:t>m</w:t>
      </w:r>
      <w:r>
        <w:rPr>
          <w:rFonts w:hint="eastAsia"/>
          <w:szCs w:val="24"/>
        </w:rPr>
        <w:t>。（详见附图4项目区水系图）</w:t>
      </w:r>
    </w:p>
    <w:p w14:paraId="28EDB888">
      <w:pPr>
        <w:pStyle w:val="188"/>
      </w:pPr>
      <w:r>
        <w:rPr>
          <w:rFonts w:hint="eastAsia"/>
          <w:lang w:val="en-US" w:eastAsia="zh-CN"/>
        </w:rPr>
        <w:t>5</w:t>
      </w:r>
      <w:r>
        <w:t>.1.</w:t>
      </w:r>
      <w:r>
        <w:rPr>
          <w:rFonts w:hint="eastAsia"/>
        </w:rPr>
        <w:t>6</w:t>
      </w:r>
      <w:r>
        <w:t xml:space="preserve"> </w:t>
      </w:r>
      <w:r>
        <w:rPr>
          <w:rFonts w:hint="eastAsia"/>
        </w:rPr>
        <w:t>土壤</w:t>
      </w:r>
    </w:p>
    <w:p w14:paraId="744A72BC">
      <w:pPr>
        <w:keepNext w:val="0"/>
        <w:keepLines w:val="0"/>
        <w:widowControl/>
        <w:suppressLineNumbers w:val="0"/>
        <w:jc w:val="left"/>
      </w:pPr>
      <w:bookmarkStart w:id="130" w:name="_Toc471998597"/>
      <w:bookmarkStart w:id="131" w:name="_Toc418954607"/>
      <w:r>
        <w:rPr>
          <w:rFonts w:hint="eastAsia" w:ascii="宋体" w:hAnsi="宋体" w:eastAsia="宋体" w:cs="宋体"/>
          <w:color w:val="000000"/>
          <w:sz w:val="24"/>
          <w:szCs w:val="24"/>
          <w:lang w:val="en-US" w:eastAsia="zh-CN" w:bidi="ar"/>
        </w:rPr>
        <w:t>芒市土壤因气候、生物、地质、地形等的相互作用，造成芒市境内土壤类型多。目前，芒市共有</w:t>
      </w:r>
      <w:r>
        <w:rPr>
          <w:rFonts w:ascii="Times New Roman" w:hAnsi="Times New Roman" w:eastAsia="宋体" w:cs="Times New Roman"/>
          <w:color w:val="000000"/>
          <w:sz w:val="24"/>
          <w:szCs w:val="24"/>
          <w:lang w:val="en-US" w:eastAsia="zh-CN" w:bidi="ar"/>
        </w:rPr>
        <w:t>9</w:t>
      </w:r>
      <w:r>
        <w:rPr>
          <w:rFonts w:hint="eastAsia" w:ascii="宋体" w:hAnsi="宋体" w:eastAsia="宋体" w:cs="宋体"/>
          <w:color w:val="000000"/>
          <w:sz w:val="24"/>
          <w:szCs w:val="24"/>
          <w:lang w:val="en-US" w:eastAsia="zh-CN" w:bidi="ar"/>
        </w:rPr>
        <w:t>个土类，</w:t>
      </w:r>
      <w:r>
        <w:rPr>
          <w:rFonts w:ascii="Times New Roman" w:hAnsi="Times New Roman" w:eastAsia="宋体" w:cs="Times New Roman"/>
          <w:color w:val="000000"/>
          <w:sz w:val="24"/>
          <w:szCs w:val="24"/>
          <w:lang w:val="en-US" w:eastAsia="zh-CN" w:bidi="ar"/>
        </w:rPr>
        <w:t>16</w:t>
      </w:r>
      <w:r>
        <w:rPr>
          <w:rFonts w:hint="eastAsia" w:ascii="宋体" w:hAnsi="宋体" w:eastAsia="宋体" w:cs="宋体"/>
          <w:color w:val="000000"/>
          <w:sz w:val="24"/>
          <w:szCs w:val="24"/>
          <w:lang w:val="en-US" w:eastAsia="zh-CN" w:bidi="ar"/>
        </w:rPr>
        <w:t>个亚类，</w:t>
      </w:r>
      <w:r>
        <w:rPr>
          <w:rFonts w:ascii="Times New Roman" w:hAnsi="Times New Roman" w:eastAsia="宋体" w:cs="Times New Roman"/>
          <w:color w:val="000000"/>
          <w:sz w:val="24"/>
          <w:szCs w:val="24"/>
          <w:lang w:val="en-US" w:eastAsia="zh-CN" w:bidi="ar"/>
        </w:rPr>
        <w:t>35</w:t>
      </w:r>
      <w:r>
        <w:rPr>
          <w:rFonts w:hint="eastAsia" w:ascii="宋体" w:hAnsi="宋体" w:eastAsia="宋体" w:cs="宋体"/>
          <w:color w:val="000000"/>
          <w:sz w:val="24"/>
          <w:szCs w:val="24"/>
          <w:lang w:val="en-US" w:eastAsia="zh-CN" w:bidi="ar"/>
        </w:rPr>
        <w:t>个土属，</w:t>
      </w:r>
      <w:r>
        <w:rPr>
          <w:rFonts w:ascii="Times New Roman" w:hAnsi="Times New Roman" w:eastAsia="宋体" w:cs="Times New Roman"/>
          <w:color w:val="000000"/>
          <w:sz w:val="24"/>
          <w:szCs w:val="24"/>
          <w:lang w:val="en-US" w:eastAsia="zh-CN" w:bidi="ar"/>
        </w:rPr>
        <w:t>58</w:t>
      </w:r>
      <w:r>
        <w:rPr>
          <w:rFonts w:hint="eastAsia" w:ascii="宋体" w:hAnsi="宋体" w:eastAsia="宋体" w:cs="宋体"/>
          <w:color w:val="000000"/>
          <w:sz w:val="24"/>
          <w:szCs w:val="24"/>
          <w:lang w:val="en-US" w:eastAsia="zh-CN" w:bidi="ar"/>
        </w:rPr>
        <w:t>个土种。其中：砖红壤性红壤面积</w:t>
      </w:r>
      <w:r>
        <w:rPr>
          <w:rFonts w:ascii="Times New Roman" w:hAnsi="Times New Roman" w:eastAsia="宋体" w:cs="Times New Roman"/>
          <w:color w:val="000000"/>
          <w:sz w:val="24"/>
          <w:szCs w:val="24"/>
          <w:lang w:val="en-US" w:eastAsia="zh-CN" w:bidi="ar"/>
        </w:rPr>
        <w:t>260.2</w:t>
      </w:r>
      <w:r>
        <w:rPr>
          <w:rFonts w:hint="eastAsia" w:ascii="宋体" w:hAnsi="宋体" w:eastAsia="宋体" w:cs="宋体"/>
          <w:color w:val="000000"/>
          <w:sz w:val="24"/>
          <w:szCs w:val="24"/>
          <w:lang w:val="en-US" w:eastAsia="zh-CN" w:bidi="ar"/>
        </w:rPr>
        <w:t>万亩，占总面积的</w:t>
      </w:r>
      <w:r>
        <w:rPr>
          <w:rFonts w:ascii="Times New Roman" w:hAnsi="Times New Roman" w:eastAsia="宋体" w:cs="Times New Roman"/>
          <w:color w:val="000000"/>
          <w:sz w:val="24"/>
          <w:szCs w:val="24"/>
          <w:lang w:val="en-US" w:eastAsia="zh-CN" w:bidi="ar"/>
        </w:rPr>
        <w:t>58.1%</w:t>
      </w:r>
      <w:r>
        <w:rPr>
          <w:rFonts w:hint="eastAsia" w:ascii="宋体" w:hAnsi="宋体" w:eastAsia="宋体" w:cs="宋体"/>
          <w:color w:val="000000"/>
          <w:sz w:val="24"/>
          <w:szCs w:val="24"/>
          <w:lang w:val="en-US" w:eastAsia="zh-CN" w:bidi="ar"/>
        </w:rPr>
        <w:t>，共分为</w:t>
      </w:r>
      <w:r>
        <w:rPr>
          <w:rFonts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个亚类，</w:t>
      </w:r>
      <w:r>
        <w:rPr>
          <w:rFonts w:ascii="Times New Roman" w:hAnsi="Times New Roman" w:eastAsia="宋体" w:cs="Times New Roman"/>
          <w:color w:val="000000"/>
          <w:sz w:val="24"/>
          <w:szCs w:val="24"/>
          <w:lang w:val="en-US" w:eastAsia="zh-CN" w:bidi="ar"/>
        </w:rPr>
        <w:t>10</w:t>
      </w:r>
      <w:r>
        <w:rPr>
          <w:rFonts w:hint="eastAsia" w:ascii="宋体" w:hAnsi="宋体" w:eastAsia="宋体" w:cs="宋体"/>
          <w:color w:val="000000"/>
          <w:sz w:val="24"/>
          <w:szCs w:val="24"/>
          <w:lang w:val="en-US" w:eastAsia="zh-CN" w:bidi="ar"/>
        </w:rPr>
        <w:t>个土属，</w:t>
      </w:r>
      <w:r>
        <w:rPr>
          <w:rFonts w:ascii="Times New Roman" w:hAnsi="Times New Roman" w:eastAsia="宋体" w:cs="Times New Roman"/>
          <w:color w:val="000000"/>
          <w:sz w:val="24"/>
          <w:szCs w:val="24"/>
          <w:lang w:val="en-US" w:eastAsia="zh-CN" w:bidi="ar"/>
        </w:rPr>
        <w:t>15</w:t>
      </w:r>
      <w:r>
        <w:rPr>
          <w:rFonts w:hint="eastAsia" w:ascii="宋体" w:hAnsi="宋体" w:eastAsia="宋体" w:cs="宋体"/>
          <w:color w:val="000000"/>
          <w:sz w:val="24"/>
          <w:szCs w:val="24"/>
          <w:lang w:val="en-US" w:eastAsia="zh-CN" w:bidi="ar"/>
        </w:rPr>
        <w:t>个土种，主要分布在海拔</w:t>
      </w:r>
      <w:r>
        <w:rPr>
          <w:rFonts w:ascii="Times New Roman" w:hAnsi="Times New Roman" w:eastAsia="宋体" w:cs="Times New Roman"/>
          <w:color w:val="000000"/>
          <w:sz w:val="24"/>
          <w:szCs w:val="24"/>
          <w:lang w:val="en-US" w:eastAsia="zh-CN" w:bidi="ar"/>
        </w:rPr>
        <w:t>150</w:t>
      </w:r>
      <w:r>
        <w:rPr>
          <w:rFonts w:hint="eastAsia" w:ascii="宋体" w:hAnsi="宋体" w:eastAsia="宋体" w:cs="宋体"/>
          <w:color w:val="000000"/>
          <w:sz w:val="24"/>
          <w:szCs w:val="24"/>
          <w:lang w:val="en-US" w:eastAsia="zh-CN" w:bidi="ar"/>
        </w:rPr>
        <w:t>米以下的山地、坝区阶地和低丘。红壤面积</w:t>
      </w:r>
      <w:r>
        <w:rPr>
          <w:rFonts w:ascii="Times New Roman" w:hAnsi="Times New Roman" w:eastAsia="宋体" w:cs="Times New Roman"/>
          <w:color w:val="000000"/>
          <w:sz w:val="24"/>
          <w:szCs w:val="24"/>
          <w:lang w:val="en-US" w:eastAsia="zh-CN" w:bidi="ar"/>
        </w:rPr>
        <w:t>78.8</w:t>
      </w:r>
      <w:r>
        <w:rPr>
          <w:rFonts w:hint="eastAsia" w:ascii="宋体" w:hAnsi="宋体" w:eastAsia="宋体" w:cs="宋体"/>
          <w:color w:val="000000"/>
          <w:sz w:val="24"/>
          <w:szCs w:val="24"/>
          <w:lang w:val="en-US" w:eastAsia="zh-CN" w:bidi="ar"/>
        </w:rPr>
        <w:t>万亩，占总面积的</w:t>
      </w:r>
      <w:r>
        <w:rPr>
          <w:rFonts w:ascii="Times New Roman" w:hAnsi="Times New Roman" w:eastAsia="宋体" w:cs="Times New Roman"/>
          <w:color w:val="000000"/>
          <w:sz w:val="24"/>
          <w:szCs w:val="24"/>
          <w:lang w:val="en-US" w:eastAsia="zh-CN" w:bidi="ar"/>
        </w:rPr>
        <w:t>17.6%</w:t>
      </w:r>
      <w:r>
        <w:rPr>
          <w:rFonts w:hint="eastAsia" w:ascii="宋体" w:hAnsi="宋体" w:eastAsia="宋体" w:cs="宋体"/>
          <w:color w:val="000000"/>
          <w:sz w:val="24"/>
          <w:szCs w:val="24"/>
          <w:lang w:val="en-US" w:eastAsia="zh-CN" w:bidi="ar"/>
        </w:rPr>
        <w:t>，共分为</w:t>
      </w:r>
      <w:r>
        <w:rPr>
          <w:rFonts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个亚类，</w:t>
      </w:r>
      <w:r>
        <w:rPr>
          <w:rFonts w:ascii="Times New Roman" w:hAnsi="Times New Roman" w:eastAsia="宋体" w:cs="Times New Roman"/>
          <w:color w:val="000000"/>
          <w:sz w:val="24"/>
          <w:szCs w:val="24"/>
          <w:lang w:val="en-US" w:eastAsia="zh-CN" w:bidi="ar"/>
        </w:rPr>
        <w:t>6</w:t>
      </w:r>
      <w:r>
        <w:rPr>
          <w:rFonts w:hint="eastAsia" w:ascii="宋体" w:hAnsi="宋体" w:eastAsia="宋体" w:cs="宋体"/>
          <w:color w:val="000000"/>
          <w:sz w:val="24"/>
          <w:szCs w:val="24"/>
          <w:lang w:val="en-US" w:eastAsia="zh-CN" w:bidi="ar"/>
        </w:rPr>
        <w:t>个土属，</w:t>
      </w:r>
      <w:r>
        <w:rPr>
          <w:rFonts w:ascii="Times New Roman" w:hAnsi="Times New Roman" w:eastAsia="宋体" w:cs="Times New Roman"/>
          <w:color w:val="000000"/>
          <w:sz w:val="24"/>
          <w:szCs w:val="24"/>
          <w:lang w:val="en-US" w:eastAsia="zh-CN" w:bidi="ar"/>
        </w:rPr>
        <w:t>9</w:t>
      </w:r>
      <w:r>
        <w:rPr>
          <w:rFonts w:hint="eastAsia" w:ascii="宋体" w:hAnsi="宋体" w:eastAsia="宋体" w:cs="宋体"/>
          <w:color w:val="000000"/>
          <w:sz w:val="24"/>
          <w:szCs w:val="24"/>
          <w:lang w:val="en-US" w:eastAsia="zh-CN" w:bidi="ar"/>
        </w:rPr>
        <w:t>个土种。主要分布在海拔</w:t>
      </w:r>
      <w:r>
        <w:rPr>
          <w:rFonts w:ascii="Times New Roman" w:hAnsi="Times New Roman" w:eastAsia="宋体" w:cs="Times New Roman"/>
          <w:color w:val="000000"/>
          <w:sz w:val="24"/>
          <w:szCs w:val="24"/>
          <w:lang w:val="en-US" w:eastAsia="zh-CN" w:bidi="ar"/>
        </w:rPr>
        <w:t>1500m-2000m</w:t>
      </w:r>
      <w:r>
        <w:rPr>
          <w:rFonts w:hint="eastAsia" w:ascii="宋体" w:hAnsi="宋体" w:eastAsia="宋体" w:cs="宋体"/>
          <w:color w:val="000000"/>
          <w:sz w:val="24"/>
          <w:szCs w:val="24"/>
          <w:lang w:val="en-US" w:eastAsia="zh-CN" w:bidi="ar"/>
        </w:rPr>
        <w:t>之间山地。黄壤面积</w:t>
      </w:r>
      <w:r>
        <w:rPr>
          <w:rFonts w:ascii="Times New Roman" w:hAnsi="Times New Roman" w:eastAsia="宋体" w:cs="Times New Roman"/>
          <w:color w:val="000000"/>
          <w:sz w:val="24"/>
          <w:szCs w:val="24"/>
          <w:lang w:val="en-US" w:eastAsia="zh-CN" w:bidi="ar"/>
        </w:rPr>
        <w:t>26</w:t>
      </w:r>
      <w:r>
        <w:rPr>
          <w:rFonts w:hint="eastAsia" w:ascii="宋体" w:hAnsi="宋体" w:eastAsia="宋体" w:cs="宋体"/>
          <w:color w:val="000000"/>
          <w:sz w:val="24"/>
          <w:szCs w:val="24"/>
          <w:lang w:val="en-US" w:eastAsia="zh-CN" w:bidi="ar"/>
        </w:rPr>
        <w:t>万亩，占总面积的</w:t>
      </w:r>
      <w:r>
        <w:rPr>
          <w:rFonts w:ascii="Times New Roman" w:hAnsi="Times New Roman" w:eastAsia="宋体" w:cs="Times New Roman"/>
          <w:color w:val="000000"/>
          <w:sz w:val="24"/>
          <w:szCs w:val="24"/>
          <w:lang w:val="en-US" w:eastAsia="zh-CN" w:bidi="ar"/>
        </w:rPr>
        <w:t>5.8%</w:t>
      </w:r>
      <w:r>
        <w:rPr>
          <w:rFonts w:hint="eastAsia" w:ascii="宋体" w:hAnsi="宋体" w:eastAsia="宋体" w:cs="宋体"/>
          <w:color w:val="000000"/>
          <w:sz w:val="24"/>
          <w:szCs w:val="24"/>
          <w:lang w:val="en-US" w:eastAsia="zh-CN" w:bidi="ar"/>
        </w:rPr>
        <w:t>，共分为</w:t>
      </w:r>
      <w:r>
        <w:rPr>
          <w:rFonts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个土属，</w:t>
      </w:r>
      <w:r>
        <w:rPr>
          <w:rFonts w:ascii="Times New Roman" w:hAnsi="Times New Roman" w:eastAsia="宋体" w:cs="Times New Roman"/>
          <w:color w:val="000000"/>
          <w:sz w:val="24"/>
          <w:szCs w:val="24"/>
          <w:lang w:val="en-US" w:eastAsia="zh-CN" w:bidi="ar"/>
        </w:rPr>
        <w:t>3</w:t>
      </w:r>
      <w:r>
        <w:rPr>
          <w:rFonts w:hint="eastAsia" w:ascii="宋体" w:hAnsi="宋体" w:eastAsia="宋体" w:cs="宋体"/>
          <w:color w:val="000000"/>
          <w:sz w:val="24"/>
          <w:szCs w:val="24"/>
          <w:lang w:val="en-US" w:eastAsia="zh-CN" w:bidi="ar"/>
        </w:rPr>
        <w:t>个土种。主要分布在海拔</w:t>
      </w:r>
      <w:r>
        <w:rPr>
          <w:rFonts w:ascii="Times New Roman" w:hAnsi="Times New Roman" w:eastAsia="宋体" w:cs="Times New Roman"/>
          <w:color w:val="000000"/>
          <w:sz w:val="24"/>
          <w:szCs w:val="24"/>
          <w:lang w:val="en-US" w:eastAsia="zh-CN" w:bidi="ar"/>
        </w:rPr>
        <w:t>2000m-2600m</w:t>
      </w:r>
      <w:r>
        <w:rPr>
          <w:rFonts w:hint="eastAsia" w:ascii="宋体" w:hAnsi="宋体" w:eastAsia="宋体" w:cs="宋体"/>
          <w:color w:val="000000"/>
          <w:sz w:val="24"/>
          <w:szCs w:val="24"/>
          <w:lang w:val="en-US" w:eastAsia="zh-CN" w:bidi="ar"/>
        </w:rPr>
        <w:t>之间山地。棕壤面积</w:t>
      </w:r>
      <w:r>
        <w:rPr>
          <w:rFonts w:ascii="Times New Roman" w:hAnsi="Times New Roman" w:eastAsia="宋体" w:cs="Times New Roman"/>
          <w:color w:val="000000"/>
          <w:sz w:val="24"/>
          <w:szCs w:val="24"/>
          <w:lang w:val="en-US" w:eastAsia="zh-CN" w:bidi="ar"/>
        </w:rPr>
        <w:t>1.8</w:t>
      </w:r>
      <w:r>
        <w:rPr>
          <w:rFonts w:hint="eastAsia" w:ascii="宋体" w:hAnsi="宋体" w:eastAsia="宋体" w:cs="宋体"/>
          <w:color w:val="000000"/>
          <w:sz w:val="24"/>
          <w:szCs w:val="24"/>
          <w:lang w:val="en-US" w:eastAsia="zh-CN" w:bidi="ar"/>
        </w:rPr>
        <w:t>万亩，占总面积的</w:t>
      </w:r>
      <w:r>
        <w:rPr>
          <w:rFonts w:ascii="Times New Roman" w:hAnsi="Times New Roman" w:eastAsia="宋体" w:cs="Times New Roman"/>
          <w:color w:val="000000"/>
          <w:sz w:val="24"/>
          <w:szCs w:val="24"/>
          <w:lang w:val="en-US" w:eastAsia="zh-CN" w:bidi="ar"/>
        </w:rPr>
        <w:t>0.4%</w:t>
      </w:r>
      <w:r>
        <w:rPr>
          <w:rFonts w:hint="eastAsia" w:ascii="宋体" w:hAnsi="宋体" w:eastAsia="宋体" w:cs="宋体"/>
          <w:color w:val="000000"/>
          <w:sz w:val="24"/>
          <w:szCs w:val="24"/>
          <w:lang w:val="en-US" w:eastAsia="zh-CN" w:bidi="ar"/>
        </w:rPr>
        <w:t>。主要分布在海拔</w:t>
      </w:r>
      <w:r>
        <w:rPr>
          <w:rFonts w:ascii="Times New Roman" w:hAnsi="Times New Roman" w:eastAsia="宋体" w:cs="Times New Roman"/>
          <w:color w:val="000000"/>
          <w:sz w:val="24"/>
          <w:szCs w:val="24"/>
          <w:lang w:val="en-US" w:eastAsia="zh-CN" w:bidi="ar"/>
        </w:rPr>
        <w:t>2630m-2889m</w:t>
      </w:r>
      <w:r>
        <w:rPr>
          <w:rFonts w:hint="eastAsia" w:ascii="宋体" w:hAnsi="宋体" w:eastAsia="宋体" w:cs="宋体"/>
          <w:color w:val="000000"/>
          <w:sz w:val="24"/>
          <w:szCs w:val="24"/>
          <w:lang w:val="en-US" w:eastAsia="zh-CN" w:bidi="ar"/>
        </w:rPr>
        <w:t>之间山地，土壤发育慢，矿质风化程度低，含砾砂多，保水保肥力差，共分为</w:t>
      </w:r>
      <w:r>
        <w:rPr>
          <w:rFonts w:ascii="Times New Roman" w:hAnsi="Times New Roman" w:eastAsia="宋体" w:cs="Times New Roman"/>
          <w:color w:val="000000"/>
          <w:sz w:val="24"/>
          <w:szCs w:val="24"/>
          <w:lang w:val="en-US" w:eastAsia="zh-CN" w:bidi="ar"/>
        </w:rPr>
        <w:t>3</w:t>
      </w:r>
      <w:r>
        <w:rPr>
          <w:rFonts w:hint="eastAsia" w:ascii="宋体" w:hAnsi="宋体" w:eastAsia="宋体" w:cs="宋体"/>
          <w:color w:val="000000"/>
          <w:sz w:val="24"/>
          <w:szCs w:val="24"/>
          <w:lang w:val="en-US" w:eastAsia="zh-CN" w:bidi="ar"/>
        </w:rPr>
        <w:t>个亚类，</w:t>
      </w:r>
      <w:r>
        <w:rPr>
          <w:rFonts w:ascii="Times New Roman" w:hAnsi="Times New Roman" w:eastAsia="宋体" w:cs="Times New Roman"/>
          <w:color w:val="000000"/>
          <w:sz w:val="24"/>
          <w:szCs w:val="24"/>
          <w:lang w:val="en-US" w:eastAsia="zh-CN" w:bidi="ar"/>
        </w:rPr>
        <w:t>7</w:t>
      </w:r>
      <w:r>
        <w:rPr>
          <w:rFonts w:hint="eastAsia" w:ascii="宋体" w:hAnsi="宋体" w:eastAsia="宋体" w:cs="宋体"/>
          <w:color w:val="000000"/>
          <w:sz w:val="24"/>
          <w:szCs w:val="24"/>
          <w:lang w:val="en-US" w:eastAsia="zh-CN" w:bidi="ar"/>
        </w:rPr>
        <w:t>个土属，</w:t>
      </w:r>
      <w:r>
        <w:rPr>
          <w:rFonts w:ascii="Times New Roman" w:hAnsi="Times New Roman" w:eastAsia="宋体" w:cs="Times New Roman"/>
          <w:color w:val="000000"/>
          <w:sz w:val="24"/>
          <w:szCs w:val="24"/>
          <w:lang w:val="en-US" w:eastAsia="zh-CN" w:bidi="ar"/>
        </w:rPr>
        <w:t>22</w:t>
      </w:r>
      <w:r>
        <w:rPr>
          <w:rFonts w:hint="eastAsia" w:ascii="宋体" w:hAnsi="宋体" w:eastAsia="宋体" w:cs="宋体"/>
          <w:color w:val="000000"/>
          <w:sz w:val="24"/>
          <w:szCs w:val="24"/>
          <w:lang w:val="en-US" w:eastAsia="zh-CN" w:bidi="ar"/>
        </w:rPr>
        <w:t>个土种。石灰岩面积</w:t>
      </w:r>
      <w:r>
        <w:rPr>
          <w:rFonts w:ascii="Times New Roman" w:hAnsi="Times New Roman" w:eastAsia="宋体" w:cs="Times New Roman"/>
          <w:color w:val="000000"/>
          <w:sz w:val="24"/>
          <w:szCs w:val="24"/>
          <w:lang w:val="en-US" w:eastAsia="zh-CN" w:bidi="ar"/>
        </w:rPr>
        <w:t>30</w:t>
      </w:r>
      <w:r>
        <w:rPr>
          <w:rFonts w:hint="eastAsia" w:ascii="宋体" w:hAnsi="宋体" w:eastAsia="宋体" w:cs="宋体"/>
          <w:color w:val="000000"/>
          <w:sz w:val="24"/>
          <w:szCs w:val="24"/>
          <w:lang w:val="en-US" w:eastAsia="zh-CN" w:bidi="ar"/>
        </w:rPr>
        <w:t>万亩，占总面积的</w:t>
      </w:r>
      <w:r>
        <w:rPr>
          <w:rFonts w:ascii="Times New Roman" w:hAnsi="Times New Roman" w:eastAsia="宋体" w:cs="Times New Roman"/>
          <w:color w:val="000000"/>
          <w:sz w:val="24"/>
          <w:szCs w:val="24"/>
          <w:lang w:val="en-US" w:eastAsia="zh-CN" w:bidi="ar"/>
        </w:rPr>
        <w:t>6.7%</w:t>
      </w:r>
      <w:r>
        <w:rPr>
          <w:rFonts w:hint="eastAsia" w:ascii="宋体" w:hAnsi="宋体" w:eastAsia="宋体" w:cs="宋体"/>
          <w:color w:val="000000"/>
          <w:sz w:val="24"/>
          <w:szCs w:val="24"/>
          <w:lang w:val="en-US" w:eastAsia="zh-CN" w:bidi="ar"/>
        </w:rPr>
        <w:t>。分布零散不成带域，主要在勐嘎镇，东山乡的部分地区，质地较粘细，保水保肥力强。紫色土面积</w:t>
      </w:r>
      <w:r>
        <w:rPr>
          <w:rFonts w:ascii="Times New Roman" w:hAnsi="Times New Roman" w:eastAsia="宋体" w:cs="Times New Roman"/>
          <w:color w:val="000000"/>
          <w:sz w:val="24"/>
          <w:szCs w:val="24"/>
          <w:lang w:val="en-US" w:eastAsia="zh-CN" w:bidi="ar"/>
        </w:rPr>
        <w:t>7.6</w:t>
      </w:r>
      <w:r>
        <w:rPr>
          <w:rFonts w:hint="eastAsia" w:ascii="宋体" w:hAnsi="宋体" w:eastAsia="宋体" w:cs="宋体"/>
          <w:color w:val="000000"/>
          <w:sz w:val="24"/>
          <w:szCs w:val="24"/>
          <w:lang w:val="en-US" w:eastAsia="zh-CN" w:bidi="ar"/>
        </w:rPr>
        <w:t>万亩，占总面积的</w:t>
      </w:r>
      <w:r>
        <w:rPr>
          <w:rFonts w:ascii="Times New Roman" w:hAnsi="Times New Roman" w:eastAsia="宋体" w:cs="Times New Roman"/>
          <w:color w:val="000000"/>
          <w:sz w:val="24"/>
          <w:szCs w:val="24"/>
          <w:lang w:val="en-US" w:eastAsia="zh-CN" w:bidi="ar"/>
        </w:rPr>
        <w:t>1.7%</w:t>
      </w:r>
      <w:r>
        <w:rPr>
          <w:rFonts w:hint="eastAsia" w:ascii="宋体" w:hAnsi="宋体" w:eastAsia="宋体" w:cs="宋体"/>
          <w:color w:val="000000"/>
          <w:sz w:val="24"/>
          <w:szCs w:val="24"/>
          <w:lang w:val="en-US" w:eastAsia="zh-CN" w:bidi="ar"/>
        </w:rPr>
        <w:t>。主要分布在三台山乡、法帕镇的部分地区，土质偏粘，保水保肥力强，冲积土面积</w:t>
      </w:r>
      <w:r>
        <w:rPr>
          <w:rFonts w:ascii="Times New Roman" w:hAnsi="Times New Roman" w:eastAsia="宋体" w:cs="Times New Roman"/>
          <w:color w:val="000000"/>
          <w:sz w:val="24"/>
          <w:szCs w:val="24"/>
          <w:lang w:val="en-US" w:eastAsia="zh-CN" w:bidi="ar"/>
        </w:rPr>
        <w:t>2.4</w:t>
      </w:r>
      <w:r>
        <w:rPr>
          <w:rFonts w:hint="eastAsia" w:ascii="宋体" w:hAnsi="宋体" w:eastAsia="宋体" w:cs="宋体"/>
          <w:color w:val="000000"/>
          <w:sz w:val="24"/>
          <w:szCs w:val="24"/>
          <w:lang w:val="en-US" w:eastAsia="zh-CN" w:bidi="ar"/>
        </w:rPr>
        <w:t>万亩，占总面积的</w:t>
      </w:r>
      <w:r>
        <w:rPr>
          <w:rFonts w:ascii="Times New Roman" w:hAnsi="Times New Roman" w:eastAsia="宋体" w:cs="Times New Roman"/>
          <w:color w:val="000000"/>
          <w:sz w:val="24"/>
          <w:szCs w:val="24"/>
          <w:lang w:val="en-US" w:eastAsia="zh-CN" w:bidi="ar"/>
        </w:rPr>
        <w:t>0.5%</w:t>
      </w:r>
      <w:r>
        <w:rPr>
          <w:rFonts w:hint="eastAsia" w:ascii="宋体" w:hAnsi="宋体" w:eastAsia="宋体" w:cs="宋体"/>
          <w:color w:val="000000"/>
          <w:sz w:val="24"/>
          <w:szCs w:val="24"/>
          <w:lang w:val="en-US" w:eastAsia="zh-CN" w:bidi="ar"/>
        </w:rPr>
        <w:t>。主要分布在芒市大河流两岸的河漫滩平地上，质地砂性，保水保肥力差。沼泽土面积</w:t>
      </w:r>
      <w:r>
        <w:rPr>
          <w:rFonts w:ascii="Times New Roman" w:hAnsi="Times New Roman" w:eastAsia="宋体" w:cs="Times New Roman"/>
          <w:color w:val="000000"/>
          <w:sz w:val="24"/>
          <w:szCs w:val="24"/>
          <w:lang w:val="en-US" w:eastAsia="zh-CN" w:bidi="ar"/>
        </w:rPr>
        <w:t>1123</w:t>
      </w:r>
      <w:r>
        <w:rPr>
          <w:rFonts w:hint="eastAsia" w:ascii="宋体" w:hAnsi="宋体" w:eastAsia="宋体" w:cs="宋体"/>
          <w:color w:val="000000"/>
          <w:sz w:val="24"/>
          <w:szCs w:val="24"/>
          <w:lang w:val="en-US" w:eastAsia="zh-CN" w:bidi="ar"/>
        </w:rPr>
        <w:t>亩，占总面积的</w:t>
      </w:r>
      <w:r>
        <w:rPr>
          <w:rFonts w:ascii="Times New Roman" w:hAnsi="Times New Roman" w:eastAsia="宋体" w:cs="Times New Roman"/>
          <w:color w:val="000000"/>
          <w:sz w:val="24"/>
          <w:szCs w:val="24"/>
          <w:lang w:val="en-US" w:eastAsia="zh-CN" w:bidi="ar"/>
        </w:rPr>
        <w:t>0.03%</w:t>
      </w:r>
      <w:r>
        <w:rPr>
          <w:rFonts w:hint="eastAsia" w:ascii="宋体" w:hAnsi="宋体" w:eastAsia="宋体" w:cs="宋体"/>
          <w:color w:val="000000"/>
          <w:sz w:val="24"/>
          <w:szCs w:val="24"/>
          <w:lang w:val="en-US" w:eastAsia="zh-CN" w:bidi="ar"/>
        </w:rPr>
        <w:t xml:space="preserve">。主要分布在芒市、芒里的部分地区，土壤质地粘细含水多。砖红壤、红壤、黄壤、棕壤成土母岩主要由粗粘结晶、花岗岩、变质岩、砂岩、砂岩质和玄武岩等岩石风化物提供，其理化性能为容易风化，质地疏松，机构松散，持水力较弱，植被受破坏后，易产生水土流失。农业灌溉需水量大。 </w:t>
      </w:r>
    </w:p>
    <w:p w14:paraId="2A74F047">
      <w:pPr>
        <w:keepNext w:val="0"/>
        <w:keepLines w:val="0"/>
        <w:widowControl/>
        <w:suppressLineNumbers w:val="0"/>
        <w:jc w:val="left"/>
      </w:pPr>
      <w:r>
        <w:rPr>
          <w:rFonts w:hint="eastAsia" w:ascii="宋体" w:hAnsi="宋体" w:eastAsia="宋体" w:cs="宋体"/>
          <w:color w:val="000000"/>
          <w:sz w:val="24"/>
          <w:szCs w:val="24"/>
          <w:lang w:val="en-US" w:eastAsia="zh-CN" w:bidi="ar"/>
        </w:rPr>
        <w:t>经现场调查，项目建设区内土壤以黄红壤为主</w:t>
      </w:r>
    </w:p>
    <w:p w14:paraId="7299598D">
      <w:pPr>
        <w:pStyle w:val="188"/>
        <w:rPr>
          <w:rFonts w:eastAsia="黑体"/>
          <w:lang w:val="en-US" w:eastAsia="zh-CN"/>
        </w:rPr>
      </w:pPr>
      <w:r>
        <w:rPr>
          <w:rFonts w:hint="eastAsia"/>
          <w:lang w:val="en-US" w:eastAsia="zh-CN"/>
        </w:rPr>
        <w:t>5</w:t>
      </w:r>
      <w:r>
        <w:rPr>
          <w:rFonts w:hint="eastAsia"/>
        </w:rPr>
        <w:t>.1.7</w:t>
      </w:r>
      <w:r>
        <w:t xml:space="preserve"> </w:t>
      </w:r>
      <w:r>
        <w:rPr>
          <w:rFonts w:hint="eastAsia"/>
        </w:rPr>
        <w:t>植被</w:t>
      </w:r>
      <w:r>
        <w:rPr>
          <w:rFonts w:hint="eastAsia"/>
          <w:lang w:val="en-US" w:eastAsia="zh-CN"/>
        </w:rPr>
        <w:t>及生物多样性</w:t>
      </w:r>
    </w:p>
    <w:p w14:paraId="6E0B999E">
      <w:pPr>
        <w:ind w:firstLine="480"/>
        <w:rPr>
          <w:rFonts w:hint="eastAsia"/>
          <w:szCs w:val="24"/>
        </w:rPr>
      </w:pPr>
      <w:r>
        <w:rPr>
          <w:rFonts w:hint="eastAsia"/>
          <w:szCs w:val="24"/>
        </w:rPr>
        <w:t>芒市地处亚热带地区，终年丰富的热量和充沛的降雨量形成了复杂的植被类型；在云南植被区划上，芒市地处热带季雨林、雨林区域，季风热带北缘季节雨林、半常绿季雨林地带，滇西南中山宽谷高榕、麻楝林亚区。全市有高等植物179科、710属、1142种。根据《云南省芒市森林资源规划设计调查报告》可知，芒市植被初步划分为6个植被型、10个植被亚型和15个群系。</w:t>
      </w:r>
    </w:p>
    <w:p w14:paraId="7B2C27E4">
      <w:pPr>
        <w:rPr>
          <w:rFonts w:hint="eastAsia"/>
        </w:rPr>
      </w:pPr>
      <w:r>
        <w:rPr>
          <w:rFonts w:hint="eastAsia"/>
          <w:lang w:val="en-US" w:eastAsia="zh-CN"/>
        </w:rPr>
        <w:t>芒市的植被以森林植被为主，其次为草本植被。森林植被为南亚热带季雨林、云南松、思茅松等。主要属</w:t>
      </w:r>
      <w:r>
        <w:rPr>
          <w:lang w:val="en-US" w:eastAsia="zh-CN"/>
        </w:rPr>
        <w:t>“</w:t>
      </w:r>
      <w:r>
        <w:rPr>
          <w:rFonts w:hint="eastAsia"/>
          <w:lang w:val="en-US" w:eastAsia="zh-CN"/>
        </w:rPr>
        <w:t>盈江、镇康中山宽谷高榕、麻楝林、云南婆罗双林小区</w:t>
      </w:r>
      <w:r>
        <w:rPr>
          <w:lang w:val="en-US" w:eastAsia="zh-CN"/>
        </w:rPr>
        <w:t>”</w:t>
      </w:r>
      <w:r>
        <w:rPr>
          <w:rFonts w:hint="eastAsia"/>
          <w:lang w:val="en-US" w:eastAsia="zh-CN"/>
        </w:rPr>
        <w:t>，部分划入</w:t>
      </w:r>
      <w:r>
        <w:rPr>
          <w:lang w:val="en-US" w:eastAsia="zh-CN"/>
        </w:rPr>
        <w:t>“</w:t>
      </w:r>
      <w:r>
        <w:rPr>
          <w:rFonts w:hint="eastAsia"/>
          <w:lang w:val="en-US" w:eastAsia="zh-CN"/>
        </w:rPr>
        <w:t>腾冲中山宽谷刺斗厂栎、滇木荷林、云南松树林小区</w:t>
      </w:r>
      <w:r>
        <w:rPr>
          <w:lang w:val="en-US" w:eastAsia="zh-CN"/>
        </w:rPr>
        <w:t>”</w:t>
      </w:r>
      <w:r>
        <w:rPr>
          <w:rFonts w:hint="eastAsia"/>
          <w:lang w:val="en-US" w:eastAsia="zh-CN"/>
        </w:rPr>
        <w:t xml:space="preserve">。因温、湿条件差异而呈现垂直和水平分布的差异。海拔 </w:t>
      </w:r>
      <w:r>
        <w:rPr>
          <w:lang w:val="en-US" w:eastAsia="zh-CN"/>
        </w:rPr>
        <w:t xml:space="preserve">1000m </w:t>
      </w:r>
      <w:r>
        <w:rPr>
          <w:rFonts w:hint="eastAsia"/>
          <w:lang w:val="en-US" w:eastAsia="zh-CN"/>
        </w:rPr>
        <w:t xml:space="preserve">以下的坝区，因气候干湿交替较明显，森林植被为南亚热带季雨林，主要林种有高山榕、经椿、楹树、木乃果、酸枣、铁刀木、大叶藤黄、窄叶、对叶榕、羊蹄甲、攀枝花等。盆底边缘丘陵地带分布有以刺栲、山荼科的红木荷为优势。其他树种有黄檀、高山榕、攀枝花。海拔 </w:t>
      </w:r>
      <w:r>
        <w:rPr>
          <w:lang w:val="en-US" w:eastAsia="zh-CN"/>
        </w:rPr>
        <w:t xml:space="preserve">1000-1500m </w:t>
      </w:r>
      <w:r>
        <w:rPr>
          <w:rFonts w:hint="eastAsia"/>
          <w:lang w:val="en-US" w:eastAsia="zh-CN"/>
        </w:rPr>
        <w:t xml:space="preserve">为含高山榕的南亚热带常绿阔叶混叶林。北部芒市附近以杞木、红木荷、桦木等偏湿性树种占优势，中部的三台山及西南部的遮放附近雨量略少，以麻栗、红锥粟占优势。次生地上常伴有耐旱的野火绳，阴湿的箐中可见到树蕨等热带沟谷雨林植物。高山榕在东、西部山脉分布海拔到 </w:t>
      </w:r>
      <w:r>
        <w:rPr>
          <w:lang w:val="en-US" w:eastAsia="zh-CN"/>
        </w:rPr>
        <w:t>1600m</w:t>
      </w:r>
      <w:r>
        <w:rPr>
          <w:rFonts w:hint="eastAsia"/>
          <w:lang w:val="en-US" w:eastAsia="zh-CN"/>
        </w:rPr>
        <w:t xml:space="preserve">。勐嘎处于北坡、水热条件略差，海拔 </w:t>
      </w:r>
      <w:r>
        <w:rPr>
          <w:lang w:val="en-US" w:eastAsia="zh-CN"/>
        </w:rPr>
        <w:t xml:space="preserve">1500m </w:t>
      </w:r>
      <w:r>
        <w:rPr>
          <w:rFonts w:hint="eastAsia"/>
          <w:lang w:val="en-US" w:eastAsia="zh-CN"/>
        </w:rPr>
        <w:t xml:space="preserve">以下有云南松林。江东高梗田一带因地处龙江峡谷阴坡，有大面积南亚热带喜温喜湿性思茅松林。海拔 </w:t>
      </w:r>
      <w:r>
        <w:rPr>
          <w:lang w:val="en-US" w:eastAsia="zh-CN"/>
        </w:rPr>
        <w:t xml:space="preserve">2000m </w:t>
      </w:r>
      <w:r>
        <w:rPr>
          <w:rFonts w:hint="eastAsia"/>
          <w:lang w:val="en-US" w:eastAsia="zh-CN"/>
        </w:rPr>
        <w:t>以上，山高风大，冷湿多雾，树干多生树衣，为北亚热带暖湿带山地苔藓林，优势树种为包头栎、青岗栎，此外有楠木、木莲、云南松、实心竹、灰竹、竹等。</w:t>
      </w:r>
    </w:p>
    <w:p w14:paraId="47F736D5">
      <w:pPr>
        <w:rPr>
          <w:szCs w:val="24"/>
        </w:rPr>
      </w:pPr>
      <w:r>
        <w:rPr>
          <w:rFonts w:hint="eastAsia"/>
          <w:lang w:val="en-US" w:eastAsia="zh-CN"/>
        </w:rPr>
        <w:t>根据现场踏勘和走访调查，</w:t>
      </w:r>
      <w:r>
        <w:rPr>
          <w:rFonts w:hint="eastAsia"/>
        </w:rPr>
        <w:t>本项目区所在区域以人工生态结构为主，仅有少量杂草和本地常见树种，无云南及地方保护树种。</w:t>
      </w:r>
      <w:r>
        <w:t>整个区域内生物多样性较低，生态环境的调控基本靠人为控制。项目建设用地区域范围不属于</w:t>
      </w:r>
      <w:r>
        <w:rPr>
          <w:szCs w:val="24"/>
        </w:rPr>
        <w:t>自然保护区，项目周围无风景名胜区，未发现列入保护的珍稀野生动、植物。</w:t>
      </w:r>
    </w:p>
    <w:p w14:paraId="51186F8A">
      <w:pPr>
        <w:pStyle w:val="188"/>
        <w:rPr>
          <w:rFonts w:hint="eastAsia"/>
        </w:rPr>
      </w:pPr>
      <w:r>
        <w:rPr>
          <w:rFonts w:hint="eastAsia"/>
          <w:lang w:val="en-US" w:eastAsia="zh-CN"/>
        </w:rPr>
        <w:t>5</w:t>
      </w:r>
      <w:r>
        <w:rPr>
          <w:rFonts w:hint="eastAsia"/>
        </w:rPr>
        <w:t>.1.</w:t>
      </w:r>
      <w:r>
        <w:rPr>
          <w:rFonts w:hint="eastAsia"/>
          <w:lang w:val="en-US" w:eastAsia="zh-CN"/>
        </w:rPr>
        <w:t>8</w:t>
      </w:r>
      <w:r>
        <w:t xml:space="preserve"> </w:t>
      </w:r>
      <w:r>
        <w:rPr>
          <w:rFonts w:hint="eastAsia"/>
        </w:rPr>
        <w:t>矿产资源</w:t>
      </w:r>
    </w:p>
    <w:p w14:paraId="62D6124E">
      <w:pPr>
        <w:pStyle w:val="445"/>
        <w:rPr>
          <w:color w:val="000000"/>
          <w:szCs w:val="22"/>
        </w:rPr>
      </w:pPr>
      <w:r>
        <w:rPr>
          <w:color w:val="000000"/>
          <w:szCs w:val="22"/>
        </w:rPr>
        <w:t>芒市境内蕴藏着丰富的矿产资源，有色金属有锡、铅、锌、铜、钨、铬、镍，黑色金属矿有铁，能源矿产有煤和石油，稀有金属矿产有铍、铀、锗、粘土，特种非金属、建筑材料及其它非金属矿有云母、水晶、宝石、石灰石等，但储量都不多，开采少。</w:t>
      </w:r>
    </w:p>
    <w:p w14:paraId="514EF967">
      <w:pPr>
        <w:pStyle w:val="187"/>
        <w:rPr>
          <w:rFonts w:hint="eastAsia" w:ascii="Times New Roman" w:hAnsi="Times New Roman"/>
        </w:rPr>
      </w:pPr>
      <w:bookmarkStart w:id="132" w:name="_Toc20948"/>
      <w:bookmarkStart w:id="133" w:name="_Toc30972"/>
      <w:r>
        <w:rPr>
          <w:rFonts w:hint="eastAsia" w:ascii="Times New Roman" w:hAnsi="Times New Roman"/>
          <w:lang w:val="en-US" w:eastAsia="zh-CN"/>
        </w:rPr>
        <w:t>5</w:t>
      </w:r>
      <w:r>
        <w:rPr>
          <w:rFonts w:hint="eastAsia" w:ascii="Times New Roman" w:hAnsi="Times New Roman"/>
        </w:rPr>
        <w:t>.2 社会环境概况</w:t>
      </w:r>
      <w:bookmarkEnd w:id="128"/>
      <w:bookmarkEnd w:id="129"/>
    </w:p>
    <w:p w14:paraId="434197D0">
      <w:pPr>
        <w:pStyle w:val="188"/>
        <w:rPr>
          <w:rFonts w:hint="eastAsia"/>
        </w:rPr>
      </w:pPr>
      <w:r>
        <w:rPr>
          <w:rFonts w:hint="eastAsia"/>
          <w:lang w:val="en-US" w:eastAsia="zh-CN"/>
        </w:rPr>
        <w:t>5</w:t>
      </w:r>
      <w:r>
        <w:rPr>
          <w:rFonts w:hint="eastAsia"/>
        </w:rPr>
        <w:t>.2.1 行政区划、人口</w:t>
      </w:r>
    </w:p>
    <w:p w14:paraId="1996CF1B">
      <w:pPr>
        <w:ind w:firstLine="480"/>
        <w:rPr>
          <w:szCs w:val="24"/>
        </w:rPr>
      </w:pPr>
      <w:r>
        <w:rPr>
          <w:szCs w:val="24"/>
        </w:rPr>
        <w:t>芒市辖区设有6乡、5镇、1个街道、1个农场管委会：勐焕街道；芒市镇、遮放镇、勐嘎镇、芒海镇、风平镇；轩岗乡、江东乡、西山乡、中山乡、五岔路乡、三台山德昂族乡、遮放农场。80个村委会，15个社区居委会，1022个村民小组，536个居民小组，总人口41.0426万人，以傣族、景颇族、德昂族、阿昌族、傈僳族为主的少数民族人口占总人口的49%。</w:t>
      </w:r>
    </w:p>
    <w:p w14:paraId="04870502">
      <w:pPr>
        <w:ind w:firstLine="480"/>
        <w:rPr>
          <w:szCs w:val="24"/>
        </w:rPr>
      </w:pPr>
      <w:r>
        <w:rPr>
          <w:szCs w:val="24"/>
        </w:rPr>
        <w:t>本项目位于芒市镇大湾村委会街坡村民小组，芒市镇国土总面积359平方公里，下辖10个村民委员会（4个坝区村委会、6个山区村委会）134个自然村182个村民小组，主要居住着汉、傣、景颇、傈僳、德昂等民族，共有居民</w:t>
      </w:r>
      <w:r>
        <w:rPr>
          <w:rFonts w:eastAsia="仿宋_GB2312"/>
          <w:szCs w:val="24"/>
        </w:rPr>
        <w:t>10210</w:t>
      </w:r>
      <w:r>
        <w:rPr>
          <w:szCs w:val="24"/>
        </w:rPr>
        <w:t>户</w:t>
      </w:r>
      <w:r>
        <w:rPr>
          <w:rFonts w:eastAsia="仿宋_GB2312"/>
          <w:szCs w:val="24"/>
        </w:rPr>
        <w:t>46223</w:t>
      </w:r>
      <w:r>
        <w:rPr>
          <w:szCs w:val="24"/>
        </w:rPr>
        <w:t>人，2017年末，实现公共财政预算收入2亿2474万元，同比下降0.47%；实现农村经济总收入11亿7773万元，同比增长2%；实现农村居民人均纯收入9446元，增加1129元，同比增长13.57%。</w:t>
      </w:r>
    </w:p>
    <w:p w14:paraId="2084E79A">
      <w:pPr>
        <w:pStyle w:val="188"/>
        <w:rPr>
          <w:rFonts w:hint="eastAsia"/>
        </w:rPr>
      </w:pPr>
      <w:r>
        <w:rPr>
          <w:rFonts w:hint="eastAsia"/>
          <w:lang w:val="en-US" w:eastAsia="zh-CN"/>
        </w:rPr>
        <w:t>5</w:t>
      </w:r>
      <w:r>
        <w:rPr>
          <w:rFonts w:hint="eastAsia"/>
        </w:rPr>
        <w:t>.2.2 社会经济结构</w:t>
      </w:r>
    </w:p>
    <w:p w14:paraId="3E602922">
      <w:pPr>
        <w:pStyle w:val="219"/>
        <w:ind w:firstLine="480"/>
        <w:rPr>
          <w:sz w:val="24"/>
        </w:rPr>
      </w:pPr>
      <w:r>
        <w:rPr>
          <w:sz w:val="24"/>
        </w:rPr>
        <w:t>2018年是深入贯彻落实党的十九大精神的开局之年，是改革开放40周年，也是围绕“全省率先脱贫摘帽”下苦功、打硬仗、迎国考的关键一年。一年来，面对错综复杂的国内外形势和持续较大的经济下行压力，市人民政府在州委、州政府和市委的正确领导下，在市人大、市政协的监督支持下，团结带领全市各族人民，以习近平新时代中国特色社会主义思想为指导，坚持稳中求进工作总基调，落实高质量发展要求，以供给侧结构性改革为主线，全力打好“三大攻坚战”，统筹推进稳增长、促改革、调结构、惠民生、防风险各项工作，全年预计实现生产总值112.9亿元，同比增长8.5 %</w:t>
      </w:r>
      <w:r>
        <w:rPr>
          <w:rFonts w:hint="eastAsia"/>
          <w:sz w:val="24"/>
        </w:rPr>
        <w:t>；</w:t>
      </w:r>
      <w:r>
        <w:rPr>
          <w:sz w:val="24"/>
        </w:rPr>
        <w:t>完成固定资产投资80.25亿元，增长20.9%;一般公共财政预算收入6.2亿元，增长4%</w:t>
      </w:r>
      <w:r>
        <w:rPr>
          <w:rFonts w:hint="eastAsia"/>
          <w:sz w:val="24"/>
        </w:rPr>
        <w:t>；</w:t>
      </w:r>
      <w:r>
        <w:rPr>
          <w:sz w:val="24"/>
        </w:rPr>
        <w:t>社会消费品零售总额53.4亿元，增长8%;城乡常住居民人均可支配收入分别为28337元和11400元，增长8.5%和10%;居民消费价格指数为102.5%。全市呈现出经济持续向好、民生保障有力、环境质量改善、民族团结进步、社会和谐稳定的良好局面。</w:t>
      </w:r>
    </w:p>
    <w:p w14:paraId="58E1B2B7">
      <w:pPr>
        <w:pStyle w:val="188"/>
      </w:pPr>
      <w:r>
        <w:rPr>
          <w:rFonts w:hint="eastAsia"/>
          <w:lang w:val="en-US" w:eastAsia="zh-CN"/>
        </w:rPr>
        <w:t>5</w:t>
      </w:r>
      <w:r>
        <w:rPr>
          <w:rFonts w:hint="eastAsia"/>
        </w:rPr>
        <w:t>.2.3</w:t>
      </w:r>
      <w:r>
        <w:t xml:space="preserve"> </w:t>
      </w:r>
      <w:r>
        <w:rPr>
          <w:rFonts w:hint="eastAsia"/>
        </w:rPr>
        <w:t>文化教育、卫生</w:t>
      </w:r>
    </w:p>
    <w:p w14:paraId="4930DE70">
      <w:pPr>
        <w:ind w:firstLine="470"/>
        <w:rPr>
          <w:bCs/>
          <w:szCs w:val="24"/>
        </w:rPr>
      </w:pPr>
      <w:r>
        <w:rPr>
          <w:bCs/>
          <w:szCs w:val="24"/>
        </w:rPr>
        <w:t>2018年，</w:t>
      </w:r>
      <w:r>
        <w:rPr>
          <w:szCs w:val="24"/>
        </w:rPr>
        <w:t>教育事业长足发展</w:t>
      </w:r>
      <w:r>
        <w:rPr>
          <w:rFonts w:hint="eastAsia"/>
          <w:szCs w:val="24"/>
        </w:rPr>
        <w:t>，</w:t>
      </w:r>
      <w:r>
        <w:rPr>
          <w:szCs w:val="24"/>
        </w:rPr>
        <w:t>实施风平中心小学、轩岗和谐小学等112个教育项目，新增8所幼儿园。加固改造和拆除C、D级校舍7.8万平方米。第七小学顺利招生办学，市幼儿园入选省现代教育示范学校。“宽带网络校校通”实现全覆盖。“控辍保学”工作成效明显，学前三年毛入园率81.21%，九年义务教育巩固率95.56%，高中阶段毛入学率78.61%。荣获云南省教育先进县称号。卫生健康事业全面发展</w:t>
      </w:r>
      <w:r>
        <w:rPr>
          <w:rFonts w:hint="eastAsia"/>
          <w:szCs w:val="24"/>
        </w:rPr>
        <w:t>，</w:t>
      </w:r>
      <w:r>
        <w:rPr>
          <w:szCs w:val="24"/>
        </w:rPr>
        <w:t>市妇幼保健院迁建项目顺利实施，德宏友谊医院投入运营，遮放镇中心卫生院荣获“全国百佳卫生院”称号。国家基本公共卫生服务项目与中医药事业深度融合发展。传染病发病率控制在较低水平。公立养老机构医疗卫生服务实现全覆盖。全国残疾预防综合试验区稳步推进。非洲猪瘟防控有力。连续10年无食品药品安全重大事故发生。</w:t>
      </w:r>
    </w:p>
    <w:p w14:paraId="312F6D1C">
      <w:pPr>
        <w:pStyle w:val="187"/>
        <w:rPr>
          <w:rFonts w:hint="eastAsia" w:ascii="Times New Roman" w:hAnsi="Times New Roman"/>
        </w:rPr>
      </w:pPr>
      <w:bookmarkStart w:id="134" w:name="_Toc25352"/>
      <w:bookmarkStart w:id="135" w:name="_Toc16279"/>
      <w:r>
        <w:rPr>
          <w:rFonts w:hint="eastAsia" w:ascii="Times New Roman" w:hAnsi="Times New Roman"/>
          <w:lang w:val="en-US" w:eastAsia="zh-CN"/>
        </w:rPr>
        <w:t>5</w:t>
      </w:r>
      <w:r>
        <w:rPr>
          <w:rFonts w:hint="eastAsia" w:ascii="Times New Roman" w:hAnsi="Times New Roman"/>
        </w:rPr>
        <w:t xml:space="preserve">.3 </w:t>
      </w:r>
      <w:bookmarkStart w:id="136" w:name="_Toc489892311"/>
      <w:r>
        <w:rPr>
          <w:rFonts w:hint="eastAsia" w:ascii="Times New Roman" w:hAnsi="Times New Roman"/>
        </w:rPr>
        <w:t>项目周边环境敏感区介绍</w:t>
      </w:r>
      <w:bookmarkEnd w:id="130"/>
      <w:bookmarkEnd w:id="131"/>
      <w:bookmarkEnd w:id="132"/>
    </w:p>
    <w:bookmarkEnd w:id="133"/>
    <w:bookmarkEnd w:id="134"/>
    <w:p w14:paraId="6A5F06B5">
      <w:pPr>
        <w:tabs>
          <w:tab w:val="left" w:pos="1080"/>
        </w:tabs>
        <w:ind w:firstLine="480"/>
        <w:rPr>
          <w:rFonts w:hint="eastAsia"/>
          <w:szCs w:val="22"/>
        </w:rPr>
      </w:pPr>
      <w:bookmarkStart w:id="137" w:name="_Toc418954611"/>
      <w:r>
        <w:rPr>
          <w:rFonts w:hint="eastAsia"/>
          <w:szCs w:val="22"/>
        </w:rPr>
        <w:t>芒市城及附近有菩提寺、五云寺、佛光寺等南传上座部佛教寺庙，有民族文化宫、树包塔、中缅友谊树、滇西抗战纪念碑、果朗王城遗址、风平佛塔、法帕温泉、励基观音寺、三仙洞等风光名胜。</w:t>
      </w:r>
    </w:p>
    <w:p w14:paraId="4C953A06">
      <w:pPr>
        <w:tabs>
          <w:tab w:val="left" w:pos="1080"/>
        </w:tabs>
        <w:ind w:firstLine="480"/>
        <w:rPr>
          <w:rFonts w:hint="eastAsia"/>
          <w:szCs w:val="22"/>
        </w:rPr>
      </w:pPr>
      <w:r>
        <w:rPr>
          <w:rFonts w:hint="eastAsia"/>
          <w:szCs w:val="22"/>
        </w:rPr>
        <w:t>经现场调查项目区500m范围内未发现文物，项目占地不涉及国务院、国家有关部门、省（自治区、直辖市）人民政府、市（州）人民政府、县（区、市）人民政府规定的文化遗产保护区、生态保护区、自然保护区、风景名胜区﹑水源保护区等。</w:t>
      </w:r>
    </w:p>
    <w:p w14:paraId="7B7383F1">
      <w:pPr>
        <w:pStyle w:val="187"/>
        <w:spacing w:before="120" w:after="120"/>
        <w:rPr>
          <w:rFonts w:ascii="Times New Roman" w:hAnsi="Times New Roman" w:eastAsia="宋体"/>
          <w:sz w:val="28"/>
          <w:szCs w:val="28"/>
        </w:rPr>
      </w:pPr>
      <w:bookmarkStart w:id="138" w:name="_Toc13670"/>
      <w:r>
        <w:rPr>
          <w:rFonts w:hint="eastAsia"/>
          <w:lang w:val="en-US" w:eastAsia="zh-CN"/>
        </w:rPr>
        <w:t>5</w:t>
      </w:r>
      <w:r>
        <w:rPr>
          <w:rFonts w:hint="eastAsia"/>
        </w:rPr>
        <w:t>.4</w:t>
      </w:r>
      <w:r>
        <w:t xml:space="preserve"> </w:t>
      </w:r>
      <w:r>
        <w:rPr>
          <w:rFonts w:hint="eastAsia"/>
        </w:rPr>
        <w:t>项目周围环境质量状况</w:t>
      </w:r>
      <w:bookmarkEnd w:id="135"/>
    </w:p>
    <w:bookmarkEnd w:id="136"/>
    <w:p w14:paraId="63735D1B">
      <w:pPr>
        <w:pStyle w:val="188"/>
      </w:pPr>
      <w:r>
        <w:rPr>
          <w:rFonts w:hint="eastAsia"/>
          <w:lang w:val="en-US" w:eastAsia="zh-CN"/>
        </w:rPr>
        <w:t>5</w:t>
      </w:r>
      <w:r>
        <w:rPr>
          <w:rFonts w:hint="eastAsia"/>
        </w:rPr>
        <w:t>.4.1 环境空气质量现状调查与评价</w:t>
      </w:r>
    </w:p>
    <w:p w14:paraId="66A56207">
      <w:pPr>
        <w:ind w:firstLine="480"/>
        <w:rPr>
          <w:color w:val="000000"/>
        </w:rPr>
      </w:pPr>
      <w:r>
        <w:rPr>
          <w:color w:val="000000"/>
        </w:rPr>
        <w:t>为反映项目所在区域</w:t>
      </w:r>
      <w:r>
        <w:rPr>
          <w:rFonts w:hint="eastAsia"/>
          <w:color w:val="000000"/>
        </w:rPr>
        <w:t>环境空气</w:t>
      </w:r>
      <w:r>
        <w:rPr>
          <w:color w:val="000000"/>
        </w:rPr>
        <w:t>质量现状，建设单位委托</w:t>
      </w:r>
      <w:r>
        <w:rPr>
          <w:rFonts w:hint="eastAsia"/>
          <w:color w:val="000000"/>
        </w:rPr>
        <w:t>云南浩辰环保科技有限公司</w:t>
      </w:r>
      <w:r>
        <w:rPr>
          <w:color w:val="000000"/>
        </w:rPr>
        <w:t>于201</w:t>
      </w:r>
      <w:r>
        <w:rPr>
          <w:rFonts w:hint="eastAsia"/>
          <w:color w:val="000000"/>
        </w:rPr>
        <w:t>9</w:t>
      </w:r>
      <w:r>
        <w:rPr>
          <w:color w:val="000000"/>
        </w:rPr>
        <w:t>年</w:t>
      </w:r>
      <w:r>
        <w:rPr>
          <w:rFonts w:hint="eastAsia"/>
          <w:color w:val="000000"/>
          <w:lang w:val="en-US" w:eastAsia="zh-CN"/>
        </w:rPr>
        <w:t>8</w:t>
      </w:r>
      <w:r>
        <w:rPr>
          <w:color w:val="000000"/>
        </w:rPr>
        <w:t>月</w:t>
      </w:r>
      <w:r>
        <w:rPr>
          <w:rFonts w:hint="eastAsia"/>
          <w:color w:val="000000"/>
          <w:lang w:val="en-US" w:eastAsia="zh-CN"/>
        </w:rPr>
        <w:t>20</w:t>
      </w:r>
      <w:r>
        <w:rPr>
          <w:color w:val="000000"/>
        </w:rPr>
        <w:t>日</w:t>
      </w:r>
      <w:r>
        <w:rPr>
          <w:rFonts w:hint="eastAsia"/>
          <w:color w:val="000000"/>
          <w:lang w:val="en-US" w:eastAsia="zh-CN"/>
        </w:rPr>
        <w:t>27</w:t>
      </w:r>
      <w:r>
        <w:rPr>
          <w:color w:val="000000"/>
        </w:rPr>
        <w:t>日对项目区域环境空气质量进行了监测。</w:t>
      </w:r>
    </w:p>
    <w:p w14:paraId="16EF3A46">
      <w:pPr>
        <w:ind w:firstLine="480"/>
        <w:rPr>
          <w:color w:val="000000"/>
        </w:rPr>
      </w:pPr>
      <w:r>
        <w:rPr>
          <w:rFonts w:hint="eastAsia"/>
          <w:color w:val="000000"/>
          <w:lang w:val="en-US" w:eastAsia="zh-CN"/>
        </w:rPr>
        <w:t>监测点位：</w:t>
      </w:r>
      <w:r>
        <w:rPr>
          <w:color w:val="000000"/>
        </w:rPr>
        <w:t>环境空气监测共布设</w:t>
      </w:r>
      <w:r>
        <w:rPr>
          <w:rFonts w:hint="eastAsia"/>
          <w:color w:val="000000"/>
        </w:rPr>
        <w:t>2</w:t>
      </w:r>
      <w:r>
        <w:rPr>
          <w:color w:val="000000"/>
        </w:rPr>
        <w:t>个环境监测点，</w:t>
      </w:r>
      <w:r>
        <w:rPr>
          <w:rFonts w:hint="eastAsia"/>
          <w:color w:val="000000"/>
        </w:rPr>
        <w:t xml:space="preserve">监测点为项目区及下风向的中东灰窑村 </w:t>
      </w:r>
      <w:r>
        <w:rPr>
          <w:color w:val="000000"/>
        </w:rPr>
        <w:t>。</w:t>
      </w:r>
    </w:p>
    <w:p w14:paraId="1DE1BE3C">
      <w:pPr>
        <w:ind w:firstLine="480"/>
        <w:rPr>
          <w:b w:val="0"/>
          <w:bCs w:val="0"/>
          <w:color w:val="000000"/>
        </w:rPr>
      </w:pPr>
      <w:r>
        <w:rPr>
          <w:b w:val="0"/>
          <w:bCs w:val="0"/>
          <w:color w:val="000000"/>
        </w:rPr>
        <w:t>监测项目：TSP、PM</w:t>
      </w:r>
      <w:r>
        <w:rPr>
          <w:b w:val="0"/>
          <w:bCs w:val="0"/>
          <w:color w:val="000000"/>
          <w:vertAlign w:val="subscript"/>
        </w:rPr>
        <w:t>10</w:t>
      </w:r>
      <w:r>
        <w:rPr>
          <w:b w:val="0"/>
          <w:bCs w:val="0"/>
          <w:color w:val="000000"/>
        </w:rPr>
        <w:t>、</w:t>
      </w:r>
      <w:r>
        <w:rPr>
          <w:rFonts w:hint="eastAsia"/>
          <w:b w:val="0"/>
          <w:bCs w:val="0"/>
          <w:color w:val="000000"/>
          <w:lang w:val="en-US" w:eastAsia="zh-CN"/>
        </w:rPr>
        <w:t>二氧化氮</w:t>
      </w:r>
      <w:r>
        <w:rPr>
          <w:rFonts w:hint="eastAsia"/>
          <w:b w:val="0"/>
          <w:bCs w:val="0"/>
          <w:color w:val="000000"/>
        </w:rPr>
        <w:t>、二氧化硫、甲醛、NH</w:t>
      </w:r>
      <w:r>
        <w:rPr>
          <w:rFonts w:hint="eastAsia"/>
          <w:b w:val="0"/>
          <w:bCs w:val="0"/>
          <w:color w:val="000000"/>
          <w:vertAlign w:val="subscript"/>
        </w:rPr>
        <w:t>3</w:t>
      </w:r>
      <w:r>
        <w:rPr>
          <w:rFonts w:hint="eastAsia"/>
          <w:b w:val="0"/>
          <w:bCs w:val="0"/>
          <w:color w:val="000000"/>
        </w:rPr>
        <w:t>、非甲烷总烃</w:t>
      </w:r>
      <w:r>
        <w:rPr>
          <w:b w:val="0"/>
          <w:bCs w:val="0"/>
          <w:color w:val="000000"/>
        </w:rPr>
        <w:t>。</w:t>
      </w:r>
    </w:p>
    <w:p w14:paraId="1A0DE5A7">
      <w:pPr>
        <w:pStyle w:val="401"/>
        <w:spacing w:line="360" w:lineRule="auto"/>
        <w:ind w:firstLine="480"/>
        <w:rPr>
          <w:rFonts w:hint="eastAsia"/>
          <w:b w:val="0"/>
          <w:bCs w:val="0"/>
          <w:color w:val="000000"/>
          <w:sz w:val="24"/>
        </w:rPr>
      </w:pPr>
      <w:r>
        <w:rPr>
          <w:rFonts w:ascii="Times New Roman" w:hAnsi="Times New Roman" w:eastAsia="宋体" w:cs="Times New Roman"/>
          <w:b w:val="0"/>
          <w:bCs w:val="0"/>
          <w:color w:val="000000"/>
          <w:sz w:val="24"/>
          <w:szCs w:val="24"/>
        </w:rPr>
        <w:t>监测时段：</w:t>
      </w:r>
      <w:r>
        <w:rPr>
          <w:rFonts w:ascii="Times New Roman" w:hAnsi="Times New Roman" w:eastAsia="宋体" w:cs="Times New Roman"/>
          <w:b w:val="0"/>
          <w:bCs w:val="0"/>
          <w:color w:val="000000"/>
          <w:sz w:val="24"/>
        </w:rPr>
        <w:t>NO</w:t>
      </w:r>
      <w:r>
        <w:rPr>
          <w:rFonts w:hint="eastAsia" w:eastAsia="宋体" w:cs="Times New Roman"/>
          <w:b w:val="0"/>
          <w:bCs w:val="0"/>
          <w:color w:val="000000"/>
          <w:sz w:val="24"/>
          <w:vertAlign w:val="subscript"/>
          <w:lang w:val="en-US" w:eastAsia="zh-CN"/>
        </w:rPr>
        <w:t>2</w:t>
      </w:r>
      <w:r>
        <w:rPr>
          <w:rFonts w:ascii="Times New Roman" w:hAnsi="Times New Roman" w:eastAsia="宋体" w:cs="Times New Roman"/>
          <w:b w:val="0"/>
          <w:bCs w:val="0"/>
          <w:color w:val="000000"/>
          <w:sz w:val="24"/>
        </w:rPr>
        <w:t>、SO</w:t>
      </w:r>
      <w:r>
        <w:rPr>
          <w:rFonts w:ascii="Times New Roman" w:hAnsi="Times New Roman" w:eastAsia="宋体" w:cs="Times New Roman"/>
          <w:b w:val="0"/>
          <w:bCs w:val="0"/>
          <w:color w:val="000000"/>
          <w:sz w:val="24"/>
          <w:vertAlign w:val="subscript"/>
        </w:rPr>
        <w:t>2</w:t>
      </w:r>
      <w:r>
        <w:rPr>
          <w:rFonts w:hint="eastAsia" w:eastAsia="宋体" w:cs="Times New Roman"/>
          <w:b w:val="0"/>
          <w:bCs w:val="0"/>
          <w:color w:val="000000"/>
          <w:sz w:val="24"/>
          <w:szCs w:val="24"/>
          <w:lang w:eastAsia="zh-CN"/>
        </w:rPr>
        <w:t>、</w:t>
      </w:r>
      <w:r>
        <w:rPr>
          <w:rFonts w:ascii="Times New Roman" w:hAnsi="Times New Roman" w:eastAsia="宋体" w:cs="Times New Roman"/>
          <w:b w:val="0"/>
          <w:bCs w:val="0"/>
          <w:color w:val="000000"/>
          <w:sz w:val="24"/>
          <w:szCs w:val="24"/>
        </w:rPr>
        <w:t>TSP、PM</w:t>
      </w:r>
      <w:r>
        <w:rPr>
          <w:rFonts w:ascii="Times New Roman" w:hAnsi="Times New Roman" w:eastAsia="宋体" w:cs="Times New Roman"/>
          <w:b w:val="0"/>
          <w:bCs w:val="0"/>
          <w:color w:val="000000"/>
          <w:sz w:val="24"/>
          <w:szCs w:val="24"/>
          <w:vertAlign w:val="subscript"/>
        </w:rPr>
        <w:t>10</w:t>
      </w:r>
      <w:r>
        <w:rPr>
          <w:rFonts w:ascii="Times New Roman" w:hAnsi="Times New Roman" w:eastAsia="宋体" w:cs="Times New Roman"/>
          <w:b w:val="0"/>
          <w:bCs w:val="0"/>
          <w:color w:val="000000"/>
          <w:sz w:val="24"/>
          <w:szCs w:val="24"/>
        </w:rPr>
        <w:t>取日均浓度值。</w:t>
      </w:r>
    </w:p>
    <w:p w14:paraId="3529AE5C">
      <w:pPr>
        <w:ind w:firstLine="480"/>
        <w:rPr>
          <w:rFonts w:hint="eastAsia" w:ascii="Times New Roman" w:hAnsi="Times New Roman"/>
          <w:b w:val="0"/>
          <w:bCs w:val="0"/>
          <w:sz w:val="24"/>
        </w:rPr>
      </w:pPr>
      <w:r>
        <w:rPr>
          <w:rFonts w:hint="eastAsia" w:ascii="Times New Roman" w:hAnsi="Times New Roman"/>
          <w:b w:val="0"/>
          <w:bCs w:val="0"/>
          <w:color w:val="000000"/>
          <w:sz w:val="24"/>
          <w:lang w:val="en-US" w:eastAsia="zh-CN"/>
        </w:rPr>
        <w:t>监测频次：</w:t>
      </w:r>
      <w:r>
        <w:rPr>
          <w:rFonts w:ascii="Times New Roman" w:hAnsi="Times New Roman"/>
          <w:b w:val="0"/>
          <w:bCs w:val="0"/>
          <w:color w:val="000000"/>
          <w:sz w:val="24"/>
        </w:rPr>
        <w:t>连续</w:t>
      </w:r>
      <w:r>
        <w:rPr>
          <w:rFonts w:hint="eastAsia" w:ascii="Times New Roman" w:hAnsi="Times New Roman"/>
          <w:b w:val="0"/>
          <w:bCs w:val="0"/>
          <w:color w:val="000000"/>
          <w:sz w:val="24"/>
        </w:rPr>
        <w:t>7</w:t>
      </w:r>
      <w:r>
        <w:rPr>
          <w:rFonts w:ascii="Times New Roman" w:hAnsi="Times New Roman"/>
          <w:b w:val="0"/>
          <w:bCs w:val="0"/>
          <w:color w:val="000000"/>
          <w:sz w:val="24"/>
        </w:rPr>
        <w:t>天采样</w:t>
      </w:r>
      <w:r>
        <w:rPr>
          <w:rFonts w:hint="eastAsia" w:ascii="Times New Roman" w:hAnsi="Times New Roman"/>
          <w:b w:val="0"/>
          <w:bCs w:val="0"/>
          <w:color w:val="000000"/>
          <w:sz w:val="24"/>
          <w:lang w:eastAsia="zh-CN"/>
        </w:rPr>
        <w:t>，</w:t>
      </w:r>
      <w:r>
        <w:rPr>
          <w:rFonts w:hint="eastAsia" w:cs="Times New Roman"/>
          <w:b w:val="0"/>
          <w:bCs w:val="0"/>
          <w:color w:val="000000"/>
          <w:sz w:val="24"/>
          <w:vertAlign w:val="baseline"/>
          <w:lang w:val="en-US" w:eastAsia="zh-CN"/>
        </w:rPr>
        <w:t>苯酚、甲醛</w:t>
      </w:r>
      <w:r>
        <w:rPr>
          <w:rFonts w:hint="eastAsia" w:ascii="Times New Roman" w:hAnsi="Times New Roman"/>
          <w:b w:val="0"/>
          <w:bCs w:val="0"/>
          <w:color w:val="000000"/>
          <w:sz w:val="24"/>
          <w:lang w:val="en-US" w:eastAsia="zh-CN"/>
        </w:rPr>
        <w:t>每天监测4个时段</w:t>
      </w:r>
      <w:r>
        <w:rPr>
          <w:rFonts w:ascii="Times New Roman" w:hAnsi="Times New Roman"/>
          <w:b w:val="0"/>
          <w:bCs w:val="0"/>
          <w:color w:val="000000"/>
          <w:sz w:val="24"/>
        </w:rPr>
        <w:t>。</w:t>
      </w:r>
      <w:r>
        <w:rPr>
          <w:rFonts w:hint="eastAsia" w:ascii="Times New Roman" w:hAnsi="Times New Roman"/>
          <w:b w:val="0"/>
          <w:bCs w:val="0"/>
          <w:color w:val="000000"/>
          <w:sz w:val="24"/>
        </w:rPr>
        <w:t>监测时</w:t>
      </w:r>
      <w:r>
        <w:rPr>
          <w:rFonts w:ascii="Times New Roman" w:hAnsi="Times New Roman"/>
          <w:b w:val="0"/>
          <w:bCs w:val="0"/>
          <w:color w:val="000000"/>
          <w:sz w:val="24"/>
        </w:rPr>
        <w:t>请记录采样期间气象参数(包括气温、气压、风向、风速、天气状</w:t>
      </w:r>
      <w:r>
        <w:rPr>
          <w:rFonts w:ascii="Times New Roman" w:hAnsi="Times New Roman"/>
          <w:b w:val="0"/>
          <w:bCs w:val="0"/>
          <w:sz w:val="24"/>
        </w:rPr>
        <w:t>况)</w:t>
      </w:r>
      <w:r>
        <w:rPr>
          <w:rFonts w:hint="eastAsia" w:ascii="Times New Roman" w:hAnsi="Times New Roman"/>
          <w:b w:val="0"/>
          <w:bCs w:val="0"/>
          <w:sz w:val="24"/>
        </w:rPr>
        <w:t>。</w:t>
      </w:r>
    </w:p>
    <w:p w14:paraId="76BFD09B">
      <w:pPr>
        <w:ind w:firstLine="480"/>
        <w:rPr>
          <w:rFonts w:hint="eastAsia"/>
          <w:color w:val="000000"/>
        </w:rPr>
      </w:pPr>
      <w:r>
        <w:rPr>
          <w:rFonts w:hint="eastAsia"/>
          <w:color w:val="000000"/>
        </w:rPr>
        <w:t>监测</w:t>
      </w:r>
      <w:r>
        <w:rPr>
          <w:color w:val="000000"/>
        </w:rPr>
        <w:t>结果见表</w:t>
      </w:r>
      <w:r>
        <w:rPr>
          <w:rFonts w:hint="eastAsia"/>
          <w:color w:val="000000"/>
          <w:lang w:val="en-US" w:eastAsia="zh-CN"/>
        </w:rPr>
        <w:t>5.4</w:t>
      </w:r>
      <w:r>
        <w:rPr>
          <w:rFonts w:hint="eastAsia"/>
          <w:color w:val="000000"/>
        </w:rPr>
        <w:t>-1～</w:t>
      </w:r>
      <w:r>
        <w:rPr>
          <w:rFonts w:hint="eastAsia" w:eastAsia="宋体"/>
          <w:color w:val="000000"/>
          <w:lang w:val="en-US" w:eastAsia="zh-CN"/>
        </w:rPr>
        <w:t>5</w:t>
      </w:r>
      <w:r>
        <w:rPr>
          <w:rFonts w:hint="eastAsia"/>
          <w:color w:val="000000"/>
          <w:lang w:val="en-US" w:eastAsia="zh-CN"/>
        </w:rPr>
        <w:t>.4</w:t>
      </w:r>
      <w:r>
        <w:rPr>
          <w:rFonts w:hint="eastAsia"/>
          <w:color w:val="000000"/>
        </w:rPr>
        <w:t>-</w:t>
      </w:r>
      <w:r>
        <w:rPr>
          <w:rFonts w:hint="eastAsia"/>
          <w:color w:val="000000"/>
          <w:lang w:val="en-US" w:eastAsia="zh-CN"/>
        </w:rPr>
        <w:t>2</w:t>
      </w:r>
      <w:r>
        <w:rPr>
          <w:rFonts w:hint="eastAsia"/>
          <w:color w:val="000000"/>
        </w:rPr>
        <w:t>。</w:t>
      </w:r>
    </w:p>
    <w:p w14:paraId="45DE0850">
      <w:pPr>
        <w:ind w:firstLine="120"/>
        <w:jc w:val="center"/>
        <w:rPr>
          <w:b/>
          <w:bCs/>
          <w:sz w:val="24"/>
          <w:szCs w:val="24"/>
        </w:rPr>
      </w:pPr>
      <w:r>
        <w:rPr>
          <w:rFonts w:hint="eastAsia" w:hAnsi="宋体"/>
          <w:b/>
          <w:color w:val="000000"/>
          <w:szCs w:val="24"/>
        </w:rPr>
        <w:t xml:space="preserve"> </w:t>
      </w:r>
      <w:r>
        <w:rPr>
          <w:rFonts w:hAnsi="宋体"/>
          <w:b/>
          <w:color w:val="000000"/>
          <w:szCs w:val="24"/>
        </w:rPr>
        <w:t>表</w:t>
      </w:r>
      <w:r>
        <w:rPr>
          <w:rFonts w:hint="eastAsia"/>
          <w:b/>
          <w:color w:val="000000"/>
          <w:szCs w:val="24"/>
          <w:lang w:val="en-US" w:eastAsia="zh-CN"/>
        </w:rPr>
        <w:t>5</w:t>
      </w:r>
      <w:r>
        <w:rPr>
          <w:b/>
          <w:color w:val="000000"/>
          <w:szCs w:val="24"/>
        </w:rPr>
        <w:t>.</w:t>
      </w:r>
      <w:r>
        <w:rPr>
          <w:rFonts w:hint="eastAsia"/>
          <w:b/>
          <w:color w:val="000000"/>
          <w:szCs w:val="24"/>
        </w:rPr>
        <w:t>4</w:t>
      </w:r>
      <w:r>
        <w:rPr>
          <w:b/>
          <w:color w:val="000000"/>
          <w:szCs w:val="24"/>
        </w:rPr>
        <w:t xml:space="preserve">-1  </w:t>
      </w:r>
      <w:r>
        <w:rPr>
          <w:b/>
          <w:bCs/>
          <w:sz w:val="24"/>
          <w:szCs w:val="24"/>
        </w:rPr>
        <w:t>环境空气</w:t>
      </w:r>
      <w:r>
        <w:rPr>
          <w:rFonts w:hint="eastAsia"/>
          <w:b/>
          <w:bCs/>
          <w:sz w:val="24"/>
          <w:szCs w:val="24"/>
          <w:lang w:val="en-US" w:eastAsia="zh-CN"/>
        </w:rPr>
        <w:t>日均</w:t>
      </w:r>
      <w:r>
        <w:rPr>
          <w:b/>
          <w:bCs/>
          <w:sz w:val="24"/>
          <w:szCs w:val="24"/>
        </w:rPr>
        <w:t>检测结果一览表</w:t>
      </w:r>
    </w:p>
    <w:tbl>
      <w:tblPr>
        <w:tblStyle w:val="32"/>
        <w:tblW w:w="94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41"/>
        <w:gridCol w:w="2216"/>
        <w:gridCol w:w="2087"/>
        <w:gridCol w:w="1890"/>
        <w:gridCol w:w="1125"/>
        <w:gridCol w:w="829"/>
      </w:tblGrid>
      <w:tr w14:paraId="373A1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noWrap w:val="0"/>
            <w:tcMar>
              <w:top w:w="15" w:type="dxa"/>
              <w:left w:w="15" w:type="dxa"/>
              <w:bottom w:w="15" w:type="dxa"/>
              <w:right w:w="15" w:type="dxa"/>
            </w:tcMar>
            <w:vAlign w:val="center"/>
          </w:tcPr>
          <w:p w14:paraId="597043FA">
            <w:pPr>
              <w:ind w:firstLine="0"/>
              <w:jc w:val="center"/>
              <w:rPr>
                <w:sz w:val="21"/>
                <w:szCs w:val="21"/>
              </w:rPr>
            </w:pPr>
            <w:r>
              <w:rPr>
                <w:sz w:val="21"/>
                <w:szCs w:val="21"/>
              </w:rPr>
              <w:t>分析项目</w:t>
            </w:r>
          </w:p>
        </w:tc>
        <w:tc>
          <w:tcPr>
            <w:tcW w:w="2216" w:type="dxa"/>
            <w:noWrap w:val="0"/>
            <w:tcMar>
              <w:top w:w="15" w:type="dxa"/>
              <w:left w:w="15" w:type="dxa"/>
              <w:bottom w:w="15" w:type="dxa"/>
              <w:right w:w="15" w:type="dxa"/>
            </w:tcMar>
            <w:vAlign w:val="center"/>
          </w:tcPr>
          <w:p w14:paraId="75614921">
            <w:pPr>
              <w:ind w:firstLine="0"/>
              <w:jc w:val="center"/>
              <w:rPr>
                <w:sz w:val="21"/>
                <w:szCs w:val="21"/>
              </w:rPr>
            </w:pPr>
            <w:r>
              <w:rPr>
                <w:sz w:val="21"/>
                <w:szCs w:val="21"/>
              </w:rPr>
              <w:t>采样日期</w:t>
            </w:r>
          </w:p>
        </w:tc>
        <w:tc>
          <w:tcPr>
            <w:tcW w:w="2087" w:type="dxa"/>
            <w:noWrap w:val="0"/>
            <w:vAlign w:val="center"/>
          </w:tcPr>
          <w:p w14:paraId="139AD63F">
            <w:pPr>
              <w:ind w:firstLine="0"/>
              <w:contextualSpacing/>
              <w:jc w:val="center"/>
              <w:rPr>
                <w:sz w:val="21"/>
                <w:szCs w:val="21"/>
              </w:rPr>
            </w:pPr>
            <w:r>
              <w:rPr>
                <w:sz w:val="21"/>
                <w:szCs w:val="21"/>
              </w:rPr>
              <w:t>项目区（HQ01）</w:t>
            </w:r>
          </w:p>
        </w:tc>
        <w:tc>
          <w:tcPr>
            <w:tcW w:w="1890" w:type="dxa"/>
            <w:noWrap w:val="0"/>
            <w:vAlign w:val="center"/>
          </w:tcPr>
          <w:p w14:paraId="3074DCEA">
            <w:pPr>
              <w:ind w:firstLine="0"/>
              <w:jc w:val="center"/>
              <w:rPr>
                <w:sz w:val="21"/>
                <w:szCs w:val="21"/>
              </w:rPr>
            </w:pPr>
            <w:r>
              <w:rPr>
                <w:sz w:val="21"/>
                <w:szCs w:val="21"/>
              </w:rPr>
              <w:t>中东灰窑村（HQ02）</w:t>
            </w:r>
          </w:p>
        </w:tc>
        <w:tc>
          <w:tcPr>
            <w:tcW w:w="1125" w:type="dxa"/>
            <w:noWrap w:val="0"/>
            <w:vAlign w:val="center"/>
          </w:tcPr>
          <w:p w14:paraId="6E541E66">
            <w:pPr>
              <w:ind w:firstLine="0"/>
              <w:jc w:val="center"/>
              <w:rPr>
                <w:sz w:val="21"/>
                <w:szCs w:val="21"/>
              </w:rPr>
            </w:pPr>
            <w:r>
              <w:rPr>
                <w:rFonts w:hint="eastAsia"/>
                <w:sz w:val="21"/>
                <w:szCs w:val="21"/>
              </w:rPr>
              <w:t>标准值</w:t>
            </w:r>
          </w:p>
        </w:tc>
        <w:tc>
          <w:tcPr>
            <w:tcW w:w="829" w:type="dxa"/>
            <w:noWrap w:val="0"/>
            <w:vAlign w:val="center"/>
          </w:tcPr>
          <w:p w14:paraId="2F370B12">
            <w:pPr>
              <w:ind w:firstLine="0"/>
              <w:jc w:val="center"/>
              <w:rPr>
                <w:sz w:val="21"/>
                <w:szCs w:val="21"/>
              </w:rPr>
            </w:pPr>
            <w:r>
              <w:rPr>
                <w:rFonts w:hint="eastAsia"/>
                <w:sz w:val="21"/>
                <w:szCs w:val="21"/>
              </w:rPr>
              <w:t>达标情况</w:t>
            </w:r>
          </w:p>
        </w:tc>
      </w:tr>
      <w:tr w14:paraId="0D8C2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restart"/>
            <w:noWrap w:val="0"/>
            <w:tcMar>
              <w:top w:w="15" w:type="dxa"/>
              <w:left w:w="15" w:type="dxa"/>
              <w:bottom w:w="15" w:type="dxa"/>
              <w:right w:w="15" w:type="dxa"/>
            </w:tcMar>
            <w:vAlign w:val="center"/>
          </w:tcPr>
          <w:p w14:paraId="58FAB729">
            <w:pPr>
              <w:ind w:firstLine="420"/>
              <w:jc w:val="both"/>
              <w:rPr>
                <w:rFonts w:hint="eastAsia"/>
                <w:sz w:val="21"/>
                <w:szCs w:val="21"/>
                <w:lang w:val="en-US" w:eastAsia="zh-CN"/>
              </w:rPr>
            </w:pPr>
          </w:p>
          <w:p w14:paraId="0850F2BB">
            <w:pPr>
              <w:ind w:firstLine="420"/>
              <w:jc w:val="both"/>
              <w:rPr>
                <w:rFonts w:hint="eastAsia"/>
                <w:sz w:val="21"/>
                <w:szCs w:val="21"/>
                <w:lang w:val="en-US" w:eastAsia="zh-CN"/>
              </w:rPr>
            </w:pPr>
          </w:p>
          <w:p w14:paraId="34141320">
            <w:pPr>
              <w:ind w:firstLine="420"/>
              <w:jc w:val="both"/>
              <w:rPr>
                <w:sz w:val="21"/>
                <w:szCs w:val="21"/>
              </w:rPr>
            </w:pPr>
            <w:r>
              <w:rPr>
                <w:rFonts w:hint="eastAsia"/>
                <w:sz w:val="21"/>
                <w:szCs w:val="21"/>
                <w:lang w:val="en-US" w:eastAsia="zh-CN"/>
              </w:rPr>
              <w:t>TSP</w:t>
            </w:r>
          </w:p>
        </w:tc>
        <w:tc>
          <w:tcPr>
            <w:tcW w:w="2216" w:type="dxa"/>
            <w:noWrap w:val="0"/>
            <w:tcMar>
              <w:top w:w="15" w:type="dxa"/>
              <w:left w:w="15" w:type="dxa"/>
              <w:bottom w:w="15" w:type="dxa"/>
              <w:right w:w="15" w:type="dxa"/>
            </w:tcMar>
            <w:vAlign w:val="center"/>
          </w:tcPr>
          <w:p w14:paraId="40A2F18A">
            <w:pPr>
              <w:ind w:firstLine="0"/>
              <w:jc w:val="center"/>
              <w:rPr>
                <w:sz w:val="21"/>
                <w:szCs w:val="21"/>
              </w:rPr>
            </w:pPr>
            <w:r>
              <w:rPr>
                <w:sz w:val="21"/>
                <w:szCs w:val="21"/>
              </w:rPr>
              <w:t>2019.08.21</w:t>
            </w:r>
          </w:p>
        </w:tc>
        <w:tc>
          <w:tcPr>
            <w:tcW w:w="2087" w:type="dxa"/>
            <w:noWrap w:val="0"/>
            <w:vAlign w:val="center"/>
          </w:tcPr>
          <w:p w14:paraId="10A9E2DD">
            <w:pPr>
              <w:ind w:firstLine="0"/>
              <w:jc w:val="center"/>
              <w:rPr>
                <w:sz w:val="21"/>
                <w:szCs w:val="21"/>
              </w:rPr>
            </w:pPr>
            <w:r>
              <w:rPr>
                <w:rFonts w:hint="eastAsia"/>
                <w:sz w:val="21"/>
                <w:szCs w:val="21"/>
              </w:rPr>
              <w:t>0.044</w:t>
            </w:r>
          </w:p>
        </w:tc>
        <w:tc>
          <w:tcPr>
            <w:tcW w:w="1890" w:type="dxa"/>
            <w:noWrap w:val="0"/>
            <w:vAlign w:val="center"/>
          </w:tcPr>
          <w:p w14:paraId="382C2DF5">
            <w:pPr>
              <w:ind w:firstLine="0"/>
              <w:jc w:val="center"/>
              <w:rPr>
                <w:sz w:val="21"/>
                <w:szCs w:val="21"/>
              </w:rPr>
            </w:pPr>
            <w:r>
              <w:rPr>
                <w:rFonts w:hint="eastAsia"/>
                <w:sz w:val="21"/>
                <w:szCs w:val="21"/>
              </w:rPr>
              <w:t>0.044</w:t>
            </w:r>
          </w:p>
        </w:tc>
        <w:tc>
          <w:tcPr>
            <w:tcW w:w="1125" w:type="dxa"/>
            <w:vMerge w:val="restart"/>
            <w:noWrap w:val="0"/>
            <w:vAlign w:val="center"/>
          </w:tcPr>
          <w:p w14:paraId="267218CA">
            <w:pPr>
              <w:ind w:left="0" w:firstLine="0"/>
              <w:jc w:val="center"/>
              <w:rPr>
                <w:rFonts w:hint="eastAsia"/>
                <w:sz w:val="21"/>
                <w:szCs w:val="21"/>
                <w:lang w:val="en-US" w:eastAsia="zh-CN"/>
              </w:rPr>
            </w:pPr>
          </w:p>
          <w:p w14:paraId="4552DE6E">
            <w:pPr>
              <w:ind w:left="0" w:firstLine="0"/>
              <w:jc w:val="center"/>
              <w:rPr>
                <w:rFonts w:hint="eastAsia"/>
                <w:sz w:val="21"/>
                <w:szCs w:val="21"/>
                <w:lang w:val="en-US" w:eastAsia="zh-CN"/>
              </w:rPr>
            </w:pPr>
          </w:p>
          <w:p w14:paraId="5D421B9B">
            <w:pPr>
              <w:ind w:left="0" w:firstLine="0"/>
              <w:jc w:val="center"/>
              <w:rPr>
                <w:sz w:val="21"/>
                <w:szCs w:val="21"/>
                <w:lang w:val="en-US" w:eastAsia="zh-CN"/>
              </w:rPr>
            </w:pPr>
            <w:r>
              <w:rPr>
                <w:rFonts w:hint="eastAsia"/>
                <w:sz w:val="21"/>
                <w:szCs w:val="21"/>
                <w:lang w:val="en-US" w:eastAsia="zh-CN"/>
              </w:rPr>
              <w:t>0.3</w:t>
            </w:r>
          </w:p>
        </w:tc>
        <w:tc>
          <w:tcPr>
            <w:tcW w:w="829" w:type="dxa"/>
            <w:vMerge w:val="restart"/>
            <w:noWrap w:val="0"/>
            <w:vAlign w:val="center"/>
          </w:tcPr>
          <w:p w14:paraId="2103DCF0">
            <w:pPr>
              <w:ind w:left="0" w:firstLine="0"/>
              <w:jc w:val="center"/>
              <w:rPr>
                <w:rFonts w:hint="eastAsia"/>
                <w:sz w:val="21"/>
                <w:szCs w:val="21"/>
                <w:lang w:val="en-US" w:eastAsia="zh-CN"/>
              </w:rPr>
            </w:pPr>
          </w:p>
          <w:p w14:paraId="2E2B444B">
            <w:pPr>
              <w:ind w:left="0" w:firstLine="0"/>
              <w:jc w:val="center"/>
              <w:rPr>
                <w:rFonts w:hint="eastAsia"/>
                <w:sz w:val="21"/>
                <w:szCs w:val="21"/>
                <w:lang w:val="en-US" w:eastAsia="zh-CN"/>
              </w:rPr>
            </w:pPr>
          </w:p>
          <w:p w14:paraId="2DAB796E">
            <w:pPr>
              <w:ind w:left="0" w:firstLine="0"/>
              <w:jc w:val="center"/>
              <w:rPr>
                <w:sz w:val="21"/>
                <w:szCs w:val="21"/>
                <w:lang w:val="en-US" w:eastAsia="zh-CN"/>
              </w:rPr>
            </w:pPr>
            <w:r>
              <w:rPr>
                <w:rFonts w:hint="eastAsia"/>
                <w:sz w:val="21"/>
                <w:szCs w:val="21"/>
                <w:lang w:val="en-US" w:eastAsia="zh-CN"/>
              </w:rPr>
              <w:t>达标</w:t>
            </w:r>
          </w:p>
        </w:tc>
      </w:tr>
      <w:tr w14:paraId="5E2BA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48C2A214">
            <w:pPr>
              <w:ind w:firstLine="420"/>
              <w:jc w:val="center"/>
              <w:rPr>
                <w:sz w:val="21"/>
                <w:szCs w:val="21"/>
              </w:rPr>
            </w:pPr>
          </w:p>
        </w:tc>
        <w:tc>
          <w:tcPr>
            <w:tcW w:w="2216" w:type="dxa"/>
            <w:noWrap w:val="0"/>
            <w:tcMar>
              <w:top w:w="15" w:type="dxa"/>
              <w:left w:w="15" w:type="dxa"/>
              <w:bottom w:w="15" w:type="dxa"/>
              <w:right w:w="15" w:type="dxa"/>
            </w:tcMar>
            <w:vAlign w:val="center"/>
          </w:tcPr>
          <w:p w14:paraId="6C37FCE1">
            <w:pPr>
              <w:ind w:firstLine="0"/>
              <w:jc w:val="center"/>
              <w:rPr>
                <w:sz w:val="21"/>
                <w:szCs w:val="21"/>
              </w:rPr>
            </w:pPr>
            <w:r>
              <w:rPr>
                <w:sz w:val="21"/>
                <w:szCs w:val="21"/>
              </w:rPr>
              <w:t>2019.08.22</w:t>
            </w:r>
          </w:p>
        </w:tc>
        <w:tc>
          <w:tcPr>
            <w:tcW w:w="2087" w:type="dxa"/>
            <w:noWrap w:val="0"/>
            <w:vAlign w:val="center"/>
          </w:tcPr>
          <w:p w14:paraId="48E20254">
            <w:pPr>
              <w:ind w:firstLine="0"/>
              <w:jc w:val="center"/>
              <w:rPr>
                <w:sz w:val="21"/>
                <w:szCs w:val="21"/>
              </w:rPr>
            </w:pPr>
            <w:r>
              <w:rPr>
                <w:rFonts w:hint="eastAsia"/>
                <w:sz w:val="21"/>
                <w:szCs w:val="21"/>
              </w:rPr>
              <w:t>0.040</w:t>
            </w:r>
          </w:p>
        </w:tc>
        <w:tc>
          <w:tcPr>
            <w:tcW w:w="1890" w:type="dxa"/>
            <w:noWrap w:val="0"/>
            <w:vAlign w:val="center"/>
          </w:tcPr>
          <w:p w14:paraId="3CA4198B">
            <w:pPr>
              <w:ind w:firstLine="0"/>
              <w:jc w:val="center"/>
              <w:rPr>
                <w:sz w:val="21"/>
                <w:szCs w:val="21"/>
              </w:rPr>
            </w:pPr>
            <w:r>
              <w:rPr>
                <w:rFonts w:hint="eastAsia"/>
                <w:sz w:val="21"/>
                <w:szCs w:val="21"/>
              </w:rPr>
              <w:t>0.041</w:t>
            </w:r>
          </w:p>
        </w:tc>
        <w:tc>
          <w:tcPr>
            <w:tcW w:w="1125" w:type="dxa"/>
            <w:vMerge w:val="continue"/>
            <w:noWrap w:val="0"/>
            <w:vAlign w:val="center"/>
          </w:tcPr>
          <w:p w14:paraId="36FCEA24">
            <w:pPr>
              <w:ind w:firstLine="420"/>
              <w:jc w:val="center"/>
              <w:rPr>
                <w:sz w:val="21"/>
                <w:szCs w:val="21"/>
              </w:rPr>
            </w:pPr>
          </w:p>
        </w:tc>
        <w:tc>
          <w:tcPr>
            <w:tcW w:w="829" w:type="dxa"/>
            <w:vMerge w:val="continue"/>
            <w:noWrap w:val="0"/>
            <w:vAlign w:val="center"/>
          </w:tcPr>
          <w:p w14:paraId="1043F113">
            <w:pPr>
              <w:ind w:firstLine="420"/>
              <w:jc w:val="center"/>
              <w:rPr>
                <w:sz w:val="21"/>
                <w:szCs w:val="21"/>
              </w:rPr>
            </w:pPr>
          </w:p>
        </w:tc>
      </w:tr>
      <w:tr w14:paraId="6A6C9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4726E8F8">
            <w:pPr>
              <w:ind w:firstLine="420"/>
              <w:jc w:val="center"/>
              <w:rPr>
                <w:sz w:val="21"/>
                <w:szCs w:val="21"/>
              </w:rPr>
            </w:pPr>
          </w:p>
        </w:tc>
        <w:tc>
          <w:tcPr>
            <w:tcW w:w="2216" w:type="dxa"/>
            <w:noWrap w:val="0"/>
            <w:tcMar>
              <w:top w:w="15" w:type="dxa"/>
              <w:left w:w="15" w:type="dxa"/>
              <w:bottom w:w="15" w:type="dxa"/>
              <w:right w:w="15" w:type="dxa"/>
            </w:tcMar>
            <w:vAlign w:val="center"/>
          </w:tcPr>
          <w:p w14:paraId="55D05ED3">
            <w:pPr>
              <w:ind w:firstLine="0"/>
              <w:jc w:val="center"/>
              <w:rPr>
                <w:sz w:val="21"/>
                <w:szCs w:val="21"/>
              </w:rPr>
            </w:pPr>
            <w:r>
              <w:rPr>
                <w:sz w:val="21"/>
                <w:szCs w:val="21"/>
              </w:rPr>
              <w:t>2019.08.23</w:t>
            </w:r>
          </w:p>
        </w:tc>
        <w:tc>
          <w:tcPr>
            <w:tcW w:w="2087" w:type="dxa"/>
            <w:noWrap w:val="0"/>
            <w:vAlign w:val="center"/>
          </w:tcPr>
          <w:p w14:paraId="6DE218F9">
            <w:pPr>
              <w:ind w:firstLine="0"/>
              <w:jc w:val="center"/>
              <w:rPr>
                <w:sz w:val="21"/>
                <w:szCs w:val="21"/>
              </w:rPr>
            </w:pPr>
            <w:r>
              <w:rPr>
                <w:rFonts w:hint="eastAsia"/>
                <w:sz w:val="21"/>
                <w:szCs w:val="21"/>
              </w:rPr>
              <w:t>0.042</w:t>
            </w:r>
          </w:p>
        </w:tc>
        <w:tc>
          <w:tcPr>
            <w:tcW w:w="1890" w:type="dxa"/>
            <w:noWrap w:val="0"/>
            <w:vAlign w:val="center"/>
          </w:tcPr>
          <w:p w14:paraId="2CFF0B45">
            <w:pPr>
              <w:ind w:firstLine="0"/>
              <w:jc w:val="center"/>
              <w:rPr>
                <w:sz w:val="21"/>
                <w:szCs w:val="21"/>
              </w:rPr>
            </w:pPr>
            <w:r>
              <w:rPr>
                <w:rFonts w:hint="eastAsia"/>
                <w:sz w:val="21"/>
                <w:szCs w:val="21"/>
              </w:rPr>
              <w:t>0.042</w:t>
            </w:r>
          </w:p>
        </w:tc>
        <w:tc>
          <w:tcPr>
            <w:tcW w:w="1125" w:type="dxa"/>
            <w:vMerge w:val="continue"/>
            <w:noWrap w:val="0"/>
            <w:vAlign w:val="center"/>
          </w:tcPr>
          <w:p w14:paraId="280E8B0C">
            <w:pPr>
              <w:ind w:firstLine="420"/>
              <w:jc w:val="center"/>
              <w:rPr>
                <w:sz w:val="21"/>
                <w:szCs w:val="21"/>
              </w:rPr>
            </w:pPr>
          </w:p>
        </w:tc>
        <w:tc>
          <w:tcPr>
            <w:tcW w:w="829" w:type="dxa"/>
            <w:vMerge w:val="continue"/>
            <w:noWrap w:val="0"/>
            <w:vAlign w:val="center"/>
          </w:tcPr>
          <w:p w14:paraId="064FC1D7">
            <w:pPr>
              <w:ind w:firstLine="420"/>
              <w:jc w:val="center"/>
              <w:rPr>
                <w:sz w:val="21"/>
                <w:szCs w:val="21"/>
              </w:rPr>
            </w:pPr>
          </w:p>
        </w:tc>
      </w:tr>
      <w:tr w14:paraId="021E7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7EA4A06F">
            <w:pPr>
              <w:ind w:firstLine="420"/>
              <w:jc w:val="center"/>
              <w:rPr>
                <w:sz w:val="21"/>
                <w:szCs w:val="21"/>
              </w:rPr>
            </w:pPr>
          </w:p>
        </w:tc>
        <w:tc>
          <w:tcPr>
            <w:tcW w:w="2216" w:type="dxa"/>
            <w:noWrap w:val="0"/>
            <w:tcMar>
              <w:top w:w="15" w:type="dxa"/>
              <w:left w:w="15" w:type="dxa"/>
              <w:bottom w:w="15" w:type="dxa"/>
              <w:right w:w="15" w:type="dxa"/>
            </w:tcMar>
            <w:vAlign w:val="center"/>
          </w:tcPr>
          <w:p w14:paraId="60209A18">
            <w:pPr>
              <w:ind w:firstLine="0"/>
              <w:jc w:val="center"/>
              <w:rPr>
                <w:sz w:val="21"/>
                <w:szCs w:val="21"/>
              </w:rPr>
            </w:pPr>
            <w:r>
              <w:rPr>
                <w:sz w:val="21"/>
                <w:szCs w:val="21"/>
              </w:rPr>
              <w:t>2019.08.24</w:t>
            </w:r>
          </w:p>
        </w:tc>
        <w:tc>
          <w:tcPr>
            <w:tcW w:w="2087" w:type="dxa"/>
            <w:noWrap w:val="0"/>
            <w:vAlign w:val="center"/>
          </w:tcPr>
          <w:p w14:paraId="41665455">
            <w:pPr>
              <w:ind w:firstLine="0"/>
              <w:jc w:val="center"/>
              <w:rPr>
                <w:sz w:val="21"/>
                <w:szCs w:val="21"/>
              </w:rPr>
            </w:pPr>
            <w:r>
              <w:rPr>
                <w:rFonts w:hint="eastAsia"/>
                <w:sz w:val="21"/>
                <w:szCs w:val="21"/>
              </w:rPr>
              <w:t>0.042</w:t>
            </w:r>
          </w:p>
        </w:tc>
        <w:tc>
          <w:tcPr>
            <w:tcW w:w="1890" w:type="dxa"/>
            <w:noWrap w:val="0"/>
            <w:vAlign w:val="center"/>
          </w:tcPr>
          <w:p w14:paraId="58CD1C34">
            <w:pPr>
              <w:ind w:firstLine="0"/>
              <w:jc w:val="center"/>
              <w:rPr>
                <w:sz w:val="21"/>
                <w:szCs w:val="21"/>
              </w:rPr>
            </w:pPr>
            <w:r>
              <w:rPr>
                <w:rFonts w:hint="eastAsia"/>
                <w:sz w:val="21"/>
                <w:szCs w:val="21"/>
              </w:rPr>
              <w:t>0.040</w:t>
            </w:r>
          </w:p>
        </w:tc>
        <w:tc>
          <w:tcPr>
            <w:tcW w:w="1125" w:type="dxa"/>
            <w:vMerge w:val="continue"/>
            <w:noWrap w:val="0"/>
            <w:vAlign w:val="center"/>
          </w:tcPr>
          <w:p w14:paraId="28928DDA">
            <w:pPr>
              <w:ind w:firstLine="420"/>
              <w:jc w:val="center"/>
              <w:rPr>
                <w:sz w:val="21"/>
                <w:szCs w:val="21"/>
              </w:rPr>
            </w:pPr>
          </w:p>
        </w:tc>
        <w:tc>
          <w:tcPr>
            <w:tcW w:w="829" w:type="dxa"/>
            <w:vMerge w:val="continue"/>
            <w:noWrap w:val="0"/>
            <w:vAlign w:val="center"/>
          </w:tcPr>
          <w:p w14:paraId="368F64B5">
            <w:pPr>
              <w:ind w:firstLine="420"/>
              <w:jc w:val="center"/>
              <w:rPr>
                <w:sz w:val="21"/>
                <w:szCs w:val="21"/>
              </w:rPr>
            </w:pPr>
          </w:p>
        </w:tc>
      </w:tr>
      <w:tr w14:paraId="4729C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3634B415">
            <w:pPr>
              <w:ind w:firstLine="420"/>
              <w:jc w:val="center"/>
              <w:rPr>
                <w:sz w:val="21"/>
                <w:szCs w:val="21"/>
              </w:rPr>
            </w:pPr>
          </w:p>
        </w:tc>
        <w:tc>
          <w:tcPr>
            <w:tcW w:w="2216" w:type="dxa"/>
            <w:noWrap w:val="0"/>
            <w:tcMar>
              <w:top w:w="15" w:type="dxa"/>
              <w:left w:w="15" w:type="dxa"/>
              <w:bottom w:w="15" w:type="dxa"/>
              <w:right w:w="15" w:type="dxa"/>
            </w:tcMar>
            <w:vAlign w:val="center"/>
          </w:tcPr>
          <w:p w14:paraId="7BB5AD06">
            <w:pPr>
              <w:ind w:firstLine="0"/>
              <w:jc w:val="center"/>
              <w:rPr>
                <w:sz w:val="21"/>
                <w:szCs w:val="21"/>
              </w:rPr>
            </w:pPr>
            <w:r>
              <w:rPr>
                <w:sz w:val="21"/>
                <w:szCs w:val="21"/>
              </w:rPr>
              <w:t>2019.08.25</w:t>
            </w:r>
          </w:p>
        </w:tc>
        <w:tc>
          <w:tcPr>
            <w:tcW w:w="2087" w:type="dxa"/>
            <w:noWrap w:val="0"/>
            <w:vAlign w:val="center"/>
          </w:tcPr>
          <w:p w14:paraId="7945B721">
            <w:pPr>
              <w:ind w:firstLine="0"/>
              <w:jc w:val="center"/>
              <w:rPr>
                <w:sz w:val="21"/>
                <w:szCs w:val="21"/>
              </w:rPr>
            </w:pPr>
            <w:r>
              <w:rPr>
                <w:rFonts w:hint="eastAsia"/>
                <w:sz w:val="21"/>
                <w:szCs w:val="21"/>
              </w:rPr>
              <w:t>0.043</w:t>
            </w:r>
          </w:p>
        </w:tc>
        <w:tc>
          <w:tcPr>
            <w:tcW w:w="1890" w:type="dxa"/>
            <w:noWrap w:val="0"/>
            <w:vAlign w:val="center"/>
          </w:tcPr>
          <w:p w14:paraId="68C55940">
            <w:pPr>
              <w:ind w:firstLine="0"/>
              <w:jc w:val="center"/>
              <w:rPr>
                <w:sz w:val="21"/>
                <w:szCs w:val="21"/>
              </w:rPr>
            </w:pPr>
            <w:r>
              <w:rPr>
                <w:rFonts w:hint="eastAsia"/>
                <w:sz w:val="21"/>
                <w:szCs w:val="21"/>
              </w:rPr>
              <w:t>0.041</w:t>
            </w:r>
          </w:p>
        </w:tc>
        <w:tc>
          <w:tcPr>
            <w:tcW w:w="1125" w:type="dxa"/>
            <w:vMerge w:val="continue"/>
            <w:noWrap w:val="0"/>
            <w:vAlign w:val="center"/>
          </w:tcPr>
          <w:p w14:paraId="72C8B8B3">
            <w:pPr>
              <w:ind w:firstLine="420"/>
              <w:jc w:val="center"/>
              <w:rPr>
                <w:sz w:val="21"/>
                <w:szCs w:val="21"/>
              </w:rPr>
            </w:pPr>
          </w:p>
        </w:tc>
        <w:tc>
          <w:tcPr>
            <w:tcW w:w="829" w:type="dxa"/>
            <w:vMerge w:val="continue"/>
            <w:noWrap w:val="0"/>
            <w:vAlign w:val="center"/>
          </w:tcPr>
          <w:p w14:paraId="468ED2FA">
            <w:pPr>
              <w:ind w:firstLine="420"/>
              <w:jc w:val="center"/>
              <w:rPr>
                <w:sz w:val="21"/>
                <w:szCs w:val="21"/>
              </w:rPr>
            </w:pPr>
          </w:p>
        </w:tc>
      </w:tr>
      <w:tr w14:paraId="26A27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29BA2436">
            <w:pPr>
              <w:ind w:firstLine="420"/>
              <w:jc w:val="center"/>
              <w:rPr>
                <w:sz w:val="21"/>
                <w:szCs w:val="21"/>
              </w:rPr>
            </w:pPr>
          </w:p>
        </w:tc>
        <w:tc>
          <w:tcPr>
            <w:tcW w:w="2216" w:type="dxa"/>
            <w:noWrap w:val="0"/>
            <w:tcMar>
              <w:top w:w="15" w:type="dxa"/>
              <w:left w:w="15" w:type="dxa"/>
              <w:bottom w:w="15" w:type="dxa"/>
              <w:right w:w="15" w:type="dxa"/>
            </w:tcMar>
            <w:vAlign w:val="center"/>
          </w:tcPr>
          <w:p w14:paraId="5E1C44DC">
            <w:pPr>
              <w:ind w:firstLine="0"/>
              <w:jc w:val="center"/>
              <w:rPr>
                <w:sz w:val="21"/>
                <w:szCs w:val="21"/>
              </w:rPr>
            </w:pPr>
            <w:r>
              <w:rPr>
                <w:sz w:val="21"/>
                <w:szCs w:val="21"/>
              </w:rPr>
              <w:t>2019.08.26</w:t>
            </w:r>
          </w:p>
        </w:tc>
        <w:tc>
          <w:tcPr>
            <w:tcW w:w="2087" w:type="dxa"/>
            <w:noWrap w:val="0"/>
            <w:vAlign w:val="center"/>
          </w:tcPr>
          <w:p w14:paraId="6543366B">
            <w:pPr>
              <w:ind w:firstLine="0"/>
              <w:jc w:val="center"/>
              <w:rPr>
                <w:sz w:val="21"/>
                <w:szCs w:val="21"/>
              </w:rPr>
            </w:pPr>
            <w:r>
              <w:rPr>
                <w:rFonts w:hint="eastAsia"/>
                <w:sz w:val="21"/>
                <w:szCs w:val="21"/>
              </w:rPr>
              <w:t>0.045</w:t>
            </w:r>
          </w:p>
        </w:tc>
        <w:tc>
          <w:tcPr>
            <w:tcW w:w="1890" w:type="dxa"/>
            <w:noWrap w:val="0"/>
            <w:vAlign w:val="center"/>
          </w:tcPr>
          <w:p w14:paraId="34485C15">
            <w:pPr>
              <w:ind w:firstLine="0"/>
              <w:jc w:val="center"/>
              <w:rPr>
                <w:sz w:val="21"/>
                <w:szCs w:val="21"/>
              </w:rPr>
            </w:pPr>
            <w:r>
              <w:rPr>
                <w:rFonts w:hint="eastAsia"/>
                <w:sz w:val="21"/>
                <w:szCs w:val="21"/>
              </w:rPr>
              <w:t>0.042</w:t>
            </w:r>
          </w:p>
        </w:tc>
        <w:tc>
          <w:tcPr>
            <w:tcW w:w="1125" w:type="dxa"/>
            <w:vMerge w:val="continue"/>
            <w:noWrap w:val="0"/>
            <w:vAlign w:val="center"/>
          </w:tcPr>
          <w:p w14:paraId="39131413">
            <w:pPr>
              <w:ind w:firstLine="420"/>
              <w:jc w:val="center"/>
              <w:rPr>
                <w:sz w:val="21"/>
                <w:szCs w:val="21"/>
              </w:rPr>
            </w:pPr>
          </w:p>
        </w:tc>
        <w:tc>
          <w:tcPr>
            <w:tcW w:w="829" w:type="dxa"/>
            <w:vMerge w:val="continue"/>
            <w:noWrap w:val="0"/>
            <w:vAlign w:val="center"/>
          </w:tcPr>
          <w:p w14:paraId="6865F16B">
            <w:pPr>
              <w:ind w:firstLine="420"/>
              <w:jc w:val="center"/>
              <w:rPr>
                <w:sz w:val="21"/>
                <w:szCs w:val="21"/>
              </w:rPr>
            </w:pPr>
          </w:p>
        </w:tc>
      </w:tr>
      <w:tr w14:paraId="05693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4D78CE47">
            <w:pPr>
              <w:ind w:firstLine="420"/>
              <w:jc w:val="center"/>
              <w:rPr>
                <w:sz w:val="21"/>
                <w:szCs w:val="21"/>
              </w:rPr>
            </w:pPr>
          </w:p>
        </w:tc>
        <w:tc>
          <w:tcPr>
            <w:tcW w:w="2216" w:type="dxa"/>
            <w:noWrap w:val="0"/>
            <w:tcMar>
              <w:top w:w="15" w:type="dxa"/>
              <w:left w:w="15" w:type="dxa"/>
              <w:bottom w:w="15" w:type="dxa"/>
              <w:right w:w="15" w:type="dxa"/>
            </w:tcMar>
            <w:vAlign w:val="center"/>
          </w:tcPr>
          <w:p w14:paraId="003FFF6A">
            <w:pPr>
              <w:ind w:firstLine="0"/>
              <w:jc w:val="center"/>
              <w:rPr>
                <w:sz w:val="21"/>
                <w:szCs w:val="21"/>
              </w:rPr>
            </w:pPr>
            <w:r>
              <w:rPr>
                <w:sz w:val="21"/>
                <w:szCs w:val="21"/>
              </w:rPr>
              <w:t>2019.08.27</w:t>
            </w:r>
          </w:p>
        </w:tc>
        <w:tc>
          <w:tcPr>
            <w:tcW w:w="2087" w:type="dxa"/>
            <w:noWrap w:val="0"/>
            <w:vAlign w:val="center"/>
          </w:tcPr>
          <w:p w14:paraId="27D81C44">
            <w:pPr>
              <w:ind w:firstLine="0"/>
              <w:jc w:val="center"/>
              <w:rPr>
                <w:sz w:val="21"/>
                <w:szCs w:val="21"/>
              </w:rPr>
            </w:pPr>
            <w:r>
              <w:rPr>
                <w:rFonts w:hint="eastAsia"/>
                <w:sz w:val="21"/>
                <w:szCs w:val="21"/>
              </w:rPr>
              <w:t>0.046</w:t>
            </w:r>
          </w:p>
        </w:tc>
        <w:tc>
          <w:tcPr>
            <w:tcW w:w="1890" w:type="dxa"/>
            <w:noWrap w:val="0"/>
            <w:vAlign w:val="center"/>
          </w:tcPr>
          <w:p w14:paraId="4CAC6EA1">
            <w:pPr>
              <w:ind w:firstLine="0"/>
              <w:jc w:val="center"/>
              <w:rPr>
                <w:sz w:val="21"/>
                <w:szCs w:val="21"/>
              </w:rPr>
            </w:pPr>
            <w:r>
              <w:rPr>
                <w:rFonts w:hint="eastAsia"/>
                <w:sz w:val="21"/>
                <w:szCs w:val="21"/>
              </w:rPr>
              <w:t>0.043</w:t>
            </w:r>
          </w:p>
        </w:tc>
        <w:tc>
          <w:tcPr>
            <w:tcW w:w="1125" w:type="dxa"/>
            <w:vMerge w:val="continue"/>
            <w:noWrap w:val="0"/>
            <w:vAlign w:val="center"/>
          </w:tcPr>
          <w:p w14:paraId="6DA567F3">
            <w:pPr>
              <w:ind w:firstLine="420"/>
              <w:jc w:val="center"/>
              <w:rPr>
                <w:sz w:val="21"/>
                <w:szCs w:val="21"/>
              </w:rPr>
            </w:pPr>
          </w:p>
        </w:tc>
        <w:tc>
          <w:tcPr>
            <w:tcW w:w="829" w:type="dxa"/>
            <w:vMerge w:val="continue"/>
            <w:noWrap w:val="0"/>
            <w:vAlign w:val="center"/>
          </w:tcPr>
          <w:p w14:paraId="79728921">
            <w:pPr>
              <w:ind w:firstLine="420"/>
              <w:jc w:val="center"/>
              <w:rPr>
                <w:sz w:val="21"/>
                <w:szCs w:val="21"/>
              </w:rPr>
            </w:pPr>
          </w:p>
        </w:tc>
      </w:tr>
      <w:tr w14:paraId="74C35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restart"/>
            <w:noWrap w:val="0"/>
            <w:tcMar>
              <w:top w:w="15" w:type="dxa"/>
              <w:left w:w="15" w:type="dxa"/>
              <w:bottom w:w="15" w:type="dxa"/>
              <w:right w:w="15" w:type="dxa"/>
            </w:tcMar>
            <w:vAlign w:val="center"/>
          </w:tcPr>
          <w:p w14:paraId="473F758B">
            <w:pPr>
              <w:ind w:firstLine="420"/>
              <w:jc w:val="both"/>
              <w:rPr>
                <w:sz w:val="21"/>
                <w:szCs w:val="21"/>
              </w:rPr>
            </w:pPr>
            <w:r>
              <w:rPr>
                <w:rFonts w:hint="eastAsia"/>
                <w:sz w:val="21"/>
                <w:szCs w:val="21"/>
                <w:lang w:val="en-US" w:eastAsia="zh-CN"/>
              </w:rPr>
              <w:t>PM</w:t>
            </w:r>
            <w:r>
              <w:rPr>
                <w:rFonts w:hint="eastAsia"/>
                <w:sz w:val="21"/>
                <w:szCs w:val="21"/>
                <w:vertAlign w:val="subscript"/>
                <w:lang w:val="en-US" w:eastAsia="zh-CN"/>
              </w:rPr>
              <w:t>10</w:t>
            </w:r>
          </w:p>
        </w:tc>
        <w:tc>
          <w:tcPr>
            <w:tcW w:w="2216" w:type="dxa"/>
            <w:noWrap w:val="0"/>
            <w:tcMar>
              <w:top w:w="15" w:type="dxa"/>
              <w:left w:w="15" w:type="dxa"/>
              <w:bottom w:w="15" w:type="dxa"/>
              <w:right w:w="15" w:type="dxa"/>
            </w:tcMar>
            <w:vAlign w:val="center"/>
          </w:tcPr>
          <w:p w14:paraId="2644B33B">
            <w:pPr>
              <w:ind w:firstLine="0"/>
              <w:jc w:val="center"/>
              <w:rPr>
                <w:sz w:val="21"/>
                <w:szCs w:val="21"/>
              </w:rPr>
            </w:pPr>
            <w:r>
              <w:rPr>
                <w:sz w:val="21"/>
                <w:szCs w:val="21"/>
              </w:rPr>
              <w:t>2019.08.21</w:t>
            </w:r>
          </w:p>
        </w:tc>
        <w:tc>
          <w:tcPr>
            <w:tcW w:w="2087" w:type="dxa"/>
            <w:noWrap w:val="0"/>
            <w:vAlign w:val="center"/>
          </w:tcPr>
          <w:p w14:paraId="05AFCABB">
            <w:pPr>
              <w:ind w:firstLine="0"/>
              <w:jc w:val="center"/>
              <w:rPr>
                <w:sz w:val="21"/>
                <w:szCs w:val="21"/>
              </w:rPr>
            </w:pPr>
            <w:r>
              <w:rPr>
                <w:rFonts w:hint="eastAsia"/>
                <w:sz w:val="21"/>
                <w:szCs w:val="21"/>
              </w:rPr>
              <w:t>0.023</w:t>
            </w:r>
          </w:p>
        </w:tc>
        <w:tc>
          <w:tcPr>
            <w:tcW w:w="1890" w:type="dxa"/>
            <w:noWrap w:val="0"/>
            <w:vAlign w:val="center"/>
          </w:tcPr>
          <w:p w14:paraId="11D0D8AC">
            <w:pPr>
              <w:ind w:firstLine="0"/>
              <w:jc w:val="center"/>
              <w:rPr>
                <w:sz w:val="21"/>
                <w:szCs w:val="21"/>
              </w:rPr>
            </w:pPr>
            <w:r>
              <w:rPr>
                <w:rFonts w:hint="eastAsia"/>
                <w:sz w:val="21"/>
                <w:szCs w:val="21"/>
              </w:rPr>
              <w:t>0.021</w:t>
            </w:r>
          </w:p>
        </w:tc>
        <w:tc>
          <w:tcPr>
            <w:tcW w:w="1125" w:type="dxa"/>
            <w:vMerge w:val="restart"/>
            <w:noWrap w:val="0"/>
            <w:vAlign w:val="center"/>
          </w:tcPr>
          <w:p w14:paraId="22B75379">
            <w:pPr>
              <w:ind w:left="0" w:firstLine="0"/>
              <w:jc w:val="center"/>
              <w:rPr>
                <w:sz w:val="21"/>
                <w:szCs w:val="21"/>
                <w:lang w:val="en-US" w:eastAsia="zh-CN"/>
              </w:rPr>
            </w:pPr>
            <w:r>
              <w:rPr>
                <w:rFonts w:hint="eastAsia"/>
                <w:sz w:val="21"/>
                <w:szCs w:val="21"/>
                <w:lang w:val="en-US" w:eastAsia="zh-CN"/>
              </w:rPr>
              <w:t>0.15</w:t>
            </w:r>
          </w:p>
        </w:tc>
        <w:tc>
          <w:tcPr>
            <w:tcW w:w="829" w:type="dxa"/>
            <w:vMerge w:val="restart"/>
            <w:noWrap w:val="0"/>
            <w:vAlign w:val="center"/>
          </w:tcPr>
          <w:p w14:paraId="27A55974">
            <w:pPr>
              <w:ind w:left="0" w:firstLine="0"/>
              <w:jc w:val="center"/>
              <w:rPr>
                <w:sz w:val="21"/>
                <w:szCs w:val="21"/>
                <w:lang w:val="en-US" w:eastAsia="zh-CN"/>
              </w:rPr>
            </w:pPr>
            <w:r>
              <w:rPr>
                <w:rFonts w:hint="eastAsia"/>
                <w:sz w:val="21"/>
                <w:szCs w:val="21"/>
                <w:lang w:val="en-US" w:eastAsia="zh-CN"/>
              </w:rPr>
              <w:t>达标</w:t>
            </w:r>
          </w:p>
        </w:tc>
      </w:tr>
      <w:tr w14:paraId="39D68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5CFCC1B9">
            <w:pPr>
              <w:ind w:firstLine="420"/>
              <w:jc w:val="center"/>
              <w:rPr>
                <w:sz w:val="21"/>
                <w:szCs w:val="21"/>
              </w:rPr>
            </w:pPr>
          </w:p>
        </w:tc>
        <w:tc>
          <w:tcPr>
            <w:tcW w:w="2216" w:type="dxa"/>
            <w:noWrap w:val="0"/>
            <w:tcMar>
              <w:top w:w="15" w:type="dxa"/>
              <w:left w:w="15" w:type="dxa"/>
              <w:bottom w:w="15" w:type="dxa"/>
              <w:right w:w="15" w:type="dxa"/>
            </w:tcMar>
            <w:vAlign w:val="center"/>
          </w:tcPr>
          <w:p w14:paraId="29D67DDC">
            <w:pPr>
              <w:ind w:firstLine="0"/>
              <w:jc w:val="center"/>
              <w:rPr>
                <w:sz w:val="21"/>
                <w:szCs w:val="21"/>
              </w:rPr>
            </w:pPr>
            <w:r>
              <w:rPr>
                <w:sz w:val="21"/>
                <w:szCs w:val="21"/>
              </w:rPr>
              <w:t>2019.08.22</w:t>
            </w:r>
          </w:p>
        </w:tc>
        <w:tc>
          <w:tcPr>
            <w:tcW w:w="2087" w:type="dxa"/>
            <w:noWrap w:val="0"/>
            <w:vAlign w:val="center"/>
          </w:tcPr>
          <w:p w14:paraId="22723084">
            <w:pPr>
              <w:ind w:firstLine="0"/>
              <w:jc w:val="center"/>
              <w:rPr>
                <w:sz w:val="21"/>
                <w:szCs w:val="21"/>
              </w:rPr>
            </w:pPr>
            <w:r>
              <w:rPr>
                <w:rFonts w:hint="eastAsia"/>
                <w:sz w:val="21"/>
                <w:szCs w:val="21"/>
              </w:rPr>
              <w:t>0.024</w:t>
            </w:r>
          </w:p>
        </w:tc>
        <w:tc>
          <w:tcPr>
            <w:tcW w:w="1890" w:type="dxa"/>
            <w:noWrap w:val="0"/>
            <w:vAlign w:val="center"/>
          </w:tcPr>
          <w:p w14:paraId="4F0D1D52">
            <w:pPr>
              <w:ind w:firstLine="0"/>
              <w:jc w:val="center"/>
              <w:rPr>
                <w:sz w:val="21"/>
                <w:szCs w:val="21"/>
              </w:rPr>
            </w:pPr>
            <w:r>
              <w:rPr>
                <w:rFonts w:hint="eastAsia"/>
                <w:sz w:val="21"/>
                <w:szCs w:val="21"/>
              </w:rPr>
              <w:t>0.019</w:t>
            </w:r>
          </w:p>
        </w:tc>
        <w:tc>
          <w:tcPr>
            <w:tcW w:w="1125" w:type="dxa"/>
            <w:vMerge w:val="continue"/>
            <w:noWrap w:val="0"/>
            <w:vAlign w:val="center"/>
          </w:tcPr>
          <w:p w14:paraId="0EABAF1C">
            <w:pPr>
              <w:ind w:firstLine="420"/>
              <w:jc w:val="center"/>
              <w:rPr>
                <w:sz w:val="21"/>
                <w:szCs w:val="21"/>
              </w:rPr>
            </w:pPr>
          </w:p>
        </w:tc>
        <w:tc>
          <w:tcPr>
            <w:tcW w:w="829" w:type="dxa"/>
            <w:vMerge w:val="continue"/>
            <w:noWrap w:val="0"/>
            <w:vAlign w:val="center"/>
          </w:tcPr>
          <w:p w14:paraId="05E65FDA">
            <w:pPr>
              <w:ind w:firstLine="420"/>
              <w:jc w:val="center"/>
              <w:rPr>
                <w:sz w:val="21"/>
                <w:szCs w:val="21"/>
              </w:rPr>
            </w:pPr>
          </w:p>
        </w:tc>
      </w:tr>
      <w:tr w14:paraId="02A59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103FB835">
            <w:pPr>
              <w:ind w:firstLine="420"/>
              <w:jc w:val="center"/>
              <w:rPr>
                <w:sz w:val="21"/>
                <w:szCs w:val="21"/>
              </w:rPr>
            </w:pPr>
          </w:p>
        </w:tc>
        <w:tc>
          <w:tcPr>
            <w:tcW w:w="2216" w:type="dxa"/>
            <w:noWrap w:val="0"/>
            <w:tcMar>
              <w:top w:w="15" w:type="dxa"/>
              <w:left w:w="15" w:type="dxa"/>
              <w:bottom w:w="15" w:type="dxa"/>
              <w:right w:w="15" w:type="dxa"/>
            </w:tcMar>
            <w:vAlign w:val="center"/>
          </w:tcPr>
          <w:p w14:paraId="19DE21EF">
            <w:pPr>
              <w:ind w:firstLine="0"/>
              <w:jc w:val="center"/>
              <w:rPr>
                <w:sz w:val="21"/>
                <w:szCs w:val="21"/>
              </w:rPr>
            </w:pPr>
            <w:r>
              <w:rPr>
                <w:sz w:val="21"/>
                <w:szCs w:val="21"/>
              </w:rPr>
              <w:t>2019.08.23</w:t>
            </w:r>
          </w:p>
        </w:tc>
        <w:tc>
          <w:tcPr>
            <w:tcW w:w="2087" w:type="dxa"/>
            <w:noWrap w:val="0"/>
            <w:vAlign w:val="center"/>
          </w:tcPr>
          <w:p w14:paraId="7D7D2596">
            <w:pPr>
              <w:ind w:firstLine="0"/>
              <w:jc w:val="center"/>
              <w:rPr>
                <w:sz w:val="21"/>
                <w:szCs w:val="21"/>
              </w:rPr>
            </w:pPr>
            <w:r>
              <w:rPr>
                <w:rFonts w:hint="eastAsia"/>
                <w:sz w:val="21"/>
                <w:szCs w:val="21"/>
              </w:rPr>
              <w:t>0.023</w:t>
            </w:r>
          </w:p>
        </w:tc>
        <w:tc>
          <w:tcPr>
            <w:tcW w:w="1890" w:type="dxa"/>
            <w:noWrap w:val="0"/>
            <w:vAlign w:val="center"/>
          </w:tcPr>
          <w:p w14:paraId="5B641404">
            <w:pPr>
              <w:ind w:firstLine="0"/>
              <w:jc w:val="center"/>
              <w:rPr>
                <w:sz w:val="21"/>
                <w:szCs w:val="21"/>
              </w:rPr>
            </w:pPr>
            <w:r>
              <w:rPr>
                <w:rFonts w:hint="eastAsia"/>
                <w:sz w:val="21"/>
                <w:szCs w:val="21"/>
              </w:rPr>
              <w:t>0.018</w:t>
            </w:r>
          </w:p>
        </w:tc>
        <w:tc>
          <w:tcPr>
            <w:tcW w:w="1125" w:type="dxa"/>
            <w:vMerge w:val="continue"/>
            <w:noWrap w:val="0"/>
            <w:vAlign w:val="center"/>
          </w:tcPr>
          <w:p w14:paraId="14CDBCC0">
            <w:pPr>
              <w:ind w:firstLine="420"/>
              <w:jc w:val="center"/>
              <w:rPr>
                <w:sz w:val="21"/>
                <w:szCs w:val="21"/>
              </w:rPr>
            </w:pPr>
          </w:p>
        </w:tc>
        <w:tc>
          <w:tcPr>
            <w:tcW w:w="829" w:type="dxa"/>
            <w:vMerge w:val="continue"/>
            <w:noWrap w:val="0"/>
            <w:vAlign w:val="center"/>
          </w:tcPr>
          <w:p w14:paraId="45EFE3C3">
            <w:pPr>
              <w:ind w:firstLine="420"/>
              <w:jc w:val="center"/>
              <w:rPr>
                <w:sz w:val="21"/>
                <w:szCs w:val="21"/>
              </w:rPr>
            </w:pPr>
          </w:p>
        </w:tc>
      </w:tr>
      <w:tr w14:paraId="58822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531C314A">
            <w:pPr>
              <w:ind w:firstLine="420"/>
              <w:jc w:val="center"/>
              <w:rPr>
                <w:sz w:val="21"/>
                <w:szCs w:val="21"/>
              </w:rPr>
            </w:pPr>
          </w:p>
        </w:tc>
        <w:tc>
          <w:tcPr>
            <w:tcW w:w="2216" w:type="dxa"/>
            <w:noWrap w:val="0"/>
            <w:tcMar>
              <w:top w:w="15" w:type="dxa"/>
              <w:left w:w="15" w:type="dxa"/>
              <w:bottom w:w="15" w:type="dxa"/>
              <w:right w:w="15" w:type="dxa"/>
            </w:tcMar>
            <w:vAlign w:val="center"/>
          </w:tcPr>
          <w:p w14:paraId="40225AB8">
            <w:pPr>
              <w:ind w:firstLine="0"/>
              <w:jc w:val="center"/>
              <w:rPr>
                <w:sz w:val="21"/>
                <w:szCs w:val="21"/>
              </w:rPr>
            </w:pPr>
            <w:r>
              <w:rPr>
                <w:sz w:val="21"/>
                <w:szCs w:val="21"/>
              </w:rPr>
              <w:t>2019.08.24</w:t>
            </w:r>
          </w:p>
        </w:tc>
        <w:tc>
          <w:tcPr>
            <w:tcW w:w="2087" w:type="dxa"/>
            <w:noWrap w:val="0"/>
            <w:vAlign w:val="center"/>
          </w:tcPr>
          <w:p w14:paraId="650A154A">
            <w:pPr>
              <w:ind w:firstLine="0"/>
              <w:jc w:val="center"/>
              <w:rPr>
                <w:sz w:val="21"/>
                <w:szCs w:val="21"/>
              </w:rPr>
            </w:pPr>
            <w:r>
              <w:rPr>
                <w:rFonts w:hint="eastAsia"/>
                <w:sz w:val="21"/>
                <w:szCs w:val="21"/>
              </w:rPr>
              <w:t>0.024</w:t>
            </w:r>
          </w:p>
        </w:tc>
        <w:tc>
          <w:tcPr>
            <w:tcW w:w="1890" w:type="dxa"/>
            <w:noWrap w:val="0"/>
            <w:vAlign w:val="center"/>
          </w:tcPr>
          <w:p w14:paraId="2EECC93A">
            <w:pPr>
              <w:ind w:firstLine="0"/>
              <w:jc w:val="center"/>
              <w:rPr>
                <w:sz w:val="21"/>
                <w:szCs w:val="21"/>
              </w:rPr>
            </w:pPr>
            <w:r>
              <w:rPr>
                <w:rFonts w:hint="eastAsia"/>
                <w:sz w:val="21"/>
                <w:szCs w:val="21"/>
              </w:rPr>
              <w:t>0.017</w:t>
            </w:r>
          </w:p>
        </w:tc>
        <w:tc>
          <w:tcPr>
            <w:tcW w:w="1125" w:type="dxa"/>
            <w:vMerge w:val="continue"/>
            <w:noWrap w:val="0"/>
            <w:vAlign w:val="center"/>
          </w:tcPr>
          <w:p w14:paraId="3610F0CF">
            <w:pPr>
              <w:ind w:firstLine="420"/>
              <w:jc w:val="center"/>
              <w:rPr>
                <w:sz w:val="21"/>
                <w:szCs w:val="21"/>
              </w:rPr>
            </w:pPr>
          </w:p>
        </w:tc>
        <w:tc>
          <w:tcPr>
            <w:tcW w:w="829" w:type="dxa"/>
            <w:vMerge w:val="continue"/>
            <w:noWrap w:val="0"/>
            <w:vAlign w:val="center"/>
          </w:tcPr>
          <w:p w14:paraId="2550F632">
            <w:pPr>
              <w:ind w:firstLine="420"/>
              <w:jc w:val="center"/>
              <w:rPr>
                <w:sz w:val="21"/>
                <w:szCs w:val="21"/>
              </w:rPr>
            </w:pPr>
          </w:p>
        </w:tc>
      </w:tr>
      <w:tr w14:paraId="78C8E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12AAF8C6">
            <w:pPr>
              <w:ind w:firstLine="420"/>
              <w:jc w:val="center"/>
              <w:rPr>
                <w:sz w:val="21"/>
                <w:szCs w:val="21"/>
              </w:rPr>
            </w:pPr>
          </w:p>
        </w:tc>
        <w:tc>
          <w:tcPr>
            <w:tcW w:w="2216" w:type="dxa"/>
            <w:noWrap w:val="0"/>
            <w:tcMar>
              <w:top w:w="15" w:type="dxa"/>
              <w:left w:w="15" w:type="dxa"/>
              <w:bottom w:w="15" w:type="dxa"/>
              <w:right w:w="15" w:type="dxa"/>
            </w:tcMar>
            <w:vAlign w:val="center"/>
          </w:tcPr>
          <w:p w14:paraId="28932129">
            <w:pPr>
              <w:ind w:firstLine="0"/>
              <w:jc w:val="center"/>
              <w:rPr>
                <w:sz w:val="21"/>
                <w:szCs w:val="21"/>
              </w:rPr>
            </w:pPr>
            <w:r>
              <w:rPr>
                <w:sz w:val="21"/>
                <w:szCs w:val="21"/>
              </w:rPr>
              <w:t>2019.08.25</w:t>
            </w:r>
          </w:p>
        </w:tc>
        <w:tc>
          <w:tcPr>
            <w:tcW w:w="2087" w:type="dxa"/>
            <w:noWrap w:val="0"/>
            <w:vAlign w:val="center"/>
          </w:tcPr>
          <w:p w14:paraId="0A2EC6A8">
            <w:pPr>
              <w:ind w:firstLine="0"/>
              <w:jc w:val="center"/>
              <w:rPr>
                <w:sz w:val="21"/>
                <w:szCs w:val="21"/>
              </w:rPr>
            </w:pPr>
            <w:r>
              <w:rPr>
                <w:rFonts w:hint="eastAsia"/>
                <w:sz w:val="21"/>
                <w:szCs w:val="21"/>
              </w:rPr>
              <w:t>0.021</w:t>
            </w:r>
          </w:p>
        </w:tc>
        <w:tc>
          <w:tcPr>
            <w:tcW w:w="1890" w:type="dxa"/>
            <w:noWrap w:val="0"/>
            <w:vAlign w:val="center"/>
          </w:tcPr>
          <w:p w14:paraId="3CB61533">
            <w:pPr>
              <w:ind w:firstLine="0"/>
              <w:jc w:val="center"/>
              <w:rPr>
                <w:sz w:val="21"/>
                <w:szCs w:val="21"/>
              </w:rPr>
            </w:pPr>
            <w:r>
              <w:rPr>
                <w:rFonts w:hint="eastAsia"/>
                <w:sz w:val="21"/>
                <w:szCs w:val="21"/>
              </w:rPr>
              <w:t>0.018</w:t>
            </w:r>
          </w:p>
        </w:tc>
        <w:tc>
          <w:tcPr>
            <w:tcW w:w="1125" w:type="dxa"/>
            <w:vMerge w:val="continue"/>
            <w:noWrap w:val="0"/>
            <w:vAlign w:val="center"/>
          </w:tcPr>
          <w:p w14:paraId="71FAD4D3">
            <w:pPr>
              <w:ind w:firstLine="420"/>
              <w:jc w:val="center"/>
              <w:rPr>
                <w:sz w:val="21"/>
                <w:szCs w:val="21"/>
              </w:rPr>
            </w:pPr>
          </w:p>
        </w:tc>
        <w:tc>
          <w:tcPr>
            <w:tcW w:w="829" w:type="dxa"/>
            <w:vMerge w:val="continue"/>
            <w:noWrap w:val="0"/>
            <w:vAlign w:val="center"/>
          </w:tcPr>
          <w:p w14:paraId="6C41409B">
            <w:pPr>
              <w:ind w:firstLine="420"/>
              <w:jc w:val="center"/>
              <w:rPr>
                <w:sz w:val="21"/>
                <w:szCs w:val="21"/>
              </w:rPr>
            </w:pPr>
          </w:p>
        </w:tc>
      </w:tr>
      <w:tr w14:paraId="3D0B6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42C997E7">
            <w:pPr>
              <w:ind w:firstLine="420"/>
              <w:jc w:val="center"/>
              <w:rPr>
                <w:sz w:val="21"/>
                <w:szCs w:val="21"/>
              </w:rPr>
            </w:pPr>
          </w:p>
        </w:tc>
        <w:tc>
          <w:tcPr>
            <w:tcW w:w="2216" w:type="dxa"/>
            <w:noWrap w:val="0"/>
            <w:tcMar>
              <w:top w:w="15" w:type="dxa"/>
              <w:left w:w="15" w:type="dxa"/>
              <w:bottom w:w="15" w:type="dxa"/>
              <w:right w:w="15" w:type="dxa"/>
            </w:tcMar>
            <w:vAlign w:val="center"/>
          </w:tcPr>
          <w:p w14:paraId="02DB8242">
            <w:pPr>
              <w:ind w:firstLine="0"/>
              <w:jc w:val="center"/>
              <w:rPr>
                <w:sz w:val="21"/>
                <w:szCs w:val="21"/>
              </w:rPr>
            </w:pPr>
            <w:r>
              <w:rPr>
                <w:sz w:val="21"/>
                <w:szCs w:val="21"/>
              </w:rPr>
              <w:t>2019.08.26</w:t>
            </w:r>
          </w:p>
        </w:tc>
        <w:tc>
          <w:tcPr>
            <w:tcW w:w="2087" w:type="dxa"/>
            <w:noWrap w:val="0"/>
            <w:vAlign w:val="center"/>
          </w:tcPr>
          <w:p w14:paraId="19C79261">
            <w:pPr>
              <w:ind w:firstLine="0"/>
              <w:jc w:val="center"/>
              <w:rPr>
                <w:sz w:val="21"/>
                <w:szCs w:val="21"/>
              </w:rPr>
            </w:pPr>
            <w:r>
              <w:rPr>
                <w:rFonts w:hint="eastAsia"/>
                <w:sz w:val="21"/>
                <w:szCs w:val="21"/>
              </w:rPr>
              <w:t>0.020</w:t>
            </w:r>
          </w:p>
        </w:tc>
        <w:tc>
          <w:tcPr>
            <w:tcW w:w="1890" w:type="dxa"/>
            <w:noWrap w:val="0"/>
            <w:vAlign w:val="center"/>
          </w:tcPr>
          <w:p w14:paraId="63706964">
            <w:pPr>
              <w:ind w:firstLine="0"/>
              <w:jc w:val="center"/>
              <w:rPr>
                <w:sz w:val="21"/>
                <w:szCs w:val="21"/>
              </w:rPr>
            </w:pPr>
            <w:r>
              <w:rPr>
                <w:rFonts w:hint="eastAsia"/>
                <w:sz w:val="21"/>
                <w:szCs w:val="21"/>
              </w:rPr>
              <w:t>0.017</w:t>
            </w:r>
          </w:p>
        </w:tc>
        <w:tc>
          <w:tcPr>
            <w:tcW w:w="1125" w:type="dxa"/>
            <w:vMerge w:val="continue"/>
            <w:noWrap w:val="0"/>
            <w:vAlign w:val="center"/>
          </w:tcPr>
          <w:p w14:paraId="3947BE43">
            <w:pPr>
              <w:ind w:firstLine="420"/>
              <w:jc w:val="center"/>
              <w:rPr>
                <w:sz w:val="21"/>
                <w:szCs w:val="21"/>
              </w:rPr>
            </w:pPr>
          </w:p>
        </w:tc>
        <w:tc>
          <w:tcPr>
            <w:tcW w:w="829" w:type="dxa"/>
            <w:vMerge w:val="continue"/>
            <w:noWrap w:val="0"/>
            <w:vAlign w:val="center"/>
          </w:tcPr>
          <w:p w14:paraId="4A8D2414">
            <w:pPr>
              <w:ind w:firstLine="420"/>
              <w:jc w:val="center"/>
              <w:rPr>
                <w:sz w:val="21"/>
                <w:szCs w:val="21"/>
              </w:rPr>
            </w:pPr>
          </w:p>
        </w:tc>
      </w:tr>
      <w:tr w14:paraId="4B7F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17B99169">
            <w:pPr>
              <w:ind w:firstLine="420"/>
              <w:jc w:val="center"/>
              <w:rPr>
                <w:sz w:val="21"/>
                <w:szCs w:val="21"/>
              </w:rPr>
            </w:pPr>
          </w:p>
        </w:tc>
        <w:tc>
          <w:tcPr>
            <w:tcW w:w="2216" w:type="dxa"/>
            <w:noWrap w:val="0"/>
            <w:tcMar>
              <w:top w:w="15" w:type="dxa"/>
              <w:left w:w="15" w:type="dxa"/>
              <w:bottom w:w="15" w:type="dxa"/>
              <w:right w:w="15" w:type="dxa"/>
            </w:tcMar>
            <w:vAlign w:val="center"/>
          </w:tcPr>
          <w:p w14:paraId="6720523E">
            <w:pPr>
              <w:ind w:firstLine="0"/>
              <w:jc w:val="center"/>
              <w:rPr>
                <w:sz w:val="21"/>
                <w:szCs w:val="21"/>
              </w:rPr>
            </w:pPr>
            <w:r>
              <w:rPr>
                <w:sz w:val="21"/>
                <w:szCs w:val="21"/>
              </w:rPr>
              <w:t>2019.08.27</w:t>
            </w:r>
          </w:p>
        </w:tc>
        <w:tc>
          <w:tcPr>
            <w:tcW w:w="2087" w:type="dxa"/>
            <w:noWrap w:val="0"/>
            <w:vAlign w:val="center"/>
          </w:tcPr>
          <w:p w14:paraId="666ED752">
            <w:pPr>
              <w:ind w:firstLine="0"/>
              <w:jc w:val="center"/>
              <w:rPr>
                <w:sz w:val="21"/>
                <w:szCs w:val="21"/>
              </w:rPr>
            </w:pPr>
            <w:r>
              <w:rPr>
                <w:rFonts w:hint="eastAsia"/>
                <w:sz w:val="21"/>
                <w:szCs w:val="21"/>
              </w:rPr>
              <w:t>0.022</w:t>
            </w:r>
          </w:p>
        </w:tc>
        <w:tc>
          <w:tcPr>
            <w:tcW w:w="1890" w:type="dxa"/>
            <w:noWrap w:val="0"/>
            <w:vAlign w:val="center"/>
          </w:tcPr>
          <w:p w14:paraId="2D414DF6">
            <w:pPr>
              <w:ind w:firstLine="0"/>
              <w:jc w:val="center"/>
              <w:rPr>
                <w:sz w:val="21"/>
                <w:szCs w:val="21"/>
              </w:rPr>
            </w:pPr>
            <w:r>
              <w:rPr>
                <w:rFonts w:hint="eastAsia"/>
                <w:sz w:val="21"/>
                <w:szCs w:val="21"/>
              </w:rPr>
              <w:t>0.018</w:t>
            </w:r>
          </w:p>
        </w:tc>
        <w:tc>
          <w:tcPr>
            <w:tcW w:w="1125" w:type="dxa"/>
            <w:vMerge w:val="continue"/>
            <w:noWrap w:val="0"/>
            <w:vAlign w:val="center"/>
          </w:tcPr>
          <w:p w14:paraId="2279EFFF">
            <w:pPr>
              <w:ind w:firstLine="420"/>
              <w:jc w:val="center"/>
              <w:rPr>
                <w:sz w:val="21"/>
                <w:szCs w:val="21"/>
              </w:rPr>
            </w:pPr>
          </w:p>
        </w:tc>
        <w:tc>
          <w:tcPr>
            <w:tcW w:w="829" w:type="dxa"/>
            <w:vMerge w:val="continue"/>
            <w:noWrap w:val="0"/>
            <w:vAlign w:val="center"/>
          </w:tcPr>
          <w:p w14:paraId="0A967E63">
            <w:pPr>
              <w:ind w:firstLine="420"/>
              <w:jc w:val="center"/>
              <w:rPr>
                <w:sz w:val="21"/>
                <w:szCs w:val="21"/>
              </w:rPr>
            </w:pPr>
          </w:p>
        </w:tc>
      </w:tr>
      <w:tr w14:paraId="3A69B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restart"/>
            <w:noWrap w:val="0"/>
            <w:tcMar>
              <w:top w:w="15" w:type="dxa"/>
              <w:left w:w="15" w:type="dxa"/>
              <w:bottom w:w="15" w:type="dxa"/>
              <w:right w:w="15" w:type="dxa"/>
            </w:tcMar>
            <w:vAlign w:val="center"/>
          </w:tcPr>
          <w:p w14:paraId="0B68F6C2">
            <w:pPr>
              <w:ind w:left="0" w:firstLine="0"/>
              <w:jc w:val="center"/>
              <w:rPr>
                <w:rFonts w:hint="eastAsia"/>
                <w:sz w:val="21"/>
                <w:szCs w:val="21"/>
                <w:lang w:val="en-US" w:eastAsia="zh-CN"/>
              </w:rPr>
            </w:pPr>
            <w:r>
              <w:rPr>
                <w:rFonts w:hint="eastAsia"/>
                <w:sz w:val="21"/>
                <w:szCs w:val="21"/>
                <w:lang w:val="en-US" w:eastAsia="zh-CN"/>
              </w:rPr>
              <w:t>二氧化硫</w:t>
            </w:r>
          </w:p>
        </w:tc>
        <w:tc>
          <w:tcPr>
            <w:tcW w:w="2216" w:type="dxa"/>
            <w:noWrap w:val="0"/>
            <w:tcMar>
              <w:top w:w="15" w:type="dxa"/>
              <w:left w:w="15" w:type="dxa"/>
              <w:bottom w:w="15" w:type="dxa"/>
              <w:right w:w="15" w:type="dxa"/>
            </w:tcMar>
            <w:vAlign w:val="center"/>
          </w:tcPr>
          <w:p w14:paraId="14003AE4">
            <w:pPr>
              <w:ind w:firstLine="0"/>
              <w:jc w:val="center"/>
              <w:rPr>
                <w:sz w:val="21"/>
                <w:szCs w:val="21"/>
              </w:rPr>
            </w:pPr>
            <w:r>
              <w:rPr>
                <w:sz w:val="21"/>
                <w:szCs w:val="21"/>
              </w:rPr>
              <w:t>2019.08.21</w:t>
            </w:r>
          </w:p>
        </w:tc>
        <w:tc>
          <w:tcPr>
            <w:tcW w:w="2087" w:type="dxa"/>
            <w:noWrap w:val="0"/>
            <w:vAlign w:val="center"/>
          </w:tcPr>
          <w:p w14:paraId="747F2909">
            <w:pPr>
              <w:ind w:firstLine="0"/>
              <w:jc w:val="center"/>
              <w:rPr>
                <w:rFonts w:hint="eastAsia"/>
                <w:sz w:val="21"/>
                <w:szCs w:val="21"/>
              </w:rPr>
            </w:pPr>
            <w:r>
              <w:rPr>
                <w:rFonts w:hint="eastAsia"/>
                <w:sz w:val="21"/>
                <w:szCs w:val="21"/>
              </w:rPr>
              <w:t>0.019</w:t>
            </w:r>
          </w:p>
        </w:tc>
        <w:tc>
          <w:tcPr>
            <w:tcW w:w="1890" w:type="dxa"/>
            <w:noWrap w:val="0"/>
            <w:vAlign w:val="center"/>
          </w:tcPr>
          <w:p w14:paraId="0CAFA6D0">
            <w:pPr>
              <w:ind w:firstLine="0"/>
              <w:jc w:val="center"/>
              <w:rPr>
                <w:rFonts w:hint="eastAsia"/>
                <w:sz w:val="21"/>
                <w:szCs w:val="21"/>
              </w:rPr>
            </w:pPr>
            <w:r>
              <w:rPr>
                <w:rFonts w:hint="eastAsia"/>
                <w:sz w:val="21"/>
                <w:szCs w:val="21"/>
              </w:rPr>
              <w:t>0.025</w:t>
            </w:r>
          </w:p>
        </w:tc>
        <w:tc>
          <w:tcPr>
            <w:tcW w:w="1125" w:type="dxa"/>
            <w:vMerge w:val="restart"/>
            <w:noWrap w:val="0"/>
            <w:vAlign w:val="center"/>
          </w:tcPr>
          <w:p w14:paraId="515EA5AB">
            <w:pPr>
              <w:ind w:left="0" w:firstLine="0"/>
              <w:jc w:val="center"/>
              <w:rPr>
                <w:sz w:val="21"/>
                <w:szCs w:val="21"/>
                <w:lang w:val="en-US" w:eastAsia="zh-CN"/>
              </w:rPr>
            </w:pPr>
            <w:r>
              <w:rPr>
                <w:rFonts w:hint="eastAsia"/>
                <w:sz w:val="21"/>
                <w:szCs w:val="21"/>
                <w:lang w:val="en-US" w:eastAsia="zh-CN"/>
              </w:rPr>
              <w:t>0.15</w:t>
            </w:r>
          </w:p>
        </w:tc>
        <w:tc>
          <w:tcPr>
            <w:tcW w:w="829" w:type="dxa"/>
            <w:vMerge w:val="restart"/>
            <w:noWrap w:val="0"/>
            <w:vAlign w:val="center"/>
          </w:tcPr>
          <w:p w14:paraId="0D021DEB">
            <w:pPr>
              <w:ind w:left="0" w:firstLine="0"/>
              <w:jc w:val="center"/>
              <w:rPr>
                <w:rFonts w:hint="eastAsia"/>
                <w:sz w:val="21"/>
                <w:szCs w:val="21"/>
                <w:lang w:val="en-US" w:eastAsia="zh-CN"/>
              </w:rPr>
            </w:pPr>
            <w:r>
              <w:rPr>
                <w:rFonts w:hint="eastAsia"/>
                <w:sz w:val="21"/>
                <w:szCs w:val="21"/>
                <w:lang w:val="en-US" w:eastAsia="zh-CN"/>
              </w:rPr>
              <w:t>达标</w:t>
            </w:r>
          </w:p>
        </w:tc>
      </w:tr>
      <w:tr w14:paraId="3D3B1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0F05141D">
            <w:pPr>
              <w:ind w:left="0" w:firstLine="0"/>
              <w:jc w:val="center"/>
              <w:rPr>
                <w:rFonts w:hint="eastAsia"/>
                <w:sz w:val="21"/>
                <w:szCs w:val="21"/>
                <w:lang w:val="en-US" w:eastAsia="zh-CN"/>
              </w:rPr>
            </w:pPr>
          </w:p>
        </w:tc>
        <w:tc>
          <w:tcPr>
            <w:tcW w:w="2216" w:type="dxa"/>
            <w:noWrap w:val="0"/>
            <w:tcMar>
              <w:top w:w="15" w:type="dxa"/>
              <w:left w:w="15" w:type="dxa"/>
              <w:bottom w:w="15" w:type="dxa"/>
              <w:right w:w="15" w:type="dxa"/>
            </w:tcMar>
            <w:vAlign w:val="center"/>
          </w:tcPr>
          <w:p w14:paraId="18783B15">
            <w:pPr>
              <w:ind w:firstLine="0"/>
              <w:jc w:val="center"/>
              <w:rPr>
                <w:sz w:val="21"/>
                <w:szCs w:val="21"/>
              </w:rPr>
            </w:pPr>
            <w:r>
              <w:rPr>
                <w:sz w:val="21"/>
                <w:szCs w:val="21"/>
              </w:rPr>
              <w:t>2019.08.22</w:t>
            </w:r>
          </w:p>
        </w:tc>
        <w:tc>
          <w:tcPr>
            <w:tcW w:w="2087" w:type="dxa"/>
            <w:noWrap w:val="0"/>
            <w:vAlign w:val="center"/>
          </w:tcPr>
          <w:p w14:paraId="428607E3">
            <w:pPr>
              <w:ind w:firstLine="0"/>
              <w:jc w:val="center"/>
              <w:rPr>
                <w:rFonts w:hint="eastAsia"/>
                <w:sz w:val="21"/>
                <w:szCs w:val="21"/>
              </w:rPr>
            </w:pPr>
            <w:r>
              <w:rPr>
                <w:rFonts w:hint="eastAsia"/>
                <w:sz w:val="21"/>
                <w:szCs w:val="21"/>
              </w:rPr>
              <w:t>0.020</w:t>
            </w:r>
          </w:p>
        </w:tc>
        <w:tc>
          <w:tcPr>
            <w:tcW w:w="1890" w:type="dxa"/>
            <w:noWrap w:val="0"/>
            <w:vAlign w:val="center"/>
          </w:tcPr>
          <w:p w14:paraId="0C8E34CC">
            <w:pPr>
              <w:ind w:firstLine="0"/>
              <w:jc w:val="center"/>
              <w:rPr>
                <w:rFonts w:hint="eastAsia"/>
                <w:sz w:val="21"/>
                <w:szCs w:val="21"/>
              </w:rPr>
            </w:pPr>
            <w:r>
              <w:rPr>
                <w:rFonts w:hint="eastAsia"/>
                <w:sz w:val="21"/>
                <w:szCs w:val="21"/>
              </w:rPr>
              <w:t>0.019</w:t>
            </w:r>
          </w:p>
        </w:tc>
        <w:tc>
          <w:tcPr>
            <w:tcW w:w="1125" w:type="dxa"/>
            <w:vMerge w:val="continue"/>
            <w:noWrap w:val="0"/>
            <w:vAlign w:val="center"/>
          </w:tcPr>
          <w:p w14:paraId="0D08F285">
            <w:pPr>
              <w:ind w:firstLine="420"/>
              <w:jc w:val="center"/>
              <w:rPr>
                <w:sz w:val="21"/>
                <w:szCs w:val="21"/>
              </w:rPr>
            </w:pPr>
          </w:p>
        </w:tc>
        <w:tc>
          <w:tcPr>
            <w:tcW w:w="829" w:type="dxa"/>
            <w:vMerge w:val="continue"/>
            <w:noWrap w:val="0"/>
            <w:vAlign w:val="center"/>
          </w:tcPr>
          <w:p w14:paraId="19715D85">
            <w:pPr>
              <w:ind w:firstLine="420"/>
              <w:jc w:val="center"/>
              <w:rPr>
                <w:sz w:val="21"/>
                <w:szCs w:val="21"/>
              </w:rPr>
            </w:pPr>
          </w:p>
        </w:tc>
      </w:tr>
      <w:tr w14:paraId="4307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1EE96DDD">
            <w:pPr>
              <w:ind w:left="0" w:firstLine="0"/>
              <w:jc w:val="center"/>
              <w:rPr>
                <w:rFonts w:hint="eastAsia"/>
                <w:sz w:val="21"/>
                <w:szCs w:val="21"/>
                <w:lang w:val="en-US" w:eastAsia="zh-CN"/>
              </w:rPr>
            </w:pPr>
          </w:p>
        </w:tc>
        <w:tc>
          <w:tcPr>
            <w:tcW w:w="2216" w:type="dxa"/>
            <w:noWrap w:val="0"/>
            <w:tcMar>
              <w:top w:w="15" w:type="dxa"/>
              <w:left w:w="15" w:type="dxa"/>
              <w:bottom w:w="15" w:type="dxa"/>
              <w:right w:w="15" w:type="dxa"/>
            </w:tcMar>
            <w:vAlign w:val="center"/>
          </w:tcPr>
          <w:p w14:paraId="0B65BE51">
            <w:pPr>
              <w:ind w:firstLine="0"/>
              <w:jc w:val="center"/>
              <w:rPr>
                <w:sz w:val="21"/>
                <w:szCs w:val="21"/>
              </w:rPr>
            </w:pPr>
            <w:r>
              <w:rPr>
                <w:sz w:val="21"/>
                <w:szCs w:val="21"/>
              </w:rPr>
              <w:t>2019.08.23</w:t>
            </w:r>
          </w:p>
        </w:tc>
        <w:tc>
          <w:tcPr>
            <w:tcW w:w="2087" w:type="dxa"/>
            <w:noWrap w:val="0"/>
            <w:vAlign w:val="center"/>
          </w:tcPr>
          <w:p w14:paraId="4DBCCC41">
            <w:pPr>
              <w:ind w:firstLine="0"/>
              <w:jc w:val="center"/>
              <w:rPr>
                <w:rFonts w:hint="eastAsia"/>
                <w:sz w:val="21"/>
                <w:szCs w:val="21"/>
              </w:rPr>
            </w:pPr>
            <w:r>
              <w:rPr>
                <w:rFonts w:hint="eastAsia"/>
                <w:sz w:val="21"/>
                <w:szCs w:val="21"/>
              </w:rPr>
              <w:t>0.021</w:t>
            </w:r>
          </w:p>
        </w:tc>
        <w:tc>
          <w:tcPr>
            <w:tcW w:w="1890" w:type="dxa"/>
            <w:noWrap w:val="0"/>
            <w:vAlign w:val="center"/>
          </w:tcPr>
          <w:p w14:paraId="5FCCA59E">
            <w:pPr>
              <w:ind w:firstLine="0"/>
              <w:jc w:val="center"/>
              <w:rPr>
                <w:rFonts w:hint="eastAsia"/>
                <w:sz w:val="21"/>
                <w:szCs w:val="21"/>
              </w:rPr>
            </w:pPr>
            <w:r>
              <w:rPr>
                <w:rFonts w:hint="eastAsia"/>
                <w:sz w:val="21"/>
                <w:szCs w:val="21"/>
              </w:rPr>
              <w:t>0.021</w:t>
            </w:r>
          </w:p>
        </w:tc>
        <w:tc>
          <w:tcPr>
            <w:tcW w:w="1125" w:type="dxa"/>
            <w:vMerge w:val="continue"/>
            <w:noWrap w:val="0"/>
            <w:vAlign w:val="center"/>
          </w:tcPr>
          <w:p w14:paraId="0EF6B52F">
            <w:pPr>
              <w:ind w:firstLine="420"/>
              <w:jc w:val="center"/>
              <w:rPr>
                <w:sz w:val="21"/>
                <w:szCs w:val="21"/>
              </w:rPr>
            </w:pPr>
          </w:p>
        </w:tc>
        <w:tc>
          <w:tcPr>
            <w:tcW w:w="829" w:type="dxa"/>
            <w:vMerge w:val="continue"/>
            <w:noWrap w:val="0"/>
            <w:vAlign w:val="center"/>
          </w:tcPr>
          <w:p w14:paraId="4F5E32AC">
            <w:pPr>
              <w:ind w:firstLine="420"/>
              <w:jc w:val="center"/>
              <w:rPr>
                <w:sz w:val="21"/>
                <w:szCs w:val="21"/>
              </w:rPr>
            </w:pPr>
          </w:p>
        </w:tc>
      </w:tr>
      <w:tr w14:paraId="0A452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6192D551">
            <w:pPr>
              <w:ind w:left="0" w:firstLine="0"/>
              <w:jc w:val="center"/>
              <w:rPr>
                <w:rFonts w:hint="eastAsia"/>
                <w:sz w:val="21"/>
                <w:szCs w:val="21"/>
                <w:lang w:val="en-US" w:eastAsia="zh-CN"/>
              </w:rPr>
            </w:pPr>
          </w:p>
        </w:tc>
        <w:tc>
          <w:tcPr>
            <w:tcW w:w="2216" w:type="dxa"/>
            <w:noWrap w:val="0"/>
            <w:tcMar>
              <w:top w:w="15" w:type="dxa"/>
              <w:left w:w="15" w:type="dxa"/>
              <w:bottom w:w="15" w:type="dxa"/>
              <w:right w:w="15" w:type="dxa"/>
            </w:tcMar>
            <w:vAlign w:val="center"/>
          </w:tcPr>
          <w:p w14:paraId="3440099E">
            <w:pPr>
              <w:ind w:firstLine="0"/>
              <w:jc w:val="center"/>
              <w:rPr>
                <w:sz w:val="21"/>
                <w:szCs w:val="21"/>
              </w:rPr>
            </w:pPr>
            <w:r>
              <w:rPr>
                <w:sz w:val="21"/>
                <w:szCs w:val="21"/>
              </w:rPr>
              <w:t>2019.08.24</w:t>
            </w:r>
          </w:p>
        </w:tc>
        <w:tc>
          <w:tcPr>
            <w:tcW w:w="2087" w:type="dxa"/>
            <w:noWrap w:val="0"/>
            <w:vAlign w:val="center"/>
          </w:tcPr>
          <w:p w14:paraId="12942D00">
            <w:pPr>
              <w:ind w:firstLine="0"/>
              <w:jc w:val="center"/>
              <w:rPr>
                <w:rFonts w:hint="eastAsia"/>
                <w:sz w:val="21"/>
                <w:szCs w:val="21"/>
              </w:rPr>
            </w:pPr>
            <w:r>
              <w:rPr>
                <w:rFonts w:hint="eastAsia"/>
                <w:sz w:val="21"/>
                <w:szCs w:val="21"/>
              </w:rPr>
              <w:t>0.024</w:t>
            </w:r>
          </w:p>
        </w:tc>
        <w:tc>
          <w:tcPr>
            <w:tcW w:w="1890" w:type="dxa"/>
            <w:noWrap w:val="0"/>
            <w:vAlign w:val="center"/>
          </w:tcPr>
          <w:p w14:paraId="35258DC7">
            <w:pPr>
              <w:ind w:firstLine="0"/>
              <w:jc w:val="center"/>
              <w:rPr>
                <w:rFonts w:hint="eastAsia"/>
                <w:sz w:val="21"/>
                <w:szCs w:val="21"/>
              </w:rPr>
            </w:pPr>
            <w:r>
              <w:rPr>
                <w:rFonts w:hint="eastAsia"/>
                <w:sz w:val="21"/>
                <w:szCs w:val="21"/>
              </w:rPr>
              <w:t>0.026</w:t>
            </w:r>
          </w:p>
        </w:tc>
        <w:tc>
          <w:tcPr>
            <w:tcW w:w="1125" w:type="dxa"/>
            <w:vMerge w:val="continue"/>
            <w:noWrap w:val="0"/>
            <w:vAlign w:val="center"/>
          </w:tcPr>
          <w:p w14:paraId="184B3ED0">
            <w:pPr>
              <w:ind w:firstLine="420"/>
              <w:jc w:val="center"/>
              <w:rPr>
                <w:sz w:val="21"/>
                <w:szCs w:val="21"/>
              </w:rPr>
            </w:pPr>
          </w:p>
        </w:tc>
        <w:tc>
          <w:tcPr>
            <w:tcW w:w="829" w:type="dxa"/>
            <w:vMerge w:val="continue"/>
            <w:noWrap w:val="0"/>
            <w:vAlign w:val="center"/>
          </w:tcPr>
          <w:p w14:paraId="6214C2A2">
            <w:pPr>
              <w:ind w:firstLine="420"/>
              <w:jc w:val="center"/>
              <w:rPr>
                <w:sz w:val="21"/>
                <w:szCs w:val="21"/>
              </w:rPr>
            </w:pPr>
          </w:p>
        </w:tc>
      </w:tr>
      <w:tr w14:paraId="42105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589F93C2">
            <w:pPr>
              <w:ind w:left="0" w:firstLine="0"/>
              <w:jc w:val="center"/>
              <w:rPr>
                <w:rFonts w:hint="eastAsia"/>
                <w:sz w:val="21"/>
                <w:szCs w:val="21"/>
                <w:lang w:val="en-US" w:eastAsia="zh-CN"/>
              </w:rPr>
            </w:pPr>
          </w:p>
        </w:tc>
        <w:tc>
          <w:tcPr>
            <w:tcW w:w="2216" w:type="dxa"/>
            <w:noWrap w:val="0"/>
            <w:tcMar>
              <w:top w:w="15" w:type="dxa"/>
              <w:left w:w="15" w:type="dxa"/>
              <w:bottom w:w="15" w:type="dxa"/>
              <w:right w:w="15" w:type="dxa"/>
            </w:tcMar>
            <w:vAlign w:val="center"/>
          </w:tcPr>
          <w:p w14:paraId="77BA9C98">
            <w:pPr>
              <w:ind w:firstLine="0"/>
              <w:jc w:val="center"/>
              <w:rPr>
                <w:sz w:val="21"/>
                <w:szCs w:val="21"/>
              </w:rPr>
            </w:pPr>
            <w:r>
              <w:rPr>
                <w:sz w:val="21"/>
                <w:szCs w:val="21"/>
              </w:rPr>
              <w:t>2019.08.25</w:t>
            </w:r>
          </w:p>
        </w:tc>
        <w:tc>
          <w:tcPr>
            <w:tcW w:w="2087" w:type="dxa"/>
            <w:noWrap w:val="0"/>
            <w:vAlign w:val="center"/>
          </w:tcPr>
          <w:p w14:paraId="074C3BBE">
            <w:pPr>
              <w:ind w:firstLine="0"/>
              <w:jc w:val="center"/>
              <w:rPr>
                <w:rFonts w:hint="eastAsia"/>
                <w:sz w:val="21"/>
                <w:szCs w:val="21"/>
              </w:rPr>
            </w:pPr>
            <w:r>
              <w:rPr>
                <w:rFonts w:hint="eastAsia"/>
                <w:sz w:val="21"/>
                <w:szCs w:val="21"/>
              </w:rPr>
              <w:t>0.018</w:t>
            </w:r>
          </w:p>
        </w:tc>
        <w:tc>
          <w:tcPr>
            <w:tcW w:w="1890" w:type="dxa"/>
            <w:noWrap w:val="0"/>
            <w:vAlign w:val="center"/>
          </w:tcPr>
          <w:p w14:paraId="3FE55D47">
            <w:pPr>
              <w:ind w:firstLine="0"/>
              <w:jc w:val="center"/>
              <w:rPr>
                <w:rFonts w:hint="eastAsia"/>
                <w:sz w:val="21"/>
                <w:szCs w:val="21"/>
              </w:rPr>
            </w:pPr>
            <w:r>
              <w:rPr>
                <w:rFonts w:hint="eastAsia"/>
                <w:sz w:val="21"/>
                <w:szCs w:val="21"/>
              </w:rPr>
              <w:t>0.025</w:t>
            </w:r>
          </w:p>
        </w:tc>
        <w:tc>
          <w:tcPr>
            <w:tcW w:w="1125" w:type="dxa"/>
            <w:vMerge w:val="continue"/>
            <w:noWrap w:val="0"/>
            <w:vAlign w:val="center"/>
          </w:tcPr>
          <w:p w14:paraId="3A7E1AD6">
            <w:pPr>
              <w:ind w:firstLine="420"/>
              <w:jc w:val="center"/>
              <w:rPr>
                <w:sz w:val="21"/>
                <w:szCs w:val="21"/>
              </w:rPr>
            </w:pPr>
          </w:p>
        </w:tc>
        <w:tc>
          <w:tcPr>
            <w:tcW w:w="829" w:type="dxa"/>
            <w:vMerge w:val="continue"/>
            <w:noWrap w:val="0"/>
            <w:vAlign w:val="center"/>
          </w:tcPr>
          <w:p w14:paraId="42CBD5CD">
            <w:pPr>
              <w:ind w:firstLine="420"/>
              <w:jc w:val="center"/>
              <w:rPr>
                <w:sz w:val="21"/>
                <w:szCs w:val="21"/>
              </w:rPr>
            </w:pPr>
          </w:p>
        </w:tc>
      </w:tr>
      <w:tr w14:paraId="300ED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01D9A1E0">
            <w:pPr>
              <w:ind w:left="0" w:firstLine="0"/>
              <w:jc w:val="center"/>
              <w:rPr>
                <w:rFonts w:hint="eastAsia"/>
                <w:sz w:val="21"/>
                <w:szCs w:val="21"/>
                <w:lang w:val="en-US" w:eastAsia="zh-CN"/>
              </w:rPr>
            </w:pPr>
          </w:p>
        </w:tc>
        <w:tc>
          <w:tcPr>
            <w:tcW w:w="2216" w:type="dxa"/>
            <w:noWrap w:val="0"/>
            <w:tcMar>
              <w:top w:w="15" w:type="dxa"/>
              <w:left w:w="15" w:type="dxa"/>
              <w:bottom w:w="15" w:type="dxa"/>
              <w:right w:w="15" w:type="dxa"/>
            </w:tcMar>
            <w:vAlign w:val="center"/>
          </w:tcPr>
          <w:p w14:paraId="38A13B55">
            <w:pPr>
              <w:ind w:firstLine="0"/>
              <w:jc w:val="center"/>
              <w:rPr>
                <w:sz w:val="21"/>
                <w:szCs w:val="21"/>
              </w:rPr>
            </w:pPr>
            <w:r>
              <w:rPr>
                <w:sz w:val="21"/>
                <w:szCs w:val="21"/>
              </w:rPr>
              <w:t>2019.08.26</w:t>
            </w:r>
          </w:p>
        </w:tc>
        <w:tc>
          <w:tcPr>
            <w:tcW w:w="2087" w:type="dxa"/>
            <w:noWrap w:val="0"/>
            <w:vAlign w:val="center"/>
          </w:tcPr>
          <w:p w14:paraId="619DC2B6">
            <w:pPr>
              <w:ind w:firstLine="0"/>
              <w:jc w:val="center"/>
              <w:rPr>
                <w:rFonts w:hint="eastAsia"/>
                <w:sz w:val="21"/>
                <w:szCs w:val="21"/>
              </w:rPr>
            </w:pPr>
            <w:r>
              <w:rPr>
                <w:rFonts w:hint="eastAsia"/>
                <w:sz w:val="21"/>
                <w:szCs w:val="21"/>
              </w:rPr>
              <w:t>0.022</w:t>
            </w:r>
          </w:p>
        </w:tc>
        <w:tc>
          <w:tcPr>
            <w:tcW w:w="1890" w:type="dxa"/>
            <w:noWrap w:val="0"/>
            <w:vAlign w:val="center"/>
          </w:tcPr>
          <w:p w14:paraId="72D3D9CC">
            <w:pPr>
              <w:ind w:firstLine="0"/>
              <w:jc w:val="center"/>
              <w:rPr>
                <w:rFonts w:hint="eastAsia"/>
                <w:sz w:val="21"/>
                <w:szCs w:val="21"/>
              </w:rPr>
            </w:pPr>
            <w:r>
              <w:rPr>
                <w:rFonts w:hint="eastAsia"/>
                <w:sz w:val="21"/>
                <w:szCs w:val="21"/>
              </w:rPr>
              <w:t>0.023</w:t>
            </w:r>
          </w:p>
        </w:tc>
        <w:tc>
          <w:tcPr>
            <w:tcW w:w="1125" w:type="dxa"/>
            <w:vMerge w:val="continue"/>
            <w:noWrap w:val="0"/>
            <w:vAlign w:val="center"/>
          </w:tcPr>
          <w:p w14:paraId="631A08CB">
            <w:pPr>
              <w:ind w:firstLine="420"/>
              <w:jc w:val="center"/>
              <w:rPr>
                <w:sz w:val="21"/>
                <w:szCs w:val="21"/>
              </w:rPr>
            </w:pPr>
          </w:p>
        </w:tc>
        <w:tc>
          <w:tcPr>
            <w:tcW w:w="829" w:type="dxa"/>
            <w:vMerge w:val="continue"/>
            <w:noWrap w:val="0"/>
            <w:vAlign w:val="center"/>
          </w:tcPr>
          <w:p w14:paraId="2C41DD63">
            <w:pPr>
              <w:ind w:firstLine="420"/>
              <w:jc w:val="center"/>
              <w:rPr>
                <w:sz w:val="21"/>
                <w:szCs w:val="21"/>
              </w:rPr>
            </w:pPr>
          </w:p>
        </w:tc>
      </w:tr>
      <w:tr w14:paraId="220CC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02FABDCF">
            <w:pPr>
              <w:ind w:left="0" w:firstLine="0"/>
              <w:jc w:val="center"/>
              <w:rPr>
                <w:rFonts w:hint="eastAsia"/>
                <w:sz w:val="21"/>
                <w:szCs w:val="21"/>
                <w:lang w:val="en-US" w:eastAsia="zh-CN"/>
              </w:rPr>
            </w:pPr>
          </w:p>
        </w:tc>
        <w:tc>
          <w:tcPr>
            <w:tcW w:w="2216" w:type="dxa"/>
            <w:noWrap w:val="0"/>
            <w:tcMar>
              <w:top w:w="15" w:type="dxa"/>
              <w:left w:w="15" w:type="dxa"/>
              <w:bottom w:w="15" w:type="dxa"/>
              <w:right w:w="15" w:type="dxa"/>
            </w:tcMar>
            <w:vAlign w:val="center"/>
          </w:tcPr>
          <w:p w14:paraId="2A97366D">
            <w:pPr>
              <w:ind w:firstLine="0"/>
              <w:jc w:val="center"/>
              <w:rPr>
                <w:sz w:val="21"/>
                <w:szCs w:val="21"/>
              </w:rPr>
            </w:pPr>
            <w:r>
              <w:rPr>
                <w:sz w:val="21"/>
                <w:szCs w:val="21"/>
              </w:rPr>
              <w:t>2019.08.27</w:t>
            </w:r>
          </w:p>
        </w:tc>
        <w:tc>
          <w:tcPr>
            <w:tcW w:w="2087" w:type="dxa"/>
            <w:noWrap w:val="0"/>
            <w:vAlign w:val="center"/>
          </w:tcPr>
          <w:p w14:paraId="5809943E">
            <w:pPr>
              <w:ind w:firstLine="0"/>
              <w:jc w:val="center"/>
              <w:rPr>
                <w:rFonts w:hint="eastAsia"/>
                <w:sz w:val="21"/>
                <w:szCs w:val="21"/>
              </w:rPr>
            </w:pPr>
            <w:r>
              <w:rPr>
                <w:rFonts w:hint="eastAsia"/>
                <w:sz w:val="21"/>
                <w:szCs w:val="21"/>
              </w:rPr>
              <w:t>0.024</w:t>
            </w:r>
          </w:p>
        </w:tc>
        <w:tc>
          <w:tcPr>
            <w:tcW w:w="1890" w:type="dxa"/>
            <w:noWrap w:val="0"/>
            <w:vAlign w:val="center"/>
          </w:tcPr>
          <w:p w14:paraId="59DF2B14">
            <w:pPr>
              <w:ind w:firstLine="0"/>
              <w:jc w:val="center"/>
              <w:rPr>
                <w:rFonts w:hint="eastAsia"/>
                <w:sz w:val="21"/>
                <w:szCs w:val="21"/>
              </w:rPr>
            </w:pPr>
            <w:r>
              <w:rPr>
                <w:rFonts w:hint="eastAsia"/>
                <w:sz w:val="21"/>
                <w:szCs w:val="21"/>
              </w:rPr>
              <w:t>0.022</w:t>
            </w:r>
          </w:p>
        </w:tc>
        <w:tc>
          <w:tcPr>
            <w:tcW w:w="1125" w:type="dxa"/>
            <w:vMerge w:val="continue"/>
            <w:noWrap w:val="0"/>
            <w:vAlign w:val="center"/>
          </w:tcPr>
          <w:p w14:paraId="3718CD8C">
            <w:pPr>
              <w:ind w:firstLine="420"/>
              <w:jc w:val="center"/>
              <w:rPr>
                <w:sz w:val="21"/>
                <w:szCs w:val="21"/>
              </w:rPr>
            </w:pPr>
          </w:p>
        </w:tc>
        <w:tc>
          <w:tcPr>
            <w:tcW w:w="829" w:type="dxa"/>
            <w:vMerge w:val="continue"/>
            <w:noWrap w:val="0"/>
            <w:vAlign w:val="center"/>
          </w:tcPr>
          <w:p w14:paraId="33C8C63A">
            <w:pPr>
              <w:ind w:firstLine="420"/>
              <w:jc w:val="center"/>
              <w:rPr>
                <w:sz w:val="21"/>
                <w:szCs w:val="21"/>
              </w:rPr>
            </w:pPr>
          </w:p>
        </w:tc>
      </w:tr>
      <w:tr w14:paraId="39215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restart"/>
            <w:noWrap w:val="0"/>
            <w:tcMar>
              <w:top w:w="15" w:type="dxa"/>
              <w:left w:w="15" w:type="dxa"/>
              <w:bottom w:w="15" w:type="dxa"/>
              <w:right w:w="15" w:type="dxa"/>
            </w:tcMar>
            <w:vAlign w:val="center"/>
          </w:tcPr>
          <w:p w14:paraId="1D6A59C4">
            <w:pPr>
              <w:ind w:left="0" w:firstLine="0"/>
              <w:jc w:val="center"/>
              <w:rPr>
                <w:rFonts w:hint="eastAsia"/>
                <w:sz w:val="21"/>
                <w:szCs w:val="21"/>
                <w:lang w:val="en-US" w:eastAsia="zh-CN"/>
              </w:rPr>
            </w:pPr>
            <w:r>
              <w:rPr>
                <w:rFonts w:hint="eastAsia"/>
                <w:sz w:val="21"/>
                <w:szCs w:val="21"/>
                <w:lang w:val="en-US" w:eastAsia="zh-CN"/>
              </w:rPr>
              <w:t>二氧化氮</w:t>
            </w:r>
          </w:p>
        </w:tc>
        <w:tc>
          <w:tcPr>
            <w:tcW w:w="2216" w:type="dxa"/>
            <w:noWrap w:val="0"/>
            <w:tcMar>
              <w:top w:w="15" w:type="dxa"/>
              <w:left w:w="15" w:type="dxa"/>
              <w:bottom w:w="15" w:type="dxa"/>
              <w:right w:w="15" w:type="dxa"/>
            </w:tcMar>
            <w:vAlign w:val="center"/>
          </w:tcPr>
          <w:p w14:paraId="06B89910">
            <w:pPr>
              <w:ind w:firstLine="0"/>
              <w:jc w:val="center"/>
              <w:rPr>
                <w:sz w:val="21"/>
                <w:szCs w:val="21"/>
              </w:rPr>
            </w:pPr>
            <w:r>
              <w:rPr>
                <w:sz w:val="21"/>
                <w:szCs w:val="21"/>
              </w:rPr>
              <w:t>2019.08.21</w:t>
            </w:r>
          </w:p>
        </w:tc>
        <w:tc>
          <w:tcPr>
            <w:tcW w:w="2087" w:type="dxa"/>
            <w:noWrap w:val="0"/>
            <w:vAlign w:val="center"/>
          </w:tcPr>
          <w:p w14:paraId="50786DA5">
            <w:pPr>
              <w:ind w:firstLine="0"/>
              <w:jc w:val="center"/>
              <w:rPr>
                <w:rFonts w:hint="eastAsia"/>
                <w:sz w:val="21"/>
                <w:szCs w:val="21"/>
              </w:rPr>
            </w:pPr>
            <w:r>
              <w:rPr>
                <w:rFonts w:hint="eastAsia"/>
                <w:sz w:val="21"/>
                <w:szCs w:val="21"/>
              </w:rPr>
              <w:t>0.022</w:t>
            </w:r>
          </w:p>
        </w:tc>
        <w:tc>
          <w:tcPr>
            <w:tcW w:w="1890" w:type="dxa"/>
            <w:noWrap w:val="0"/>
            <w:vAlign w:val="center"/>
          </w:tcPr>
          <w:p w14:paraId="598BFADD">
            <w:pPr>
              <w:ind w:firstLine="0"/>
              <w:jc w:val="center"/>
              <w:rPr>
                <w:rFonts w:hint="eastAsia"/>
                <w:sz w:val="21"/>
                <w:szCs w:val="21"/>
              </w:rPr>
            </w:pPr>
            <w:r>
              <w:rPr>
                <w:rFonts w:hint="eastAsia"/>
                <w:sz w:val="21"/>
                <w:szCs w:val="21"/>
              </w:rPr>
              <w:t>0.021</w:t>
            </w:r>
          </w:p>
        </w:tc>
        <w:tc>
          <w:tcPr>
            <w:tcW w:w="1125" w:type="dxa"/>
            <w:vMerge w:val="restart"/>
            <w:noWrap w:val="0"/>
            <w:vAlign w:val="center"/>
          </w:tcPr>
          <w:p w14:paraId="20208998">
            <w:pPr>
              <w:ind w:left="0" w:firstLine="0"/>
              <w:jc w:val="center"/>
              <w:rPr>
                <w:rFonts w:eastAsia="宋体"/>
                <w:sz w:val="21"/>
                <w:szCs w:val="21"/>
                <w:lang w:val="en-US" w:eastAsia="zh-CN"/>
              </w:rPr>
            </w:pPr>
            <w:r>
              <w:rPr>
                <w:rFonts w:hint="eastAsia"/>
                <w:sz w:val="21"/>
                <w:szCs w:val="21"/>
                <w:lang w:val="en-US" w:eastAsia="zh-CN"/>
              </w:rPr>
              <w:t>0.08</w:t>
            </w:r>
          </w:p>
        </w:tc>
        <w:tc>
          <w:tcPr>
            <w:tcW w:w="829" w:type="dxa"/>
            <w:vMerge w:val="restart"/>
            <w:noWrap w:val="0"/>
            <w:vAlign w:val="center"/>
          </w:tcPr>
          <w:p w14:paraId="78DF5624">
            <w:pPr>
              <w:ind w:left="0" w:firstLine="0"/>
              <w:jc w:val="center"/>
              <w:rPr>
                <w:rFonts w:hint="eastAsia" w:eastAsia="宋体"/>
                <w:sz w:val="21"/>
                <w:szCs w:val="21"/>
                <w:lang w:val="en-US" w:eastAsia="zh-CN"/>
              </w:rPr>
            </w:pPr>
            <w:r>
              <w:rPr>
                <w:rFonts w:hint="eastAsia"/>
                <w:sz w:val="21"/>
                <w:szCs w:val="21"/>
                <w:lang w:val="en-US" w:eastAsia="zh-CN"/>
              </w:rPr>
              <w:t>达标</w:t>
            </w:r>
          </w:p>
        </w:tc>
      </w:tr>
      <w:tr w14:paraId="3916B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05B1157D">
            <w:pPr>
              <w:ind w:firstLine="420"/>
              <w:jc w:val="center"/>
              <w:rPr>
                <w:sz w:val="21"/>
                <w:szCs w:val="21"/>
              </w:rPr>
            </w:pPr>
          </w:p>
        </w:tc>
        <w:tc>
          <w:tcPr>
            <w:tcW w:w="2216" w:type="dxa"/>
            <w:noWrap w:val="0"/>
            <w:tcMar>
              <w:top w:w="15" w:type="dxa"/>
              <w:left w:w="15" w:type="dxa"/>
              <w:bottom w:w="15" w:type="dxa"/>
              <w:right w:w="15" w:type="dxa"/>
            </w:tcMar>
            <w:vAlign w:val="center"/>
          </w:tcPr>
          <w:p w14:paraId="3BD6E093">
            <w:pPr>
              <w:ind w:firstLine="0"/>
              <w:jc w:val="center"/>
              <w:rPr>
                <w:sz w:val="21"/>
                <w:szCs w:val="21"/>
              </w:rPr>
            </w:pPr>
            <w:r>
              <w:rPr>
                <w:sz w:val="21"/>
                <w:szCs w:val="21"/>
              </w:rPr>
              <w:t>2019.08.22</w:t>
            </w:r>
          </w:p>
        </w:tc>
        <w:tc>
          <w:tcPr>
            <w:tcW w:w="2087" w:type="dxa"/>
            <w:noWrap w:val="0"/>
            <w:vAlign w:val="center"/>
          </w:tcPr>
          <w:p w14:paraId="1AC50D94">
            <w:pPr>
              <w:ind w:firstLine="0"/>
              <w:jc w:val="center"/>
              <w:rPr>
                <w:rFonts w:hint="eastAsia"/>
                <w:sz w:val="21"/>
                <w:szCs w:val="21"/>
              </w:rPr>
            </w:pPr>
            <w:r>
              <w:rPr>
                <w:rFonts w:hint="eastAsia"/>
                <w:sz w:val="21"/>
                <w:szCs w:val="21"/>
              </w:rPr>
              <w:t>0.021</w:t>
            </w:r>
          </w:p>
        </w:tc>
        <w:tc>
          <w:tcPr>
            <w:tcW w:w="1890" w:type="dxa"/>
            <w:noWrap w:val="0"/>
            <w:vAlign w:val="center"/>
          </w:tcPr>
          <w:p w14:paraId="53461AB1">
            <w:pPr>
              <w:ind w:firstLine="0"/>
              <w:jc w:val="center"/>
              <w:rPr>
                <w:rFonts w:hint="eastAsia"/>
                <w:sz w:val="21"/>
                <w:szCs w:val="21"/>
              </w:rPr>
            </w:pPr>
            <w:r>
              <w:rPr>
                <w:rFonts w:hint="eastAsia"/>
                <w:sz w:val="21"/>
                <w:szCs w:val="21"/>
              </w:rPr>
              <w:t>0.020</w:t>
            </w:r>
          </w:p>
        </w:tc>
        <w:tc>
          <w:tcPr>
            <w:tcW w:w="1125" w:type="dxa"/>
            <w:vMerge w:val="continue"/>
            <w:noWrap w:val="0"/>
            <w:vAlign w:val="center"/>
          </w:tcPr>
          <w:p w14:paraId="275F4374">
            <w:pPr>
              <w:ind w:firstLine="420"/>
              <w:jc w:val="center"/>
              <w:rPr>
                <w:sz w:val="21"/>
                <w:szCs w:val="21"/>
              </w:rPr>
            </w:pPr>
          </w:p>
        </w:tc>
        <w:tc>
          <w:tcPr>
            <w:tcW w:w="829" w:type="dxa"/>
            <w:vMerge w:val="continue"/>
            <w:noWrap w:val="0"/>
            <w:vAlign w:val="center"/>
          </w:tcPr>
          <w:p w14:paraId="373AD4F9">
            <w:pPr>
              <w:ind w:firstLine="420"/>
              <w:jc w:val="center"/>
              <w:rPr>
                <w:sz w:val="21"/>
                <w:szCs w:val="21"/>
              </w:rPr>
            </w:pPr>
          </w:p>
        </w:tc>
      </w:tr>
      <w:tr w14:paraId="40121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166CCAE5">
            <w:pPr>
              <w:ind w:firstLine="420"/>
              <w:jc w:val="center"/>
              <w:rPr>
                <w:sz w:val="21"/>
                <w:szCs w:val="21"/>
              </w:rPr>
            </w:pPr>
          </w:p>
        </w:tc>
        <w:tc>
          <w:tcPr>
            <w:tcW w:w="2216" w:type="dxa"/>
            <w:noWrap w:val="0"/>
            <w:tcMar>
              <w:top w:w="15" w:type="dxa"/>
              <w:left w:w="15" w:type="dxa"/>
              <w:bottom w:w="15" w:type="dxa"/>
              <w:right w:w="15" w:type="dxa"/>
            </w:tcMar>
            <w:vAlign w:val="center"/>
          </w:tcPr>
          <w:p w14:paraId="267A75DA">
            <w:pPr>
              <w:ind w:firstLine="0"/>
              <w:jc w:val="center"/>
              <w:rPr>
                <w:sz w:val="21"/>
                <w:szCs w:val="21"/>
              </w:rPr>
            </w:pPr>
            <w:r>
              <w:rPr>
                <w:sz w:val="21"/>
                <w:szCs w:val="21"/>
              </w:rPr>
              <w:t>2019.08.23</w:t>
            </w:r>
          </w:p>
        </w:tc>
        <w:tc>
          <w:tcPr>
            <w:tcW w:w="2087" w:type="dxa"/>
            <w:noWrap w:val="0"/>
            <w:vAlign w:val="center"/>
          </w:tcPr>
          <w:p w14:paraId="64123DC1">
            <w:pPr>
              <w:ind w:firstLine="0"/>
              <w:jc w:val="center"/>
              <w:rPr>
                <w:rFonts w:hint="eastAsia"/>
                <w:sz w:val="21"/>
                <w:szCs w:val="21"/>
              </w:rPr>
            </w:pPr>
            <w:r>
              <w:rPr>
                <w:rFonts w:hint="eastAsia"/>
                <w:sz w:val="21"/>
                <w:szCs w:val="21"/>
              </w:rPr>
              <w:t>0.021</w:t>
            </w:r>
          </w:p>
        </w:tc>
        <w:tc>
          <w:tcPr>
            <w:tcW w:w="1890" w:type="dxa"/>
            <w:noWrap w:val="0"/>
            <w:vAlign w:val="center"/>
          </w:tcPr>
          <w:p w14:paraId="7A9B4145">
            <w:pPr>
              <w:ind w:firstLine="0"/>
              <w:jc w:val="center"/>
              <w:rPr>
                <w:rFonts w:hint="eastAsia"/>
                <w:sz w:val="21"/>
                <w:szCs w:val="21"/>
              </w:rPr>
            </w:pPr>
            <w:r>
              <w:rPr>
                <w:rFonts w:hint="eastAsia"/>
                <w:sz w:val="21"/>
                <w:szCs w:val="21"/>
              </w:rPr>
              <w:t>0.019</w:t>
            </w:r>
          </w:p>
        </w:tc>
        <w:tc>
          <w:tcPr>
            <w:tcW w:w="1125" w:type="dxa"/>
            <w:vMerge w:val="continue"/>
            <w:noWrap w:val="0"/>
            <w:vAlign w:val="center"/>
          </w:tcPr>
          <w:p w14:paraId="59360E97">
            <w:pPr>
              <w:ind w:firstLine="420"/>
              <w:jc w:val="center"/>
              <w:rPr>
                <w:sz w:val="21"/>
                <w:szCs w:val="21"/>
              </w:rPr>
            </w:pPr>
          </w:p>
        </w:tc>
        <w:tc>
          <w:tcPr>
            <w:tcW w:w="829" w:type="dxa"/>
            <w:vMerge w:val="continue"/>
            <w:noWrap w:val="0"/>
            <w:vAlign w:val="center"/>
          </w:tcPr>
          <w:p w14:paraId="64F0C4BC">
            <w:pPr>
              <w:ind w:firstLine="420"/>
              <w:jc w:val="center"/>
              <w:rPr>
                <w:sz w:val="21"/>
                <w:szCs w:val="21"/>
              </w:rPr>
            </w:pPr>
          </w:p>
        </w:tc>
      </w:tr>
      <w:tr w14:paraId="0A1FA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2C94EBD5">
            <w:pPr>
              <w:ind w:firstLine="420"/>
              <w:jc w:val="center"/>
              <w:rPr>
                <w:sz w:val="21"/>
                <w:szCs w:val="21"/>
              </w:rPr>
            </w:pPr>
          </w:p>
        </w:tc>
        <w:tc>
          <w:tcPr>
            <w:tcW w:w="2216" w:type="dxa"/>
            <w:noWrap w:val="0"/>
            <w:tcMar>
              <w:top w:w="15" w:type="dxa"/>
              <w:left w:w="15" w:type="dxa"/>
              <w:bottom w:w="15" w:type="dxa"/>
              <w:right w:w="15" w:type="dxa"/>
            </w:tcMar>
            <w:vAlign w:val="center"/>
          </w:tcPr>
          <w:p w14:paraId="7F0F27FF">
            <w:pPr>
              <w:ind w:firstLine="0"/>
              <w:jc w:val="center"/>
              <w:rPr>
                <w:sz w:val="21"/>
                <w:szCs w:val="21"/>
              </w:rPr>
            </w:pPr>
            <w:r>
              <w:rPr>
                <w:sz w:val="21"/>
                <w:szCs w:val="21"/>
              </w:rPr>
              <w:t>2019.08.24</w:t>
            </w:r>
          </w:p>
        </w:tc>
        <w:tc>
          <w:tcPr>
            <w:tcW w:w="2087" w:type="dxa"/>
            <w:noWrap w:val="0"/>
            <w:vAlign w:val="center"/>
          </w:tcPr>
          <w:p w14:paraId="2FEC1439">
            <w:pPr>
              <w:ind w:firstLine="0"/>
              <w:jc w:val="center"/>
              <w:rPr>
                <w:rFonts w:hint="eastAsia"/>
                <w:sz w:val="21"/>
                <w:szCs w:val="21"/>
              </w:rPr>
            </w:pPr>
            <w:r>
              <w:rPr>
                <w:rFonts w:hint="eastAsia"/>
                <w:sz w:val="21"/>
                <w:szCs w:val="21"/>
              </w:rPr>
              <w:t>0.020</w:t>
            </w:r>
          </w:p>
        </w:tc>
        <w:tc>
          <w:tcPr>
            <w:tcW w:w="1890" w:type="dxa"/>
            <w:noWrap w:val="0"/>
            <w:vAlign w:val="center"/>
          </w:tcPr>
          <w:p w14:paraId="7A65F2E1">
            <w:pPr>
              <w:ind w:firstLine="0"/>
              <w:jc w:val="center"/>
              <w:rPr>
                <w:rFonts w:hint="eastAsia"/>
                <w:sz w:val="21"/>
                <w:szCs w:val="21"/>
              </w:rPr>
            </w:pPr>
            <w:r>
              <w:rPr>
                <w:rFonts w:hint="eastAsia"/>
                <w:sz w:val="21"/>
                <w:szCs w:val="21"/>
              </w:rPr>
              <w:t>0.022</w:t>
            </w:r>
          </w:p>
        </w:tc>
        <w:tc>
          <w:tcPr>
            <w:tcW w:w="1125" w:type="dxa"/>
            <w:vMerge w:val="continue"/>
            <w:noWrap w:val="0"/>
            <w:vAlign w:val="center"/>
          </w:tcPr>
          <w:p w14:paraId="482E978B">
            <w:pPr>
              <w:ind w:firstLine="420"/>
              <w:jc w:val="center"/>
              <w:rPr>
                <w:sz w:val="21"/>
                <w:szCs w:val="21"/>
              </w:rPr>
            </w:pPr>
          </w:p>
        </w:tc>
        <w:tc>
          <w:tcPr>
            <w:tcW w:w="829" w:type="dxa"/>
            <w:vMerge w:val="continue"/>
            <w:noWrap w:val="0"/>
            <w:vAlign w:val="center"/>
          </w:tcPr>
          <w:p w14:paraId="37711478">
            <w:pPr>
              <w:ind w:firstLine="420"/>
              <w:jc w:val="center"/>
              <w:rPr>
                <w:sz w:val="21"/>
                <w:szCs w:val="21"/>
              </w:rPr>
            </w:pPr>
          </w:p>
        </w:tc>
      </w:tr>
      <w:tr w14:paraId="66671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4CCC30C0">
            <w:pPr>
              <w:ind w:firstLine="420"/>
              <w:jc w:val="center"/>
              <w:rPr>
                <w:sz w:val="21"/>
                <w:szCs w:val="21"/>
              </w:rPr>
            </w:pPr>
          </w:p>
        </w:tc>
        <w:tc>
          <w:tcPr>
            <w:tcW w:w="2216" w:type="dxa"/>
            <w:noWrap w:val="0"/>
            <w:tcMar>
              <w:top w:w="15" w:type="dxa"/>
              <w:left w:w="15" w:type="dxa"/>
              <w:bottom w:w="15" w:type="dxa"/>
              <w:right w:w="15" w:type="dxa"/>
            </w:tcMar>
            <w:vAlign w:val="center"/>
          </w:tcPr>
          <w:p w14:paraId="3858DFF6">
            <w:pPr>
              <w:ind w:firstLine="0"/>
              <w:jc w:val="center"/>
              <w:rPr>
                <w:sz w:val="21"/>
                <w:szCs w:val="21"/>
              </w:rPr>
            </w:pPr>
            <w:r>
              <w:rPr>
                <w:sz w:val="21"/>
                <w:szCs w:val="21"/>
              </w:rPr>
              <w:t>2019.08.25</w:t>
            </w:r>
          </w:p>
        </w:tc>
        <w:tc>
          <w:tcPr>
            <w:tcW w:w="2087" w:type="dxa"/>
            <w:noWrap w:val="0"/>
            <w:vAlign w:val="center"/>
          </w:tcPr>
          <w:p w14:paraId="08701BA4">
            <w:pPr>
              <w:ind w:firstLine="0"/>
              <w:jc w:val="center"/>
              <w:rPr>
                <w:rFonts w:hint="eastAsia"/>
                <w:sz w:val="21"/>
                <w:szCs w:val="21"/>
              </w:rPr>
            </w:pPr>
            <w:r>
              <w:rPr>
                <w:rFonts w:hint="eastAsia"/>
                <w:sz w:val="21"/>
                <w:szCs w:val="21"/>
              </w:rPr>
              <w:t>0.022</w:t>
            </w:r>
          </w:p>
        </w:tc>
        <w:tc>
          <w:tcPr>
            <w:tcW w:w="1890" w:type="dxa"/>
            <w:noWrap w:val="0"/>
            <w:vAlign w:val="center"/>
          </w:tcPr>
          <w:p w14:paraId="5E49CFFC">
            <w:pPr>
              <w:ind w:firstLine="0"/>
              <w:jc w:val="center"/>
              <w:rPr>
                <w:rFonts w:hint="eastAsia"/>
                <w:sz w:val="21"/>
                <w:szCs w:val="21"/>
              </w:rPr>
            </w:pPr>
            <w:r>
              <w:rPr>
                <w:rFonts w:hint="eastAsia"/>
                <w:sz w:val="21"/>
                <w:szCs w:val="21"/>
              </w:rPr>
              <w:t>0.020</w:t>
            </w:r>
          </w:p>
        </w:tc>
        <w:tc>
          <w:tcPr>
            <w:tcW w:w="1125" w:type="dxa"/>
            <w:vMerge w:val="continue"/>
            <w:noWrap w:val="0"/>
            <w:vAlign w:val="center"/>
          </w:tcPr>
          <w:p w14:paraId="4C8491A1">
            <w:pPr>
              <w:ind w:firstLine="420"/>
              <w:jc w:val="center"/>
              <w:rPr>
                <w:sz w:val="21"/>
                <w:szCs w:val="21"/>
              </w:rPr>
            </w:pPr>
          </w:p>
        </w:tc>
        <w:tc>
          <w:tcPr>
            <w:tcW w:w="829" w:type="dxa"/>
            <w:vMerge w:val="continue"/>
            <w:noWrap w:val="0"/>
            <w:vAlign w:val="center"/>
          </w:tcPr>
          <w:p w14:paraId="4A729A26">
            <w:pPr>
              <w:ind w:firstLine="420"/>
              <w:jc w:val="center"/>
              <w:rPr>
                <w:sz w:val="21"/>
                <w:szCs w:val="21"/>
              </w:rPr>
            </w:pPr>
          </w:p>
        </w:tc>
      </w:tr>
      <w:tr w14:paraId="13084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28D4CE74">
            <w:pPr>
              <w:ind w:firstLine="420"/>
              <w:jc w:val="center"/>
              <w:rPr>
                <w:sz w:val="21"/>
                <w:szCs w:val="21"/>
              </w:rPr>
            </w:pPr>
          </w:p>
        </w:tc>
        <w:tc>
          <w:tcPr>
            <w:tcW w:w="2216" w:type="dxa"/>
            <w:noWrap w:val="0"/>
            <w:tcMar>
              <w:top w:w="15" w:type="dxa"/>
              <w:left w:w="15" w:type="dxa"/>
              <w:bottom w:w="15" w:type="dxa"/>
              <w:right w:w="15" w:type="dxa"/>
            </w:tcMar>
            <w:vAlign w:val="center"/>
          </w:tcPr>
          <w:p w14:paraId="5660B716">
            <w:pPr>
              <w:ind w:firstLine="0"/>
              <w:jc w:val="center"/>
              <w:rPr>
                <w:sz w:val="21"/>
                <w:szCs w:val="21"/>
              </w:rPr>
            </w:pPr>
            <w:r>
              <w:rPr>
                <w:sz w:val="21"/>
                <w:szCs w:val="21"/>
              </w:rPr>
              <w:t>2019.08.26</w:t>
            </w:r>
          </w:p>
        </w:tc>
        <w:tc>
          <w:tcPr>
            <w:tcW w:w="2087" w:type="dxa"/>
            <w:noWrap w:val="0"/>
            <w:vAlign w:val="center"/>
          </w:tcPr>
          <w:p w14:paraId="74DAD740">
            <w:pPr>
              <w:ind w:firstLine="0"/>
              <w:jc w:val="center"/>
              <w:rPr>
                <w:rFonts w:hint="eastAsia"/>
                <w:sz w:val="21"/>
                <w:szCs w:val="21"/>
              </w:rPr>
            </w:pPr>
            <w:r>
              <w:rPr>
                <w:rFonts w:hint="eastAsia"/>
                <w:sz w:val="21"/>
                <w:szCs w:val="21"/>
              </w:rPr>
              <w:t>0.019</w:t>
            </w:r>
          </w:p>
        </w:tc>
        <w:tc>
          <w:tcPr>
            <w:tcW w:w="1890" w:type="dxa"/>
            <w:noWrap w:val="0"/>
            <w:vAlign w:val="center"/>
          </w:tcPr>
          <w:p w14:paraId="08E555D8">
            <w:pPr>
              <w:ind w:firstLine="0"/>
              <w:jc w:val="center"/>
              <w:rPr>
                <w:rFonts w:hint="eastAsia"/>
                <w:sz w:val="21"/>
                <w:szCs w:val="21"/>
              </w:rPr>
            </w:pPr>
            <w:r>
              <w:rPr>
                <w:rFonts w:hint="eastAsia"/>
                <w:sz w:val="21"/>
                <w:szCs w:val="21"/>
              </w:rPr>
              <w:t>0.021</w:t>
            </w:r>
          </w:p>
        </w:tc>
        <w:tc>
          <w:tcPr>
            <w:tcW w:w="1125" w:type="dxa"/>
            <w:vMerge w:val="continue"/>
            <w:noWrap w:val="0"/>
            <w:vAlign w:val="center"/>
          </w:tcPr>
          <w:p w14:paraId="5C17BE20">
            <w:pPr>
              <w:ind w:firstLine="420"/>
              <w:jc w:val="center"/>
              <w:rPr>
                <w:sz w:val="21"/>
                <w:szCs w:val="21"/>
              </w:rPr>
            </w:pPr>
          </w:p>
        </w:tc>
        <w:tc>
          <w:tcPr>
            <w:tcW w:w="829" w:type="dxa"/>
            <w:vMerge w:val="continue"/>
            <w:noWrap w:val="0"/>
            <w:vAlign w:val="center"/>
          </w:tcPr>
          <w:p w14:paraId="5B5DFAF9">
            <w:pPr>
              <w:ind w:firstLine="420"/>
              <w:jc w:val="center"/>
              <w:rPr>
                <w:sz w:val="21"/>
                <w:szCs w:val="21"/>
              </w:rPr>
            </w:pPr>
          </w:p>
        </w:tc>
      </w:tr>
      <w:tr w14:paraId="20337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1341" w:type="dxa"/>
            <w:vMerge w:val="continue"/>
            <w:noWrap w:val="0"/>
            <w:tcMar>
              <w:top w:w="15" w:type="dxa"/>
              <w:left w:w="15" w:type="dxa"/>
              <w:bottom w:w="15" w:type="dxa"/>
              <w:right w:w="15" w:type="dxa"/>
            </w:tcMar>
            <w:vAlign w:val="center"/>
          </w:tcPr>
          <w:p w14:paraId="01F91F64">
            <w:pPr>
              <w:ind w:firstLine="420"/>
              <w:jc w:val="center"/>
              <w:rPr>
                <w:sz w:val="21"/>
                <w:szCs w:val="21"/>
              </w:rPr>
            </w:pPr>
          </w:p>
        </w:tc>
        <w:tc>
          <w:tcPr>
            <w:tcW w:w="2216" w:type="dxa"/>
            <w:noWrap w:val="0"/>
            <w:tcMar>
              <w:top w:w="15" w:type="dxa"/>
              <w:left w:w="15" w:type="dxa"/>
              <w:bottom w:w="15" w:type="dxa"/>
              <w:right w:w="15" w:type="dxa"/>
            </w:tcMar>
            <w:vAlign w:val="center"/>
          </w:tcPr>
          <w:p w14:paraId="6AD57FB8">
            <w:pPr>
              <w:ind w:firstLine="0"/>
              <w:jc w:val="center"/>
              <w:rPr>
                <w:sz w:val="21"/>
                <w:szCs w:val="21"/>
              </w:rPr>
            </w:pPr>
            <w:r>
              <w:rPr>
                <w:sz w:val="21"/>
                <w:szCs w:val="21"/>
              </w:rPr>
              <w:t>2019.08.27</w:t>
            </w:r>
          </w:p>
        </w:tc>
        <w:tc>
          <w:tcPr>
            <w:tcW w:w="2087" w:type="dxa"/>
            <w:noWrap w:val="0"/>
            <w:vAlign w:val="center"/>
          </w:tcPr>
          <w:p w14:paraId="04A23929">
            <w:pPr>
              <w:ind w:firstLine="0"/>
              <w:jc w:val="center"/>
              <w:rPr>
                <w:rFonts w:hint="eastAsia"/>
                <w:sz w:val="21"/>
                <w:szCs w:val="21"/>
              </w:rPr>
            </w:pPr>
            <w:r>
              <w:rPr>
                <w:rFonts w:hint="eastAsia"/>
                <w:sz w:val="21"/>
                <w:szCs w:val="21"/>
              </w:rPr>
              <w:t>0.020</w:t>
            </w:r>
          </w:p>
        </w:tc>
        <w:tc>
          <w:tcPr>
            <w:tcW w:w="1890" w:type="dxa"/>
            <w:noWrap w:val="0"/>
            <w:vAlign w:val="center"/>
          </w:tcPr>
          <w:p w14:paraId="2285BD4D">
            <w:pPr>
              <w:ind w:firstLine="0"/>
              <w:jc w:val="center"/>
              <w:rPr>
                <w:rFonts w:hint="eastAsia"/>
                <w:sz w:val="21"/>
                <w:szCs w:val="21"/>
              </w:rPr>
            </w:pPr>
            <w:r>
              <w:rPr>
                <w:rFonts w:hint="eastAsia"/>
                <w:sz w:val="21"/>
                <w:szCs w:val="21"/>
              </w:rPr>
              <w:t>0.022</w:t>
            </w:r>
          </w:p>
        </w:tc>
        <w:tc>
          <w:tcPr>
            <w:tcW w:w="1125" w:type="dxa"/>
            <w:vMerge w:val="continue"/>
            <w:noWrap w:val="0"/>
            <w:vAlign w:val="center"/>
          </w:tcPr>
          <w:p w14:paraId="53C78FEB">
            <w:pPr>
              <w:ind w:firstLine="420"/>
              <w:jc w:val="center"/>
              <w:rPr>
                <w:sz w:val="21"/>
                <w:szCs w:val="21"/>
              </w:rPr>
            </w:pPr>
          </w:p>
        </w:tc>
        <w:tc>
          <w:tcPr>
            <w:tcW w:w="829" w:type="dxa"/>
            <w:vMerge w:val="continue"/>
            <w:noWrap w:val="0"/>
            <w:vAlign w:val="center"/>
          </w:tcPr>
          <w:p w14:paraId="6FC07914">
            <w:pPr>
              <w:ind w:firstLine="420"/>
              <w:jc w:val="center"/>
              <w:rPr>
                <w:sz w:val="21"/>
                <w:szCs w:val="21"/>
              </w:rPr>
            </w:pPr>
          </w:p>
        </w:tc>
      </w:tr>
    </w:tbl>
    <w:p w14:paraId="2D18C5CD">
      <w:pPr>
        <w:ind w:firstLine="120"/>
        <w:jc w:val="center"/>
        <w:rPr>
          <w:b/>
          <w:bCs/>
          <w:sz w:val="24"/>
          <w:szCs w:val="24"/>
        </w:rPr>
      </w:pPr>
      <w:r>
        <w:rPr>
          <w:b/>
          <w:bCs/>
          <w:sz w:val="24"/>
          <w:szCs w:val="24"/>
        </w:rPr>
        <w:t>表</w:t>
      </w:r>
      <w:r>
        <w:rPr>
          <w:rFonts w:hint="eastAsia"/>
          <w:b/>
          <w:bCs/>
          <w:sz w:val="24"/>
          <w:szCs w:val="24"/>
          <w:lang w:val="en-US" w:eastAsia="zh-CN"/>
        </w:rPr>
        <w:t>5.4-2</w:t>
      </w:r>
      <w:r>
        <w:rPr>
          <w:b/>
          <w:bCs/>
          <w:sz w:val="24"/>
          <w:szCs w:val="24"/>
        </w:rPr>
        <w:t xml:space="preserve">  环境空气</w:t>
      </w:r>
      <w:r>
        <w:rPr>
          <w:rFonts w:hint="eastAsia"/>
          <w:b/>
          <w:bCs/>
          <w:sz w:val="24"/>
          <w:szCs w:val="24"/>
          <w:lang w:val="en-US" w:eastAsia="zh-CN"/>
        </w:rPr>
        <w:t>小时</w:t>
      </w:r>
      <w:r>
        <w:rPr>
          <w:b/>
          <w:bCs/>
          <w:sz w:val="24"/>
          <w:szCs w:val="24"/>
        </w:rPr>
        <w:t>检测结果一览表</w:t>
      </w:r>
    </w:p>
    <w:tbl>
      <w:tblPr>
        <w:tblStyle w:val="32"/>
        <w:tblW w:w="100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419"/>
        <w:gridCol w:w="1568"/>
        <w:gridCol w:w="1675"/>
        <w:gridCol w:w="1656"/>
        <w:gridCol w:w="1905"/>
        <w:gridCol w:w="975"/>
        <w:gridCol w:w="827"/>
      </w:tblGrid>
      <w:tr w14:paraId="191CE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noWrap w:val="0"/>
            <w:tcMar>
              <w:top w:w="15" w:type="dxa"/>
              <w:left w:w="15" w:type="dxa"/>
              <w:bottom w:w="15" w:type="dxa"/>
              <w:right w:w="15" w:type="dxa"/>
            </w:tcMar>
            <w:vAlign w:val="center"/>
          </w:tcPr>
          <w:p w14:paraId="6FFC46D9">
            <w:pPr>
              <w:spacing w:line="240" w:lineRule="auto"/>
              <w:ind w:firstLine="0"/>
              <w:jc w:val="center"/>
              <w:rPr>
                <w:b/>
                <w:bCs/>
                <w:sz w:val="21"/>
                <w:szCs w:val="21"/>
              </w:rPr>
            </w:pPr>
            <w:r>
              <w:rPr>
                <w:b/>
                <w:bCs/>
                <w:sz w:val="21"/>
                <w:szCs w:val="21"/>
              </w:rPr>
              <w:t>分析</w:t>
            </w:r>
          </w:p>
          <w:p w14:paraId="63B23BFD">
            <w:pPr>
              <w:spacing w:line="240" w:lineRule="auto"/>
              <w:ind w:firstLine="0"/>
              <w:jc w:val="center"/>
              <w:rPr>
                <w:b/>
                <w:bCs/>
                <w:sz w:val="21"/>
                <w:szCs w:val="21"/>
              </w:rPr>
            </w:pPr>
            <w:r>
              <w:rPr>
                <w:b/>
                <w:bCs/>
                <w:sz w:val="21"/>
                <w:szCs w:val="21"/>
              </w:rPr>
              <w:t>项目</w:t>
            </w:r>
          </w:p>
        </w:tc>
        <w:tc>
          <w:tcPr>
            <w:tcW w:w="1568" w:type="dxa"/>
            <w:noWrap w:val="0"/>
            <w:vAlign w:val="center"/>
          </w:tcPr>
          <w:p w14:paraId="534BE89D">
            <w:pPr>
              <w:spacing w:line="240" w:lineRule="auto"/>
              <w:ind w:firstLine="0"/>
              <w:jc w:val="center"/>
              <w:rPr>
                <w:b/>
                <w:bCs/>
                <w:sz w:val="21"/>
                <w:szCs w:val="21"/>
              </w:rPr>
            </w:pPr>
            <w:r>
              <w:rPr>
                <w:b/>
                <w:bCs/>
                <w:sz w:val="21"/>
                <w:szCs w:val="21"/>
              </w:rPr>
              <w:t>日 期</w:t>
            </w:r>
          </w:p>
        </w:tc>
        <w:tc>
          <w:tcPr>
            <w:tcW w:w="1675" w:type="dxa"/>
            <w:noWrap w:val="0"/>
            <w:tcMar>
              <w:top w:w="15" w:type="dxa"/>
              <w:left w:w="15" w:type="dxa"/>
              <w:bottom w:w="15" w:type="dxa"/>
              <w:right w:w="15" w:type="dxa"/>
            </w:tcMar>
            <w:vAlign w:val="center"/>
          </w:tcPr>
          <w:p w14:paraId="44AB762A">
            <w:pPr>
              <w:spacing w:line="240" w:lineRule="auto"/>
              <w:ind w:firstLine="0"/>
              <w:jc w:val="center"/>
              <w:rPr>
                <w:b/>
                <w:bCs/>
                <w:sz w:val="21"/>
                <w:szCs w:val="21"/>
              </w:rPr>
            </w:pPr>
            <w:r>
              <w:rPr>
                <w:b/>
                <w:bCs/>
                <w:sz w:val="21"/>
                <w:szCs w:val="21"/>
              </w:rPr>
              <w:t>时间</w:t>
            </w:r>
          </w:p>
        </w:tc>
        <w:tc>
          <w:tcPr>
            <w:tcW w:w="1656" w:type="dxa"/>
            <w:noWrap w:val="0"/>
            <w:vAlign w:val="center"/>
          </w:tcPr>
          <w:p w14:paraId="3CE6898B">
            <w:pPr>
              <w:spacing w:line="240" w:lineRule="auto"/>
              <w:ind w:firstLine="0"/>
              <w:contextualSpacing/>
              <w:jc w:val="center"/>
              <w:rPr>
                <w:b/>
                <w:bCs/>
                <w:sz w:val="21"/>
                <w:szCs w:val="21"/>
              </w:rPr>
            </w:pPr>
            <w:r>
              <w:rPr>
                <w:b/>
                <w:bCs/>
                <w:sz w:val="21"/>
                <w:szCs w:val="21"/>
              </w:rPr>
              <w:t>项目区</w:t>
            </w:r>
          </w:p>
          <w:p w14:paraId="4F69B60E">
            <w:pPr>
              <w:spacing w:line="240" w:lineRule="auto"/>
              <w:ind w:firstLine="0"/>
              <w:contextualSpacing/>
              <w:jc w:val="center"/>
              <w:rPr>
                <w:b/>
                <w:bCs/>
                <w:sz w:val="21"/>
                <w:szCs w:val="21"/>
              </w:rPr>
            </w:pPr>
            <w:r>
              <w:rPr>
                <w:b/>
                <w:bCs/>
                <w:sz w:val="21"/>
                <w:szCs w:val="21"/>
              </w:rPr>
              <w:t>（HQ01）</w:t>
            </w:r>
          </w:p>
        </w:tc>
        <w:tc>
          <w:tcPr>
            <w:tcW w:w="1905" w:type="dxa"/>
            <w:noWrap w:val="0"/>
            <w:vAlign w:val="center"/>
          </w:tcPr>
          <w:p w14:paraId="063B26CF">
            <w:pPr>
              <w:spacing w:line="240" w:lineRule="auto"/>
              <w:ind w:firstLine="0"/>
              <w:jc w:val="center"/>
              <w:rPr>
                <w:b/>
                <w:bCs/>
                <w:sz w:val="21"/>
                <w:szCs w:val="21"/>
              </w:rPr>
            </w:pPr>
            <w:r>
              <w:rPr>
                <w:b/>
                <w:bCs/>
                <w:sz w:val="21"/>
                <w:szCs w:val="21"/>
              </w:rPr>
              <w:t>中东灰窑村（HQ02）</w:t>
            </w:r>
          </w:p>
        </w:tc>
        <w:tc>
          <w:tcPr>
            <w:tcW w:w="975" w:type="dxa"/>
            <w:noWrap w:val="0"/>
            <w:vAlign w:val="center"/>
          </w:tcPr>
          <w:p w14:paraId="50A5900D">
            <w:pPr>
              <w:spacing w:line="240" w:lineRule="auto"/>
              <w:ind w:firstLine="0"/>
              <w:jc w:val="center"/>
              <w:rPr>
                <w:b/>
                <w:bCs/>
                <w:sz w:val="21"/>
                <w:szCs w:val="21"/>
              </w:rPr>
            </w:pPr>
            <w:r>
              <w:rPr>
                <w:rFonts w:hint="eastAsia"/>
                <w:b/>
                <w:bCs/>
                <w:sz w:val="21"/>
                <w:szCs w:val="21"/>
              </w:rPr>
              <w:t>标准值</w:t>
            </w:r>
          </w:p>
        </w:tc>
        <w:tc>
          <w:tcPr>
            <w:tcW w:w="827" w:type="dxa"/>
            <w:noWrap w:val="0"/>
            <w:vAlign w:val="center"/>
          </w:tcPr>
          <w:p w14:paraId="1080A02A">
            <w:pPr>
              <w:spacing w:line="240" w:lineRule="auto"/>
              <w:ind w:firstLine="0"/>
              <w:jc w:val="center"/>
              <w:rPr>
                <w:b/>
                <w:bCs/>
                <w:sz w:val="21"/>
                <w:szCs w:val="21"/>
              </w:rPr>
            </w:pPr>
            <w:r>
              <w:rPr>
                <w:rFonts w:hint="eastAsia"/>
                <w:b/>
                <w:bCs/>
                <w:sz w:val="21"/>
                <w:szCs w:val="21"/>
              </w:rPr>
              <w:t>达标情况</w:t>
            </w:r>
          </w:p>
        </w:tc>
      </w:tr>
      <w:tr w14:paraId="2C63E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restart"/>
            <w:noWrap w:val="0"/>
            <w:tcMar>
              <w:top w:w="15" w:type="dxa"/>
              <w:left w:w="15" w:type="dxa"/>
              <w:bottom w:w="15" w:type="dxa"/>
              <w:right w:w="15" w:type="dxa"/>
            </w:tcMar>
            <w:vAlign w:val="center"/>
          </w:tcPr>
          <w:p w14:paraId="03DE3049">
            <w:pPr>
              <w:spacing w:line="240" w:lineRule="auto"/>
              <w:ind w:firstLine="0"/>
              <w:jc w:val="center"/>
              <w:rPr>
                <w:sz w:val="21"/>
                <w:szCs w:val="21"/>
              </w:rPr>
            </w:pPr>
            <w:r>
              <w:rPr>
                <w:sz w:val="21"/>
                <w:szCs w:val="21"/>
              </w:rPr>
              <w:t>氨</w:t>
            </w:r>
          </w:p>
        </w:tc>
        <w:tc>
          <w:tcPr>
            <w:tcW w:w="1568" w:type="dxa"/>
            <w:vMerge w:val="restart"/>
            <w:noWrap w:val="0"/>
            <w:vAlign w:val="center"/>
          </w:tcPr>
          <w:p w14:paraId="075B433E">
            <w:pPr>
              <w:spacing w:line="240" w:lineRule="auto"/>
              <w:ind w:firstLine="0"/>
              <w:jc w:val="center"/>
              <w:rPr>
                <w:sz w:val="21"/>
                <w:szCs w:val="21"/>
              </w:rPr>
            </w:pPr>
            <w:r>
              <w:rPr>
                <w:rFonts w:hint="eastAsia"/>
                <w:sz w:val="21"/>
                <w:szCs w:val="21"/>
              </w:rPr>
              <w:t>2019.08.21</w:t>
            </w:r>
          </w:p>
        </w:tc>
        <w:tc>
          <w:tcPr>
            <w:tcW w:w="1675" w:type="dxa"/>
            <w:noWrap w:val="0"/>
            <w:tcMar>
              <w:top w:w="15" w:type="dxa"/>
              <w:left w:w="15" w:type="dxa"/>
              <w:bottom w:w="15" w:type="dxa"/>
              <w:right w:w="15" w:type="dxa"/>
            </w:tcMar>
            <w:vAlign w:val="center"/>
          </w:tcPr>
          <w:p w14:paraId="2E7B6AAC">
            <w:pPr>
              <w:spacing w:line="310" w:lineRule="exact"/>
              <w:ind w:firstLine="0"/>
              <w:jc w:val="center"/>
              <w:rPr>
                <w:sz w:val="21"/>
                <w:szCs w:val="21"/>
              </w:rPr>
            </w:pPr>
            <w:r>
              <w:rPr>
                <w:sz w:val="21"/>
                <w:szCs w:val="21"/>
              </w:rPr>
              <w:t>02:00</w:t>
            </w:r>
          </w:p>
        </w:tc>
        <w:tc>
          <w:tcPr>
            <w:tcW w:w="1656" w:type="dxa"/>
            <w:noWrap w:val="0"/>
            <w:vAlign w:val="center"/>
          </w:tcPr>
          <w:p w14:paraId="02C7A656">
            <w:pPr>
              <w:spacing w:line="240" w:lineRule="auto"/>
              <w:ind w:firstLine="0"/>
              <w:jc w:val="center"/>
              <w:rPr>
                <w:rFonts w:ascii="Calibri" w:hAnsi="Calibri" w:cs="Calibri"/>
                <w:sz w:val="21"/>
                <w:szCs w:val="21"/>
              </w:rPr>
            </w:pPr>
            <w:r>
              <w:rPr>
                <w:rFonts w:hint="eastAsia"/>
                <w:sz w:val="21"/>
                <w:szCs w:val="21"/>
              </w:rPr>
              <w:t>0.02</w:t>
            </w:r>
          </w:p>
        </w:tc>
        <w:tc>
          <w:tcPr>
            <w:tcW w:w="1905" w:type="dxa"/>
            <w:noWrap w:val="0"/>
            <w:vAlign w:val="center"/>
          </w:tcPr>
          <w:p w14:paraId="26B5BF64">
            <w:pPr>
              <w:spacing w:line="240" w:lineRule="auto"/>
              <w:ind w:firstLine="0"/>
              <w:jc w:val="center"/>
              <w:rPr>
                <w:rFonts w:ascii="Calibri" w:hAnsi="Calibri" w:cs="Calibri"/>
                <w:sz w:val="21"/>
                <w:szCs w:val="21"/>
              </w:rPr>
            </w:pPr>
            <w:r>
              <w:rPr>
                <w:rFonts w:hint="eastAsia"/>
                <w:sz w:val="21"/>
                <w:szCs w:val="21"/>
              </w:rPr>
              <w:t>0.03</w:t>
            </w:r>
          </w:p>
        </w:tc>
        <w:tc>
          <w:tcPr>
            <w:tcW w:w="975" w:type="dxa"/>
            <w:noWrap w:val="0"/>
            <w:vAlign w:val="center"/>
          </w:tcPr>
          <w:p w14:paraId="1D29736A">
            <w:pPr>
              <w:spacing w:line="240" w:lineRule="auto"/>
              <w:ind w:firstLine="0"/>
              <w:jc w:val="center"/>
              <w:rPr>
                <w:rFonts w:eastAsia="宋体"/>
                <w:sz w:val="21"/>
                <w:szCs w:val="21"/>
                <w:lang w:val="en-US" w:eastAsia="zh-CN"/>
              </w:rPr>
            </w:pPr>
            <w:r>
              <w:rPr>
                <w:rFonts w:hint="eastAsia"/>
                <w:sz w:val="21"/>
                <w:szCs w:val="21"/>
                <w:lang w:val="en-US" w:eastAsia="zh-CN"/>
              </w:rPr>
              <w:t>0.2</w:t>
            </w:r>
          </w:p>
        </w:tc>
        <w:tc>
          <w:tcPr>
            <w:tcW w:w="827" w:type="dxa"/>
            <w:noWrap w:val="0"/>
            <w:vAlign w:val="center"/>
          </w:tcPr>
          <w:p w14:paraId="0DF6550E">
            <w:pPr>
              <w:spacing w:line="240" w:lineRule="auto"/>
              <w:ind w:firstLine="0"/>
              <w:jc w:val="center"/>
              <w:rPr>
                <w:rFonts w:hint="eastAsia" w:eastAsia="宋体"/>
                <w:sz w:val="21"/>
                <w:szCs w:val="21"/>
                <w:lang w:val="en-US" w:eastAsia="zh-CN"/>
              </w:rPr>
            </w:pPr>
            <w:r>
              <w:rPr>
                <w:rFonts w:hint="eastAsia"/>
                <w:sz w:val="21"/>
                <w:szCs w:val="21"/>
                <w:lang w:val="en-US" w:eastAsia="zh-CN"/>
              </w:rPr>
              <w:t>达标</w:t>
            </w:r>
          </w:p>
        </w:tc>
      </w:tr>
      <w:tr w14:paraId="728BC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E1D4F1B">
            <w:pPr>
              <w:spacing w:line="240" w:lineRule="auto"/>
              <w:ind w:firstLine="0"/>
              <w:jc w:val="center"/>
              <w:rPr>
                <w:sz w:val="21"/>
                <w:szCs w:val="21"/>
              </w:rPr>
            </w:pPr>
          </w:p>
        </w:tc>
        <w:tc>
          <w:tcPr>
            <w:tcW w:w="1568" w:type="dxa"/>
            <w:vMerge w:val="continue"/>
            <w:noWrap w:val="0"/>
            <w:vAlign w:val="center"/>
          </w:tcPr>
          <w:p w14:paraId="3CC12F04">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23A4BBD">
            <w:pPr>
              <w:spacing w:line="310" w:lineRule="exact"/>
              <w:ind w:firstLine="0"/>
              <w:jc w:val="center"/>
              <w:rPr>
                <w:sz w:val="21"/>
                <w:szCs w:val="21"/>
              </w:rPr>
            </w:pPr>
            <w:r>
              <w:rPr>
                <w:sz w:val="21"/>
                <w:szCs w:val="21"/>
              </w:rPr>
              <w:t>08:00</w:t>
            </w:r>
          </w:p>
        </w:tc>
        <w:tc>
          <w:tcPr>
            <w:tcW w:w="1656" w:type="dxa"/>
            <w:noWrap w:val="0"/>
            <w:vAlign w:val="center"/>
          </w:tcPr>
          <w:p w14:paraId="5118FEF2">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16FB928E">
            <w:pPr>
              <w:spacing w:line="240" w:lineRule="auto"/>
              <w:ind w:firstLine="0"/>
              <w:jc w:val="center"/>
              <w:rPr>
                <w:rFonts w:ascii="Calibri" w:hAnsi="Calibri" w:cs="Calibri"/>
                <w:sz w:val="21"/>
                <w:szCs w:val="21"/>
              </w:rPr>
            </w:pPr>
            <w:r>
              <w:rPr>
                <w:rFonts w:hint="eastAsia"/>
                <w:sz w:val="21"/>
                <w:szCs w:val="21"/>
              </w:rPr>
              <w:t>0.05</w:t>
            </w:r>
          </w:p>
        </w:tc>
        <w:tc>
          <w:tcPr>
            <w:tcW w:w="975" w:type="dxa"/>
            <w:noWrap w:val="0"/>
            <w:vAlign w:val="center"/>
          </w:tcPr>
          <w:p w14:paraId="425307E5">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6880FB60">
            <w:pPr>
              <w:spacing w:line="240" w:lineRule="auto"/>
              <w:ind w:firstLine="0"/>
              <w:jc w:val="center"/>
              <w:rPr>
                <w:sz w:val="21"/>
                <w:szCs w:val="21"/>
              </w:rPr>
            </w:pPr>
            <w:r>
              <w:rPr>
                <w:rFonts w:hint="eastAsia"/>
                <w:sz w:val="21"/>
                <w:szCs w:val="21"/>
                <w:lang w:val="en-US" w:eastAsia="zh-CN"/>
              </w:rPr>
              <w:t>达标</w:t>
            </w:r>
          </w:p>
        </w:tc>
      </w:tr>
      <w:tr w14:paraId="5BA5D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D6A0683">
            <w:pPr>
              <w:spacing w:line="240" w:lineRule="auto"/>
              <w:ind w:firstLine="0"/>
              <w:jc w:val="center"/>
              <w:rPr>
                <w:sz w:val="21"/>
                <w:szCs w:val="21"/>
              </w:rPr>
            </w:pPr>
          </w:p>
        </w:tc>
        <w:tc>
          <w:tcPr>
            <w:tcW w:w="1568" w:type="dxa"/>
            <w:vMerge w:val="continue"/>
            <w:noWrap w:val="0"/>
            <w:vAlign w:val="center"/>
          </w:tcPr>
          <w:p w14:paraId="07B2862F">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7A16DDEA">
            <w:pPr>
              <w:spacing w:line="310" w:lineRule="exact"/>
              <w:ind w:firstLine="0"/>
              <w:jc w:val="center"/>
              <w:rPr>
                <w:sz w:val="21"/>
                <w:szCs w:val="21"/>
              </w:rPr>
            </w:pPr>
            <w:r>
              <w:rPr>
                <w:sz w:val="21"/>
                <w:szCs w:val="21"/>
              </w:rPr>
              <w:t>14:00</w:t>
            </w:r>
          </w:p>
        </w:tc>
        <w:tc>
          <w:tcPr>
            <w:tcW w:w="1656" w:type="dxa"/>
            <w:noWrap w:val="0"/>
            <w:vAlign w:val="center"/>
          </w:tcPr>
          <w:p w14:paraId="7E6C6D9A">
            <w:pPr>
              <w:spacing w:line="240" w:lineRule="auto"/>
              <w:ind w:firstLine="0"/>
              <w:jc w:val="center"/>
              <w:rPr>
                <w:rFonts w:ascii="Calibri" w:hAnsi="Calibri" w:cs="Calibri"/>
                <w:sz w:val="21"/>
                <w:szCs w:val="21"/>
              </w:rPr>
            </w:pPr>
            <w:r>
              <w:rPr>
                <w:rFonts w:hint="eastAsia"/>
                <w:sz w:val="21"/>
                <w:szCs w:val="21"/>
              </w:rPr>
              <w:t>0.02</w:t>
            </w:r>
          </w:p>
        </w:tc>
        <w:tc>
          <w:tcPr>
            <w:tcW w:w="1905" w:type="dxa"/>
            <w:noWrap w:val="0"/>
            <w:vAlign w:val="center"/>
          </w:tcPr>
          <w:p w14:paraId="2EEF6026">
            <w:pPr>
              <w:spacing w:line="240" w:lineRule="auto"/>
              <w:ind w:firstLine="0"/>
              <w:jc w:val="center"/>
              <w:rPr>
                <w:rFonts w:ascii="Calibri" w:hAnsi="Calibri" w:cs="Calibri"/>
                <w:sz w:val="21"/>
                <w:szCs w:val="21"/>
              </w:rPr>
            </w:pPr>
            <w:r>
              <w:rPr>
                <w:rFonts w:hint="eastAsia"/>
                <w:sz w:val="21"/>
                <w:szCs w:val="21"/>
              </w:rPr>
              <w:t>0.06</w:t>
            </w:r>
          </w:p>
        </w:tc>
        <w:tc>
          <w:tcPr>
            <w:tcW w:w="975" w:type="dxa"/>
            <w:noWrap w:val="0"/>
            <w:vAlign w:val="center"/>
          </w:tcPr>
          <w:p w14:paraId="05EAADB6">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291A90C3">
            <w:pPr>
              <w:spacing w:line="240" w:lineRule="auto"/>
              <w:ind w:firstLine="0"/>
              <w:jc w:val="center"/>
              <w:rPr>
                <w:sz w:val="21"/>
                <w:szCs w:val="21"/>
              </w:rPr>
            </w:pPr>
            <w:r>
              <w:rPr>
                <w:rFonts w:hint="eastAsia"/>
                <w:sz w:val="21"/>
                <w:szCs w:val="21"/>
                <w:lang w:val="en-US" w:eastAsia="zh-CN"/>
              </w:rPr>
              <w:t>达标</w:t>
            </w:r>
          </w:p>
        </w:tc>
      </w:tr>
      <w:tr w14:paraId="4B6D4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ABCB75C">
            <w:pPr>
              <w:spacing w:line="240" w:lineRule="auto"/>
              <w:ind w:firstLine="0"/>
              <w:jc w:val="center"/>
              <w:rPr>
                <w:sz w:val="21"/>
                <w:szCs w:val="21"/>
              </w:rPr>
            </w:pPr>
          </w:p>
        </w:tc>
        <w:tc>
          <w:tcPr>
            <w:tcW w:w="1568" w:type="dxa"/>
            <w:vMerge w:val="continue"/>
            <w:noWrap w:val="0"/>
            <w:vAlign w:val="center"/>
          </w:tcPr>
          <w:p w14:paraId="550449E8">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D8E25CB">
            <w:pPr>
              <w:spacing w:line="310" w:lineRule="exact"/>
              <w:ind w:firstLine="0"/>
              <w:jc w:val="center"/>
              <w:rPr>
                <w:sz w:val="21"/>
                <w:szCs w:val="21"/>
              </w:rPr>
            </w:pPr>
            <w:r>
              <w:rPr>
                <w:sz w:val="21"/>
                <w:szCs w:val="21"/>
              </w:rPr>
              <w:t>20:00</w:t>
            </w:r>
          </w:p>
        </w:tc>
        <w:tc>
          <w:tcPr>
            <w:tcW w:w="1656" w:type="dxa"/>
            <w:noWrap w:val="0"/>
            <w:vAlign w:val="center"/>
          </w:tcPr>
          <w:p w14:paraId="658DAD26">
            <w:pPr>
              <w:spacing w:line="240" w:lineRule="auto"/>
              <w:ind w:firstLine="0"/>
              <w:jc w:val="center"/>
              <w:rPr>
                <w:rFonts w:ascii="Calibri" w:hAnsi="Calibri" w:cs="Calibri"/>
                <w:sz w:val="21"/>
                <w:szCs w:val="21"/>
              </w:rPr>
            </w:pPr>
            <w:r>
              <w:rPr>
                <w:rFonts w:hint="eastAsia"/>
                <w:sz w:val="21"/>
                <w:szCs w:val="21"/>
              </w:rPr>
              <w:t>0.01</w:t>
            </w:r>
          </w:p>
        </w:tc>
        <w:tc>
          <w:tcPr>
            <w:tcW w:w="1905" w:type="dxa"/>
            <w:noWrap w:val="0"/>
            <w:vAlign w:val="center"/>
          </w:tcPr>
          <w:p w14:paraId="695B34C4">
            <w:pPr>
              <w:spacing w:line="240" w:lineRule="auto"/>
              <w:ind w:firstLine="0"/>
              <w:jc w:val="center"/>
              <w:rPr>
                <w:rFonts w:ascii="Calibri" w:hAnsi="Calibri" w:cs="Calibri"/>
                <w:sz w:val="21"/>
                <w:szCs w:val="21"/>
              </w:rPr>
            </w:pPr>
            <w:r>
              <w:rPr>
                <w:rFonts w:hint="eastAsia"/>
                <w:sz w:val="21"/>
                <w:szCs w:val="21"/>
              </w:rPr>
              <w:t>0.01</w:t>
            </w:r>
          </w:p>
        </w:tc>
        <w:tc>
          <w:tcPr>
            <w:tcW w:w="975" w:type="dxa"/>
            <w:noWrap w:val="0"/>
            <w:vAlign w:val="center"/>
          </w:tcPr>
          <w:p w14:paraId="207A2256">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6098A2F3">
            <w:pPr>
              <w:spacing w:line="240" w:lineRule="auto"/>
              <w:ind w:firstLine="0"/>
              <w:jc w:val="center"/>
              <w:rPr>
                <w:sz w:val="21"/>
                <w:szCs w:val="21"/>
              </w:rPr>
            </w:pPr>
            <w:r>
              <w:rPr>
                <w:rFonts w:hint="eastAsia"/>
                <w:sz w:val="21"/>
                <w:szCs w:val="21"/>
                <w:lang w:val="en-US" w:eastAsia="zh-CN"/>
              </w:rPr>
              <w:t>达标</w:t>
            </w:r>
          </w:p>
        </w:tc>
      </w:tr>
      <w:tr w14:paraId="48777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8F5BDB8">
            <w:pPr>
              <w:spacing w:line="240" w:lineRule="auto"/>
              <w:ind w:firstLine="0"/>
              <w:jc w:val="center"/>
              <w:rPr>
                <w:sz w:val="21"/>
                <w:szCs w:val="21"/>
              </w:rPr>
            </w:pPr>
          </w:p>
        </w:tc>
        <w:tc>
          <w:tcPr>
            <w:tcW w:w="1568" w:type="dxa"/>
            <w:vMerge w:val="restart"/>
            <w:noWrap w:val="0"/>
            <w:vAlign w:val="center"/>
          </w:tcPr>
          <w:p w14:paraId="4A7BA61C">
            <w:pPr>
              <w:spacing w:line="240" w:lineRule="auto"/>
              <w:ind w:firstLine="0"/>
              <w:jc w:val="center"/>
              <w:rPr>
                <w:sz w:val="21"/>
                <w:szCs w:val="21"/>
              </w:rPr>
            </w:pPr>
            <w:r>
              <w:rPr>
                <w:rFonts w:hint="eastAsia"/>
                <w:sz w:val="21"/>
                <w:szCs w:val="21"/>
              </w:rPr>
              <w:t>2019.08.22</w:t>
            </w:r>
          </w:p>
        </w:tc>
        <w:tc>
          <w:tcPr>
            <w:tcW w:w="1675" w:type="dxa"/>
            <w:noWrap w:val="0"/>
            <w:tcMar>
              <w:top w:w="15" w:type="dxa"/>
              <w:left w:w="15" w:type="dxa"/>
              <w:bottom w:w="15" w:type="dxa"/>
              <w:right w:w="15" w:type="dxa"/>
            </w:tcMar>
            <w:vAlign w:val="center"/>
          </w:tcPr>
          <w:p w14:paraId="3DFB8AD0">
            <w:pPr>
              <w:spacing w:line="310" w:lineRule="exact"/>
              <w:ind w:firstLine="0"/>
              <w:jc w:val="center"/>
              <w:rPr>
                <w:sz w:val="21"/>
                <w:szCs w:val="21"/>
              </w:rPr>
            </w:pPr>
            <w:r>
              <w:rPr>
                <w:sz w:val="21"/>
                <w:szCs w:val="21"/>
              </w:rPr>
              <w:t>02:00</w:t>
            </w:r>
          </w:p>
        </w:tc>
        <w:tc>
          <w:tcPr>
            <w:tcW w:w="1656" w:type="dxa"/>
            <w:noWrap w:val="0"/>
            <w:vAlign w:val="center"/>
          </w:tcPr>
          <w:p w14:paraId="121FBC2E">
            <w:pPr>
              <w:spacing w:line="240" w:lineRule="auto"/>
              <w:ind w:firstLine="0"/>
              <w:jc w:val="center"/>
              <w:rPr>
                <w:rFonts w:ascii="Calibri" w:hAnsi="Calibri" w:cs="Calibri"/>
                <w:sz w:val="21"/>
                <w:szCs w:val="21"/>
              </w:rPr>
            </w:pPr>
            <w:r>
              <w:rPr>
                <w:rFonts w:hint="eastAsia"/>
                <w:sz w:val="21"/>
                <w:szCs w:val="21"/>
              </w:rPr>
              <w:t>0.01</w:t>
            </w:r>
          </w:p>
        </w:tc>
        <w:tc>
          <w:tcPr>
            <w:tcW w:w="1905" w:type="dxa"/>
            <w:noWrap w:val="0"/>
            <w:vAlign w:val="center"/>
          </w:tcPr>
          <w:p w14:paraId="37F83349">
            <w:pPr>
              <w:spacing w:line="240" w:lineRule="auto"/>
              <w:ind w:firstLine="0"/>
              <w:jc w:val="center"/>
              <w:rPr>
                <w:rFonts w:ascii="Calibri" w:hAnsi="Calibri" w:cs="Calibri"/>
                <w:sz w:val="21"/>
                <w:szCs w:val="21"/>
              </w:rPr>
            </w:pPr>
            <w:r>
              <w:rPr>
                <w:rFonts w:hint="eastAsia"/>
                <w:sz w:val="21"/>
                <w:szCs w:val="21"/>
              </w:rPr>
              <w:t>0.02</w:t>
            </w:r>
          </w:p>
        </w:tc>
        <w:tc>
          <w:tcPr>
            <w:tcW w:w="975" w:type="dxa"/>
            <w:noWrap w:val="0"/>
            <w:vAlign w:val="center"/>
          </w:tcPr>
          <w:p w14:paraId="126C127A">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515D9C96">
            <w:pPr>
              <w:spacing w:line="240" w:lineRule="auto"/>
              <w:ind w:firstLine="0"/>
              <w:jc w:val="center"/>
              <w:rPr>
                <w:sz w:val="21"/>
                <w:szCs w:val="21"/>
              </w:rPr>
            </w:pPr>
            <w:r>
              <w:rPr>
                <w:rFonts w:hint="eastAsia"/>
                <w:sz w:val="21"/>
                <w:szCs w:val="21"/>
                <w:lang w:val="en-US" w:eastAsia="zh-CN"/>
              </w:rPr>
              <w:t>达标</w:t>
            </w:r>
          </w:p>
        </w:tc>
      </w:tr>
      <w:tr w14:paraId="77F3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AB2A3F0">
            <w:pPr>
              <w:spacing w:line="240" w:lineRule="auto"/>
              <w:ind w:firstLine="0"/>
              <w:jc w:val="center"/>
              <w:rPr>
                <w:sz w:val="21"/>
                <w:szCs w:val="21"/>
              </w:rPr>
            </w:pPr>
          </w:p>
        </w:tc>
        <w:tc>
          <w:tcPr>
            <w:tcW w:w="1568" w:type="dxa"/>
            <w:vMerge w:val="continue"/>
            <w:noWrap w:val="0"/>
            <w:vAlign w:val="center"/>
          </w:tcPr>
          <w:p w14:paraId="047EED76">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AF4BED9">
            <w:pPr>
              <w:spacing w:line="310" w:lineRule="exact"/>
              <w:ind w:firstLine="0"/>
              <w:jc w:val="center"/>
              <w:rPr>
                <w:sz w:val="21"/>
                <w:szCs w:val="21"/>
              </w:rPr>
            </w:pPr>
            <w:r>
              <w:rPr>
                <w:sz w:val="21"/>
                <w:szCs w:val="21"/>
              </w:rPr>
              <w:t>08:00</w:t>
            </w:r>
          </w:p>
        </w:tc>
        <w:tc>
          <w:tcPr>
            <w:tcW w:w="1656" w:type="dxa"/>
            <w:noWrap w:val="0"/>
            <w:vAlign w:val="center"/>
          </w:tcPr>
          <w:p w14:paraId="215B5A3C">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0334A4FE">
            <w:pPr>
              <w:spacing w:line="240" w:lineRule="auto"/>
              <w:ind w:firstLine="0"/>
              <w:jc w:val="center"/>
              <w:rPr>
                <w:rFonts w:ascii="Calibri" w:hAnsi="Calibri" w:cs="Calibri"/>
                <w:sz w:val="21"/>
                <w:szCs w:val="21"/>
              </w:rPr>
            </w:pPr>
            <w:r>
              <w:rPr>
                <w:rFonts w:hint="eastAsia"/>
                <w:sz w:val="21"/>
                <w:szCs w:val="21"/>
              </w:rPr>
              <w:t>0.04</w:t>
            </w:r>
          </w:p>
        </w:tc>
        <w:tc>
          <w:tcPr>
            <w:tcW w:w="975" w:type="dxa"/>
            <w:noWrap w:val="0"/>
            <w:vAlign w:val="center"/>
          </w:tcPr>
          <w:p w14:paraId="756E2B8C">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153E7A17">
            <w:pPr>
              <w:spacing w:line="240" w:lineRule="auto"/>
              <w:ind w:firstLine="0"/>
              <w:jc w:val="center"/>
              <w:rPr>
                <w:sz w:val="21"/>
                <w:szCs w:val="21"/>
              </w:rPr>
            </w:pPr>
            <w:r>
              <w:rPr>
                <w:rFonts w:hint="eastAsia"/>
                <w:sz w:val="21"/>
                <w:szCs w:val="21"/>
                <w:lang w:val="en-US" w:eastAsia="zh-CN"/>
              </w:rPr>
              <w:t>达标</w:t>
            </w:r>
          </w:p>
        </w:tc>
      </w:tr>
      <w:tr w14:paraId="4E9A4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82F7EB6">
            <w:pPr>
              <w:spacing w:line="240" w:lineRule="auto"/>
              <w:ind w:firstLine="0"/>
              <w:jc w:val="center"/>
              <w:rPr>
                <w:sz w:val="21"/>
                <w:szCs w:val="21"/>
              </w:rPr>
            </w:pPr>
          </w:p>
        </w:tc>
        <w:tc>
          <w:tcPr>
            <w:tcW w:w="1568" w:type="dxa"/>
            <w:vMerge w:val="continue"/>
            <w:noWrap w:val="0"/>
            <w:vAlign w:val="center"/>
          </w:tcPr>
          <w:p w14:paraId="3383D49A">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0106525">
            <w:pPr>
              <w:spacing w:line="310" w:lineRule="exact"/>
              <w:ind w:firstLine="0"/>
              <w:jc w:val="center"/>
              <w:rPr>
                <w:sz w:val="21"/>
                <w:szCs w:val="21"/>
              </w:rPr>
            </w:pPr>
            <w:r>
              <w:rPr>
                <w:sz w:val="21"/>
                <w:szCs w:val="21"/>
              </w:rPr>
              <w:t>14:00</w:t>
            </w:r>
          </w:p>
        </w:tc>
        <w:tc>
          <w:tcPr>
            <w:tcW w:w="1656" w:type="dxa"/>
            <w:noWrap w:val="0"/>
            <w:vAlign w:val="center"/>
          </w:tcPr>
          <w:p w14:paraId="031DDC73">
            <w:pPr>
              <w:spacing w:line="240" w:lineRule="auto"/>
              <w:ind w:firstLine="0"/>
              <w:jc w:val="center"/>
              <w:rPr>
                <w:rFonts w:ascii="Calibri" w:hAnsi="Calibri" w:cs="Calibri"/>
                <w:sz w:val="21"/>
                <w:szCs w:val="21"/>
              </w:rPr>
            </w:pPr>
            <w:r>
              <w:rPr>
                <w:rFonts w:hint="eastAsia"/>
                <w:sz w:val="21"/>
                <w:szCs w:val="21"/>
              </w:rPr>
              <w:t>0.04</w:t>
            </w:r>
          </w:p>
        </w:tc>
        <w:tc>
          <w:tcPr>
            <w:tcW w:w="1905" w:type="dxa"/>
            <w:noWrap w:val="0"/>
            <w:vAlign w:val="center"/>
          </w:tcPr>
          <w:p w14:paraId="7F7C68F1">
            <w:pPr>
              <w:spacing w:line="240" w:lineRule="auto"/>
              <w:ind w:firstLine="0"/>
              <w:jc w:val="center"/>
              <w:rPr>
                <w:rFonts w:ascii="Calibri" w:hAnsi="Calibri" w:cs="Calibri"/>
                <w:sz w:val="21"/>
                <w:szCs w:val="21"/>
              </w:rPr>
            </w:pPr>
            <w:r>
              <w:rPr>
                <w:rFonts w:hint="eastAsia"/>
                <w:sz w:val="21"/>
                <w:szCs w:val="21"/>
              </w:rPr>
              <w:t>0.03</w:t>
            </w:r>
          </w:p>
        </w:tc>
        <w:tc>
          <w:tcPr>
            <w:tcW w:w="975" w:type="dxa"/>
            <w:noWrap w:val="0"/>
            <w:vAlign w:val="center"/>
          </w:tcPr>
          <w:p w14:paraId="672E4AA8">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6CD5984C">
            <w:pPr>
              <w:spacing w:line="240" w:lineRule="auto"/>
              <w:ind w:firstLine="0"/>
              <w:jc w:val="center"/>
              <w:rPr>
                <w:sz w:val="21"/>
                <w:szCs w:val="21"/>
              </w:rPr>
            </w:pPr>
            <w:r>
              <w:rPr>
                <w:rFonts w:hint="eastAsia"/>
                <w:sz w:val="21"/>
                <w:szCs w:val="21"/>
                <w:lang w:val="en-US" w:eastAsia="zh-CN"/>
              </w:rPr>
              <w:t>达标</w:t>
            </w:r>
          </w:p>
        </w:tc>
      </w:tr>
      <w:tr w14:paraId="223C6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6997BA7">
            <w:pPr>
              <w:spacing w:line="240" w:lineRule="auto"/>
              <w:ind w:firstLine="0"/>
              <w:jc w:val="center"/>
              <w:rPr>
                <w:sz w:val="21"/>
                <w:szCs w:val="21"/>
              </w:rPr>
            </w:pPr>
          </w:p>
        </w:tc>
        <w:tc>
          <w:tcPr>
            <w:tcW w:w="1568" w:type="dxa"/>
            <w:vMerge w:val="continue"/>
            <w:noWrap w:val="0"/>
            <w:vAlign w:val="center"/>
          </w:tcPr>
          <w:p w14:paraId="4B7380D4">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99AC359">
            <w:pPr>
              <w:spacing w:line="310" w:lineRule="exact"/>
              <w:ind w:firstLine="0"/>
              <w:jc w:val="center"/>
              <w:rPr>
                <w:sz w:val="21"/>
                <w:szCs w:val="21"/>
              </w:rPr>
            </w:pPr>
            <w:r>
              <w:rPr>
                <w:sz w:val="21"/>
                <w:szCs w:val="21"/>
              </w:rPr>
              <w:t>20:00</w:t>
            </w:r>
          </w:p>
        </w:tc>
        <w:tc>
          <w:tcPr>
            <w:tcW w:w="1656" w:type="dxa"/>
            <w:noWrap w:val="0"/>
            <w:vAlign w:val="center"/>
          </w:tcPr>
          <w:p w14:paraId="5EAA3AB3">
            <w:pPr>
              <w:spacing w:line="240" w:lineRule="auto"/>
              <w:ind w:firstLine="0"/>
              <w:jc w:val="center"/>
              <w:rPr>
                <w:rFonts w:ascii="Calibri" w:hAnsi="Calibri" w:cs="Calibri"/>
                <w:sz w:val="21"/>
                <w:szCs w:val="21"/>
              </w:rPr>
            </w:pPr>
            <w:r>
              <w:rPr>
                <w:rFonts w:hint="eastAsia"/>
                <w:sz w:val="21"/>
                <w:szCs w:val="21"/>
              </w:rPr>
              <w:t>0.02</w:t>
            </w:r>
          </w:p>
        </w:tc>
        <w:tc>
          <w:tcPr>
            <w:tcW w:w="1905" w:type="dxa"/>
            <w:noWrap w:val="0"/>
            <w:vAlign w:val="center"/>
          </w:tcPr>
          <w:p w14:paraId="4CEB4E49">
            <w:pPr>
              <w:spacing w:line="240" w:lineRule="auto"/>
              <w:ind w:firstLine="0"/>
              <w:jc w:val="center"/>
              <w:rPr>
                <w:rFonts w:ascii="Calibri" w:hAnsi="Calibri" w:cs="Calibri"/>
                <w:sz w:val="21"/>
                <w:szCs w:val="21"/>
              </w:rPr>
            </w:pPr>
            <w:r>
              <w:rPr>
                <w:rFonts w:hint="eastAsia"/>
                <w:sz w:val="21"/>
                <w:szCs w:val="21"/>
              </w:rPr>
              <w:t>0.02</w:t>
            </w:r>
          </w:p>
        </w:tc>
        <w:tc>
          <w:tcPr>
            <w:tcW w:w="975" w:type="dxa"/>
            <w:noWrap w:val="0"/>
            <w:vAlign w:val="center"/>
          </w:tcPr>
          <w:p w14:paraId="229B5889">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1986E6AD">
            <w:pPr>
              <w:spacing w:line="240" w:lineRule="auto"/>
              <w:ind w:firstLine="0"/>
              <w:jc w:val="center"/>
              <w:rPr>
                <w:sz w:val="21"/>
                <w:szCs w:val="21"/>
              </w:rPr>
            </w:pPr>
            <w:r>
              <w:rPr>
                <w:rFonts w:hint="eastAsia"/>
                <w:sz w:val="21"/>
                <w:szCs w:val="21"/>
                <w:lang w:val="en-US" w:eastAsia="zh-CN"/>
              </w:rPr>
              <w:t>达标</w:t>
            </w:r>
          </w:p>
        </w:tc>
      </w:tr>
      <w:tr w14:paraId="50FB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D2791F5">
            <w:pPr>
              <w:spacing w:line="240" w:lineRule="auto"/>
              <w:ind w:firstLine="0"/>
              <w:jc w:val="center"/>
              <w:rPr>
                <w:sz w:val="21"/>
                <w:szCs w:val="21"/>
              </w:rPr>
            </w:pPr>
          </w:p>
        </w:tc>
        <w:tc>
          <w:tcPr>
            <w:tcW w:w="1568" w:type="dxa"/>
            <w:vMerge w:val="restart"/>
            <w:noWrap w:val="0"/>
            <w:vAlign w:val="center"/>
          </w:tcPr>
          <w:p w14:paraId="5F353C7C">
            <w:pPr>
              <w:spacing w:line="240" w:lineRule="auto"/>
              <w:ind w:firstLine="0"/>
              <w:jc w:val="center"/>
              <w:rPr>
                <w:sz w:val="21"/>
                <w:szCs w:val="21"/>
              </w:rPr>
            </w:pPr>
            <w:r>
              <w:rPr>
                <w:rFonts w:hint="eastAsia"/>
                <w:sz w:val="21"/>
                <w:szCs w:val="21"/>
              </w:rPr>
              <w:t>2019.08.23</w:t>
            </w:r>
          </w:p>
        </w:tc>
        <w:tc>
          <w:tcPr>
            <w:tcW w:w="1675" w:type="dxa"/>
            <w:noWrap w:val="0"/>
            <w:tcMar>
              <w:top w:w="15" w:type="dxa"/>
              <w:left w:w="15" w:type="dxa"/>
              <w:bottom w:w="15" w:type="dxa"/>
              <w:right w:w="15" w:type="dxa"/>
            </w:tcMar>
            <w:vAlign w:val="center"/>
          </w:tcPr>
          <w:p w14:paraId="6149C461">
            <w:pPr>
              <w:spacing w:line="310" w:lineRule="exact"/>
              <w:ind w:firstLine="0"/>
              <w:jc w:val="center"/>
              <w:rPr>
                <w:sz w:val="21"/>
                <w:szCs w:val="21"/>
              </w:rPr>
            </w:pPr>
            <w:r>
              <w:rPr>
                <w:sz w:val="21"/>
                <w:szCs w:val="21"/>
              </w:rPr>
              <w:t>02:00</w:t>
            </w:r>
          </w:p>
        </w:tc>
        <w:tc>
          <w:tcPr>
            <w:tcW w:w="1656" w:type="dxa"/>
            <w:noWrap w:val="0"/>
            <w:vAlign w:val="center"/>
          </w:tcPr>
          <w:p w14:paraId="5950F1D4">
            <w:pPr>
              <w:spacing w:line="240" w:lineRule="auto"/>
              <w:ind w:firstLine="0"/>
              <w:jc w:val="center"/>
              <w:rPr>
                <w:rFonts w:ascii="Calibri" w:hAnsi="Calibri" w:cs="Calibri"/>
                <w:sz w:val="21"/>
                <w:szCs w:val="21"/>
              </w:rPr>
            </w:pPr>
            <w:r>
              <w:rPr>
                <w:rFonts w:hint="eastAsia"/>
                <w:sz w:val="21"/>
                <w:szCs w:val="21"/>
              </w:rPr>
              <w:t>0.02</w:t>
            </w:r>
          </w:p>
        </w:tc>
        <w:tc>
          <w:tcPr>
            <w:tcW w:w="1905" w:type="dxa"/>
            <w:noWrap w:val="0"/>
            <w:vAlign w:val="center"/>
          </w:tcPr>
          <w:p w14:paraId="069E4D04">
            <w:pPr>
              <w:spacing w:line="240" w:lineRule="auto"/>
              <w:ind w:firstLine="0"/>
              <w:jc w:val="center"/>
              <w:rPr>
                <w:rFonts w:ascii="Calibri" w:hAnsi="Calibri" w:cs="Calibri"/>
                <w:sz w:val="21"/>
                <w:szCs w:val="21"/>
              </w:rPr>
            </w:pPr>
            <w:r>
              <w:rPr>
                <w:rFonts w:hint="eastAsia"/>
                <w:sz w:val="21"/>
                <w:szCs w:val="21"/>
              </w:rPr>
              <w:t>0.04</w:t>
            </w:r>
          </w:p>
        </w:tc>
        <w:tc>
          <w:tcPr>
            <w:tcW w:w="975" w:type="dxa"/>
            <w:noWrap w:val="0"/>
            <w:vAlign w:val="center"/>
          </w:tcPr>
          <w:p w14:paraId="2E857329">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0944756F">
            <w:pPr>
              <w:spacing w:line="240" w:lineRule="auto"/>
              <w:ind w:firstLine="0"/>
              <w:jc w:val="center"/>
              <w:rPr>
                <w:sz w:val="21"/>
                <w:szCs w:val="21"/>
              </w:rPr>
            </w:pPr>
            <w:r>
              <w:rPr>
                <w:rFonts w:hint="eastAsia"/>
                <w:sz w:val="21"/>
                <w:szCs w:val="21"/>
                <w:lang w:val="en-US" w:eastAsia="zh-CN"/>
              </w:rPr>
              <w:t>达标</w:t>
            </w:r>
          </w:p>
        </w:tc>
      </w:tr>
      <w:tr w14:paraId="67C17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F30D8A1">
            <w:pPr>
              <w:spacing w:line="240" w:lineRule="auto"/>
              <w:ind w:firstLine="0"/>
              <w:jc w:val="center"/>
              <w:rPr>
                <w:sz w:val="21"/>
                <w:szCs w:val="21"/>
              </w:rPr>
            </w:pPr>
          </w:p>
        </w:tc>
        <w:tc>
          <w:tcPr>
            <w:tcW w:w="1568" w:type="dxa"/>
            <w:vMerge w:val="continue"/>
            <w:noWrap w:val="0"/>
            <w:vAlign w:val="center"/>
          </w:tcPr>
          <w:p w14:paraId="510D4921">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7846453A">
            <w:pPr>
              <w:spacing w:line="310" w:lineRule="exact"/>
              <w:ind w:firstLine="0"/>
              <w:jc w:val="center"/>
              <w:rPr>
                <w:sz w:val="21"/>
                <w:szCs w:val="21"/>
              </w:rPr>
            </w:pPr>
            <w:r>
              <w:rPr>
                <w:sz w:val="21"/>
                <w:szCs w:val="21"/>
              </w:rPr>
              <w:t>08:00</w:t>
            </w:r>
          </w:p>
        </w:tc>
        <w:tc>
          <w:tcPr>
            <w:tcW w:w="1656" w:type="dxa"/>
            <w:noWrap w:val="0"/>
            <w:vAlign w:val="center"/>
          </w:tcPr>
          <w:p w14:paraId="4754422E">
            <w:pPr>
              <w:spacing w:line="240" w:lineRule="auto"/>
              <w:ind w:firstLine="0"/>
              <w:jc w:val="center"/>
              <w:rPr>
                <w:rFonts w:ascii="Calibri" w:hAnsi="Calibri" w:cs="Calibri"/>
                <w:sz w:val="21"/>
                <w:szCs w:val="21"/>
              </w:rPr>
            </w:pPr>
            <w:r>
              <w:rPr>
                <w:rFonts w:hint="eastAsia"/>
                <w:sz w:val="21"/>
                <w:szCs w:val="21"/>
              </w:rPr>
              <w:t>0.04</w:t>
            </w:r>
          </w:p>
        </w:tc>
        <w:tc>
          <w:tcPr>
            <w:tcW w:w="1905" w:type="dxa"/>
            <w:noWrap w:val="0"/>
            <w:vAlign w:val="center"/>
          </w:tcPr>
          <w:p w14:paraId="3B60E657">
            <w:pPr>
              <w:spacing w:line="240" w:lineRule="auto"/>
              <w:ind w:firstLine="0"/>
              <w:jc w:val="center"/>
              <w:rPr>
                <w:rFonts w:ascii="Calibri" w:hAnsi="Calibri" w:cs="Calibri"/>
                <w:sz w:val="21"/>
                <w:szCs w:val="21"/>
              </w:rPr>
            </w:pPr>
            <w:r>
              <w:rPr>
                <w:rFonts w:hint="eastAsia"/>
                <w:sz w:val="21"/>
                <w:szCs w:val="21"/>
              </w:rPr>
              <w:t>0.05</w:t>
            </w:r>
          </w:p>
        </w:tc>
        <w:tc>
          <w:tcPr>
            <w:tcW w:w="975" w:type="dxa"/>
            <w:noWrap w:val="0"/>
            <w:vAlign w:val="center"/>
          </w:tcPr>
          <w:p w14:paraId="71F2DDCD">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511D9BA9">
            <w:pPr>
              <w:spacing w:line="240" w:lineRule="auto"/>
              <w:ind w:firstLine="0"/>
              <w:jc w:val="center"/>
              <w:rPr>
                <w:sz w:val="21"/>
                <w:szCs w:val="21"/>
              </w:rPr>
            </w:pPr>
            <w:r>
              <w:rPr>
                <w:rFonts w:hint="eastAsia"/>
                <w:sz w:val="21"/>
                <w:szCs w:val="21"/>
                <w:lang w:val="en-US" w:eastAsia="zh-CN"/>
              </w:rPr>
              <w:t>达标</w:t>
            </w:r>
          </w:p>
        </w:tc>
      </w:tr>
      <w:tr w14:paraId="0C31C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07C160D">
            <w:pPr>
              <w:spacing w:line="240" w:lineRule="auto"/>
              <w:ind w:firstLine="0"/>
              <w:jc w:val="center"/>
              <w:rPr>
                <w:sz w:val="21"/>
                <w:szCs w:val="21"/>
              </w:rPr>
            </w:pPr>
          </w:p>
        </w:tc>
        <w:tc>
          <w:tcPr>
            <w:tcW w:w="1568" w:type="dxa"/>
            <w:vMerge w:val="continue"/>
            <w:noWrap w:val="0"/>
            <w:vAlign w:val="center"/>
          </w:tcPr>
          <w:p w14:paraId="27961370">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A876ADA">
            <w:pPr>
              <w:spacing w:line="310" w:lineRule="exact"/>
              <w:ind w:firstLine="0"/>
              <w:jc w:val="center"/>
              <w:rPr>
                <w:sz w:val="21"/>
                <w:szCs w:val="21"/>
              </w:rPr>
            </w:pPr>
            <w:r>
              <w:rPr>
                <w:sz w:val="21"/>
                <w:szCs w:val="21"/>
              </w:rPr>
              <w:t>14:00</w:t>
            </w:r>
          </w:p>
        </w:tc>
        <w:tc>
          <w:tcPr>
            <w:tcW w:w="1656" w:type="dxa"/>
            <w:noWrap w:val="0"/>
            <w:vAlign w:val="center"/>
          </w:tcPr>
          <w:p w14:paraId="6BDE59B4">
            <w:pPr>
              <w:spacing w:line="240" w:lineRule="auto"/>
              <w:ind w:firstLine="0"/>
              <w:jc w:val="center"/>
              <w:rPr>
                <w:rFonts w:ascii="Calibri" w:hAnsi="Calibri" w:cs="Calibri"/>
                <w:sz w:val="21"/>
                <w:szCs w:val="21"/>
              </w:rPr>
            </w:pPr>
            <w:r>
              <w:rPr>
                <w:rFonts w:hint="eastAsia"/>
                <w:sz w:val="21"/>
                <w:szCs w:val="21"/>
              </w:rPr>
              <w:t>0.04</w:t>
            </w:r>
          </w:p>
        </w:tc>
        <w:tc>
          <w:tcPr>
            <w:tcW w:w="1905" w:type="dxa"/>
            <w:noWrap w:val="0"/>
            <w:vAlign w:val="center"/>
          </w:tcPr>
          <w:p w14:paraId="37A685D8">
            <w:pPr>
              <w:spacing w:line="240" w:lineRule="auto"/>
              <w:ind w:firstLine="0"/>
              <w:jc w:val="center"/>
              <w:rPr>
                <w:rFonts w:ascii="Calibri" w:hAnsi="Calibri" w:cs="Calibri"/>
                <w:sz w:val="21"/>
                <w:szCs w:val="21"/>
              </w:rPr>
            </w:pPr>
            <w:r>
              <w:rPr>
                <w:rFonts w:hint="eastAsia"/>
                <w:sz w:val="21"/>
                <w:szCs w:val="21"/>
              </w:rPr>
              <w:t>0.06</w:t>
            </w:r>
          </w:p>
        </w:tc>
        <w:tc>
          <w:tcPr>
            <w:tcW w:w="975" w:type="dxa"/>
            <w:noWrap w:val="0"/>
            <w:vAlign w:val="center"/>
          </w:tcPr>
          <w:p w14:paraId="0E9E26EE">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53665B79">
            <w:pPr>
              <w:spacing w:line="240" w:lineRule="auto"/>
              <w:ind w:firstLine="0"/>
              <w:jc w:val="center"/>
              <w:rPr>
                <w:sz w:val="21"/>
                <w:szCs w:val="21"/>
              </w:rPr>
            </w:pPr>
            <w:r>
              <w:rPr>
                <w:rFonts w:hint="eastAsia"/>
                <w:sz w:val="21"/>
                <w:szCs w:val="21"/>
                <w:lang w:val="en-US" w:eastAsia="zh-CN"/>
              </w:rPr>
              <w:t>达标</w:t>
            </w:r>
          </w:p>
        </w:tc>
      </w:tr>
      <w:tr w14:paraId="7F48E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9C28DBD">
            <w:pPr>
              <w:spacing w:line="240" w:lineRule="auto"/>
              <w:ind w:firstLine="0"/>
              <w:jc w:val="center"/>
              <w:rPr>
                <w:sz w:val="21"/>
                <w:szCs w:val="21"/>
              </w:rPr>
            </w:pPr>
          </w:p>
        </w:tc>
        <w:tc>
          <w:tcPr>
            <w:tcW w:w="1568" w:type="dxa"/>
            <w:vMerge w:val="continue"/>
            <w:noWrap w:val="0"/>
            <w:vAlign w:val="center"/>
          </w:tcPr>
          <w:p w14:paraId="64D4B97D">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2388820">
            <w:pPr>
              <w:spacing w:line="310" w:lineRule="exact"/>
              <w:ind w:firstLine="0"/>
              <w:jc w:val="center"/>
              <w:rPr>
                <w:sz w:val="21"/>
                <w:szCs w:val="21"/>
              </w:rPr>
            </w:pPr>
            <w:r>
              <w:rPr>
                <w:sz w:val="21"/>
                <w:szCs w:val="21"/>
              </w:rPr>
              <w:t>20:00</w:t>
            </w:r>
          </w:p>
        </w:tc>
        <w:tc>
          <w:tcPr>
            <w:tcW w:w="1656" w:type="dxa"/>
            <w:noWrap w:val="0"/>
            <w:vAlign w:val="center"/>
          </w:tcPr>
          <w:p w14:paraId="45A9C86A">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747F91A7">
            <w:pPr>
              <w:spacing w:line="240" w:lineRule="auto"/>
              <w:ind w:firstLine="0"/>
              <w:jc w:val="center"/>
              <w:rPr>
                <w:rFonts w:ascii="Calibri" w:hAnsi="Calibri" w:cs="Calibri"/>
                <w:sz w:val="21"/>
                <w:szCs w:val="21"/>
              </w:rPr>
            </w:pPr>
            <w:r>
              <w:rPr>
                <w:rFonts w:hint="eastAsia"/>
                <w:sz w:val="21"/>
                <w:szCs w:val="21"/>
              </w:rPr>
              <w:t>0.03</w:t>
            </w:r>
          </w:p>
        </w:tc>
        <w:tc>
          <w:tcPr>
            <w:tcW w:w="975" w:type="dxa"/>
            <w:noWrap w:val="0"/>
            <w:vAlign w:val="center"/>
          </w:tcPr>
          <w:p w14:paraId="6A0242B8">
            <w:pPr>
              <w:spacing w:line="240" w:lineRule="auto"/>
              <w:ind w:firstLine="0"/>
              <w:jc w:val="center"/>
              <w:rPr>
                <w:sz w:val="21"/>
                <w:szCs w:val="21"/>
              </w:rPr>
            </w:pPr>
            <w:r>
              <w:rPr>
                <w:rFonts w:hint="eastAsia"/>
                <w:sz w:val="21"/>
                <w:szCs w:val="21"/>
                <w:lang w:val="en-US" w:eastAsia="zh-CN"/>
              </w:rPr>
              <w:t>0.2</w:t>
            </w:r>
          </w:p>
        </w:tc>
        <w:tc>
          <w:tcPr>
            <w:tcW w:w="827" w:type="dxa"/>
            <w:noWrap w:val="0"/>
            <w:vAlign w:val="center"/>
          </w:tcPr>
          <w:p w14:paraId="7902FB61">
            <w:pPr>
              <w:spacing w:line="240" w:lineRule="auto"/>
              <w:ind w:firstLine="0"/>
              <w:jc w:val="center"/>
              <w:rPr>
                <w:sz w:val="21"/>
                <w:szCs w:val="21"/>
              </w:rPr>
            </w:pPr>
            <w:r>
              <w:rPr>
                <w:rFonts w:hint="eastAsia"/>
                <w:sz w:val="21"/>
                <w:szCs w:val="21"/>
                <w:lang w:val="en-US" w:eastAsia="zh-CN"/>
              </w:rPr>
              <w:t>达标</w:t>
            </w:r>
          </w:p>
        </w:tc>
      </w:tr>
      <w:tr w14:paraId="52DDE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B3C7984">
            <w:pPr>
              <w:spacing w:line="240" w:lineRule="auto"/>
              <w:ind w:firstLine="0"/>
              <w:jc w:val="center"/>
              <w:rPr>
                <w:sz w:val="21"/>
                <w:szCs w:val="21"/>
              </w:rPr>
            </w:pPr>
          </w:p>
        </w:tc>
        <w:tc>
          <w:tcPr>
            <w:tcW w:w="1568" w:type="dxa"/>
            <w:vMerge w:val="restart"/>
            <w:noWrap w:val="0"/>
            <w:vAlign w:val="center"/>
          </w:tcPr>
          <w:p w14:paraId="2791A527">
            <w:pPr>
              <w:spacing w:line="240" w:lineRule="auto"/>
              <w:ind w:firstLine="0"/>
              <w:jc w:val="center"/>
              <w:rPr>
                <w:sz w:val="21"/>
                <w:szCs w:val="21"/>
              </w:rPr>
            </w:pPr>
            <w:r>
              <w:rPr>
                <w:rFonts w:hint="eastAsia"/>
                <w:sz w:val="21"/>
                <w:szCs w:val="21"/>
              </w:rPr>
              <w:t>2019.08.24</w:t>
            </w:r>
          </w:p>
        </w:tc>
        <w:tc>
          <w:tcPr>
            <w:tcW w:w="1675" w:type="dxa"/>
            <w:noWrap w:val="0"/>
            <w:tcMar>
              <w:top w:w="15" w:type="dxa"/>
              <w:left w:w="15" w:type="dxa"/>
              <w:bottom w:w="15" w:type="dxa"/>
              <w:right w:w="15" w:type="dxa"/>
            </w:tcMar>
            <w:vAlign w:val="center"/>
          </w:tcPr>
          <w:p w14:paraId="5B76B7A7">
            <w:pPr>
              <w:spacing w:line="310" w:lineRule="exact"/>
              <w:ind w:firstLine="0"/>
              <w:jc w:val="center"/>
              <w:rPr>
                <w:sz w:val="21"/>
                <w:szCs w:val="21"/>
              </w:rPr>
            </w:pPr>
            <w:r>
              <w:rPr>
                <w:sz w:val="21"/>
                <w:szCs w:val="21"/>
              </w:rPr>
              <w:t>02:00</w:t>
            </w:r>
          </w:p>
        </w:tc>
        <w:tc>
          <w:tcPr>
            <w:tcW w:w="1656" w:type="dxa"/>
            <w:noWrap w:val="0"/>
            <w:vAlign w:val="center"/>
          </w:tcPr>
          <w:p w14:paraId="2E68AEE2">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7ECFC5B2">
            <w:pPr>
              <w:spacing w:line="240" w:lineRule="auto"/>
              <w:ind w:firstLine="0"/>
              <w:jc w:val="center"/>
              <w:rPr>
                <w:rFonts w:ascii="Calibri" w:hAnsi="Calibri" w:cs="Calibri"/>
                <w:sz w:val="21"/>
                <w:szCs w:val="21"/>
              </w:rPr>
            </w:pPr>
            <w:r>
              <w:rPr>
                <w:rFonts w:hint="eastAsia"/>
                <w:sz w:val="21"/>
                <w:szCs w:val="21"/>
              </w:rPr>
              <w:t>0.01</w:t>
            </w:r>
          </w:p>
        </w:tc>
        <w:tc>
          <w:tcPr>
            <w:tcW w:w="975" w:type="dxa"/>
            <w:noWrap w:val="0"/>
            <w:vAlign w:val="center"/>
          </w:tcPr>
          <w:p w14:paraId="083E157A">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20D9AC2D">
            <w:pPr>
              <w:spacing w:line="240" w:lineRule="auto"/>
              <w:ind w:firstLine="0"/>
              <w:jc w:val="center"/>
              <w:rPr>
                <w:sz w:val="21"/>
                <w:szCs w:val="21"/>
              </w:rPr>
            </w:pPr>
            <w:r>
              <w:rPr>
                <w:rFonts w:hint="eastAsia"/>
                <w:sz w:val="21"/>
                <w:szCs w:val="21"/>
                <w:lang w:val="en-US" w:eastAsia="zh-CN"/>
              </w:rPr>
              <w:t>达标</w:t>
            </w:r>
          </w:p>
        </w:tc>
      </w:tr>
      <w:tr w14:paraId="78670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9C4D747">
            <w:pPr>
              <w:spacing w:line="240" w:lineRule="auto"/>
              <w:ind w:firstLine="0"/>
              <w:jc w:val="center"/>
              <w:rPr>
                <w:sz w:val="21"/>
                <w:szCs w:val="21"/>
              </w:rPr>
            </w:pPr>
          </w:p>
        </w:tc>
        <w:tc>
          <w:tcPr>
            <w:tcW w:w="1568" w:type="dxa"/>
            <w:vMerge w:val="continue"/>
            <w:noWrap w:val="0"/>
            <w:vAlign w:val="center"/>
          </w:tcPr>
          <w:p w14:paraId="509B7E27">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409684EE">
            <w:pPr>
              <w:spacing w:line="310" w:lineRule="exact"/>
              <w:ind w:firstLine="0"/>
              <w:jc w:val="center"/>
              <w:rPr>
                <w:sz w:val="21"/>
                <w:szCs w:val="21"/>
              </w:rPr>
            </w:pPr>
            <w:r>
              <w:rPr>
                <w:sz w:val="21"/>
                <w:szCs w:val="21"/>
              </w:rPr>
              <w:t>08:00</w:t>
            </w:r>
          </w:p>
        </w:tc>
        <w:tc>
          <w:tcPr>
            <w:tcW w:w="1656" w:type="dxa"/>
            <w:noWrap w:val="0"/>
            <w:vAlign w:val="center"/>
          </w:tcPr>
          <w:p w14:paraId="24A266B5">
            <w:pPr>
              <w:spacing w:line="240" w:lineRule="auto"/>
              <w:ind w:firstLine="0"/>
              <w:jc w:val="center"/>
              <w:rPr>
                <w:rFonts w:ascii="Calibri" w:hAnsi="Calibri" w:cs="Calibri"/>
                <w:sz w:val="21"/>
                <w:szCs w:val="21"/>
              </w:rPr>
            </w:pPr>
            <w:r>
              <w:rPr>
                <w:rFonts w:hint="eastAsia"/>
                <w:sz w:val="21"/>
                <w:szCs w:val="21"/>
              </w:rPr>
              <w:t>0.06</w:t>
            </w:r>
          </w:p>
        </w:tc>
        <w:tc>
          <w:tcPr>
            <w:tcW w:w="1905" w:type="dxa"/>
            <w:noWrap w:val="0"/>
            <w:vAlign w:val="center"/>
          </w:tcPr>
          <w:p w14:paraId="7D66ED52">
            <w:pPr>
              <w:spacing w:line="240" w:lineRule="auto"/>
              <w:ind w:firstLine="0"/>
              <w:jc w:val="center"/>
              <w:rPr>
                <w:rFonts w:ascii="Calibri" w:hAnsi="Calibri" w:cs="Calibri"/>
                <w:sz w:val="21"/>
                <w:szCs w:val="21"/>
              </w:rPr>
            </w:pPr>
            <w:r>
              <w:rPr>
                <w:rFonts w:hint="eastAsia"/>
                <w:sz w:val="21"/>
                <w:szCs w:val="21"/>
              </w:rPr>
              <w:t>0.03</w:t>
            </w:r>
          </w:p>
        </w:tc>
        <w:tc>
          <w:tcPr>
            <w:tcW w:w="975" w:type="dxa"/>
            <w:noWrap w:val="0"/>
            <w:vAlign w:val="center"/>
          </w:tcPr>
          <w:p w14:paraId="51C9AFCA">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18385B27">
            <w:pPr>
              <w:spacing w:line="240" w:lineRule="auto"/>
              <w:ind w:firstLine="0"/>
              <w:jc w:val="center"/>
              <w:rPr>
                <w:sz w:val="21"/>
                <w:szCs w:val="21"/>
              </w:rPr>
            </w:pPr>
            <w:r>
              <w:rPr>
                <w:rFonts w:hint="eastAsia"/>
                <w:sz w:val="21"/>
                <w:szCs w:val="21"/>
                <w:lang w:val="en-US" w:eastAsia="zh-CN"/>
              </w:rPr>
              <w:t>达标</w:t>
            </w:r>
          </w:p>
        </w:tc>
      </w:tr>
      <w:tr w14:paraId="5EDD9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92BF085">
            <w:pPr>
              <w:spacing w:line="240" w:lineRule="auto"/>
              <w:ind w:firstLine="0"/>
              <w:jc w:val="center"/>
              <w:rPr>
                <w:sz w:val="21"/>
                <w:szCs w:val="21"/>
              </w:rPr>
            </w:pPr>
          </w:p>
        </w:tc>
        <w:tc>
          <w:tcPr>
            <w:tcW w:w="1568" w:type="dxa"/>
            <w:vMerge w:val="continue"/>
            <w:noWrap w:val="0"/>
            <w:vAlign w:val="center"/>
          </w:tcPr>
          <w:p w14:paraId="2760B263">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B0EF5AF">
            <w:pPr>
              <w:spacing w:line="310" w:lineRule="exact"/>
              <w:ind w:firstLine="0"/>
              <w:jc w:val="center"/>
              <w:rPr>
                <w:sz w:val="21"/>
                <w:szCs w:val="21"/>
              </w:rPr>
            </w:pPr>
            <w:r>
              <w:rPr>
                <w:sz w:val="21"/>
                <w:szCs w:val="21"/>
              </w:rPr>
              <w:t>14:00</w:t>
            </w:r>
          </w:p>
        </w:tc>
        <w:tc>
          <w:tcPr>
            <w:tcW w:w="1656" w:type="dxa"/>
            <w:noWrap w:val="0"/>
            <w:vAlign w:val="center"/>
          </w:tcPr>
          <w:p w14:paraId="5DC7F2DF">
            <w:pPr>
              <w:spacing w:line="240" w:lineRule="auto"/>
              <w:ind w:firstLine="0"/>
              <w:jc w:val="center"/>
              <w:rPr>
                <w:rFonts w:ascii="Calibri" w:hAnsi="Calibri" w:cs="Calibri"/>
                <w:sz w:val="21"/>
                <w:szCs w:val="21"/>
              </w:rPr>
            </w:pPr>
            <w:r>
              <w:rPr>
                <w:rFonts w:hint="eastAsia"/>
                <w:sz w:val="21"/>
                <w:szCs w:val="21"/>
              </w:rPr>
              <w:t>0.05</w:t>
            </w:r>
          </w:p>
        </w:tc>
        <w:tc>
          <w:tcPr>
            <w:tcW w:w="1905" w:type="dxa"/>
            <w:noWrap w:val="0"/>
            <w:vAlign w:val="center"/>
          </w:tcPr>
          <w:p w14:paraId="0BFDE4CA">
            <w:pPr>
              <w:spacing w:line="240" w:lineRule="auto"/>
              <w:ind w:firstLine="0"/>
              <w:jc w:val="center"/>
              <w:rPr>
                <w:rFonts w:ascii="Calibri" w:hAnsi="Calibri" w:cs="Calibri"/>
                <w:sz w:val="21"/>
                <w:szCs w:val="21"/>
              </w:rPr>
            </w:pPr>
            <w:r>
              <w:rPr>
                <w:rFonts w:hint="eastAsia"/>
                <w:sz w:val="21"/>
                <w:szCs w:val="21"/>
              </w:rPr>
              <w:t>0.05</w:t>
            </w:r>
          </w:p>
        </w:tc>
        <w:tc>
          <w:tcPr>
            <w:tcW w:w="975" w:type="dxa"/>
            <w:noWrap w:val="0"/>
            <w:vAlign w:val="center"/>
          </w:tcPr>
          <w:p w14:paraId="4038852B">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0523C18F">
            <w:pPr>
              <w:spacing w:line="240" w:lineRule="auto"/>
              <w:ind w:firstLine="0"/>
              <w:jc w:val="center"/>
              <w:rPr>
                <w:sz w:val="21"/>
                <w:szCs w:val="21"/>
              </w:rPr>
            </w:pPr>
            <w:r>
              <w:rPr>
                <w:rFonts w:hint="eastAsia"/>
                <w:sz w:val="21"/>
                <w:szCs w:val="21"/>
                <w:lang w:val="en-US" w:eastAsia="zh-CN"/>
              </w:rPr>
              <w:t>达标</w:t>
            </w:r>
          </w:p>
        </w:tc>
      </w:tr>
      <w:tr w14:paraId="60159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679FB64">
            <w:pPr>
              <w:spacing w:line="240" w:lineRule="auto"/>
              <w:ind w:firstLine="0"/>
              <w:jc w:val="center"/>
              <w:rPr>
                <w:sz w:val="21"/>
                <w:szCs w:val="21"/>
              </w:rPr>
            </w:pPr>
          </w:p>
        </w:tc>
        <w:tc>
          <w:tcPr>
            <w:tcW w:w="1568" w:type="dxa"/>
            <w:vMerge w:val="continue"/>
            <w:noWrap w:val="0"/>
            <w:vAlign w:val="center"/>
          </w:tcPr>
          <w:p w14:paraId="3717638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CFDC04B">
            <w:pPr>
              <w:spacing w:line="310" w:lineRule="exact"/>
              <w:ind w:firstLine="0"/>
              <w:jc w:val="center"/>
              <w:rPr>
                <w:sz w:val="21"/>
                <w:szCs w:val="21"/>
              </w:rPr>
            </w:pPr>
            <w:r>
              <w:rPr>
                <w:sz w:val="21"/>
                <w:szCs w:val="21"/>
              </w:rPr>
              <w:t>20:00</w:t>
            </w:r>
          </w:p>
        </w:tc>
        <w:tc>
          <w:tcPr>
            <w:tcW w:w="1656" w:type="dxa"/>
            <w:noWrap w:val="0"/>
            <w:vAlign w:val="center"/>
          </w:tcPr>
          <w:p w14:paraId="25D4DCA2">
            <w:pPr>
              <w:spacing w:line="240" w:lineRule="auto"/>
              <w:ind w:firstLine="0"/>
              <w:jc w:val="center"/>
              <w:rPr>
                <w:rFonts w:ascii="Calibri" w:hAnsi="Calibri" w:cs="Calibri"/>
                <w:sz w:val="21"/>
                <w:szCs w:val="21"/>
              </w:rPr>
            </w:pPr>
            <w:r>
              <w:rPr>
                <w:rFonts w:hint="eastAsia"/>
                <w:sz w:val="21"/>
                <w:szCs w:val="21"/>
              </w:rPr>
              <w:t>0.04</w:t>
            </w:r>
          </w:p>
        </w:tc>
        <w:tc>
          <w:tcPr>
            <w:tcW w:w="1905" w:type="dxa"/>
            <w:noWrap w:val="0"/>
            <w:vAlign w:val="center"/>
          </w:tcPr>
          <w:p w14:paraId="546E2C5E">
            <w:pPr>
              <w:spacing w:line="240" w:lineRule="auto"/>
              <w:ind w:firstLine="0"/>
              <w:jc w:val="center"/>
              <w:rPr>
                <w:rFonts w:ascii="Calibri" w:hAnsi="Calibri" w:cs="Calibri"/>
                <w:sz w:val="21"/>
                <w:szCs w:val="21"/>
              </w:rPr>
            </w:pPr>
            <w:r>
              <w:rPr>
                <w:rFonts w:hint="eastAsia"/>
                <w:sz w:val="21"/>
                <w:szCs w:val="21"/>
              </w:rPr>
              <w:t>0.02</w:t>
            </w:r>
          </w:p>
        </w:tc>
        <w:tc>
          <w:tcPr>
            <w:tcW w:w="975" w:type="dxa"/>
            <w:noWrap w:val="0"/>
            <w:vAlign w:val="center"/>
          </w:tcPr>
          <w:p w14:paraId="6CDFCC50">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506CCDD9">
            <w:pPr>
              <w:spacing w:line="240" w:lineRule="auto"/>
              <w:ind w:firstLine="0"/>
              <w:jc w:val="center"/>
              <w:rPr>
                <w:sz w:val="21"/>
                <w:szCs w:val="21"/>
              </w:rPr>
            </w:pPr>
            <w:r>
              <w:rPr>
                <w:rFonts w:hint="eastAsia"/>
                <w:sz w:val="21"/>
                <w:szCs w:val="21"/>
                <w:lang w:val="en-US" w:eastAsia="zh-CN"/>
              </w:rPr>
              <w:t>达标</w:t>
            </w:r>
          </w:p>
        </w:tc>
      </w:tr>
      <w:tr w14:paraId="4D2CE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839A8B3">
            <w:pPr>
              <w:spacing w:line="240" w:lineRule="auto"/>
              <w:ind w:firstLine="0"/>
              <w:jc w:val="center"/>
              <w:rPr>
                <w:sz w:val="21"/>
                <w:szCs w:val="21"/>
              </w:rPr>
            </w:pPr>
          </w:p>
        </w:tc>
        <w:tc>
          <w:tcPr>
            <w:tcW w:w="1568" w:type="dxa"/>
            <w:vMerge w:val="restart"/>
            <w:noWrap w:val="0"/>
            <w:vAlign w:val="center"/>
          </w:tcPr>
          <w:p w14:paraId="5D4D3FBA">
            <w:pPr>
              <w:spacing w:line="240" w:lineRule="auto"/>
              <w:ind w:firstLine="0"/>
              <w:jc w:val="center"/>
              <w:rPr>
                <w:sz w:val="21"/>
                <w:szCs w:val="21"/>
              </w:rPr>
            </w:pPr>
            <w:r>
              <w:rPr>
                <w:rFonts w:hint="eastAsia"/>
                <w:sz w:val="21"/>
                <w:szCs w:val="21"/>
              </w:rPr>
              <w:t>2019.08.25</w:t>
            </w:r>
          </w:p>
        </w:tc>
        <w:tc>
          <w:tcPr>
            <w:tcW w:w="1675" w:type="dxa"/>
            <w:noWrap w:val="0"/>
            <w:tcMar>
              <w:top w:w="15" w:type="dxa"/>
              <w:left w:w="15" w:type="dxa"/>
              <w:bottom w:w="15" w:type="dxa"/>
              <w:right w:w="15" w:type="dxa"/>
            </w:tcMar>
            <w:vAlign w:val="center"/>
          </w:tcPr>
          <w:p w14:paraId="2CEE89C4">
            <w:pPr>
              <w:spacing w:line="310" w:lineRule="exact"/>
              <w:ind w:firstLine="0"/>
              <w:jc w:val="center"/>
              <w:rPr>
                <w:sz w:val="21"/>
                <w:szCs w:val="21"/>
              </w:rPr>
            </w:pPr>
            <w:r>
              <w:rPr>
                <w:sz w:val="21"/>
                <w:szCs w:val="21"/>
              </w:rPr>
              <w:t>02:00</w:t>
            </w:r>
          </w:p>
        </w:tc>
        <w:tc>
          <w:tcPr>
            <w:tcW w:w="1656" w:type="dxa"/>
            <w:noWrap w:val="0"/>
            <w:vAlign w:val="center"/>
          </w:tcPr>
          <w:p w14:paraId="0B74A6E0">
            <w:pPr>
              <w:spacing w:line="240" w:lineRule="auto"/>
              <w:ind w:firstLine="0"/>
              <w:jc w:val="center"/>
              <w:rPr>
                <w:rFonts w:ascii="Calibri" w:hAnsi="Calibri" w:cs="Calibri"/>
                <w:sz w:val="21"/>
                <w:szCs w:val="21"/>
              </w:rPr>
            </w:pPr>
            <w:r>
              <w:rPr>
                <w:rFonts w:hint="eastAsia"/>
                <w:sz w:val="21"/>
                <w:szCs w:val="21"/>
              </w:rPr>
              <w:t>0.02</w:t>
            </w:r>
          </w:p>
        </w:tc>
        <w:tc>
          <w:tcPr>
            <w:tcW w:w="1905" w:type="dxa"/>
            <w:noWrap w:val="0"/>
            <w:vAlign w:val="center"/>
          </w:tcPr>
          <w:p w14:paraId="7BF0C636">
            <w:pPr>
              <w:spacing w:line="240" w:lineRule="auto"/>
              <w:ind w:firstLine="0"/>
              <w:jc w:val="center"/>
              <w:rPr>
                <w:rFonts w:ascii="Calibri" w:hAnsi="Calibri" w:cs="Calibri"/>
                <w:sz w:val="21"/>
                <w:szCs w:val="21"/>
              </w:rPr>
            </w:pPr>
            <w:r>
              <w:rPr>
                <w:rFonts w:hint="eastAsia"/>
                <w:sz w:val="21"/>
                <w:szCs w:val="21"/>
              </w:rPr>
              <w:t>0.02</w:t>
            </w:r>
          </w:p>
        </w:tc>
        <w:tc>
          <w:tcPr>
            <w:tcW w:w="975" w:type="dxa"/>
            <w:noWrap w:val="0"/>
            <w:vAlign w:val="center"/>
          </w:tcPr>
          <w:p w14:paraId="736ACD68">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6193144F">
            <w:pPr>
              <w:spacing w:line="240" w:lineRule="auto"/>
              <w:ind w:firstLine="0"/>
              <w:jc w:val="center"/>
              <w:rPr>
                <w:sz w:val="21"/>
                <w:szCs w:val="21"/>
              </w:rPr>
            </w:pPr>
            <w:r>
              <w:rPr>
                <w:rFonts w:hint="eastAsia"/>
                <w:sz w:val="21"/>
                <w:szCs w:val="21"/>
                <w:lang w:val="en-US" w:eastAsia="zh-CN"/>
              </w:rPr>
              <w:t>达标</w:t>
            </w:r>
          </w:p>
        </w:tc>
      </w:tr>
      <w:tr w14:paraId="10FAC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3A74FDF">
            <w:pPr>
              <w:spacing w:line="240" w:lineRule="auto"/>
              <w:ind w:firstLine="0"/>
              <w:jc w:val="center"/>
              <w:rPr>
                <w:sz w:val="21"/>
                <w:szCs w:val="21"/>
              </w:rPr>
            </w:pPr>
          </w:p>
        </w:tc>
        <w:tc>
          <w:tcPr>
            <w:tcW w:w="1568" w:type="dxa"/>
            <w:vMerge w:val="continue"/>
            <w:noWrap w:val="0"/>
            <w:vAlign w:val="center"/>
          </w:tcPr>
          <w:p w14:paraId="58DD3B0C">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8B166B9">
            <w:pPr>
              <w:spacing w:line="310" w:lineRule="exact"/>
              <w:ind w:firstLine="0"/>
              <w:jc w:val="center"/>
              <w:rPr>
                <w:sz w:val="21"/>
                <w:szCs w:val="21"/>
              </w:rPr>
            </w:pPr>
            <w:r>
              <w:rPr>
                <w:sz w:val="21"/>
                <w:szCs w:val="21"/>
              </w:rPr>
              <w:t>08:00</w:t>
            </w:r>
          </w:p>
        </w:tc>
        <w:tc>
          <w:tcPr>
            <w:tcW w:w="1656" w:type="dxa"/>
            <w:noWrap w:val="0"/>
            <w:vAlign w:val="center"/>
          </w:tcPr>
          <w:p w14:paraId="18658166">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7C118B30">
            <w:pPr>
              <w:spacing w:line="240" w:lineRule="auto"/>
              <w:ind w:firstLine="0"/>
              <w:jc w:val="center"/>
              <w:rPr>
                <w:rFonts w:ascii="Calibri" w:hAnsi="Calibri" w:cs="Calibri"/>
                <w:sz w:val="21"/>
                <w:szCs w:val="21"/>
              </w:rPr>
            </w:pPr>
            <w:r>
              <w:rPr>
                <w:rFonts w:hint="eastAsia"/>
                <w:sz w:val="21"/>
                <w:szCs w:val="21"/>
              </w:rPr>
              <w:t>0.05</w:t>
            </w:r>
          </w:p>
        </w:tc>
        <w:tc>
          <w:tcPr>
            <w:tcW w:w="975" w:type="dxa"/>
            <w:noWrap w:val="0"/>
            <w:vAlign w:val="center"/>
          </w:tcPr>
          <w:p w14:paraId="21BCD789">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486D51A9">
            <w:pPr>
              <w:spacing w:line="240" w:lineRule="auto"/>
              <w:ind w:firstLine="0"/>
              <w:jc w:val="center"/>
              <w:rPr>
                <w:sz w:val="21"/>
                <w:szCs w:val="21"/>
              </w:rPr>
            </w:pPr>
            <w:r>
              <w:rPr>
                <w:rFonts w:hint="eastAsia"/>
                <w:sz w:val="21"/>
                <w:szCs w:val="21"/>
                <w:lang w:val="en-US" w:eastAsia="zh-CN"/>
              </w:rPr>
              <w:t>达标</w:t>
            </w:r>
          </w:p>
        </w:tc>
      </w:tr>
      <w:tr w14:paraId="00FC9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6E75BE2">
            <w:pPr>
              <w:spacing w:line="240" w:lineRule="auto"/>
              <w:ind w:firstLine="0"/>
              <w:jc w:val="center"/>
              <w:rPr>
                <w:sz w:val="21"/>
                <w:szCs w:val="21"/>
              </w:rPr>
            </w:pPr>
          </w:p>
        </w:tc>
        <w:tc>
          <w:tcPr>
            <w:tcW w:w="1568" w:type="dxa"/>
            <w:vMerge w:val="continue"/>
            <w:noWrap w:val="0"/>
            <w:vAlign w:val="center"/>
          </w:tcPr>
          <w:p w14:paraId="18A8606F">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B74B3DB">
            <w:pPr>
              <w:spacing w:line="310" w:lineRule="exact"/>
              <w:ind w:firstLine="0"/>
              <w:jc w:val="center"/>
              <w:rPr>
                <w:sz w:val="21"/>
                <w:szCs w:val="21"/>
              </w:rPr>
            </w:pPr>
            <w:r>
              <w:rPr>
                <w:sz w:val="21"/>
                <w:szCs w:val="21"/>
              </w:rPr>
              <w:t>14:00</w:t>
            </w:r>
          </w:p>
        </w:tc>
        <w:tc>
          <w:tcPr>
            <w:tcW w:w="1656" w:type="dxa"/>
            <w:noWrap w:val="0"/>
            <w:vAlign w:val="center"/>
          </w:tcPr>
          <w:p w14:paraId="133736B0">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675DF3D2">
            <w:pPr>
              <w:spacing w:line="240" w:lineRule="auto"/>
              <w:ind w:firstLine="0"/>
              <w:jc w:val="center"/>
              <w:rPr>
                <w:rFonts w:ascii="Calibri" w:hAnsi="Calibri" w:cs="Calibri"/>
                <w:sz w:val="21"/>
                <w:szCs w:val="21"/>
              </w:rPr>
            </w:pPr>
            <w:r>
              <w:rPr>
                <w:rFonts w:hint="eastAsia"/>
                <w:sz w:val="21"/>
                <w:szCs w:val="21"/>
              </w:rPr>
              <w:t>0.04</w:t>
            </w:r>
          </w:p>
        </w:tc>
        <w:tc>
          <w:tcPr>
            <w:tcW w:w="975" w:type="dxa"/>
            <w:noWrap w:val="0"/>
            <w:vAlign w:val="center"/>
          </w:tcPr>
          <w:p w14:paraId="7A9AFBA4">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0B33A5F3">
            <w:pPr>
              <w:spacing w:line="240" w:lineRule="auto"/>
              <w:ind w:firstLine="0"/>
              <w:jc w:val="center"/>
              <w:rPr>
                <w:sz w:val="21"/>
                <w:szCs w:val="21"/>
              </w:rPr>
            </w:pPr>
            <w:r>
              <w:rPr>
                <w:rFonts w:hint="eastAsia"/>
                <w:sz w:val="21"/>
                <w:szCs w:val="21"/>
                <w:lang w:val="en-US" w:eastAsia="zh-CN"/>
              </w:rPr>
              <w:t>达标</w:t>
            </w:r>
          </w:p>
        </w:tc>
      </w:tr>
      <w:tr w14:paraId="089B6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088273E">
            <w:pPr>
              <w:spacing w:line="240" w:lineRule="auto"/>
              <w:ind w:firstLine="0"/>
              <w:jc w:val="center"/>
              <w:rPr>
                <w:sz w:val="21"/>
                <w:szCs w:val="21"/>
              </w:rPr>
            </w:pPr>
          </w:p>
        </w:tc>
        <w:tc>
          <w:tcPr>
            <w:tcW w:w="1568" w:type="dxa"/>
            <w:vMerge w:val="continue"/>
            <w:noWrap w:val="0"/>
            <w:vAlign w:val="center"/>
          </w:tcPr>
          <w:p w14:paraId="43CAF9A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4D1E9144">
            <w:pPr>
              <w:spacing w:line="310" w:lineRule="exact"/>
              <w:ind w:firstLine="0"/>
              <w:jc w:val="center"/>
              <w:rPr>
                <w:sz w:val="21"/>
                <w:szCs w:val="21"/>
              </w:rPr>
            </w:pPr>
            <w:r>
              <w:rPr>
                <w:sz w:val="21"/>
                <w:szCs w:val="21"/>
              </w:rPr>
              <w:t>20:00</w:t>
            </w:r>
          </w:p>
        </w:tc>
        <w:tc>
          <w:tcPr>
            <w:tcW w:w="1656" w:type="dxa"/>
            <w:noWrap w:val="0"/>
            <w:vAlign w:val="center"/>
          </w:tcPr>
          <w:p w14:paraId="2D3638F1">
            <w:pPr>
              <w:spacing w:line="240" w:lineRule="auto"/>
              <w:ind w:firstLine="0"/>
              <w:jc w:val="center"/>
              <w:rPr>
                <w:rFonts w:ascii="Calibri" w:hAnsi="Calibri" w:cs="Calibri"/>
                <w:sz w:val="21"/>
                <w:szCs w:val="21"/>
              </w:rPr>
            </w:pPr>
            <w:r>
              <w:rPr>
                <w:rFonts w:hint="eastAsia"/>
                <w:sz w:val="21"/>
                <w:szCs w:val="21"/>
              </w:rPr>
              <w:t>0.01</w:t>
            </w:r>
          </w:p>
        </w:tc>
        <w:tc>
          <w:tcPr>
            <w:tcW w:w="1905" w:type="dxa"/>
            <w:noWrap w:val="0"/>
            <w:vAlign w:val="center"/>
          </w:tcPr>
          <w:p w14:paraId="1D10B6CB">
            <w:pPr>
              <w:spacing w:line="240" w:lineRule="auto"/>
              <w:ind w:firstLine="0"/>
              <w:jc w:val="center"/>
              <w:rPr>
                <w:rFonts w:ascii="Calibri" w:hAnsi="Calibri" w:cs="Calibri"/>
                <w:sz w:val="21"/>
                <w:szCs w:val="21"/>
              </w:rPr>
            </w:pPr>
            <w:r>
              <w:rPr>
                <w:rFonts w:hint="eastAsia"/>
                <w:sz w:val="21"/>
                <w:szCs w:val="21"/>
              </w:rPr>
              <w:t>0.03</w:t>
            </w:r>
          </w:p>
        </w:tc>
        <w:tc>
          <w:tcPr>
            <w:tcW w:w="975" w:type="dxa"/>
            <w:noWrap w:val="0"/>
            <w:vAlign w:val="center"/>
          </w:tcPr>
          <w:p w14:paraId="7AA0B504">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0E156D7F">
            <w:pPr>
              <w:spacing w:line="240" w:lineRule="auto"/>
              <w:ind w:firstLine="0"/>
              <w:jc w:val="center"/>
              <w:rPr>
                <w:sz w:val="21"/>
                <w:szCs w:val="21"/>
              </w:rPr>
            </w:pPr>
            <w:r>
              <w:rPr>
                <w:rFonts w:hint="eastAsia"/>
                <w:sz w:val="21"/>
                <w:szCs w:val="21"/>
                <w:lang w:val="en-US" w:eastAsia="zh-CN"/>
              </w:rPr>
              <w:t>达标</w:t>
            </w:r>
          </w:p>
        </w:tc>
      </w:tr>
      <w:tr w14:paraId="746B6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3DC69AA">
            <w:pPr>
              <w:spacing w:line="240" w:lineRule="auto"/>
              <w:ind w:firstLine="0"/>
              <w:jc w:val="center"/>
              <w:rPr>
                <w:sz w:val="21"/>
                <w:szCs w:val="21"/>
              </w:rPr>
            </w:pPr>
          </w:p>
        </w:tc>
        <w:tc>
          <w:tcPr>
            <w:tcW w:w="1568" w:type="dxa"/>
            <w:vMerge w:val="restart"/>
            <w:noWrap w:val="0"/>
            <w:vAlign w:val="center"/>
          </w:tcPr>
          <w:p w14:paraId="396C4B68">
            <w:pPr>
              <w:spacing w:line="240" w:lineRule="auto"/>
              <w:ind w:firstLine="0"/>
              <w:jc w:val="center"/>
              <w:rPr>
                <w:sz w:val="21"/>
                <w:szCs w:val="21"/>
              </w:rPr>
            </w:pPr>
            <w:r>
              <w:rPr>
                <w:rFonts w:hint="eastAsia"/>
                <w:sz w:val="21"/>
                <w:szCs w:val="21"/>
              </w:rPr>
              <w:t>2019.08.26</w:t>
            </w:r>
          </w:p>
        </w:tc>
        <w:tc>
          <w:tcPr>
            <w:tcW w:w="1675" w:type="dxa"/>
            <w:noWrap w:val="0"/>
            <w:tcMar>
              <w:top w:w="15" w:type="dxa"/>
              <w:left w:w="15" w:type="dxa"/>
              <w:bottom w:w="15" w:type="dxa"/>
              <w:right w:w="15" w:type="dxa"/>
            </w:tcMar>
            <w:vAlign w:val="center"/>
          </w:tcPr>
          <w:p w14:paraId="1B1C74EF">
            <w:pPr>
              <w:spacing w:line="310" w:lineRule="exact"/>
              <w:ind w:firstLine="0"/>
              <w:jc w:val="center"/>
              <w:rPr>
                <w:sz w:val="21"/>
                <w:szCs w:val="21"/>
              </w:rPr>
            </w:pPr>
            <w:r>
              <w:rPr>
                <w:sz w:val="21"/>
                <w:szCs w:val="21"/>
              </w:rPr>
              <w:t>02:00</w:t>
            </w:r>
          </w:p>
        </w:tc>
        <w:tc>
          <w:tcPr>
            <w:tcW w:w="1656" w:type="dxa"/>
            <w:noWrap w:val="0"/>
            <w:vAlign w:val="center"/>
          </w:tcPr>
          <w:p w14:paraId="201AAB01">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715C8C4B">
            <w:pPr>
              <w:spacing w:line="240" w:lineRule="auto"/>
              <w:ind w:firstLine="0"/>
              <w:jc w:val="center"/>
              <w:rPr>
                <w:rFonts w:ascii="Calibri" w:hAnsi="Calibri" w:cs="Calibri"/>
                <w:sz w:val="21"/>
                <w:szCs w:val="21"/>
              </w:rPr>
            </w:pPr>
            <w:r>
              <w:rPr>
                <w:rFonts w:hint="eastAsia"/>
                <w:sz w:val="21"/>
                <w:szCs w:val="21"/>
              </w:rPr>
              <w:t>0.01</w:t>
            </w:r>
          </w:p>
        </w:tc>
        <w:tc>
          <w:tcPr>
            <w:tcW w:w="975" w:type="dxa"/>
            <w:noWrap w:val="0"/>
            <w:vAlign w:val="center"/>
          </w:tcPr>
          <w:p w14:paraId="46019978">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50DFD840">
            <w:pPr>
              <w:spacing w:line="240" w:lineRule="auto"/>
              <w:ind w:firstLine="0"/>
              <w:jc w:val="center"/>
              <w:rPr>
                <w:sz w:val="21"/>
                <w:szCs w:val="21"/>
              </w:rPr>
            </w:pPr>
            <w:r>
              <w:rPr>
                <w:rFonts w:hint="eastAsia"/>
                <w:sz w:val="21"/>
                <w:szCs w:val="21"/>
                <w:lang w:val="en-US" w:eastAsia="zh-CN"/>
              </w:rPr>
              <w:t>达标</w:t>
            </w:r>
          </w:p>
        </w:tc>
      </w:tr>
      <w:tr w14:paraId="64E2A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F12418C">
            <w:pPr>
              <w:spacing w:line="240" w:lineRule="auto"/>
              <w:ind w:firstLine="0"/>
              <w:jc w:val="center"/>
              <w:rPr>
                <w:sz w:val="21"/>
                <w:szCs w:val="21"/>
              </w:rPr>
            </w:pPr>
          </w:p>
        </w:tc>
        <w:tc>
          <w:tcPr>
            <w:tcW w:w="1568" w:type="dxa"/>
            <w:vMerge w:val="continue"/>
            <w:noWrap w:val="0"/>
            <w:vAlign w:val="center"/>
          </w:tcPr>
          <w:p w14:paraId="3712382A">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F700336">
            <w:pPr>
              <w:spacing w:line="310" w:lineRule="exact"/>
              <w:ind w:firstLine="0"/>
              <w:jc w:val="center"/>
              <w:rPr>
                <w:sz w:val="21"/>
                <w:szCs w:val="21"/>
              </w:rPr>
            </w:pPr>
            <w:r>
              <w:rPr>
                <w:sz w:val="21"/>
                <w:szCs w:val="21"/>
              </w:rPr>
              <w:t>08:00</w:t>
            </w:r>
          </w:p>
        </w:tc>
        <w:tc>
          <w:tcPr>
            <w:tcW w:w="1656" w:type="dxa"/>
            <w:noWrap w:val="0"/>
            <w:vAlign w:val="center"/>
          </w:tcPr>
          <w:p w14:paraId="4F4CEAF6">
            <w:pPr>
              <w:spacing w:line="240" w:lineRule="auto"/>
              <w:ind w:firstLine="0"/>
              <w:jc w:val="center"/>
              <w:rPr>
                <w:rFonts w:ascii="Calibri" w:hAnsi="Calibri" w:cs="Calibri"/>
                <w:sz w:val="21"/>
                <w:szCs w:val="21"/>
              </w:rPr>
            </w:pPr>
            <w:r>
              <w:rPr>
                <w:rFonts w:hint="eastAsia"/>
                <w:sz w:val="21"/>
                <w:szCs w:val="21"/>
              </w:rPr>
              <w:t>0.05</w:t>
            </w:r>
          </w:p>
        </w:tc>
        <w:tc>
          <w:tcPr>
            <w:tcW w:w="1905" w:type="dxa"/>
            <w:noWrap w:val="0"/>
            <w:vAlign w:val="center"/>
          </w:tcPr>
          <w:p w14:paraId="3ADF77B8">
            <w:pPr>
              <w:spacing w:line="240" w:lineRule="auto"/>
              <w:ind w:firstLine="0"/>
              <w:jc w:val="center"/>
              <w:rPr>
                <w:rFonts w:ascii="Calibri" w:hAnsi="Calibri" w:cs="Calibri"/>
                <w:sz w:val="21"/>
                <w:szCs w:val="21"/>
              </w:rPr>
            </w:pPr>
            <w:r>
              <w:rPr>
                <w:rFonts w:hint="eastAsia"/>
                <w:sz w:val="21"/>
                <w:szCs w:val="21"/>
              </w:rPr>
              <w:t>0.03</w:t>
            </w:r>
          </w:p>
        </w:tc>
        <w:tc>
          <w:tcPr>
            <w:tcW w:w="975" w:type="dxa"/>
            <w:noWrap w:val="0"/>
            <w:vAlign w:val="center"/>
          </w:tcPr>
          <w:p w14:paraId="7393B108">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19DC547C">
            <w:pPr>
              <w:spacing w:line="240" w:lineRule="auto"/>
              <w:ind w:firstLine="0"/>
              <w:jc w:val="center"/>
              <w:rPr>
                <w:sz w:val="21"/>
                <w:szCs w:val="21"/>
              </w:rPr>
            </w:pPr>
            <w:r>
              <w:rPr>
                <w:rFonts w:hint="eastAsia"/>
                <w:sz w:val="21"/>
                <w:szCs w:val="21"/>
                <w:lang w:val="en-US" w:eastAsia="zh-CN"/>
              </w:rPr>
              <w:t>达标</w:t>
            </w:r>
          </w:p>
        </w:tc>
      </w:tr>
      <w:tr w14:paraId="5DCB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04581CF">
            <w:pPr>
              <w:spacing w:line="240" w:lineRule="auto"/>
              <w:ind w:firstLine="0"/>
              <w:jc w:val="center"/>
              <w:rPr>
                <w:sz w:val="21"/>
                <w:szCs w:val="21"/>
              </w:rPr>
            </w:pPr>
          </w:p>
        </w:tc>
        <w:tc>
          <w:tcPr>
            <w:tcW w:w="1568" w:type="dxa"/>
            <w:vMerge w:val="continue"/>
            <w:noWrap w:val="0"/>
            <w:vAlign w:val="center"/>
          </w:tcPr>
          <w:p w14:paraId="10935724">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A794D85">
            <w:pPr>
              <w:spacing w:line="310" w:lineRule="exact"/>
              <w:ind w:firstLine="0"/>
              <w:jc w:val="center"/>
              <w:rPr>
                <w:sz w:val="21"/>
                <w:szCs w:val="21"/>
              </w:rPr>
            </w:pPr>
            <w:r>
              <w:rPr>
                <w:sz w:val="21"/>
                <w:szCs w:val="21"/>
              </w:rPr>
              <w:t>14:00</w:t>
            </w:r>
          </w:p>
        </w:tc>
        <w:tc>
          <w:tcPr>
            <w:tcW w:w="1656" w:type="dxa"/>
            <w:noWrap w:val="0"/>
            <w:vAlign w:val="center"/>
          </w:tcPr>
          <w:p w14:paraId="64220A58">
            <w:pPr>
              <w:spacing w:line="240" w:lineRule="auto"/>
              <w:ind w:firstLine="0"/>
              <w:jc w:val="center"/>
              <w:rPr>
                <w:rFonts w:ascii="Calibri" w:hAnsi="Calibri" w:cs="Calibri"/>
                <w:sz w:val="21"/>
                <w:szCs w:val="21"/>
              </w:rPr>
            </w:pPr>
            <w:r>
              <w:rPr>
                <w:rFonts w:hint="eastAsia"/>
                <w:sz w:val="21"/>
                <w:szCs w:val="21"/>
              </w:rPr>
              <w:t>0.04</w:t>
            </w:r>
          </w:p>
        </w:tc>
        <w:tc>
          <w:tcPr>
            <w:tcW w:w="1905" w:type="dxa"/>
            <w:noWrap w:val="0"/>
            <w:vAlign w:val="center"/>
          </w:tcPr>
          <w:p w14:paraId="6DDCA504">
            <w:pPr>
              <w:spacing w:line="240" w:lineRule="auto"/>
              <w:ind w:firstLine="0"/>
              <w:jc w:val="center"/>
              <w:rPr>
                <w:rFonts w:ascii="Calibri" w:hAnsi="Calibri" w:cs="Calibri"/>
                <w:sz w:val="21"/>
                <w:szCs w:val="21"/>
              </w:rPr>
            </w:pPr>
            <w:r>
              <w:rPr>
                <w:rFonts w:hint="eastAsia"/>
                <w:sz w:val="21"/>
                <w:szCs w:val="21"/>
              </w:rPr>
              <w:t>0.04</w:t>
            </w:r>
          </w:p>
        </w:tc>
        <w:tc>
          <w:tcPr>
            <w:tcW w:w="975" w:type="dxa"/>
            <w:noWrap w:val="0"/>
            <w:vAlign w:val="center"/>
          </w:tcPr>
          <w:p w14:paraId="421089DF">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1CB378E4">
            <w:pPr>
              <w:spacing w:line="240" w:lineRule="auto"/>
              <w:ind w:firstLine="0"/>
              <w:jc w:val="center"/>
              <w:rPr>
                <w:sz w:val="21"/>
                <w:szCs w:val="21"/>
              </w:rPr>
            </w:pPr>
            <w:r>
              <w:rPr>
                <w:rFonts w:hint="eastAsia"/>
                <w:sz w:val="21"/>
                <w:szCs w:val="21"/>
                <w:lang w:val="en-US" w:eastAsia="zh-CN"/>
              </w:rPr>
              <w:t>达标</w:t>
            </w:r>
          </w:p>
        </w:tc>
      </w:tr>
      <w:tr w14:paraId="712EF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8464F97">
            <w:pPr>
              <w:spacing w:line="240" w:lineRule="auto"/>
              <w:ind w:firstLine="0"/>
              <w:jc w:val="center"/>
              <w:rPr>
                <w:sz w:val="21"/>
                <w:szCs w:val="21"/>
              </w:rPr>
            </w:pPr>
          </w:p>
        </w:tc>
        <w:tc>
          <w:tcPr>
            <w:tcW w:w="1568" w:type="dxa"/>
            <w:vMerge w:val="continue"/>
            <w:noWrap w:val="0"/>
            <w:vAlign w:val="center"/>
          </w:tcPr>
          <w:p w14:paraId="10F0E7EE">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ED1A48E">
            <w:pPr>
              <w:spacing w:line="310" w:lineRule="exact"/>
              <w:ind w:firstLine="0"/>
              <w:jc w:val="center"/>
              <w:rPr>
                <w:sz w:val="21"/>
                <w:szCs w:val="21"/>
              </w:rPr>
            </w:pPr>
            <w:r>
              <w:rPr>
                <w:sz w:val="21"/>
                <w:szCs w:val="21"/>
              </w:rPr>
              <w:t>20:00</w:t>
            </w:r>
          </w:p>
        </w:tc>
        <w:tc>
          <w:tcPr>
            <w:tcW w:w="1656" w:type="dxa"/>
            <w:noWrap w:val="0"/>
            <w:vAlign w:val="center"/>
          </w:tcPr>
          <w:p w14:paraId="538D38D8">
            <w:pPr>
              <w:spacing w:line="240" w:lineRule="auto"/>
              <w:ind w:firstLine="0"/>
              <w:jc w:val="center"/>
              <w:rPr>
                <w:rFonts w:ascii="Calibri" w:hAnsi="Calibri" w:cs="Calibri"/>
                <w:sz w:val="21"/>
                <w:szCs w:val="21"/>
              </w:rPr>
            </w:pPr>
            <w:r>
              <w:rPr>
                <w:rFonts w:hint="eastAsia"/>
                <w:sz w:val="21"/>
                <w:szCs w:val="21"/>
              </w:rPr>
              <w:t>0.03</w:t>
            </w:r>
          </w:p>
        </w:tc>
        <w:tc>
          <w:tcPr>
            <w:tcW w:w="1905" w:type="dxa"/>
            <w:noWrap w:val="0"/>
            <w:vAlign w:val="center"/>
          </w:tcPr>
          <w:p w14:paraId="627D7DD7">
            <w:pPr>
              <w:spacing w:line="240" w:lineRule="auto"/>
              <w:ind w:firstLine="0"/>
              <w:jc w:val="center"/>
              <w:rPr>
                <w:rFonts w:ascii="Calibri" w:hAnsi="Calibri" w:cs="Calibri"/>
                <w:sz w:val="21"/>
                <w:szCs w:val="21"/>
              </w:rPr>
            </w:pPr>
            <w:r>
              <w:rPr>
                <w:rFonts w:hint="eastAsia"/>
                <w:sz w:val="21"/>
                <w:szCs w:val="21"/>
              </w:rPr>
              <w:t>0.02</w:t>
            </w:r>
          </w:p>
        </w:tc>
        <w:tc>
          <w:tcPr>
            <w:tcW w:w="975" w:type="dxa"/>
            <w:noWrap w:val="0"/>
            <w:vAlign w:val="center"/>
          </w:tcPr>
          <w:p w14:paraId="26BB85F2">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3E2A6163">
            <w:pPr>
              <w:spacing w:line="240" w:lineRule="auto"/>
              <w:ind w:firstLine="0"/>
              <w:jc w:val="center"/>
              <w:rPr>
                <w:sz w:val="21"/>
                <w:szCs w:val="21"/>
              </w:rPr>
            </w:pPr>
            <w:r>
              <w:rPr>
                <w:rFonts w:hint="eastAsia"/>
                <w:sz w:val="21"/>
                <w:szCs w:val="21"/>
                <w:lang w:val="en-US" w:eastAsia="zh-CN"/>
              </w:rPr>
              <w:t>达标</w:t>
            </w:r>
          </w:p>
        </w:tc>
      </w:tr>
      <w:tr w14:paraId="64AEB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F0B8B01">
            <w:pPr>
              <w:spacing w:line="240" w:lineRule="auto"/>
              <w:ind w:firstLine="0"/>
              <w:jc w:val="center"/>
              <w:rPr>
                <w:sz w:val="21"/>
                <w:szCs w:val="21"/>
              </w:rPr>
            </w:pPr>
          </w:p>
        </w:tc>
        <w:tc>
          <w:tcPr>
            <w:tcW w:w="1568" w:type="dxa"/>
            <w:vMerge w:val="restart"/>
            <w:noWrap w:val="0"/>
            <w:vAlign w:val="center"/>
          </w:tcPr>
          <w:p w14:paraId="04AE8354">
            <w:pPr>
              <w:spacing w:line="240" w:lineRule="auto"/>
              <w:ind w:firstLine="0"/>
              <w:jc w:val="center"/>
              <w:rPr>
                <w:sz w:val="21"/>
                <w:szCs w:val="21"/>
              </w:rPr>
            </w:pPr>
            <w:r>
              <w:rPr>
                <w:rFonts w:hint="eastAsia"/>
                <w:sz w:val="21"/>
                <w:szCs w:val="21"/>
              </w:rPr>
              <w:t>2019.08.27</w:t>
            </w:r>
          </w:p>
        </w:tc>
        <w:tc>
          <w:tcPr>
            <w:tcW w:w="1675" w:type="dxa"/>
            <w:noWrap w:val="0"/>
            <w:tcMar>
              <w:top w:w="15" w:type="dxa"/>
              <w:left w:w="15" w:type="dxa"/>
              <w:bottom w:w="15" w:type="dxa"/>
              <w:right w:w="15" w:type="dxa"/>
            </w:tcMar>
            <w:vAlign w:val="center"/>
          </w:tcPr>
          <w:p w14:paraId="7B093E55">
            <w:pPr>
              <w:spacing w:line="310" w:lineRule="exact"/>
              <w:ind w:firstLine="0"/>
              <w:jc w:val="center"/>
              <w:rPr>
                <w:sz w:val="21"/>
                <w:szCs w:val="21"/>
              </w:rPr>
            </w:pPr>
            <w:r>
              <w:rPr>
                <w:sz w:val="21"/>
                <w:szCs w:val="21"/>
              </w:rPr>
              <w:t>02:00</w:t>
            </w:r>
          </w:p>
        </w:tc>
        <w:tc>
          <w:tcPr>
            <w:tcW w:w="1656" w:type="dxa"/>
            <w:noWrap w:val="0"/>
            <w:vAlign w:val="center"/>
          </w:tcPr>
          <w:p w14:paraId="102A8E28">
            <w:pPr>
              <w:spacing w:line="240" w:lineRule="auto"/>
              <w:ind w:firstLine="0"/>
              <w:jc w:val="center"/>
              <w:rPr>
                <w:rFonts w:ascii="Calibri" w:hAnsi="Calibri" w:cs="Calibri"/>
                <w:sz w:val="21"/>
                <w:szCs w:val="21"/>
              </w:rPr>
            </w:pPr>
            <w:r>
              <w:rPr>
                <w:rFonts w:hint="eastAsia"/>
                <w:sz w:val="21"/>
                <w:szCs w:val="21"/>
              </w:rPr>
              <w:t>0.01</w:t>
            </w:r>
          </w:p>
        </w:tc>
        <w:tc>
          <w:tcPr>
            <w:tcW w:w="1905" w:type="dxa"/>
            <w:noWrap w:val="0"/>
            <w:vAlign w:val="center"/>
          </w:tcPr>
          <w:p w14:paraId="55DA8BB5">
            <w:pPr>
              <w:spacing w:line="240" w:lineRule="auto"/>
              <w:ind w:firstLine="0"/>
              <w:jc w:val="center"/>
              <w:rPr>
                <w:rFonts w:ascii="Calibri" w:hAnsi="Calibri" w:cs="Calibri"/>
                <w:sz w:val="21"/>
                <w:szCs w:val="21"/>
              </w:rPr>
            </w:pPr>
            <w:r>
              <w:rPr>
                <w:rFonts w:hint="eastAsia"/>
                <w:sz w:val="21"/>
                <w:szCs w:val="21"/>
              </w:rPr>
              <w:t>0.03</w:t>
            </w:r>
          </w:p>
        </w:tc>
        <w:tc>
          <w:tcPr>
            <w:tcW w:w="975" w:type="dxa"/>
            <w:noWrap w:val="0"/>
            <w:vAlign w:val="center"/>
          </w:tcPr>
          <w:p w14:paraId="7119FEAB">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4EBBC626">
            <w:pPr>
              <w:spacing w:line="240" w:lineRule="auto"/>
              <w:ind w:firstLine="0"/>
              <w:jc w:val="center"/>
              <w:rPr>
                <w:sz w:val="21"/>
                <w:szCs w:val="21"/>
              </w:rPr>
            </w:pPr>
            <w:r>
              <w:rPr>
                <w:rFonts w:hint="eastAsia"/>
                <w:sz w:val="21"/>
                <w:szCs w:val="21"/>
                <w:lang w:val="en-US" w:eastAsia="zh-CN"/>
              </w:rPr>
              <w:t>达标</w:t>
            </w:r>
          </w:p>
        </w:tc>
      </w:tr>
      <w:tr w14:paraId="313AC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F7AAA10">
            <w:pPr>
              <w:spacing w:line="240" w:lineRule="auto"/>
              <w:ind w:firstLine="0"/>
              <w:jc w:val="center"/>
              <w:rPr>
                <w:sz w:val="21"/>
                <w:szCs w:val="21"/>
              </w:rPr>
            </w:pPr>
          </w:p>
        </w:tc>
        <w:tc>
          <w:tcPr>
            <w:tcW w:w="1568" w:type="dxa"/>
            <w:vMerge w:val="continue"/>
            <w:noWrap w:val="0"/>
            <w:vAlign w:val="center"/>
          </w:tcPr>
          <w:p w14:paraId="2CC54BF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05CB58F">
            <w:pPr>
              <w:spacing w:line="310" w:lineRule="exact"/>
              <w:ind w:firstLine="0"/>
              <w:jc w:val="center"/>
              <w:rPr>
                <w:sz w:val="21"/>
                <w:szCs w:val="21"/>
              </w:rPr>
            </w:pPr>
            <w:r>
              <w:rPr>
                <w:sz w:val="21"/>
                <w:szCs w:val="21"/>
              </w:rPr>
              <w:t>08:00</w:t>
            </w:r>
          </w:p>
        </w:tc>
        <w:tc>
          <w:tcPr>
            <w:tcW w:w="1656" w:type="dxa"/>
            <w:noWrap w:val="0"/>
            <w:vAlign w:val="center"/>
          </w:tcPr>
          <w:p w14:paraId="31432485">
            <w:pPr>
              <w:spacing w:line="240" w:lineRule="auto"/>
              <w:ind w:firstLine="0"/>
              <w:jc w:val="center"/>
              <w:rPr>
                <w:rFonts w:ascii="Calibri" w:hAnsi="Calibri" w:cs="Calibri"/>
                <w:sz w:val="21"/>
                <w:szCs w:val="21"/>
              </w:rPr>
            </w:pPr>
            <w:r>
              <w:rPr>
                <w:rFonts w:hint="eastAsia"/>
                <w:sz w:val="21"/>
                <w:szCs w:val="21"/>
              </w:rPr>
              <w:t>0.04</w:t>
            </w:r>
          </w:p>
        </w:tc>
        <w:tc>
          <w:tcPr>
            <w:tcW w:w="1905" w:type="dxa"/>
            <w:noWrap w:val="0"/>
            <w:vAlign w:val="center"/>
          </w:tcPr>
          <w:p w14:paraId="4164B96D">
            <w:pPr>
              <w:spacing w:line="240" w:lineRule="auto"/>
              <w:ind w:firstLine="0"/>
              <w:jc w:val="center"/>
              <w:rPr>
                <w:rFonts w:ascii="Calibri" w:hAnsi="Calibri" w:cs="Calibri"/>
                <w:sz w:val="21"/>
                <w:szCs w:val="21"/>
              </w:rPr>
            </w:pPr>
            <w:r>
              <w:rPr>
                <w:rFonts w:hint="eastAsia"/>
                <w:sz w:val="21"/>
                <w:szCs w:val="21"/>
              </w:rPr>
              <w:t>0.04</w:t>
            </w:r>
          </w:p>
        </w:tc>
        <w:tc>
          <w:tcPr>
            <w:tcW w:w="975" w:type="dxa"/>
            <w:noWrap w:val="0"/>
            <w:vAlign w:val="center"/>
          </w:tcPr>
          <w:p w14:paraId="0906D77F">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1872C765">
            <w:pPr>
              <w:spacing w:line="240" w:lineRule="auto"/>
              <w:ind w:firstLine="0"/>
              <w:jc w:val="center"/>
              <w:rPr>
                <w:sz w:val="21"/>
                <w:szCs w:val="21"/>
              </w:rPr>
            </w:pPr>
            <w:r>
              <w:rPr>
                <w:rFonts w:hint="eastAsia"/>
                <w:sz w:val="21"/>
                <w:szCs w:val="21"/>
                <w:lang w:val="en-US" w:eastAsia="zh-CN"/>
              </w:rPr>
              <w:t>达标</w:t>
            </w:r>
          </w:p>
        </w:tc>
      </w:tr>
      <w:tr w14:paraId="5196D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2A537FF">
            <w:pPr>
              <w:spacing w:line="240" w:lineRule="auto"/>
              <w:ind w:firstLine="0"/>
              <w:jc w:val="center"/>
              <w:rPr>
                <w:sz w:val="21"/>
                <w:szCs w:val="21"/>
              </w:rPr>
            </w:pPr>
          </w:p>
        </w:tc>
        <w:tc>
          <w:tcPr>
            <w:tcW w:w="1568" w:type="dxa"/>
            <w:vMerge w:val="continue"/>
            <w:noWrap w:val="0"/>
            <w:vAlign w:val="center"/>
          </w:tcPr>
          <w:p w14:paraId="49772519">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0A0A3C1">
            <w:pPr>
              <w:spacing w:line="310" w:lineRule="exact"/>
              <w:ind w:firstLine="0"/>
              <w:jc w:val="center"/>
              <w:rPr>
                <w:sz w:val="21"/>
                <w:szCs w:val="21"/>
              </w:rPr>
            </w:pPr>
            <w:r>
              <w:rPr>
                <w:sz w:val="21"/>
                <w:szCs w:val="21"/>
              </w:rPr>
              <w:t>14:00</w:t>
            </w:r>
          </w:p>
        </w:tc>
        <w:tc>
          <w:tcPr>
            <w:tcW w:w="1656" w:type="dxa"/>
            <w:noWrap w:val="0"/>
            <w:vAlign w:val="center"/>
          </w:tcPr>
          <w:p w14:paraId="511B9996">
            <w:pPr>
              <w:spacing w:line="240" w:lineRule="auto"/>
              <w:ind w:firstLine="0"/>
              <w:jc w:val="center"/>
              <w:rPr>
                <w:rFonts w:ascii="Calibri" w:hAnsi="Calibri" w:cs="Calibri"/>
                <w:sz w:val="21"/>
                <w:szCs w:val="21"/>
              </w:rPr>
            </w:pPr>
            <w:r>
              <w:rPr>
                <w:rFonts w:hint="eastAsia"/>
                <w:sz w:val="21"/>
                <w:szCs w:val="21"/>
              </w:rPr>
              <w:t>0.06</w:t>
            </w:r>
          </w:p>
        </w:tc>
        <w:tc>
          <w:tcPr>
            <w:tcW w:w="1905" w:type="dxa"/>
            <w:noWrap w:val="0"/>
            <w:vAlign w:val="center"/>
          </w:tcPr>
          <w:p w14:paraId="77533D7E">
            <w:pPr>
              <w:spacing w:line="240" w:lineRule="auto"/>
              <w:ind w:firstLine="0"/>
              <w:jc w:val="center"/>
              <w:rPr>
                <w:rFonts w:ascii="Calibri" w:hAnsi="Calibri" w:cs="Calibri"/>
                <w:sz w:val="21"/>
                <w:szCs w:val="21"/>
              </w:rPr>
            </w:pPr>
            <w:r>
              <w:rPr>
                <w:rFonts w:hint="eastAsia"/>
                <w:sz w:val="21"/>
                <w:szCs w:val="21"/>
              </w:rPr>
              <w:t>0.05</w:t>
            </w:r>
          </w:p>
        </w:tc>
        <w:tc>
          <w:tcPr>
            <w:tcW w:w="975" w:type="dxa"/>
            <w:noWrap w:val="0"/>
            <w:vAlign w:val="center"/>
          </w:tcPr>
          <w:p w14:paraId="690E3925">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5DDDB4D9">
            <w:pPr>
              <w:spacing w:line="240" w:lineRule="auto"/>
              <w:ind w:firstLine="0"/>
              <w:jc w:val="center"/>
              <w:rPr>
                <w:sz w:val="21"/>
                <w:szCs w:val="21"/>
              </w:rPr>
            </w:pPr>
            <w:r>
              <w:rPr>
                <w:rFonts w:hint="eastAsia"/>
                <w:sz w:val="21"/>
                <w:szCs w:val="21"/>
                <w:lang w:val="en-US" w:eastAsia="zh-CN"/>
              </w:rPr>
              <w:t>达标</w:t>
            </w:r>
          </w:p>
        </w:tc>
      </w:tr>
      <w:tr w14:paraId="326CB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4CC41E4">
            <w:pPr>
              <w:spacing w:line="240" w:lineRule="auto"/>
              <w:ind w:firstLine="0"/>
              <w:jc w:val="center"/>
              <w:rPr>
                <w:sz w:val="21"/>
                <w:szCs w:val="21"/>
              </w:rPr>
            </w:pPr>
          </w:p>
        </w:tc>
        <w:tc>
          <w:tcPr>
            <w:tcW w:w="1568" w:type="dxa"/>
            <w:vMerge w:val="continue"/>
            <w:noWrap w:val="0"/>
            <w:vAlign w:val="center"/>
          </w:tcPr>
          <w:p w14:paraId="347721ED">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7C37AF77">
            <w:pPr>
              <w:spacing w:line="310" w:lineRule="exact"/>
              <w:ind w:firstLine="0"/>
              <w:jc w:val="center"/>
              <w:rPr>
                <w:sz w:val="21"/>
                <w:szCs w:val="21"/>
              </w:rPr>
            </w:pPr>
            <w:r>
              <w:rPr>
                <w:sz w:val="21"/>
                <w:szCs w:val="21"/>
              </w:rPr>
              <w:t>20:00</w:t>
            </w:r>
          </w:p>
        </w:tc>
        <w:tc>
          <w:tcPr>
            <w:tcW w:w="1656" w:type="dxa"/>
            <w:noWrap w:val="0"/>
            <w:vAlign w:val="center"/>
          </w:tcPr>
          <w:p w14:paraId="1452E6EC">
            <w:pPr>
              <w:spacing w:line="240" w:lineRule="auto"/>
              <w:ind w:firstLine="0"/>
              <w:jc w:val="center"/>
              <w:rPr>
                <w:rFonts w:ascii="Calibri" w:hAnsi="Calibri" w:cs="Calibri"/>
                <w:sz w:val="21"/>
                <w:szCs w:val="21"/>
              </w:rPr>
            </w:pPr>
            <w:r>
              <w:rPr>
                <w:rFonts w:hint="eastAsia"/>
                <w:sz w:val="21"/>
                <w:szCs w:val="21"/>
              </w:rPr>
              <w:t>0.02</w:t>
            </w:r>
          </w:p>
        </w:tc>
        <w:tc>
          <w:tcPr>
            <w:tcW w:w="1905" w:type="dxa"/>
            <w:noWrap w:val="0"/>
            <w:vAlign w:val="center"/>
          </w:tcPr>
          <w:p w14:paraId="7D0A1312">
            <w:pPr>
              <w:spacing w:line="240" w:lineRule="auto"/>
              <w:ind w:firstLine="0"/>
              <w:jc w:val="center"/>
              <w:rPr>
                <w:rFonts w:ascii="Calibri" w:hAnsi="Calibri" w:cs="Calibri"/>
                <w:sz w:val="21"/>
                <w:szCs w:val="21"/>
              </w:rPr>
            </w:pPr>
            <w:r>
              <w:rPr>
                <w:rFonts w:hint="eastAsia"/>
                <w:sz w:val="21"/>
                <w:szCs w:val="21"/>
              </w:rPr>
              <w:t>0.02</w:t>
            </w:r>
          </w:p>
        </w:tc>
        <w:tc>
          <w:tcPr>
            <w:tcW w:w="975" w:type="dxa"/>
            <w:noWrap w:val="0"/>
            <w:vAlign w:val="center"/>
          </w:tcPr>
          <w:p w14:paraId="434D1841">
            <w:pPr>
              <w:spacing w:line="240" w:lineRule="auto"/>
              <w:ind w:firstLine="0"/>
              <w:jc w:val="center"/>
              <w:rPr>
                <w:rFonts w:ascii="Calibri" w:hAnsi="Calibri" w:cs="Calibri"/>
                <w:sz w:val="21"/>
                <w:szCs w:val="21"/>
              </w:rPr>
            </w:pPr>
            <w:r>
              <w:rPr>
                <w:rFonts w:hint="eastAsia"/>
                <w:sz w:val="21"/>
                <w:szCs w:val="21"/>
                <w:lang w:val="en-US" w:eastAsia="zh-CN"/>
              </w:rPr>
              <w:t>0.2</w:t>
            </w:r>
          </w:p>
        </w:tc>
        <w:tc>
          <w:tcPr>
            <w:tcW w:w="827" w:type="dxa"/>
            <w:noWrap w:val="0"/>
            <w:vAlign w:val="center"/>
          </w:tcPr>
          <w:p w14:paraId="7D211AA1">
            <w:pPr>
              <w:spacing w:line="240" w:lineRule="auto"/>
              <w:ind w:firstLine="0"/>
              <w:jc w:val="center"/>
              <w:rPr>
                <w:sz w:val="21"/>
                <w:szCs w:val="21"/>
              </w:rPr>
            </w:pPr>
            <w:r>
              <w:rPr>
                <w:rFonts w:hint="eastAsia"/>
                <w:sz w:val="21"/>
                <w:szCs w:val="21"/>
                <w:lang w:val="en-US" w:eastAsia="zh-CN"/>
              </w:rPr>
              <w:t>达标</w:t>
            </w:r>
          </w:p>
        </w:tc>
      </w:tr>
    </w:tbl>
    <w:p w14:paraId="35C42860">
      <w:pPr>
        <w:ind w:firstLine="120"/>
        <w:jc w:val="center"/>
        <w:rPr>
          <w:b/>
          <w:bCs/>
          <w:sz w:val="24"/>
          <w:szCs w:val="24"/>
        </w:rPr>
      </w:pPr>
      <w:r>
        <w:rPr>
          <w:b/>
          <w:bCs/>
          <w:sz w:val="24"/>
          <w:szCs w:val="24"/>
        </w:rPr>
        <w:t xml:space="preserve">续表 </w:t>
      </w:r>
      <w:r>
        <w:rPr>
          <w:rFonts w:hint="eastAsia"/>
          <w:b/>
          <w:bCs/>
          <w:sz w:val="24"/>
          <w:szCs w:val="24"/>
          <w:lang w:val="en-US" w:eastAsia="zh-CN"/>
        </w:rPr>
        <w:t>5.4</w:t>
      </w:r>
      <w:r>
        <w:rPr>
          <w:b/>
          <w:bCs/>
          <w:sz w:val="24"/>
          <w:szCs w:val="24"/>
        </w:rPr>
        <w:t>-</w:t>
      </w:r>
      <w:r>
        <w:rPr>
          <w:rFonts w:hint="eastAsia"/>
          <w:b/>
          <w:bCs/>
          <w:sz w:val="24"/>
          <w:szCs w:val="24"/>
          <w:lang w:val="en-US" w:eastAsia="zh-CN"/>
        </w:rPr>
        <w:t>2</w:t>
      </w:r>
      <w:r>
        <w:rPr>
          <w:b/>
          <w:bCs/>
          <w:sz w:val="24"/>
          <w:szCs w:val="24"/>
        </w:rPr>
        <w:t xml:space="preserve">  环境空气小时值检测结果一览表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19"/>
        <w:gridCol w:w="1568"/>
        <w:gridCol w:w="1675"/>
        <w:gridCol w:w="1626"/>
        <w:gridCol w:w="1905"/>
        <w:gridCol w:w="945"/>
        <w:gridCol w:w="887"/>
      </w:tblGrid>
      <w:tr w14:paraId="19EF8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noWrap w:val="0"/>
            <w:tcMar>
              <w:top w:w="15" w:type="dxa"/>
              <w:left w:w="15" w:type="dxa"/>
              <w:bottom w:w="15" w:type="dxa"/>
              <w:right w:w="15" w:type="dxa"/>
            </w:tcMar>
            <w:vAlign w:val="center"/>
          </w:tcPr>
          <w:p w14:paraId="69EC016D">
            <w:pPr>
              <w:spacing w:line="240" w:lineRule="auto"/>
              <w:ind w:firstLine="0"/>
              <w:jc w:val="center"/>
              <w:rPr>
                <w:b/>
                <w:bCs/>
                <w:sz w:val="21"/>
                <w:szCs w:val="21"/>
              </w:rPr>
            </w:pPr>
            <w:r>
              <w:rPr>
                <w:b/>
                <w:bCs/>
                <w:sz w:val="21"/>
                <w:szCs w:val="21"/>
              </w:rPr>
              <w:t>分析</w:t>
            </w:r>
          </w:p>
          <w:p w14:paraId="0F90A4B1">
            <w:pPr>
              <w:spacing w:line="240" w:lineRule="auto"/>
              <w:ind w:firstLine="0"/>
              <w:jc w:val="center"/>
              <w:rPr>
                <w:b/>
                <w:bCs/>
                <w:sz w:val="21"/>
                <w:szCs w:val="21"/>
              </w:rPr>
            </w:pPr>
            <w:r>
              <w:rPr>
                <w:b/>
                <w:bCs/>
                <w:sz w:val="21"/>
                <w:szCs w:val="21"/>
              </w:rPr>
              <w:t>项目</w:t>
            </w:r>
          </w:p>
        </w:tc>
        <w:tc>
          <w:tcPr>
            <w:tcW w:w="1568" w:type="dxa"/>
            <w:noWrap w:val="0"/>
            <w:vAlign w:val="center"/>
          </w:tcPr>
          <w:p w14:paraId="073AB4B9">
            <w:pPr>
              <w:spacing w:line="240" w:lineRule="auto"/>
              <w:ind w:firstLine="0"/>
              <w:jc w:val="center"/>
              <w:rPr>
                <w:b/>
                <w:bCs/>
                <w:sz w:val="21"/>
                <w:szCs w:val="21"/>
              </w:rPr>
            </w:pPr>
            <w:r>
              <w:rPr>
                <w:b/>
                <w:bCs/>
                <w:sz w:val="21"/>
                <w:szCs w:val="21"/>
              </w:rPr>
              <w:t>日 期</w:t>
            </w:r>
          </w:p>
        </w:tc>
        <w:tc>
          <w:tcPr>
            <w:tcW w:w="1675" w:type="dxa"/>
            <w:noWrap w:val="0"/>
            <w:tcMar>
              <w:top w:w="15" w:type="dxa"/>
              <w:left w:w="15" w:type="dxa"/>
              <w:bottom w:w="15" w:type="dxa"/>
              <w:right w:w="15" w:type="dxa"/>
            </w:tcMar>
            <w:vAlign w:val="center"/>
          </w:tcPr>
          <w:p w14:paraId="284A9213">
            <w:pPr>
              <w:spacing w:line="240" w:lineRule="auto"/>
              <w:ind w:firstLine="0"/>
              <w:jc w:val="center"/>
              <w:rPr>
                <w:b/>
                <w:bCs/>
                <w:sz w:val="21"/>
                <w:szCs w:val="21"/>
              </w:rPr>
            </w:pPr>
            <w:r>
              <w:rPr>
                <w:b/>
                <w:bCs/>
                <w:sz w:val="21"/>
                <w:szCs w:val="21"/>
              </w:rPr>
              <w:t>时间</w:t>
            </w:r>
          </w:p>
        </w:tc>
        <w:tc>
          <w:tcPr>
            <w:tcW w:w="1626" w:type="dxa"/>
            <w:noWrap w:val="0"/>
            <w:vAlign w:val="center"/>
          </w:tcPr>
          <w:p w14:paraId="0D3BDD26">
            <w:pPr>
              <w:spacing w:line="240" w:lineRule="auto"/>
              <w:ind w:firstLine="0"/>
              <w:contextualSpacing/>
              <w:jc w:val="center"/>
              <w:rPr>
                <w:b/>
                <w:bCs/>
                <w:sz w:val="21"/>
                <w:szCs w:val="21"/>
              </w:rPr>
            </w:pPr>
            <w:r>
              <w:rPr>
                <w:b/>
                <w:bCs/>
                <w:sz w:val="21"/>
                <w:szCs w:val="21"/>
              </w:rPr>
              <w:t>项目区</w:t>
            </w:r>
          </w:p>
          <w:p w14:paraId="3E4085B5">
            <w:pPr>
              <w:spacing w:line="240" w:lineRule="auto"/>
              <w:ind w:firstLine="0"/>
              <w:contextualSpacing/>
              <w:jc w:val="center"/>
              <w:rPr>
                <w:b/>
                <w:bCs/>
                <w:sz w:val="21"/>
                <w:szCs w:val="21"/>
              </w:rPr>
            </w:pPr>
            <w:r>
              <w:rPr>
                <w:b/>
                <w:bCs/>
                <w:sz w:val="21"/>
                <w:szCs w:val="21"/>
              </w:rPr>
              <w:t>（HQ01）</w:t>
            </w:r>
          </w:p>
        </w:tc>
        <w:tc>
          <w:tcPr>
            <w:tcW w:w="1905" w:type="dxa"/>
            <w:noWrap w:val="0"/>
            <w:vAlign w:val="center"/>
          </w:tcPr>
          <w:p w14:paraId="61F9FAFC">
            <w:pPr>
              <w:spacing w:line="240" w:lineRule="auto"/>
              <w:ind w:firstLine="0"/>
              <w:jc w:val="center"/>
              <w:rPr>
                <w:b/>
                <w:bCs/>
                <w:sz w:val="21"/>
                <w:szCs w:val="21"/>
              </w:rPr>
            </w:pPr>
            <w:r>
              <w:rPr>
                <w:b/>
                <w:bCs/>
                <w:sz w:val="21"/>
                <w:szCs w:val="21"/>
              </w:rPr>
              <w:t>中东灰窑村（HQ02）</w:t>
            </w:r>
          </w:p>
        </w:tc>
        <w:tc>
          <w:tcPr>
            <w:tcW w:w="945" w:type="dxa"/>
            <w:noWrap w:val="0"/>
            <w:vAlign w:val="center"/>
          </w:tcPr>
          <w:p w14:paraId="4F8E65E1">
            <w:pPr>
              <w:spacing w:line="240" w:lineRule="auto"/>
              <w:ind w:firstLine="0"/>
              <w:jc w:val="center"/>
              <w:rPr>
                <w:b/>
                <w:bCs/>
                <w:sz w:val="21"/>
                <w:szCs w:val="21"/>
              </w:rPr>
            </w:pPr>
            <w:r>
              <w:rPr>
                <w:rFonts w:hint="eastAsia"/>
                <w:b/>
                <w:bCs/>
                <w:sz w:val="21"/>
                <w:szCs w:val="21"/>
              </w:rPr>
              <w:t>标准值</w:t>
            </w:r>
          </w:p>
        </w:tc>
        <w:tc>
          <w:tcPr>
            <w:tcW w:w="887" w:type="dxa"/>
            <w:noWrap w:val="0"/>
            <w:vAlign w:val="center"/>
          </w:tcPr>
          <w:p w14:paraId="161471FE">
            <w:pPr>
              <w:spacing w:line="240" w:lineRule="auto"/>
              <w:ind w:firstLine="0"/>
              <w:jc w:val="center"/>
              <w:rPr>
                <w:b/>
                <w:bCs/>
                <w:sz w:val="21"/>
                <w:szCs w:val="21"/>
              </w:rPr>
            </w:pPr>
            <w:r>
              <w:rPr>
                <w:rFonts w:hint="eastAsia"/>
                <w:b/>
                <w:bCs/>
                <w:sz w:val="21"/>
                <w:szCs w:val="21"/>
              </w:rPr>
              <w:t>达标情况</w:t>
            </w:r>
          </w:p>
        </w:tc>
      </w:tr>
      <w:tr w14:paraId="236C6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restart"/>
            <w:noWrap w:val="0"/>
            <w:tcMar>
              <w:top w:w="15" w:type="dxa"/>
              <w:left w:w="15" w:type="dxa"/>
              <w:bottom w:w="15" w:type="dxa"/>
              <w:right w:w="15" w:type="dxa"/>
            </w:tcMar>
            <w:vAlign w:val="center"/>
          </w:tcPr>
          <w:p w14:paraId="23582256">
            <w:pPr>
              <w:spacing w:line="240" w:lineRule="auto"/>
              <w:ind w:firstLine="0"/>
              <w:jc w:val="center"/>
              <w:rPr>
                <w:sz w:val="21"/>
                <w:szCs w:val="21"/>
              </w:rPr>
            </w:pPr>
            <w:r>
              <w:rPr>
                <w:rFonts w:hint="eastAsia"/>
                <w:sz w:val="21"/>
                <w:szCs w:val="21"/>
              </w:rPr>
              <w:t>甲醛</w:t>
            </w:r>
          </w:p>
        </w:tc>
        <w:tc>
          <w:tcPr>
            <w:tcW w:w="1568" w:type="dxa"/>
            <w:vMerge w:val="restart"/>
            <w:noWrap w:val="0"/>
            <w:vAlign w:val="center"/>
          </w:tcPr>
          <w:p w14:paraId="58E0F0FF">
            <w:pPr>
              <w:spacing w:line="240" w:lineRule="auto"/>
              <w:ind w:firstLine="0"/>
              <w:jc w:val="center"/>
              <w:rPr>
                <w:sz w:val="21"/>
                <w:szCs w:val="21"/>
              </w:rPr>
            </w:pPr>
            <w:r>
              <w:rPr>
                <w:rFonts w:hint="eastAsia"/>
                <w:sz w:val="21"/>
                <w:szCs w:val="21"/>
              </w:rPr>
              <w:t>2019.08.21</w:t>
            </w:r>
          </w:p>
        </w:tc>
        <w:tc>
          <w:tcPr>
            <w:tcW w:w="1675" w:type="dxa"/>
            <w:noWrap w:val="0"/>
            <w:tcMar>
              <w:top w:w="15" w:type="dxa"/>
              <w:left w:w="15" w:type="dxa"/>
              <w:bottom w:w="15" w:type="dxa"/>
              <w:right w:w="15" w:type="dxa"/>
            </w:tcMar>
            <w:vAlign w:val="center"/>
          </w:tcPr>
          <w:p w14:paraId="5624FA39">
            <w:pPr>
              <w:spacing w:line="310" w:lineRule="exact"/>
              <w:ind w:firstLine="0"/>
              <w:jc w:val="center"/>
              <w:rPr>
                <w:sz w:val="21"/>
                <w:szCs w:val="21"/>
              </w:rPr>
            </w:pPr>
            <w:r>
              <w:rPr>
                <w:sz w:val="21"/>
                <w:szCs w:val="21"/>
              </w:rPr>
              <w:t>02:00</w:t>
            </w:r>
          </w:p>
        </w:tc>
        <w:tc>
          <w:tcPr>
            <w:tcW w:w="1626" w:type="dxa"/>
            <w:noWrap w:val="0"/>
            <w:vAlign w:val="center"/>
          </w:tcPr>
          <w:p w14:paraId="5C01F8EF">
            <w:pPr>
              <w:spacing w:line="240" w:lineRule="auto"/>
              <w:ind w:firstLine="0"/>
              <w:jc w:val="center"/>
              <w:rPr>
                <w:rFonts w:ascii="Calibri" w:hAnsi="Calibri" w:cs="Calibri"/>
                <w:sz w:val="21"/>
                <w:szCs w:val="21"/>
              </w:rPr>
            </w:pPr>
            <w:r>
              <w:rPr>
                <w:rFonts w:hint="eastAsia"/>
                <w:sz w:val="21"/>
                <w:szCs w:val="21"/>
              </w:rPr>
              <w:t>0.033</w:t>
            </w:r>
          </w:p>
        </w:tc>
        <w:tc>
          <w:tcPr>
            <w:tcW w:w="1905" w:type="dxa"/>
            <w:noWrap w:val="0"/>
            <w:vAlign w:val="center"/>
          </w:tcPr>
          <w:p w14:paraId="535FC668">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047F80F4">
            <w:pPr>
              <w:spacing w:line="240" w:lineRule="auto"/>
              <w:ind w:firstLine="0"/>
              <w:jc w:val="center"/>
              <w:rPr>
                <w:rFonts w:eastAsia="宋体"/>
                <w:sz w:val="21"/>
                <w:szCs w:val="21"/>
                <w:lang w:val="en-US" w:eastAsia="zh-CN"/>
              </w:rPr>
            </w:pPr>
            <w:r>
              <w:rPr>
                <w:rFonts w:hint="eastAsia"/>
                <w:sz w:val="21"/>
                <w:szCs w:val="21"/>
                <w:lang w:val="en-US" w:eastAsia="zh-CN"/>
              </w:rPr>
              <w:t>0.05</w:t>
            </w:r>
          </w:p>
        </w:tc>
        <w:tc>
          <w:tcPr>
            <w:tcW w:w="887" w:type="dxa"/>
            <w:noWrap w:val="0"/>
            <w:vAlign w:val="center"/>
          </w:tcPr>
          <w:p w14:paraId="63775A03">
            <w:pPr>
              <w:spacing w:line="240" w:lineRule="auto"/>
              <w:ind w:firstLine="0"/>
              <w:jc w:val="center"/>
              <w:rPr>
                <w:sz w:val="21"/>
                <w:szCs w:val="21"/>
              </w:rPr>
            </w:pPr>
            <w:r>
              <w:rPr>
                <w:rFonts w:hint="eastAsia"/>
                <w:sz w:val="21"/>
                <w:szCs w:val="21"/>
                <w:lang w:val="en-US" w:eastAsia="zh-CN"/>
              </w:rPr>
              <w:t>达标</w:t>
            </w:r>
          </w:p>
        </w:tc>
      </w:tr>
      <w:tr w14:paraId="2BE66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FAFD13A">
            <w:pPr>
              <w:spacing w:line="240" w:lineRule="auto"/>
              <w:ind w:firstLine="0"/>
              <w:jc w:val="center"/>
              <w:rPr>
                <w:sz w:val="21"/>
                <w:szCs w:val="21"/>
              </w:rPr>
            </w:pPr>
          </w:p>
        </w:tc>
        <w:tc>
          <w:tcPr>
            <w:tcW w:w="1568" w:type="dxa"/>
            <w:vMerge w:val="continue"/>
            <w:noWrap w:val="0"/>
            <w:vAlign w:val="center"/>
          </w:tcPr>
          <w:p w14:paraId="538E5638">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587EA2EF">
            <w:pPr>
              <w:spacing w:line="310" w:lineRule="exact"/>
              <w:ind w:firstLine="0"/>
              <w:jc w:val="center"/>
              <w:rPr>
                <w:sz w:val="21"/>
                <w:szCs w:val="21"/>
              </w:rPr>
            </w:pPr>
            <w:r>
              <w:rPr>
                <w:sz w:val="21"/>
                <w:szCs w:val="21"/>
              </w:rPr>
              <w:t>08:00</w:t>
            </w:r>
          </w:p>
        </w:tc>
        <w:tc>
          <w:tcPr>
            <w:tcW w:w="1626" w:type="dxa"/>
            <w:noWrap w:val="0"/>
            <w:vAlign w:val="center"/>
          </w:tcPr>
          <w:p w14:paraId="649388D1">
            <w:pPr>
              <w:spacing w:line="240" w:lineRule="auto"/>
              <w:ind w:firstLine="0"/>
              <w:jc w:val="center"/>
              <w:rPr>
                <w:rFonts w:ascii="Calibri" w:hAnsi="Calibri" w:cs="Calibri"/>
                <w:sz w:val="21"/>
                <w:szCs w:val="21"/>
              </w:rPr>
            </w:pPr>
            <w:r>
              <w:rPr>
                <w:rFonts w:hint="eastAsia"/>
                <w:sz w:val="21"/>
                <w:szCs w:val="21"/>
              </w:rPr>
              <w:t>0.037</w:t>
            </w:r>
          </w:p>
        </w:tc>
        <w:tc>
          <w:tcPr>
            <w:tcW w:w="1905" w:type="dxa"/>
            <w:noWrap w:val="0"/>
            <w:vAlign w:val="center"/>
          </w:tcPr>
          <w:p w14:paraId="20DB718F">
            <w:pPr>
              <w:spacing w:line="240" w:lineRule="auto"/>
              <w:ind w:firstLine="0"/>
              <w:jc w:val="center"/>
              <w:rPr>
                <w:rFonts w:ascii="Calibri" w:hAnsi="Calibri" w:cs="Calibri"/>
                <w:sz w:val="21"/>
                <w:szCs w:val="21"/>
              </w:rPr>
            </w:pPr>
            <w:r>
              <w:rPr>
                <w:rFonts w:hint="eastAsia"/>
                <w:sz w:val="21"/>
                <w:szCs w:val="21"/>
              </w:rPr>
              <w:t>0.033</w:t>
            </w:r>
          </w:p>
        </w:tc>
        <w:tc>
          <w:tcPr>
            <w:tcW w:w="945" w:type="dxa"/>
            <w:noWrap w:val="0"/>
            <w:vAlign w:val="center"/>
          </w:tcPr>
          <w:p w14:paraId="472A24C9">
            <w:pPr>
              <w:spacing w:line="240" w:lineRule="auto"/>
              <w:ind w:firstLine="0"/>
              <w:jc w:val="center"/>
              <w:rPr>
                <w:rFonts w:hint="eastAsia" w:eastAsia="宋体"/>
                <w:sz w:val="21"/>
                <w:szCs w:val="21"/>
                <w:lang w:val="en-US" w:eastAsia="zh-CN"/>
              </w:rPr>
            </w:pPr>
            <w:r>
              <w:rPr>
                <w:rFonts w:hint="eastAsia"/>
                <w:sz w:val="21"/>
                <w:szCs w:val="21"/>
                <w:lang w:val="en-US" w:eastAsia="zh-CN"/>
              </w:rPr>
              <w:t>0.05</w:t>
            </w:r>
          </w:p>
        </w:tc>
        <w:tc>
          <w:tcPr>
            <w:tcW w:w="887" w:type="dxa"/>
            <w:noWrap w:val="0"/>
            <w:vAlign w:val="center"/>
          </w:tcPr>
          <w:p w14:paraId="3551BA6D">
            <w:pPr>
              <w:spacing w:line="240" w:lineRule="auto"/>
              <w:ind w:firstLine="0"/>
              <w:jc w:val="center"/>
              <w:rPr>
                <w:sz w:val="21"/>
                <w:szCs w:val="21"/>
              </w:rPr>
            </w:pPr>
            <w:r>
              <w:rPr>
                <w:rFonts w:hint="eastAsia"/>
                <w:sz w:val="21"/>
                <w:szCs w:val="21"/>
                <w:lang w:val="en-US" w:eastAsia="zh-CN"/>
              </w:rPr>
              <w:t>达标</w:t>
            </w:r>
          </w:p>
        </w:tc>
      </w:tr>
      <w:tr w14:paraId="4AC1C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E4C3D2C">
            <w:pPr>
              <w:spacing w:line="240" w:lineRule="auto"/>
              <w:ind w:firstLine="0"/>
              <w:jc w:val="center"/>
              <w:rPr>
                <w:sz w:val="21"/>
                <w:szCs w:val="21"/>
              </w:rPr>
            </w:pPr>
          </w:p>
        </w:tc>
        <w:tc>
          <w:tcPr>
            <w:tcW w:w="1568" w:type="dxa"/>
            <w:vMerge w:val="continue"/>
            <w:noWrap w:val="0"/>
            <w:vAlign w:val="center"/>
          </w:tcPr>
          <w:p w14:paraId="78A0F0C1">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6F893BD">
            <w:pPr>
              <w:spacing w:line="310" w:lineRule="exact"/>
              <w:ind w:firstLine="0"/>
              <w:jc w:val="center"/>
              <w:rPr>
                <w:sz w:val="21"/>
                <w:szCs w:val="21"/>
              </w:rPr>
            </w:pPr>
            <w:r>
              <w:rPr>
                <w:sz w:val="21"/>
                <w:szCs w:val="21"/>
              </w:rPr>
              <w:t>14:00</w:t>
            </w:r>
          </w:p>
        </w:tc>
        <w:tc>
          <w:tcPr>
            <w:tcW w:w="1626" w:type="dxa"/>
            <w:noWrap w:val="0"/>
            <w:vAlign w:val="center"/>
          </w:tcPr>
          <w:p w14:paraId="016AF20A">
            <w:pPr>
              <w:spacing w:line="240" w:lineRule="auto"/>
              <w:ind w:firstLine="0"/>
              <w:jc w:val="center"/>
              <w:rPr>
                <w:rFonts w:ascii="Calibri" w:hAnsi="Calibri" w:cs="Calibri"/>
                <w:sz w:val="21"/>
                <w:szCs w:val="21"/>
              </w:rPr>
            </w:pPr>
            <w:r>
              <w:rPr>
                <w:rFonts w:hint="eastAsia"/>
                <w:sz w:val="21"/>
                <w:szCs w:val="21"/>
              </w:rPr>
              <w:t>0.033</w:t>
            </w:r>
          </w:p>
        </w:tc>
        <w:tc>
          <w:tcPr>
            <w:tcW w:w="1905" w:type="dxa"/>
            <w:noWrap w:val="0"/>
            <w:vAlign w:val="center"/>
          </w:tcPr>
          <w:p w14:paraId="5111FA0B">
            <w:pPr>
              <w:spacing w:line="240" w:lineRule="auto"/>
              <w:ind w:firstLine="0"/>
              <w:jc w:val="center"/>
              <w:rPr>
                <w:rFonts w:ascii="Calibri" w:hAnsi="Calibri" w:cs="Calibri"/>
                <w:sz w:val="21"/>
                <w:szCs w:val="21"/>
              </w:rPr>
            </w:pPr>
            <w:r>
              <w:rPr>
                <w:rFonts w:hint="eastAsia"/>
                <w:sz w:val="21"/>
                <w:szCs w:val="21"/>
              </w:rPr>
              <w:t>0.033</w:t>
            </w:r>
          </w:p>
        </w:tc>
        <w:tc>
          <w:tcPr>
            <w:tcW w:w="945" w:type="dxa"/>
            <w:noWrap w:val="0"/>
            <w:vAlign w:val="center"/>
          </w:tcPr>
          <w:p w14:paraId="4AFDBB47">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32BAEC56">
            <w:pPr>
              <w:spacing w:line="240" w:lineRule="auto"/>
              <w:ind w:firstLine="0"/>
              <w:jc w:val="center"/>
              <w:rPr>
                <w:sz w:val="21"/>
                <w:szCs w:val="21"/>
              </w:rPr>
            </w:pPr>
            <w:r>
              <w:rPr>
                <w:rFonts w:hint="eastAsia"/>
                <w:sz w:val="21"/>
                <w:szCs w:val="21"/>
                <w:lang w:val="en-US" w:eastAsia="zh-CN"/>
              </w:rPr>
              <w:t>达标</w:t>
            </w:r>
          </w:p>
        </w:tc>
      </w:tr>
      <w:tr w14:paraId="744DB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F1DC7A0">
            <w:pPr>
              <w:spacing w:line="240" w:lineRule="auto"/>
              <w:ind w:firstLine="0"/>
              <w:jc w:val="center"/>
              <w:rPr>
                <w:sz w:val="21"/>
                <w:szCs w:val="21"/>
              </w:rPr>
            </w:pPr>
          </w:p>
        </w:tc>
        <w:tc>
          <w:tcPr>
            <w:tcW w:w="1568" w:type="dxa"/>
            <w:vMerge w:val="continue"/>
            <w:noWrap w:val="0"/>
            <w:vAlign w:val="center"/>
          </w:tcPr>
          <w:p w14:paraId="2D32AAB6">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E48A74E">
            <w:pPr>
              <w:spacing w:line="310" w:lineRule="exact"/>
              <w:ind w:firstLine="0"/>
              <w:jc w:val="center"/>
              <w:rPr>
                <w:sz w:val="21"/>
                <w:szCs w:val="21"/>
              </w:rPr>
            </w:pPr>
            <w:r>
              <w:rPr>
                <w:sz w:val="21"/>
                <w:szCs w:val="21"/>
              </w:rPr>
              <w:t>20:00</w:t>
            </w:r>
          </w:p>
        </w:tc>
        <w:tc>
          <w:tcPr>
            <w:tcW w:w="1626" w:type="dxa"/>
            <w:noWrap w:val="0"/>
            <w:vAlign w:val="center"/>
          </w:tcPr>
          <w:p w14:paraId="28A95123">
            <w:pPr>
              <w:spacing w:line="240" w:lineRule="auto"/>
              <w:ind w:firstLine="0"/>
              <w:jc w:val="center"/>
              <w:rPr>
                <w:rFonts w:ascii="Calibri" w:hAnsi="Calibri" w:cs="Calibri"/>
                <w:sz w:val="21"/>
                <w:szCs w:val="21"/>
              </w:rPr>
            </w:pPr>
            <w:r>
              <w:rPr>
                <w:rFonts w:hint="eastAsia"/>
                <w:sz w:val="21"/>
                <w:szCs w:val="21"/>
              </w:rPr>
              <w:t>0.032</w:t>
            </w:r>
          </w:p>
        </w:tc>
        <w:tc>
          <w:tcPr>
            <w:tcW w:w="1905" w:type="dxa"/>
            <w:noWrap w:val="0"/>
            <w:vAlign w:val="center"/>
          </w:tcPr>
          <w:p w14:paraId="3522CEBF">
            <w:pPr>
              <w:spacing w:line="240" w:lineRule="auto"/>
              <w:ind w:firstLine="0"/>
              <w:jc w:val="center"/>
              <w:rPr>
                <w:rFonts w:ascii="Calibri" w:hAnsi="Calibri" w:cs="Calibri"/>
                <w:sz w:val="21"/>
                <w:szCs w:val="21"/>
              </w:rPr>
            </w:pPr>
            <w:r>
              <w:rPr>
                <w:rFonts w:hint="eastAsia"/>
                <w:sz w:val="21"/>
                <w:szCs w:val="21"/>
              </w:rPr>
              <w:t>0.036</w:t>
            </w:r>
          </w:p>
        </w:tc>
        <w:tc>
          <w:tcPr>
            <w:tcW w:w="945" w:type="dxa"/>
            <w:noWrap w:val="0"/>
            <w:vAlign w:val="center"/>
          </w:tcPr>
          <w:p w14:paraId="2B719B27">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764783DA">
            <w:pPr>
              <w:spacing w:line="240" w:lineRule="auto"/>
              <w:ind w:firstLine="0"/>
              <w:jc w:val="center"/>
              <w:rPr>
                <w:sz w:val="21"/>
                <w:szCs w:val="21"/>
              </w:rPr>
            </w:pPr>
            <w:r>
              <w:rPr>
                <w:rFonts w:hint="eastAsia"/>
                <w:sz w:val="21"/>
                <w:szCs w:val="21"/>
                <w:lang w:val="en-US" w:eastAsia="zh-CN"/>
              </w:rPr>
              <w:t>达标</w:t>
            </w:r>
          </w:p>
        </w:tc>
      </w:tr>
      <w:tr w14:paraId="315A1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B687446">
            <w:pPr>
              <w:spacing w:line="240" w:lineRule="auto"/>
              <w:ind w:firstLine="0"/>
              <w:jc w:val="center"/>
              <w:rPr>
                <w:sz w:val="21"/>
                <w:szCs w:val="21"/>
              </w:rPr>
            </w:pPr>
          </w:p>
        </w:tc>
        <w:tc>
          <w:tcPr>
            <w:tcW w:w="1568" w:type="dxa"/>
            <w:vMerge w:val="restart"/>
            <w:noWrap w:val="0"/>
            <w:vAlign w:val="center"/>
          </w:tcPr>
          <w:p w14:paraId="377EE5EF">
            <w:pPr>
              <w:spacing w:line="240" w:lineRule="auto"/>
              <w:ind w:firstLine="0"/>
              <w:jc w:val="center"/>
              <w:rPr>
                <w:sz w:val="21"/>
                <w:szCs w:val="21"/>
              </w:rPr>
            </w:pPr>
            <w:r>
              <w:rPr>
                <w:rFonts w:hint="eastAsia"/>
                <w:sz w:val="21"/>
                <w:szCs w:val="21"/>
              </w:rPr>
              <w:t>2019.08.22</w:t>
            </w:r>
          </w:p>
        </w:tc>
        <w:tc>
          <w:tcPr>
            <w:tcW w:w="1675" w:type="dxa"/>
            <w:noWrap w:val="0"/>
            <w:tcMar>
              <w:top w:w="15" w:type="dxa"/>
              <w:left w:w="15" w:type="dxa"/>
              <w:bottom w:w="15" w:type="dxa"/>
              <w:right w:w="15" w:type="dxa"/>
            </w:tcMar>
            <w:vAlign w:val="center"/>
          </w:tcPr>
          <w:p w14:paraId="6D659E86">
            <w:pPr>
              <w:spacing w:line="310" w:lineRule="exact"/>
              <w:ind w:firstLine="0"/>
              <w:jc w:val="center"/>
              <w:rPr>
                <w:sz w:val="21"/>
                <w:szCs w:val="21"/>
              </w:rPr>
            </w:pPr>
            <w:r>
              <w:rPr>
                <w:sz w:val="21"/>
                <w:szCs w:val="21"/>
              </w:rPr>
              <w:t>02:00</w:t>
            </w:r>
          </w:p>
        </w:tc>
        <w:tc>
          <w:tcPr>
            <w:tcW w:w="1626" w:type="dxa"/>
            <w:noWrap w:val="0"/>
            <w:vAlign w:val="center"/>
          </w:tcPr>
          <w:p w14:paraId="154FF20A">
            <w:pPr>
              <w:spacing w:line="240" w:lineRule="auto"/>
              <w:ind w:firstLine="0"/>
              <w:jc w:val="center"/>
              <w:rPr>
                <w:rFonts w:ascii="Calibri" w:hAnsi="Calibri" w:cs="Calibri"/>
                <w:sz w:val="21"/>
                <w:szCs w:val="21"/>
              </w:rPr>
            </w:pPr>
            <w:r>
              <w:rPr>
                <w:rFonts w:hint="eastAsia"/>
                <w:sz w:val="21"/>
                <w:szCs w:val="21"/>
              </w:rPr>
              <w:t>0.033</w:t>
            </w:r>
          </w:p>
        </w:tc>
        <w:tc>
          <w:tcPr>
            <w:tcW w:w="1905" w:type="dxa"/>
            <w:noWrap w:val="0"/>
            <w:vAlign w:val="center"/>
          </w:tcPr>
          <w:p w14:paraId="339A0891">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1CADAE51">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3969CB68">
            <w:pPr>
              <w:spacing w:line="240" w:lineRule="auto"/>
              <w:ind w:firstLine="0"/>
              <w:jc w:val="center"/>
              <w:rPr>
                <w:sz w:val="21"/>
                <w:szCs w:val="21"/>
              </w:rPr>
            </w:pPr>
            <w:r>
              <w:rPr>
                <w:rFonts w:hint="eastAsia"/>
                <w:sz w:val="21"/>
                <w:szCs w:val="21"/>
                <w:lang w:val="en-US" w:eastAsia="zh-CN"/>
              </w:rPr>
              <w:t>达标</w:t>
            </w:r>
          </w:p>
        </w:tc>
      </w:tr>
      <w:tr w14:paraId="70261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50B8D22">
            <w:pPr>
              <w:spacing w:line="240" w:lineRule="auto"/>
              <w:ind w:firstLine="0"/>
              <w:jc w:val="center"/>
              <w:rPr>
                <w:sz w:val="21"/>
                <w:szCs w:val="21"/>
              </w:rPr>
            </w:pPr>
          </w:p>
        </w:tc>
        <w:tc>
          <w:tcPr>
            <w:tcW w:w="1568" w:type="dxa"/>
            <w:vMerge w:val="continue"/>
            <w:noWrap w:val="0"/>
            <w:vAlign w:val="center"/>
          </w:tcPr>
          <w:p w14:paraId="53B70878">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720A8DF7">
            <w:pPr>
              <w:spacing w:line="310" w:lineRule="exact"/>
              <w:ind w:firstLine="0"/>
              <w:jc w:val="center"/>
              <w:rPr>
                <w:sz w:val="21"/>
                <w:szCs w:val="21"/>
              </w:rPr>
            </w:pPr>
            <w:r>
              <w:rPr>
                <w:sz w:val="21"/>
                <w:szCs w:val="21"/>
              </w:rPr>
              <w:t>08:00</w:t>
            </w:r>
          </w:p>
        </w:tc>
        <w:tc>
          <w:tcPr>
            <w:tcW w:w="1626" w:type="dxa"/>
            <w:noWrap w:val="0"/>
            <w:vAlign w:val="center"/>
          </w:tcPr>
          <w:p w14:paraId="7D70300D">
            <w:pPr>
              <w:spacing w:line="240" w:lineRule="auto"/>
              <w:ind w:firstLine="0"/>
              <w:jc w:val="center"/>
              <w:rPr>
                <w:rFonts w:ascii="Calibri" w:hAnsi="Calibri" w:cs="Calibri"/>
                <w:sz w:val="21"/>
                <w:szCs w:val="21"/>
              </w:rPr>
            </w:pPr>
            <w:r>
              <w:rPr>
                <w:rFonts w:hint="eastAsia"/>
                <w:sz w:val="21"/>
                <w:szCs w:val="21"/>
              </w:rPr>
              <w:t>0.036</w:t>
            </w:r>
          </w:p>
        </w:tc>
        <w:tc>
          <w:tcPr>
            <w:tcW w:w="1905" w:type="dxa"/>
            <w:noWrap w:val="0"/>
            <w:vAlign w:val="center"/>
          </w:tcPr>
          <w:p w14:paraId="74CBE789">
            <w:pPr>
              <w:spacing w:line="240" w:lineRule="auto"/>
              <w:ind w:firstLine="0"/>
              <w:jc w:val="center"/>
              <w:rPr>
                <w:rFonts w:ascii="Calibri" w:hAnsi="Calibri" w:cs="Calibri"/>
                <w:sz w:val="21"/>
                <w:szCs w:val="21"/>
              </w:rPr>
            </w:pPr>
            <w:r>
              <w:rPr>
                <w:rFonts w:hint="eastAsia"/>
                <w:sz w:val="21"/>
                <w:szCs w:val="21"/>
              </w:rPr>
              <w:t>0.033</w:t>
            </w:r>
          </w:p>
        </w:tc>
        <w:tc>
          <w:tcPr>
            <w:tcW w:w="945" w:type="dxa"/>
            <w:noWrap w:val="0"/>
            <w:vAlign w:val="center"/>
          </w:tcPr>
          <w:p w14:paraId="5FFE6FC7">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5A6058A2">
            <w:pPr>
              <w:spacing w:line="240" w:lineRule="auto"/>
              <w:ind w:firstLine="0"/>
              <w:jc w:val="center"/>
              <w:rPr>
                <w:sz w:val="21"/>
                <w:szCs w:val="21"/>
              </w:rPr>
            </w:pPr>
            <w:r>
              <w:rPr>
                <w:rFonts w:hint="eastAsia"/>
                <w:sz w:val="21"/>
                <w:szCs w:val="21"/>
                <w:lang w:val="en-US" w:eastAsia="zh-CN"/>
              </w:rPr>
              <w:t>达标</w:t>
            </w:r>
          </w:p>
        </w:tc>
      </w:tr>
      <w:tr w14:paraId="36123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D942539">
            <w:pPr>
              <w:spacing w:line="240" w:lineRule="auto"/>
              <w:ind w:firstLine="0"/>
              <w:jc w:val="center"/>
              <w:rPr>
                <w:sz w:val="21"/>
                <w:szCs w:val="21"/>
              </w:rPr>
            </w:pPr>
          </w:p>
        </w:tc>
        <w:tc>
          <w:tcPr>
            <w:tcW w:w="1568" w:type="dxa"/>
            <w:vMerge w:val="continue"/>
            <w:noWrap w:val="0"/>
            <w:vAlign w:val="center"/>
          </w:tcPr>
          <w:p w14:paraId="39869ABA">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4451CC4">
            <w:pPr>
              <w:spacing w:line="310" w:lineRule="exact"/>
              <w:ind w:firstLine="0"/>
              <w:jc w:val="center"/>
              <w:rPr>
                <w:sz w:val="21"/>
                <w:szCs w:val="21"/>
              </w:rPr>
            </w:pPr>
            <w:r>
              <w:rPr>
                <w:sz w:val="21"/>
                <w:szCs w:val="21"/>
              </w:rPr>
              <w:t>14:00</w:t>
            </w:r>
          </w:p>
        </w:tc>
        <w:tc>
          <w:tcPr>
            <w:tcW w:w="1626" w:type="dxa"/>
            <w:noWrap w:val="0"/>
            <w:vAlign w:val="center"/>
          </w:tcPr>
          <w:p w14:paraId="14AFC5B2">
            <w:pPr>
              <w:spacing w:line="240" w:lineRule="auto"/>
              <w:ind w:firstLine="0"/>
              <w:jc w:val="center"/>
              <w:rPr>
                <w:rFonts w:ascii="Calibri" w:hAnsi="Calibri" w:cs="Calibri"/>
                <w:sz w:val="21"/>
                <w:szCs w:val="21"/>
              </w:rPr>
            </w:pPr>
            <w:r>
              <w:rPr>
                <w:rFonts w:hint="eastAsia"/>
                <w:sz w:val="21"/>
                <w:szCs w:val="21"/>
              </w:rPr>
              <w:t>0.034</w:t>
            </w:r>
          </w:p>
        </w:tc>
        <w:tc>
          <w:tcPr>
            <w:tcW w:w="1905" w:type="dxa"/>
            <w:noWrap w:val="0"/>
            <w:vAlign w:val="center"/>
          </w:tcPr>
          <w:p w14:paraId="5442485E">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788778F8">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76A33187">
            <w:pPr>
              <w:spacing w:line="240" w:lineRule="auto"/>
              <w:ind w:firstLine="0"/>
              <w:jc w:val="center"/>
              <w:rPr>
                <w:sz w:val="21"/>
                <w:szCs w:val="21"/>
              </w:rPr>
            </w:pPr>
            <w:r>
              <w:rPr>
                <w:rFonts w:hint="eastAsia"/>
                <w:sz w:val="21"/>
                <w:szCs w:val="21"/>
                <w:lang w:val="en-US" w:eastAsia="zh-CN"/>
              </w:rPr>
              <w:t>达标</w:t>
            </w:r>
          </w:p>
        </w:tc>
      </w:tr>
      <w:tr w14:paraId="2652F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EA6E9D6">
            <w:pPr>
              <w:spacing w:line="240" w:lineRule="auto"/>
              <w:ind w:firstLine="0"/>
              <w:jc w:val="center"/>
              <w:rPr>
                <w:sz w:val="21"/>
                <w:szCs w:val="21"/>
              </w:rPr>
            </w:pPr>
          </w:p>
        </w:tc>
        <w:tc>
          <w:tcPr>
            <w:tcW w:w="1568" w:type="dxa"/>
            <w:vMerge w:val="continue"/>
            <w:noWrap w:val="0"/>
            <w:vAlign w:val="center"/>
          </w:tcPr>
          <w:p w14:paraId="3A3A25BD">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56C023EB">
            <w:pPr>
              <w:spacing w:line="310" w:lineRule="exact"/>
              <w:ind w:firstLine="0"/>
              <w:jc w:val="center"/>
              <w:rPr>
                <w:sz w:val="21"/>
                <w:szCs w:val="21"/>
              </w:rPr>
            </w:pPr>
            <w:r>
              <w:rPr>
                <w:sz w:val="21"/>
                <w:szCs w:val="21"/>
              </w:rPr>
              <w:t>20:00</w:t>
            </w:r>
          </w:p>
        </w:tc>
        <w:tc>
          <w:tcPr>
            <w:tcW w:w="1626" w:type="dxa"/>
            <w:noWrap w:val="0"/>
            <w:vAlign w:val="center"/>
          </w:tcPr>
          <w:p w14:paraId="567EABA7">
            <w:pPr>
              <w:spacing w:line="240" w:lineRule="auto"/>
              <w:ind w:firstLine="0"/>
              <w:jc w:val="center"/>
              <w:rPr>
                <w:rFonts w:ascii="Calibri" w:hAnsi="Calibri" w:cs="Calibri"/>
                <w:sz w:val="21"/>
                <w:szCs w:val="21"/>
              </w:rPr>
            </w:pPr>
            <w:r>
              <w:rPr>
                <w:rFonts w:hint="eastAsia"/>
                <w:sz w:val="21"/>
                <w:szCs w:val="21"/>
              </w:rPr>
              <w:t>0.035</w:t>
            </w:r>
          </w:p>
        </w:tc>
        <w:tc>
          <w:tcPr>
            <w:tcW w:w="1905" w:type="dxa"/>
            <w:noWrap w:val="0"/>
            <w:vAlign w:val="center"/>
          </w:tcPr>
          <w:p w14:paraId="5F2F4C80">
            <w:pPr>
              <w:spacing w:line="240" w:lineRule="auto"/>
              <w:ind w:firstLine="0"/>
              <w:jc w:val="center"/>
              <w:rPr>
                <w:rFonts w:ascii="Calibri" w:hAnsi="Calibri" w:cs="Calibri"/>
                <w:sz w:val="21"/>
                <w:szCs w:val="21"/>
              </w:rPr>
            </w:pPr>
            <w:r>
              <w:rPr>
                <w:rFonts w:hint="eastAsia"/>
                <w:sz w:val="21"/>
                <w:szCs w:val="21"/>
              </w:rPr>
              <w:t>0.039</w:t>
            </w:r>
          </w:p>
        </w:tc>
        <w:tc>
          <w:tcPr>
            <w:tcW w:w="945" w:type="dxa"/>
            <w:noWrap w:val="0"/>
            <w:vAlign w:val="center"/>
          </w:tcPr>
          <w:p w14:paraId="51468DFF">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37CE8B55">
            <w:pPr>
              <w:spacing w:line="240" w:lineRule="auto"/>
              <w:ind w:firstLine="0"/>
              <w:jc w:val="center"/>
              <w:rPr>
                <w:sz w:val="21"/>
                <w:szCs w:val="21"/>
              </w:rPr>
            </w:pPr>
            <w:r>
              <w:rPr>
                <w:rFonts w:hint="eastAsia"/>
                <w:sz w:val="21"/>
                <w:szCs w:val="21"/>
                <w:lang w:val="en-US" w:eastAsia="zh-CN"/>
              </w:rPr>
              <w:t>达标</w:t>
            </w:r>
          </w:p>
        </w:tc>
      </w:tr>
      <w:tr w14:paraId="2DCB8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0B5344A">
            <w:pPr>
              <w:spacing w:line="240" w:lineRule="auto"/>
              <w:ind w:firstLine="0"/>
              <w:jc w:val="center"/>
              <w:rPr>
                <w:sz w:val="21"/>
                <w:szCs w:val="21"/>
              </w:rPr>
            </w:pPr>
          </w:p>
        </w:tc>
        <w:tc>
          <w:tcPr>
            <w:tcW w:w="1568" w:type="dxa"/>
            <w:vMerge w:val="restart"/>
            <w:noWrap w:val="0"/>
            <w:vAlign w:val="center"/>
          </w:tcPr>
          <w:p w14:paraId="73958823">
            <w:pPr>
              <w:spacing w:line="240" w:lineRule="auto"/>
              <w:ind w:firstLine="0"/>
              <w:jc w:val="center"/>
              <w:rPr>
                <w:sz w:val="21"/>
                <w:szCs w:val="21"/>
              </w:rPr>
            </w:pPr>
            <w:r>
              <w:rPr>
                <w:rFonts w:hint="eastAsia"/>
                <w:sz w:val="21"/>
                <w:szCs w:val="21"/>
              </w:rPr>
              <w:t>2019.08.23</w:t>
            </w:r>
          </w:p>
        </w:tc>
        <w:tc>
          <w:tcPr>
            <w:tcW w:w="1675" w:type="dxa"/>
            <w:noWrap w:val="0"/>
            <w:tcMar>
              <w:top w:w="15" w:type="dxa"/>
              <w:left w:w="15" w:type="dxa"/>
              <w:bottom w:w="15" w:type="dxa"/>
              <w:right w:w="15" w:type="dxa"/>
            </w:tcMar>
            <w:vAlign w:val="center"/>
          </w:tcPr>
          <w:p w14:paraId="43E152B9">
            <w:pPr>
              <w:spacing w:line="310" w:lineRule="exact"/>
              <w:ind w:firstLine="0"/>
              <w:jc w:val="center"/>
              <w:rPr>
                <w:sz w:val="21"/>
                <w:szCs w:val="21"/>
              </w:rPr>
            </w:pPr>
            <w:r>
              <w:rPr>
                <w:sz w:val="21"/>
                <w:szCs w:val="21"/>
              </w:rPr>
              <w:t>02:00</w:t>
            </w:r>
          </w:p>
        </w:tc>
        <w:tc>
          <w:tcPr>
            <w:tcW w:w="1626" w:type="dxa"/>
            <w:noWrap w:val="0"/>
            <w:vAlign w:val="center"/>
          </w:tcPr>
          <w:p w14:paraId="487F201D">
            <w:pPr>
              <w:spacing w:line="240" w:lineRule="auto"/>
              <w:ind w:firstLine="0"/>
              <w:jc w:val="center"/>
              <w:rPr>
                <w:rFonts w:ascii="Calibri" w:hAnsi="Calibri" w:cs="Calibri"/>
                <w:sz w:val="21"/>
                <w:szCs w:val="21"/>
              </w:rPr>
            </w:pPr>
            <w:r>
              <w:rPr>
                <w:rFonts w:hint="eastAsia"/>
                <w:sz w:val="21"/>
                <w:szCs w:val="21"/>
              </w:rPr>
              <w:t>0.035</w:t>
            </w:r>
          </w:p>
        </w:tc>
        <w:tc>
          <w:tcPr>
            <w:tcW w:w="1905" w:type="dxa"/>
            <w:noWrap w:val="0"/>
            <w:vAlign w:val="center"/>
          </w:tcPr>
          <w:p w14:paraId="0785A3F0">
            <w:pPr>
              <w:spacing w:line="240" w:lineRule="auto"/>
              <w:ind w:firstLine="0"/>
              <w:jc w:val="center"/>
              <w:rPr>
                <w:rFonts w:ascii="Calibri" w:hAnsi="Calibri" w:cs="Calibri"/>
                <w:sz w:val="21"/>
                <w:szCs w:val="21"/>
              </w:rPr>
            </w:pPr>
            <w:r>
              <w:rPr>
                <w:rFonts w:hint="eastAsia"/>
                <w:sz w:val="21"/>
                <w:szCs w:val="21"/>
              </w:rPr>
              <w:t>0.035</w:t>
            </w:r>
          </w:p>
        </w:tc>
        <w:tc>
          <w:tcPr>
            <w:tcW w:w="945" w:type="dxa"/>
            <w:noWrap w:val="0"/>
            <w:vAlign w:val="center"/>
          </w:tcPr>
          <w:p w14:paraId="2892DEE5">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5B9DBFA3">
            <w:pPr>
              <w:spacing w:line="240" w:lineRule="auto"/>
              <w:ind w:firstLine="0"/>
              <w:jc w:val="center"/>
              <w:rPr>
                <w:sz w:val="21"/>
                <w:szCs w:val="21"/>
              </w:rPr>
            </w:pPr>
            <w:r>
              <w:rPr>
                <w:rFonts w:hint="eastAsia"/>
                <w:sz w:val="21"/>
                <w:szCs w:val="21"/>
                <w:lang w:val="en-US" w:eastAsia="zh-CN"/>
              </w:rPr>
              <w:t>达标</w:t>
            </w:r>
          </w:p>
        </w:tc>
      </w:tr>
      <w:tr w14:paraId="31C3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B22769B">
            <w:pPr>
              <w:spacing w:line="240" w:lineRule="auto"/>
              <w:ind w:firstLine="0"/>
              <w:jc w:val="center"/>
              <w:rPr>
                <w:sz w:val="21"/>
                <w:szCs w:val="21"/>
              </w:rPr>
            </w:pPr>
          </w:p>
        </w:tc>
        <w:tc>
          <w:tcPr>
            <w:tcW w:w="1568" w:type="dxa"/>
            <w:vMerge w:val="continue"/>
            <w:noWrap w:val="0"/>
            <w:vAlign w:val="center"/>
          </w:tcPr>
          <w:p w14:paraId="3DD9747F">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9774097">
            <w:pPr>
              <w:spacing w:line="310" w:lineRule="exact"/>
              <w:ind w:firstLine="0"/>
              <w:jc w:val="center"/>
              <w:rPr>
                <w:sz w:val="21"/>
                <w:szCs w:val="21"/>
              </w:rPr>
            </w:pPr>
            <w:r>
              <w:rPr>
                <w:sz w:val="21"/>
                <w:szCs w:val="21"/>
              </w:rPr>
              <w:t>08:00</w:t>
            </w:r>
          </w:p>
        </w:tc>
        <w:tc>
          <w:tcPr>
            <w:tcW w:w="1626" w:type="dxa"/>
            <w:noWrap w:val="0"/>
            <w:vAlign w:val="center"/>
          </w:tcPr>
          <w:p w14:paraId="50263545">
            <w:pPr>
              <w:spacing w:line="240" w:lineRule="auto"/>
              <w:ind w:firstLine="0"/>
              <w:jc w:val="center"/>
              <w:rPr>
                <w:rFonts w:ascii="Calibri" w:hAnsi="Calibri" w:cs="Calibri"/>
                <w:sz w:val="21"/>
                <w:szCs w:val="21"/>
              </w:rPr>
            </w:pPr>
            <w:r>
              <w:rPr>
                <w:rFonts w:hint="eastAsia"/>
                <w:sz w:val="21"/>
                <w:szCs w:val="21"/>
              </w:rPr>
              <w:t>0.032</w:t>
            </w:r>
          </w:p>
        </w:tc>
        <w:tc>
          <w:tcPr>
            <w:tcW w:w="1905" w:type="dxa"/>
            <w:noWrap w:val="0"/>
            <w:vAlign w:val="center"/>
          </w:tcPr>
          <w:p w14:paraId="159BA80F">
            <w:pPr>
              <w:spacing w:line="240" w:lineRule="auto"/>
              <w:ind w:firstLine="0"/>
              <w:jc w:val="center"/>
              <w:rPr>
                <w:rFonts w:ascii="Calibri" w:hAnsi="Calibri" w:cs="Calibri"/>
                <w:sz w:val="21"/>
                <w:szCs w:val="21"/>
              </w:rPr>
            </w:pPr>
            <w:r>
              <w:rPr>
                <w:rFonts w:hint="eastAsia"/>
                <w:sz w:val="21"/>
                <w:szCs w:val="21"/>
              </w:rPr>
              <w:t>0.032</w:t>
            </w:r>
          </w:p>
        </w:tc>
        <w:tc>
          <w:tcPr>
            <w:tcW w:w="945" w:type="dxa"/>
            <w:noWrap w:val="0"/>
            <w:vAlign w:val="center"/>
          </w:tcPr>
          <w:p w14:paraId="47647071">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6AA73C32">
            <w:pPr>
              <w:spacing w:line="240" w:lineRule="auto"/>
              <w:ind w:firstLine="0"/>
              <w:jc w:val="center"/>
              <w:rPr>
                <w:sz w:val="21"/>
                <w:szCs w:val="21"/>
              </w:rPr>
            </w:pPr>
            <w:r>
              <w:rPr>
                <w:rFonts w:hint="eastAsia"/>
                <w:sz w:val="21"/>
                <w:szCs w:val="21"/>
                <w:lang w:val="en-US" w:eastAsia="zh-CN"/>
              </w:rPr>
              <w:t>达标</w:t>
            </w:r>
          </w:p>
        </w:tc>
      </w:tr>
      <w:tr w14:paraId="0A8BF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AD60FE2">
            <w:pPr>
              <w:spacing w:line="240" w:lineRule="auto"/>
              <w:ind w:firstLine="0"/>
              <w:jc w:val="center"/>
              <w:rPr>
                <w:sz w:val="21"/>
                <w:szCs w:val="21"/>
              </w:rPr>
            </w:pPr>
          </w:p>
        </w:tc>
        <w:tc>
          <w:tcPr>
            <w:tcW w:w="1568" w:type="dxa"/>
            <w:vMerge w:val="continue"/>
            <w:noWrap w:val="0"/>
            <w:vAlign w:val="center"/>
          </w:tcPr>
          <w:p w14:paraId="30D83A8F">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5E57A345">
            <w:pPr>
              <w:spacing w:line="310" w:lineRule="exact"/>
              <w:ind w:firstLine="0"/>
              <w:jc w:val="center"/>
              <w:rPr>
                <w:sz w:val="21"/>
                <w:szCs w:val="21"/>
              </w:rPr>
            </w:pPr>
            <w:r>
              <w:rPr>
                <w:sz w:val="21"/>
                <w:szCs w:val="21"/>
              </w:rPr>
              <w:t>14:00</w:t>
            </w:r>
          </w:p>
        </w:tc>
        <w:tc>
          <w:tcPr>
            <w:tcW w:w="1626" w:type="dxa"/>
            <w:noWrap w:val="0"/>
            <w:vAlign w:val="center"/>
          </w:tcPr>
          <w:p w14:paraId="72265968">
            <w:pPr>
              <w:spacing w:line="240" w:lineRule="auto"/>
              <w:ind w:firstLine="0"/>
              <w:jc w:val="center"/>
              <w:rPr>
                <w:rFonts w:ascii="Calibri" w:hAnsi="Calibri" w:cs="Calibri"/>
                <w:sz w:val="21"/>
                <w:szCs w:val="21"/>
              </w:rPr>
            </w:pPr>
            <w:r>
              <w:rPr>
                <w:rFonts w:hint="eastAsia"/>
                <w:sz w:val="21"/>
                <w:szCs w:val="21"/>
              </w:rPr>
              <w:t>0.034</w:t>
            </w:r>
          </w:p>
        </w:tc>
        <w:tc>
          <w:tcPr>
            <w:tcW w:w="1905" w:type="dxa"/>
            <w:noWrap w:val="0"/>
            <w:vAlign w:val="center"/>
          </w:tcPr>
          <w:p w14:paraId="34109018">
            <w:pPr>
              <w:spacing w:line="240" w:lineRule="auto"/>
              <w:ind w:firstLine="0"/>
              <w:jc w:val="center"/>
              <w:rPr>
                <w:rFonts w:ascii="Calibri" w:hAnsi="Calibri" w:cs="Calibri"/>
                <w:sz w:val="21"/>
                <w:szCs w:val="21"/>
              </w:rPr>
            </w:pPr>
            <w:r>
              <w:rPr>
                <w:rFonts w:hint="eastAsia"/>
                <w:sz w:val="21"/>
                <w:szCs w:val="21"/>
              </w:rPr>
              <w:t>0.034</w:t>
            </w:r>
          </w:p>
        </w:tc>
        <w:tc>
          <w:tcPr>
            <w:tcW w:w="945" w:type="dxa"/>
            <w:noWrap w:val="0"/>
            <w:vAlign w:val="center"/>
          </w:tcPr>
          <w:p w14:paraId="2F0C5BF4">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49FC8904">
            <w:pPr>
              <w:spacing w:line="240" w:lineRule="auto"/>
              <w:ind w:firstLine="0"/>
              <w:jc w:val="center"/>
              <w:rPr>
                <w:sz w:val="21"/>
                <w:szCs w:val="21"/>
              </w:rPr>
            </w:pPr>
            <w:r>
              <w:rPr>
                <w:rFonts w:hint="eastAsia"/>
                <w:sz w:val="21"/>
                <w:szCs w:val="21"/>
                <w:lang w:val="en-US" w:eastAsia="zh-CN"/>
              </w:rPr>
              <w:t>达标</w:t>
            </w:r>
          </w:p>
        </w:tc>
      </w:tr>
      <w:tr w14:paraId="3D8B6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C039102">
            <w:pPr>
              <w:spacing w:line="240" w:lineRule="auto"/>
              <w:ind w:firstLine="0"/>
              <w:jc w:val="center"/>
              <w:rPr>
                <w:sz w:val="21"/>
                <w:szCs w:val="21"/>
              </w:rPr>
            </w:pPr>
          </w:p>
        </w:tc>
        <w:tc>
          <w:tcPr>
            <w:tcW w:w="1568" w:type="dxa"/>
            <w:vMerge w:val="continue"/>
            <w:noWrap w:val="0"/>
            <w:vAlign w:val="center"/>
          </w:tcPr>
          <w:p w14:paraId="0737A1A8">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44713C08">
            <w:pPr>
              <w:spacing w:line="310" w:lineRule="exact"/>
              <w:ind w:firstLine="0"/>
              <w:jc w:val="center"/>
              <w:rPr>
                <w:sz w:val="21"/>
                <w:szCs w:val="21"/>
              </w:rPr>
            </w:pPr>
            <w:r>
              <w:rPr>
                <w:sz w:val="21"/>
                <w:szCs w:val="21"/>
              </w:rPr>
              <w:t>20:00</w:t>
            </w:r>
          </w:p>
        </w:tc>
        <w:tc>
          <w:tcPr>
            <w:tcW w:w="1626" w:type="dxa"/>
            <w:noWrap w:val="0"/>
            <w:vAlign w:val="center"/>
          </w:tcPr>
          <w:p w14:paraId="56000F6D">
            <w:pPr>
              <w:spacing w:line="240" w:lineRule="auto"/>
              <w:ind w:firstLine="0"/>
              <w:jc w:val="center"/>
              <w:rPr>
                <w:rFonts w:ascii="Calibri" w:hAnsi="Calibri" w:cs="Calibri"/>
                <w:sz w:val="21"/>
                <w:szCs w:val="21"/>
              </w:rPr>
            </w:pPr>
            <w:r>
              <w:rPr>
                <w:rFonts w:hint="eastAsia"/>
                <w:sz w:val="21"/>
                <w:szCs w:val="21"/>
              </w:rPr>
              <w:t>0.035</w:t>
            </w:r>
          </w:p>
        </w:tc>
        <w:tc>
          <w:tcPr>
            <w:tcW w:w="1905" w:type="dxa"/>
            <w:noWrap w:val="0"/>
            <w:vAlign w:val="center"/>
          </w:tcPr>
          <w:p w14:paraId="2BE9E05A">
            <w:pPr>
              <w:spacing w:line="240" w:lineRule="auto"/>
              <w:ind w:firstLine="0"/>
              <w:jc w:val="center"/>
              <w:rPr>
                <w:rFonts w:ascii="Calibri" w:hAnsi="Calibri" w:cs="Calibri"/>
                <w:sz w:val="21"/>
                <w:szCs w:val="21"/>
              </w:rPr>
            </w:pPr>
            <w:r>
              <w:rPr>
                <w:rFonts w:hint="eastAsia"/>
                <w:sz w:val="21"/>
                <w:szCs w:val="21"/>
              </w:rPr>
              <w:t>0.035</w:t>
            </w:r>
          </w:p>
        </w:tc>
        <w:tc>
          <w:tcPr>
            <w:tcW w:w="945" w:type="dxa"/>
            <w:noWrap w:val="0"/>
            <w:vAlign w:val="center"/>
          </w:tcPr>
          <w:p w14:paraId="6DE5CB62">
            <w:pPr>
              <w:spacing w:line="240" w:lineRule="auto"/>
              <w:ind w:firstLine="0"/>
              <w:jc w:val="center"/>
              <w:rPr>
                <w:sz w:val="21"/>
                <w:szCs w:val="21"/>
              </w:rPr>
            </w:pPr>
            <w:r>
              <w:rPr>
                <w:rFonts w:hint="eastAsia"/>
                <w:sz w:val="21"/>
                <w:szCs w:val="21"/>
                <w:lang w:val="en-US" w:eastAsia="zh-CN"/>
              </w:rPr>
              <w:t>0.05</w:t>
            </w:r>
          </w:p>
        </w:tc>
        <w:tc>
          <w:tcPr>
            <w:tcW w:w="887" w:type="dxa"/>
            <w:noWrap w:val="0"/>
            <w:vAlign w:val="center"/>
          </w:tcPr>
          <w:p w14:paraId="1AC6AFDF">
            <w:pPr>
              <w:spacing w:line="240" w:lineRule="auto"/>
              <w:ind w:firstLine="0"/>
              <w:jc w:val="center"/>
              <w:rPr>
                <w:sz w:val="21"/>
                <w:szCs w:val="21"/>
              </w:rPr>
            </w:pPr>
            <w:r>
              <w:rPr>
                <w:rFonts w:hint="eastAsia"/>
                <w:sz w:val="21"/>
                <w:szCs w:val="21"/>
                <w:lang w:val="en-US" w:eastAsia="zh-CN"/>
              </w:rPr>
              <w:t>达标</w:t>
            </w:r>
          </w:p>
        </w:tc>
      </w:tr>
      <w:tr w14:paraId="3080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0CE64BC">
            <w:pPr>
              <w:spacing w:line="240" w:lineRule="auto"/>
              <w:ind w:firstLine="0"/>
              <w:jc w:val="center"/>
              <w:rPr>
                <w:sz w:val="21"/>
                <w:szCs w:val="21"/>
              </w:rPr>
            </w:pPr>
          </w:p>
        </w:tc>
        <w:tc>
          <w:tcPr>
            <w:tcW w:w="1568" w:type="dxa"/>
            <w:vMerge w:val="restart"/>
            <w:noWrap w:val="0"/>
            <w:vAlign w:val="center"/>
          </w:tcPr>
          <w:p w14:paraId="486C44C7">
            <w:pPr>
              <w:spacing w:line="240" w:lineRule="auto"/>
              <w:ind w:firstLine="0"/>
              <w:jc w:val="center"/>
              <w:rPr>
                <w:sz w:val="21"/>
                <w:szCs w:val="21"/>
              </w:rPr>
            </w:pPr>
            <w:r>
              <w:rPr>
                <w:rFonts w:hint="eastAsia"/>
                <w:sz w:val="21"/>
                <w:szCs w:val="21"/>
              </w:rPr>
              <w:t>2019.08.24</w:t>
            </w:r>
          </w:p>
        </w:tc>
        <w:tc>
          <w:tcPr>
            <w:tcW w:w="1675" w:type="dxa"/>
            <w:noWrap w:val="0"/>
            <w:tcMar>
              <w:top w:w="15" w:type="dxa"/>
              <w:left w:w="15" w:type="dxa"/>
              <w:bottom w:w="15" w:type="dxa"/>
              <w:right w:w="15" w:type="dxa"/>
            </w:tcMar>
            <w:vAlign w:val="center"/>
          </w:tcPr>
          <w:p w14:paraId="437173DE">
            <w:pPr>
              <w:spacing w:line="310" w:lineRule="exact"/>
              <w:ind w:firstLine="0"/>
              <w:jc w:val="center"/>
              <w:rPr>
                <w:sz w:val="21"/>
                <w:szCs w:val="21"/>
              </w:rPr>
            </w:pPr>
            <w:r>
              <w:rPr>
                <w:sz w:val="21"/>
                <w:szCs w:val="21"/>
              </w:rPr>
              <w:t>02:00</w:t>
            </w:r>
          </w:p>
        </w:tc>
        <w:tc>
          <w:tcPr>
            <w:tcW w:w="1626" w:type="dxa"/>
            <w:noWrap w:val="0"/>
            <w:vAlign w:val="center"/>
          </w:tcPr>
          <w:p w14:paraId="71482F5F">
            <w:pPr>
              <w:spacing w:line="240" w:lineRule="auto"/>
              <w:ind w:firstLine="0"/>
              <w:jc w:val="center"/>
              <w:rPr>
                <w:rFonts w:ascii="Calibri" w:hAnsi="Calibri" w:cs="Calibri"/>
                <w:sz w:val="21"/>
                <w:szCs w:val="21"/>
              </w:rPr>
            </w:pPr>
            <w:r>
              <w:rPr>
                <w:rFonts w:hint="eastAsia"/>
                <w:sz w:val="21"/>
                <w:szCs w:val="21"/>
              </w:rPr>
              <w:t>0.037</w:t>
            </w:r>
          </w:p>
        </w:tc>
        <w:tc>
          <w:tcPr>
            <w:tcW w:w="1905" w:type="dxa"/>
            <w:noWrap w:val="0"/>
            <w:vAlign w:val="center"/>
          </w:tcPr>
          <w:p w14:paraId="64FF8123">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10715253">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221FF600">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0FC63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85E6302">
            <w:pPr>
              <w:spacing w:line="240" w:lineRule="auto"/>
              <w:ind w:firstLine="0"/>
              <w:jc w:val="center"/>
              <w:rPr>
                <w:sz w:val="21"/>
                <w:szCs w:val="21"/>
              </w:rPr>
            </w:pPr>
          </w:p>
        </w:tc>
        <w:tc>
          <w:tcPr>
            <w:tcW w:w="1568" w:type="dxa"/>
            <w:vMerge w:val="continue"/>
            <w:noWrap w:val="0"/>
            <w:vAlign w:val="center"/>
          </w:tcPr>
          <w:p w14:paraId="15111E16">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419CFB7B">
            <w:pPr>
              <w:spacing w:line="310" w:lineRule="exact"/>
              <w:ind w:firstLine="0"/>
              <w:jc w:val="center"/>
              <w:rPr>
                <w:sz w:val="21"/>
                <w:szCs w:val="21"/>
              </w:rPr>
            </w:pPr>
            <w:r>
              <w:rPr>
                <w:sz w:val="21"/>
                <w:szCs w:val="21"/>
              </w:rPr>
              <w:t>08:00</w:t>
            </w:r>
          </w:p>
        </w:tc>
        <w:tc>
          <w:tcPr>
            <w:tcW w:w="1626" w:type="dxa"/>
            <w:noWrap w:val="0"/>
            <w:vAlign w:val="center"/>
          </w:tcPr>
          <w:p w14:paraId="2C08EE4E">
            <w:pPr>
              <w:spacing w:line="240" w:lineRule="auto"/>
              <w:ind w:firstLine="0"/>
              <w:jc w:val="center"/>
              <w:rPr>
                <w:rFonts w:ascii="Calibri" w:hAnsi="Calibri" w:cs="Calibri"/>
                <w:sz w:val="21"/>
                <w:szCs w:val="21"/>
              </w:rPr>
            </w:pPr>
            <w:r>
              <w:rPr>
                <w:rFonts w:hint="eastAsia"/>
                <w:sz w:val="21"/>
                <w:szCs w:val="21"/>
              </w:rPr>
              <w:t>0.033</w:t>
            </w:r>
          </w:p>
        </w:tc>
        <w:tc>
          <w:tcPr>
            <w:tcW w:w="1905" w:type="dxa"/>
            <w:noWrap w:val="0"/>
            <w:vAlign w:val="center"/>
          </w:tcPr>
          <w:p w14:paraId="70DDBEBF">
            <w:pPr>
              <w:spacing w:line="240" w:lineRule="auto"/>
              <w:ind w:firstLine="0"/>
              <w:jc w:val="center"/>
              <w:rPr>
                <w:rFonts w:ascii="Calibri" w:hAnsi="Calibri" w:cs="Calibri"/>
                <w:sz w:val="21"/>
                <w:szCs w:val="21"/>
              </w:rPr>
            </w:pPr>
            <w:r>
              <w:rPr>
                <w:rFonts w:hint="eastAsia"/>
                <w:sz w:val="21"/>
                <w:szCs w:val="21"/>
              </w:rPr>
              <w:t>0.033</w:t>
            </w:r>
          </w:p>
        </w:tc>
        <w:tc>
          <w:tcPr>
            <w:tcW w:w="945" w:type="dxa"/>
            <w:noWrap w:val="0"/>
            <w:vAlign w:val="center"/>
          </w:tcPr>
          <w:p w14:paraId="203A6BD3">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64826FE5">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475C8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664360E">
            <w:pPr>
              <w:spacing w:line="240" w:lineRule="auto"/>
              <w:ind w:firstLine="0"/>
              <w:jc w:val="center"/>
              <w:rPr>
                <w:sz w:val="21"/>
                <w:szCs w:val="21"/>
              </w:rPr>
            </w:pPr>
          </w:p>
        </w:tc>
        <w:tc>
          <w:tcPr>
            <w:tcW w:w="1568" w:type="dxa"/>
            <w:vMerge w:val="continue"/>
            <w:noWrap w:val="0"/>
            <w:vAlign w:val="center"/>
          </w:tcPr>
          <w:p w14:paraId="7B8C5147">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B03C1EF">
            <w:pPr>
              <w:spacing w:line="310" w:lineRule="exact"/>
              <w:ind w:firstLine="0"/>
              <w:jc w:val="center"/>
              <w:rPr>
                <w:sz w:val="21"/>
                <w:szCs w:val="21"/>
              </w:rPr>
            </w:pPr>
            <w:r>
              <w:rPr>
                <w:sz w:val="21"/>
                <w:szCs w:val="21"/>
              </w:rPr>
              <w:t>14:00</w:t>
            </w:r>
          </w:p>
        </w:tc>
        <w:tc>
          <w:tcPr>
            <w:tcW w:w="1626" w:type="dxa"/>
            <w:noWrap w:val="0"/>
            <w:vAlign w:val="center"/>
          </w:tcPr>
          <w:p w14:paraId="1F40C7D6">
            <w:pPr>
              <w:spacing w:line="240" w:lineRule="auto"/>
              <w:ind w:firstLine="0"/>
              <w:jc w:val="center"/>
              <w:rPr>
                <w:rFonts w:ascii="Calibri" w:hAnsi="Calibri" w:cs="Calibri"/>
                <w:sz w:val="21"/>
                <w:szCs w:val="21"/>
              </w:rPr>
            </w:pPr>
            <w:r>
              <w:rPr>
                <w:rFonts w:hint="eastAsia"/>
                <w:sz w:val="21"/>
                <w:szCs w:val="21"/>
              </w:rPr>
              <w:t>0.033</w:t>
            </w:r>
          </w:p>
        </w:tc>
        <w:tc>
          <w:tcPr>
            <w:tcW w:w="1905" w:type="dxa"/>
            <w:noWrap w:val="0"/>
            <w:vAlign w:val="center"/>
          </w:tcPr>
          <w:p w14:paraId="468391AE">
            <w:pPr>
              <w:spacing w:line="240" w:lineRule="auto"/>
              <w:ind w:firstLine="0"/>
              <w:jc w:val="center"/>
              <w:rPr>
                <w:rFonts w:ascii="Calibri" w:hAnsi="Calibri" w:cs="Calibri"/>
                <w:sz w:val="21"/>
                <w:szCs w:val="21"/>
              </w:rPr>
            </w:pPr>
            <w:r>
              <w:rPr>
                <w:rFonts w:hint="eastAsia"/>
                <w:sz w:val="21"/>
                <w:szCs w:val="21"/>
              </w:rPr>
              <w:t>0.033</w:t>
            </w:r>
          </w:p>
        </w:tc>
        <w:tc>
          <w:tcPr>
            <w:tcW w:w="945" w:type="dxa"/>
            <w:noWrap w:val="0"/>
            <w:vAlign w:val="center"/>
          </w:tcPr>
          <w:p w14:paraId="01E0460A">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739837BB">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1DBF5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68C079E">
            <w:pPr>
              <w:spacing w:line="240" w:lineRule="auto"/>
              <w:ind w:firstLine="0"/>
              <w:jc w:val="center"/>
              <w:rPr>
                <w:sz w:val="21"/>
                <w:szCs w:val="21"/>
              </w:rPr>
            </w:pPr>
          </w:p>
        </w:tc>
        <w:tc>
          <w:tcPr>
            <w:tcW w:w="1568" w:type="dxa"/>
            <w:vMerge w:val="continue"/>
            <w:noWrap w:val="0"/>
            <w:vAlign w:val="center"/>
          </w:tcPr>
          <w:p w14:paraId="33BDA0D2">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AF62B70">
            <w:pPr>
              <w:spacing w:line="310" w:lineRule="exact"/>
              <w:ind w:firstLine="0"/>
              <w:jc w:val="center"/>
              <w:rPr>
                <w:sz w:val="21"/>
                <w:szCs w:val="21"/>
              </w:rPr>
            </w:pPr>
            <w:r>
              <w:rPr>
                <w:sz w:val="21"/>
                <w:szCs w:val="21"/>
              </w:rPr>
              <w:t>20:00</w:t>
            </w:r>
          </w:p>
        </w:tc>
        <w:tc>
          <w:tcPr>
            <w:tcW w:w="1626" w:type="dxa"/>
            <w:noWrap w:val="0"/>
            <w:vAlign w:val="center"/>
          </w:tcPr>
          <w:p w14:paraId="4DF05FBF">
            <w:pPr>
              <w:spacing w:line="240" w:lineRule="auto"/>
              <w:ind w:firstLine="0"/>
              <w:jc w:val="center"/>
              <w:rPr>
                <w:rFonts w:ascii="Calibri" w:hAnsi="Calibri" w:cs="Calibri"/>
                <w:sz w:val="21"/>
                <w:szCs w:val="21"/>
              </w:rPr>
            </w:pPr>
            <w:r>
              <w:rPr>
                <w:rFonts w:hint="eastAsia"/>
                <w:sz w:val="21"/>
                <w:szCs w:val="21"/>
              </w:rPr>
              <w:t>0.036</w:t>
            </w:r>
          </w:p>
        </w:tc>
        <w:tc>
          <w:tcPr>
            <w:tcW w:w="1905" w:type="dxa"/>
            <w:noWrap w:val="0"/>
            <w:vAlign w:val="center"/>
          </w:tcPr>
          <w:p w14:paraId="6D622C41">
            <w:pPr>
              <w:spacing w:line="240" w:lineRule="auto"/>
              <w:ind w:firstLine="0"/>
              <w:jc w:val="center"/>
              <w:rPr>
                <w:rFonts w:ascii="Calibri" w:hAnsi="Calibri" w:cs="Calibri"/>
                <w:sz w:val="21"/>
                <w:szCs w:val="21"/>
              </w:rPr>
            </w:pPr>
            <w:r>
              <w:rPr>
                <w:rFonts w:hint="eastAsia"/>
                <w:sz w:val="21"/>
                <w:szCs w:val="21"/>
              </w:rPr>
              <w:t>0.036</w:t>
            </w:r>
          </w:p>
        </w:tc>
        <w:tc>
          <w:tcPr>
            <w:tcW w:w="945" w:type="dxa"/>
            <w:noWrap w:val="0"/>
            <w:vAlign w:val="center"/>
          </w:tcPr>
          <w:p w14:paraId="7C004E92">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7917B8B1">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15F5B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09D84D2">
            <w:pPr>
              <w:spacing w:line="240" w:lineRule="auto"/>
              <w:ind w:firstLine="0"/>
              <w:jc w:val="center"/>
              <w:rPr>
                <w:sz w:val="21"/>
                <w:szCs w:val="21"/>
              </w:rPr>
            </w:pPr>
          </w:p>
        </w:tc>
        <w:tc>
          <w:tcPr>
            <w:tcW w:w="1568" w:type="dxa"/>
            <w:vMerge w:val="restart"/>
            <w:noWrap w:val="0"/>
            <w:vAlign w:val="center"/>
          </w:tcPr>
          <w:p w14:paraId="7172B709">
            <w:pPr>
              <w:spacing w:line="240" w:lineRule="auto"/>
              <w:ind w:firstLine="0"/>
              <w:jc w:val="center"/>
              <w:rPr>
                <w:sz w:val="21"/>
                <w:szCs w:val="21"/>
              </w:rPr>
            </w:pPr>
            <w:r>
              <w:rPr>
                <w:rFonts w:hint="eastAsia"/>
                <w:sz w:val="21"/>
                <w:szCs w:val="21"/>
              </w:rPr>
              <w:t>2019.08.25</w:t>
            </w:r>
          </w:p>
        </w:tc>
        <w:tc>
          <w:tcPr>
            <w:tcW w:w="1675" w:type="dxa"/>
            <w:noWrap w:val="0"/>
            <w:tcMar>
              <w:top w:w="15" w:type="dxa"/>
              <w:left w:w="15" w:type="dxa"/>
              <w:bottom w:w="15" w:type="dxa"/>
              <w:right w:w="15" w:type="dxa"/>
            </w:tcMar>
            <w:vAlign w:val="center"/>
          </w:tcPr>
          <w:p w14:paraId="1E1E89F5">
            <w:pPr>
              <w:spacing w:line="310" w:lineRule="exact"/>
              <w:ind w:firstLine="0"/>
              <w:jc w:val="center"/>
              <w:rPr>
                <w:sz w:val="21"/>
                <w:szCs w:val="21"/>
              </w:rPr>
            </w:pPr>
            <w:r>
              <w:rPr>
                <w:sz w:val="21"/>
                <w:szCs w:val="21"/>
              </w:rPr>
              <w:t>02:00</w:t>
            </w:r>
          </w:p>
        </w:tc>
        <w:tc>
          <w:tcPr>
            <w:tcW w:w="1626" w:type="dxa"/>
            <w:noWrap w:val="0"/>
            <w:vAlign w:val="center"/>
          </w:tcPr>
          <w:p w14:paraId="5D7D2C06">
            <w:pPr>
              <w:spacing w:line="240" w:lineRule="auto"/>
              <w:ind w:firstLine="0"/>
              <w:jc w:val="center"/>
              <w:rPr>
                <w:rFonts w:ascii="Calibri" w:hAnsi="Calibri" w:cs="Calibri"/>
                <w:sz w:val="21"/>
                <w:szCs w:val="21"/>
              </w:rPr>
            </w:pPr>
            <w:r>
              <w:rPr>
                <w:rFonts w:hint="eastAsia"/>
                <w:sz w:val="21"/>
                <w:szCs w:val="21"/>
              </w:rPr>
              <w:t>0.037</w:t>
            </w:r>
          </w:p>
        </w:tc>
        <w:tc>
          <w:tcPr>
            <w:tcW w:w="1905" w:type="dxa"/>
            <w:noWrap w:val="0"/>
            <w:vAlign w:val="center"/>
          </w:tcPr>
          <w:p w14:paraId="103A9FFB">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59A99AFB">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3555AD51">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1A998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F95E223">
            <w:pPr>
              <w:spacing w:line="240" w:lineRule="auto"/>
              <w:ind w:firstLine="0"/>
              <w:jc w:val="center"/>
              <w:rPr>
                <w:sz w:val="21"/>
                <w:szCs w:val="21"/>
              </w:rPr>
            </w:pPr>
          </w:p>
        </w:tc>
        <w:tc>
          <w:tcPr>
            <w:tcW w:w="1568" w:type="dxa"/>
            <w:vMerge w:val="continue"/>
            <w:noWrap w:val="0"/>
            <w:vAlign w:val="center"/>
          </w:tcPr>
          <w:p w14:paraId="19ADB7F5">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06CEE4D">
            <w:pPr>
              <w:spacing w:line="310" w:lineRule="exact"/>
              <w:ind w:firstLine="0"/>
              <w:jc w:val="center"/>
              <w:rPr>
                <w:sz w:val="21"/>
                <w:szCs w:val="21"/>
              </w:rPr>
            </w:pPr>
            <w:r>
              <w:rPr>
                <w:sz w:val="21"/>
                <w:szCs w:val="21"/>
              </w:rPr>
              <w:t>08:00</w:t>
            </w:r>
          </w:p>
        </w:tc>
        <w:tc>
          <w:tcPr>
            <w:tcW w:w="1626" w:type="dxa"/>
            <w:noWrap w:val="0"/>
            <w:vAlign w:val="center"/>
          </w:tcPr>
          <w:p w14:paraId="36182D89">
            <w:pPr>
              <w:spacing w:line="240" w:lineRule="auto"/>
              <w:ind w:firstLine="0"/>
              <w:jc w:val="center"/>
              <w:rPr>
                <w:rFonts w:ascii="Calibri" w:hAnsi="Calibri" w:cs="Calibri"/>
                <w:sz w:val="21"/>
                <w:szCs w:val="21"/>
              </w:rPr>
            </w:pPr>
            <w:r>
              <w:rPr>
                <w:rFonts w:hint="eastAsia"/>
                <w:sz w:val="21"/>
                <w:szCs w:val="21"/>
              </w:rPr>
              <w:t>0.033</w:t>
            </w:r>
          </w:p>
        </w:tc>
        <w:tc>
          <w:tcPr>
            <w:tcW w:w="1905" w:type="dxa"/>
            <w:noWrap w:val="0"/>
            <w:vAlign w:val="center"/>
          </w:tcPr>
          <w:p w14:paraId="0A9C9D2B">
            <w:pPr>
              <w:spacing w:line="240" w:lineRule="auto"/>
              <w:ind w:firstLine="0"/>
              <w:jc w:val="center"/>
              <w:rPr>
                <w:rFonts w:ascii="Calibri" w:hAnsi="Calibri" w:cs="Calibri"/>
                <w:sz w:val="21"/>
                <w:szCs w:val="21"/>
              </w:rPr>
            </w:pPr>
            <w:r>
              <w:rPr>
                <w:rFonts w:hint="eastAsia"/>
                <w:sz w:val="21"/>
                <w:szCs w:val="21"/>
              </w:rPr>
              <w:t>0.033</w:t>
            </w:r>
          </w:p>
        </w:tc>
        <w:tc>
          <w:tcPr>
            <w:tcW w:w="945" w:type="dxa"/>
            <w:noWrap w:val="0"/>
            <w:vAlign w:val="center"/>
          </w:tcPr>
          <w:p w14:paraId="0E8F7718">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12CD498D">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76786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32EF90A">
            <w:pPr>
              <w:spacing w:line="240" w:lineRule="auto"/>
              <w:ind w:firstLine="0"/>
              <w:jc w:val="center"/>
              <w:rPr>
                <w:sz w:val="21"/>
                <w:szCs w:val="21"/>
              </w:rPr>
            </w:pPr>
          </w:p>
        </w:tc>
        <w:tc>
          <w:tcPr>
            <w:tcW w:w="1568" w:type="dxa"/>
            <w:vMerge w:val="continue"/>
            <w:noWrap w:val="0"/>
            <w:vAlign w:val="center"/>
          </w:tcPr>
          <w:p w14:paraId="76FDBD12">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74CAA1D">
            <w:pPr>
              <w:spacing w:line="310" w:lineRule="exact"/>
              <w:ind w:firstLine="0"/>
              <w:jc w:val="center"/>
              <w:rPr>
                <w:sz w:val="21"/>
                <w:szCs w:val="21"/>
              </w:rPr>
            </w:pPr>
            <w:r>
              <w:rPr>
                <w:sz w:val="21"/>
                <w:szCs w:val="21"/>
              </w:rPr>
              <w:t>14:00</w:t>
            </w:r>
          </w:p>
        </w:tc>
        <w:tc>
          <w:tcPr>
            <w:tcW w:w="1626" w:type="dxa"/>
            <w:noWrap w:val="0"/>
            <w:vAlign w:val="center"/>
          </w:tcPr>
          <w:p w14:paraId="0B68B463">
            <w:pPr>
              <w:spacing w:line="240" w:lineRule="auto"/>
              <w:ind w:firstLine="0"/>
              <w:jc w:val="center"/>
              <w:rPr>
                <w:rFonts w:ascii="Calibri" w:hAnsi="Calibri" w:cs="Calibri"/>
                <w:sz w:val="21"/>
                <w:szCs w:val="21"/>
              </w:rPr>
            </w:pPr>
            <w:r>
              <w:rPr>
                <w:rFonts w:hint="eastAsia"/>
                <w:sz w:val="21"/>
                <w:szCs w:val="21"/>
              </w:rPr>
              <w:t>0.037</w:t>
            </w:r>
          </w:p>
        </w:tc>
        <w:tc>
          <w:tcPr>
            <w:tcW w:w="1905" w:type="dxa"/>
            <w:noWrap w:val="0"/>
            <w:vAlign w:val="center"/>
          </w:tcPr>
          <w:p w14:paraId="55BF0FA9">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2D07B318">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3B17E25A">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41376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BA51963">
            <w:pPr>
              <w:spacing w:line="240" w:lineRule="auto"/>
              <w:ind w:firstLine="0"/>
              <w:jc w:val="center"/>
              <w:rPr>
                <w:sz w:val="21"/>
                <w:szCs w:val="21"/>
              </w:rPr>
            </w:pPr>
          </w:p>
        </w:tc>
        <w:tc>
          <w:tcPr>
            <w:tcW w:w="1568" w:type="dxa"/>
            <w:vMerge w:val="continue"/>
            <w:noWrap w:val="0"/>
            <w:vAlign w:val="center"/>
          </w:tcPr>
          <w:p w14:paraId="3F416DAC">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2BCDB68">
            <w:pPr>
              <w:spacing w:line="310" w:lineRule="exact"/>
              <w:ind w:firstLine="0"/>
              <w:jc w:val="center"/>
              <w:rPr>
                <w:sz w:val="21"/>
                <w:szCs w:val="21"/>
              </w:rPr>
            </w:pPr>
            <w:r>
              <w:rPr>
                <w:sz w:val="21"/>
                <w:szCs w:val="21"/>
              </w:rPr>
              <w:t>20:00</w:t>
            </w:r>
          </w:p>
        </w:tc>
        <w:tc>
          <w:tcPr>
            <w:tcW w:w="1626" w:type="dxa"/>
            <w:noWrap w:val="0"/>
            <w:vAlign w:val="center"/>
          </w:tcPr>
          <w:p w14:paraId="657BF04C">
            <w:pPr>
              <w:spacing w:line="240" w:lineRule="auto"/>
              <w:ind w:firstLine="0"/>
              <w:jc w:val="center"/>
              <w:rPr>
                <w:rFonts w:ascii="Calibri" w:hAnsi="Calibri" w:cs="Calibri"/>
                <w:sz w:val="21"/>
                <w:szCs w:val="21"/>
              </w:rPr>
            </w:pPr>
            <w:r>
              <w:rPr>
                <w:rFonts w:hint="eastAsia"/>
                <w:sz w:val="21"/>
                <w:szCs w:val="21"/>
              </w:rPr>
              <w:t>0.039</w:t>
            </w:r>
          </w:p>
        </w:tc>
        <w:tc>
          <w:tcPr>
            <w:tcW w:w="1905" w:type="dxa"/>
            <w:noWrap w:val="0"/>
            <w:vAlign w:val="center"/>
          </w:tcPr>
          <w:p w14:paraId="169E60DF">
            <w:pPr>
              <w:spacing w:line="240" w:lineRule="auto"/>
              <w:ind w:firstLine="0"/>
              <w:jc w:val="center"/>
              <w:rPr>
                <w:rFonts w:ascii="Calibri" w:hAnsi="Calibri" w:cs="Calibri"/>
                <w:sz w:val="21"/>
                <w:szCs w:val="21"/>
              </w:rPr>
            </w:pPr>
            <w:r>
              <w:rPr>
                <w:rFonts w:hint="eastAsia"/>
                <w:sz w:val="21"/>
                <w:szCs w:val="21"/>
              </w:rPr>
              <w:t>0.039</w:t>
            </w:r>
          </w:p>
        </w:tc>
        <w:tc>
          <w:tcPr>
            <w:tcW w:w="945" w:type="dxa"/>
            <w:noWrap w:val="0"/>
            <w:vAlign w:val="center"/>
          </w:tcPr>
          <w:p w14:paraId="60D05C0A">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3240D8FF">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2664B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F7BDA04">
            <w:pPr>
              <w:spacing w:line="240" w:lineRule="auto"/>
              <w:ind w:firstLine="0"/>
              <w:jc w:val="center"/>
              <w:rPr>
                <w:sz w:val="21"/>
                <w:szCs w:val="21"/>
              </w:rPr>
            </w:pPr>
          </w:p>
        </w:tc>
        <w:tc>
          <w:tcPr>
            <w:tcW w:w="1568" w:type="dxa"/>
            <w:vMerge w:val="restart"/>
            <w:noWrap w:val="0"/>
            <w:vAlign w:val="center"/>
          </w:tcPr>
          <w:p w14:paraId="371CACE7">
            <w:pPr>
              <w:spacing w:line="240" w:lineRule="auto"/>
              <w:ind w:firstLine="0"/>
              <w:jc w:val="center"/>
              <w:rPr>
                <w:sz w:val="21"/>
                <w:szCs w:val="21"/>
              </w:rPr>
            </w:pPr>
            <w:r>
              <w:rPr>
                <w:rFonts w:hint="eastAsia"/>
                <w:sz w:val="21"/>
                <w:szCs w:val="21"/>
              </w:rPr>
              <w:t>2019.08.26</w:t>
            </w:r>
          </w:p>
        </w:tc>
        <w:tc>
          <w:tcPr>
            <w:tcW w:w="1675" w:type="dxa"/>
            <w:noWrap w:val="0"/>
            <w:tcMar>
              <w:top w:w="15" w:type="dxa"/>
              <w:left w:w="15" w:type="dxa"/>
              <w:bottom w:w="15" w:type="dxa"/>
              <w:right w:w="15" w:type="dxa"/>
            </w:tcMar>
            <w:vAlign w:val="center"/>
          </w:tcPr>
          <w:p w14:paraId="543A2B89">
            <w:pPr>
              <w:spacing w:line="310" w:lineRule="exact"/>
              <w:ind w:firstLine="0"/>
              <w:jc w:val="center"/>
              <w:rPr>
                <w:sz w:val="21"/>
                <w:szCs w:val="21"/>
              </w:rPr>
            </w:pPr>
            <w:r>
              <w:rPr>
                <w:sz w:val="21"/>
                <w:szCs w:val="21"/>
              </w:rPr>
              <w:t>02:00</w:t>
            </w:r>
          </w:p>
        </w:tc>
        <w:tc>
          <w:tcPr>
            <w:tcW w:w="1626" w:type="dxa"/>
            <w:noWrap w:val="0"/>
            <w:vAlign w:val="center"/>
          </w:tcPr>
          <w:p w14:paraId="0D9B7BAF">
            <w:pPr>
              <w:spacing w:line="240" w:lineRule="auto"/>
              <w:ind w:firstLine="0"/>
              <w:jc w:val="center"/>
              <w:rPr>
                <w:rFonts w:ascii="Calibri" w:hAnsi="Calibri" w:cs="Calibri"/>
                <w:sz w:val="21"/>
                <w:szCs w:val="21"/>
              </w:rPr>
            </w:pPr>
            <w:r>
              <w:rPr>
                <w:rFonts w:hint="eastAsia"/>
                <w:sz w:val="21"/>
                <w:szCs w:val="21"/>
              </w:rPr>
              <w:t>0.039</w:t>
            </w:r>
          </w:p>
        </w:tc>
        <w:tc>
          <w:tcPr>
            <w:tcW w:w="1905" w:type="dxa"/>
            <w:noWrap w:val="0"/>
            <w:vAlign w:val="center"/>
          </w:tcPr>
          <w:p w14:paraId="081C76E9">
            <w:pPr>
              <w:spacing w:line="240" w:lineRule="auto"/>
              <w:ind w:firstLine="0"/>
              <w:jc w:val="center"/>
              <w:rPr>
                <w:rFonts w:ascii="Calibri" w:hAnsi="Calibri" w:cs="Calibri"/>
                <w:sz w:val="21"/>
                <w:szCs w:val="21"/>
              </w:rPr>
            </w:pPr>
            <w:r>
              <w:rPr>
                <w:rFonts w:hint="eastAsia"/>
                <w:sz w:val="21"/>
                <w:szCs w:val="21"/>
              </w:rPr>
              <w:t>0.039</w:t>
            </w:r>
          </w:p>
        </w:tc>
        <w:tc>
          <w:tcPr>
            <w:tcW w:w="945" w:type="dxa"/>
            <w:noWrap w:val="0"/>
            <w:vAlign w:val="center"/>
          </w:tcPr>
          <w:p w14:paraId="5D8E3DF4">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19642BC1">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0D70E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6A0CEA9">
            <w:pPr>
              <w:spacing w:line="240" w:lineRule="auto"/>
              <w:ind w:firstLine="0"/>
              <w:jc w:val="center"/>
              <w:rPr>
                <w:sz w:val="21"/>
                <w:szCs w:val="21"/>
              </w:rPr>
            </w:pPr>
          </w:p>
        </w:tc>
        <w:tc>
          <w:tcPr>
            <w:tcW w:w="1568" w:type="dxa"/>
            <w:vMerge w:val="continue"/>
            <w:noWrap w:val="0"/>
            <w:vAlign w:val="center"/>
          </w:tcPr>
          <w:p w14:paraId="35A2C6E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3177C2A">
            <w:pPr>
              <w:spacing w:line="310" w:lineRule="exact"/>
              <w:ind w:firstLine="0"/>
              <w:jc w:val="center"/>
              <w:rPr>
                <w:sz w:val="21"/>
                <w:szCs w:val="21"/>
              </w:rPr>
            </w:pPr>
            <w:r>
              <w:rPr>
                <w:sz w:val="21"/>
                <w:szCs w:val="21"/>
              </w:rPr>
              <w:t>08:00</w:t>
            </w:r>
          </w:p>
        </w:tc>
        <w:tc>
          <w:tcPr>
            <w:tcW w:w="1626" w:type="dxa"/>
            <w:noWrap w:val="0"/>
            <w:vAlign w:val="center"/>
          </w:tcPr>
          <w:p w14:paraId="4F8B790F">
            <w:pPr>
              <w:spacing w:line="240" w:lineRule="auto"/>
              <w:ind w:firstLine="0"/>
              <w:jc w:val="center"/>
              <w:rPr>
                <w:rFonts w:ascii="Calibri" w:hAnsi="Calibri" w:cs="Calibri"/>
                <w:sz w:val="21"/>
                <w:szCs w:val="21"/>
              </w:rPr>
            </w:pPr>
            <w:r>
              <w:rPr>
                <w:rFonts w:hint="eastAsia"/>
                <w:sz w:val="21"/>
                <w:szCs w:val="21"/>
              </w:rPr>
              <w:t>0.037</w:t>
            </w:r>
          </w:p>
        </w:tc>
        <w:tc>
          <w:tcPr>
            <w:tcW w:w="1905" w:type="dxa"/>
            <w:noWrap w:val="0"/>
            <w:vAlign w:val="center"/>
          </w:tcPr>
          <w:p w14:paraId="6403AE6A">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5111D3FA">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5B7F2EFB">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50C77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8C39DA7">
            <w:pPr>
              <w:spacing w:line="240" w:lineRule="auto"/>
              <w:ind w:firstLine="0"/>
              <w:jc w:val="center"/>
              <w:rPr>
                <w:sz w:val="21"/>
                <w:szCs w:val="21"/>
              </w:rPr>
            </w:pPr>
          </w:p>
        </w:tc>
        <w:tc>
          <w:tcPr>
            <w:tcW w:w="1568" w:type="dxa"/>
            <w:vMerge w:val="continue"/>
            <w:noWrap w:val="0"/>
            <w:vAlign w:val="center"/>
          </w:tcPr>
          <w:p w14:paraId="3056B0E5">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88BA85E">
            <w:pPr>
              <w:spacing w:line="310" w:lineRule="exact"/>
              <w:ind w:firstLine="0"/>
              <w:jc w:val="center"/>
              <w:rPr>
                <w:sz w:val="21"/>
                <w:szCs w:val="21"/>
              </w:rPr>
            </w:pPr>
            <w:r>
              <w:rPr>
                <w:sz w:val="21"/>
                <w:szCs w:val="21"/>
              </w:rPr>
              <w:t>14:00</w:t>
            </w:r>
          </w:p>
        </w:tc>
        <w:tc>
          <w:tcPr>
            <w:tcW w:w="1626" w:type="dxa"/>
            <w:noWrap w:val="0"/>
            <w:vAlign w:val="center"/>
          </w:tcPr>
          <w:p w14:paraId="6551D793">
            <w:pPr>
              <w:spacing w:line="240" w:lineRule="auto"/>
              <w:ind w:firstLine="0"/>
              <w:jc w:val="center"/>
              <w:rPr>
                <w:rFonts w:ascii="Calibri" w:hAnsi="Calibri" w:cs="Calibri"/>
                <w:sz w:val="21"/>
                <w:szCs w:val="21"/>
              </w:rPr>
            </w:pPr>
            <w:r>
              <w:rPr>
                <w:rFonts w:hint="eastAsia"/>
                <w:sz w:val="21"/>
                <w:szCs w:val="21"/>
              </w:rPr>
              <w:t>0.035</w:t>
            </w:r>
          </w:p>
        </w:tc>
        <w:tc>
          <w:tcPr>
            <w:tcW w:w="1905" w:type="dxa"/>
            <w:noWrap w:val="0"/>
            <w:vAlign w:val="center"/>
          </w:tcPr>
          <w:p w14:paraId="36D95422">
            <w:pPr>
              <w:spacing w:line="240" w:lineRule="auto"/>
              <w:ind w:firstLine="0"/>
              <w:jc w:val="center"/>
              <w:rPr>
                <w:rFonts w:ascii="Calibri" w:hAnsi="Calibri" w:cs="Calibri"/>
                <w:sz w:val="21"/>
                <w:szCs w:val="21"/>
              </w:rPr>
            </w:pPr>
            <w:r>
              <w:rPr>
                <w:rFonts w:hint="eastAsia"/>
                <w:sz w:val="21"/>
                <w:szCs w:val="21"/>
              </w:rPr>
              <w:t>0.035</w:t>
            </w:r>
          </w:p>
        </w:tc>
        <w:tc>
          <w:tcPr>
            <w:tcW w:w="945" w:type="dxa"/>
            <w:noWrap w:val="0"/>
            <w:vAlign w:val="center"/>
          </w:tcPr>
          <w:p w14:paraId="1B24B7F4">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7BBA59CA">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5D975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3283952">
            <w:pPr>
              <w:spacing w:line="240" w:lineRule="auto"/>
              <w:ind w:firstLine="0"/>
              <w:jc w:val="center"/>
              <w:rPr>
                <w:sz w:val="21"/>
                <w:szCs w:val="21"/>
              </w:rPr>
            </w:pPr>
          </w:p>
        </w:tc>
        <w:tc>
          <w:tcPr>
            <w:tcW w:w="1568" w:type="dxa"/>
            <w:vMerge w:val="continue"/>
            <w:noWrap w:val="0"/>
            <w:vAlign w:val="center"/>
          </w:tcPr>
          <w:p w14:paraId="0A314579">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2A19184">
            <w:pPr>
              <w:spacing w:line="310" w:lineRule="exact"/>
              <w:ind w:firstLine="0"/>
              <w:jc w:val="center"/>
              <w:rPr>
                <w:sz w:val="21"/>
                <w:szCs w:val="21"/>
              </w:rPr>
            </w:pPr>
            <w:r>
              <w:rPr>
                <w:sz w:val="21"/>
                <w:szCs w:val="21"/>
              </w:rPr>
              <w:t>20:00</w:t>
            </w:r>
          </w:p>
        </w:tc>
        <w:tc>
          <w:tcPr>
            <w:tcW w:w="1626" w:type="dxa"/>
            <w:noWrap w:val="0"/>
            <w:vAlign w:val="center"/>
          </w:tcPr>
          <w:p w14:paraId="01A864ED">
            <w:pPr>
              <w:spacing w:line="240" w:lineRule="auto"/>
              <w:ind w:firstLine="0"/>
              <w:jc w:val="center"/>
              <w:rPr>
                <w:rFonts w:ascii="Calibri" w:hAnsi="Calibri" w:cs="Calibri"/>
                <w:sz w:val="21"/>
                <w:szCs w:val="21"/>
              </w:rPr>
            </w:pPr>
            <w:r>
              <w:rPr>
                <w:rFonts w:hint="eastAsia"/>
                <w:sz w:val="21"/>
                <w:szCs w:val="21"/>
              </w:rPr>
              <w:t>0.032</w:t>
            </w:r>
          </w:p>
        </w:tc>
        <w:tc>
          <w:tcPr>
            <w:tcW w:w="1905" w:type="dxa"/>
            <w:noWrap w:val="0"/>
            <w:vAlign w:val="center"/>
          </w:tcPr>
          <w:p w14:paraId="54C51651">
            <w:pPr>
              <w:spacing w:line="240" w:lineRule="auto"/>
              <w:ind w:firstLine="0"/>
              <w:jc w:val="center"/>
              <w:rPr>
                <w:rFonts w:ascii="Calibri" w:hAnsi="Calibri" w:cs="Calibri"/>
                <w:sz w:val="21"/>
                <w:szCs w:val="21"/>
              </w:rPr>
            </w:pPr>
            <w:r>
              <w:rPr>
                <w:rFonts w:hint="eastAsia"/>
                <w:sz w:val="21"/>
                <w:szCs w:val="21"/>
              </w:rPr>
              <w:t>0.032</w:t>
            </w:r>
          </w:p>
        </w:tc>
        <w:tc>
          <w:tcPr>
            <w:tcW w:w="945" w:type="dxa"/>
            <w:noWrap w:val="0"/>
            <w:vAlign w:val="center"/>
          </w:tcPr>
          <w:p w14:paraId="44645B2E">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54648F66">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2BBEB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9AA0578">
            <w:pPr>
              <w:spacing w:line="240" w:lineRule="auto"/>
              <w:ind w:firstLine="0"/>
              <w:jc w:val="center"/>
              <w:rPr>
                <w:sz w:val="21"/>
                <w:szCs w:val="21"/>
              </w:rPr>
            </w:pPr>
          </w:p>
        </w:tc>
        <w:tc>
          <w:tcPr>
            <w:tcW w:w="1568" w:type="dxa"/>
            <w:vMerge w:val="restart"/>
            <w:noWrap w:val="0"/>
            <w:vAlign w:val="center"/>
          </w:tcPr>
          <w:p w14:paraId="3E7962D1">
            <w:pPr>
              <w:spacing w:line="240" w:lineRule="auto"/>
              <w:ind w:firstLine="0"/>
              <w:jc w:val="center"/>
              <w:rPr>
                <w:sz w:val="21"/>
                <w:szCs w:val="21"/>
              </w:rPr>
            </w:pPr>
            <w:r>
              <w:rPr>
                <w:rFonts w:hint="eastAsia"/>
                <w:sz w:val="21"/>
                <w:szCs w:val="21"/>
              </w:rPr>
              <w:t>2019.08.27</w:t>
            </w:r>
          </w:p>
        </w:tc>
        <w:tc>
          <w:tcPr>
            <w:tcW w:w="1675" w:type="dxa"/>
            <w:noWrap w:val="0"/>
            <w:tcMar>
              <w:top w:w="15" w:type="dxa"/>
              <w:left w:w="15" w:type="dxa"/>
              <w:bottom w:w="15" w:type="dxa"/>
              <w:right w:w="15" w:type="dxa"/>
            </w:tcMar>
            <w:vAlign w:val="center"/>
          </w:tcPr>
          <w:p w14:paraId="787F98D7">
            <w:pPr>
              <w:spacing w:line="310" w:lineRule="exact"/>
              <w:ind w:firstLine="0"/>
              <w:jc w:val="center"/>
              <w:rPr>
                <w:sz w:val="21"/>
                <w:szCs w:val="21"/>
              </w:rPr>
            </w:pPr>
            <w:r>
              <w:rPr>
                <w:sz w:val="21"/>
                <w:szCs w:val="21"/>
              </w:rPr>
              <w:t>02:00</w:t>
            </w:r>
          </w:p>
        </w:tc>
        <w:tc>
          <w:tcPr>
            <w:tcW w:w="1626" w:type="dxa"/>
            <w:noWrap w:val="0"/>
            <w:vAlign w:val="center"/>
          </w:tcPr>
          <w:p w14:paraId="0C4C507E">
            <w:pPr>
              <w:spacing w:line="240" w:lineRule="auto"/>
              <w:ind w:firstLine="0"/>
              <w:jc w:val="center"/>
              <w:rPr>
                <w:rFonts w:ascii="Calibri" w:hAnsi="Calibri" w:cs="Calibri"/>
                <w:sz w:val="21"/>
                <w:szCs w:val="21"/>
              </w:rPr>
            </w:pPr>
            <w:r>
              <w:rPr>
                <w:rFonts w:hint="eastAsia"/>
                <w:sz w:val="21"/>
                <w:szCs w:val="21"/>
              </w:rPr>
              <w:t>0.035</w:t>
            </w:r>
          </w:p>
        </w:tc>
        <w:tc>
          <w:tcPr>
            <w:tcW w:w="1905" w:type="dxa"/>
            <w:noWrap w:val="0"/>
            <w:vAlign w:val="center"/>
          </w:tcPr>
          <w:p w14:paraId="6C3797D7">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29CF4E48">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74E1B86F">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567C1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1E8C76D">
            <w:pPr>
              <w:spacing w:line="240" w:lineRule="auto"/>
              <w:ind w:firstLine="0"/>
              <w:jc w:val="center"/>
              <w:rPr>
                <w:sz w:val="21"/>
                <w:szCs w:val="21"/>
              </w:rPr>
            </w:pPr>
          </w:p>
        </w:tc>
        <w:tc>
          <w:tcPr>
            <w:tcW w:w="1568" w:type="dxa"/>
            <w:vMerge w:val="continue"/>
            <w:noWrap w:val="0"/>
            <w:vAlign w:val="center"/>
          </w:tcPr>
          <w:p w14:paraId="12C58EF7">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82F54C9">
            <w:pPr>
              <w:spacing w:line="310" w:lineRule="exact"/>
              <w:ind w:firstLine="0"/>
              <w:jc w:val="center"/>
              <w:rPr>
                <w:sz w:val="21"/>
                <w:szCs w:val="21"/>
              </w:rPr>
            </w:pPr>
            <w:r>
              <w:rPr>
                <w:sz w:val="21"/>
                <w:szCs w:val="21"/>
              </w:rPr>
              <w:t>08:00</w:t>
            </w:r>
          </w:p>
        </w:tc>
        <w:tc>
          <w:tcPr>
            <w:tcW w:w="1626" w:type="dxa"/>
            <w:noWrap w:val="0"/>
            <w:vAlign w:val="center"/>
          </w:tcPr>
          <w:p w14:paraId="1C0EA17B">
            <w:pPr>
              <w:spacing w:line="240" w:lineRule="auto"/>
              <w:ind w:firstLine="0"/>
              <w:jc w:val="center"/>
              <w:rPr>
                <w:rFonts w:ascii="Calibri" w:hAnsi="Calibri" w:cs="Calibri"/>
                <w:sz w:val="21"/>
                <w:szCs w:val="21"/>
              </w:rPr>
            </w:pPr>
            <w:r>
              <w:rPr>
                <w:rFonts w:hint="eastAsia"/>
                <w:sz w:val="21"/>
                <w:szCs w:val="21"/>
              </w:rPr>
              <w:t>0.032</w:t>
            </w:r>
          </w:p>
        </w:tc>
        <w:tc>
          <w:tcPr>
            <w:tcW w:w="1905" w:type="dxa"/>
            <w:noWrap w:val="0"/>
            <w:vAlign w:val="center"/>
          </w:tcPr>
          <w:p w14:paraId="57F7EB8F">
            <w:pPr>
              <w:spacing w:line="240" w:lineRule="auto"/>
              <w:ind w:firstLine="0"/>
              <w:jc w:val="center"/>
              <w:rPr>
                <w:rFonts w:ascii="Calibri" w:hAnsi="Calibri" w:cs="Calibri"/>
                <w:sz w:val="21"/>
                <w:szCs w:val="21"/>
              </w:rPr>
            </w:pPr>
            <w:r>
              <w:rPr>
                <w:rFonts w:hint="eastAsia"/>
                <w:sz w:val="21"/>
                <w:szCs w:val="21"/>
              </w:rPr>
              <w:t>0.033</w:t>
            </w:r>
          </w:p>
        </w:tc>
        <w:tc>
          <w:tcPr>
            <w:tcW w:w="945" w:type="dxa"/>
            <w:noWrap w:val="0"/>
            <w:vAlign w:val="center"/>
          </w:tcPr>
          <w:p w14:paraId="0F9C1E95">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0D288A32">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42C99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38A284B">
            <w:pPr>
              <w:spacing w:line="240" w:lineRule="auto"/>
              <w:ind w:firstLine="0"/>
              <w:jc w:val="center"/>
              <w:rPr>
                <w:sz w:val="21"/>
                <w:szCs w:val="21"/>
              </w:rPr>
            </w:pPr>
          </w:p>
        </w:tc>
        <w:tc>
          <w:tcPr>
            <w:tcW w:w="1568" w:type="dxa"/>
            <w:vMerge w:val="continue"/>
            <w:noWrap w:val="0"/>
            <w:vAlign w:val="center"/>
          </w:tcPr>
          <w:p w14:paraId="11D8927E">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78C2C980">
            <w:pPr>
              <w:spacing w:line="310" w:lineRule="exact"/>
              <w:ind w:firstLine="0"/>
              <w:jc w:val="center"/>
              <w:rPr>
                <w:sz w:val="21"/>
                <w:szCs w:val="21"/>
              </w:rPr>
            </w:pPr>
            <w:r>
              <w:rPr>
                <w:sz w:val="21"/>
                <w:szCs w:val="21"/>
              </w:rPr>
              <w:t>14:00</w:t>
            </w:r>
          </w:p>
        </w:tc>
        <w:tc>
          <w:tcPr>
            <w:tcW w:w="1626" w:type="dxa"/>
            <w:noWrap w:val="0"/>
            <w:vAlign w:val="center"/>
          </w:tcPr>
          <w:p w14:paraId="33DBF274">
            <w:pPr>
              <w:spacing w:line="240" w:lineRule="auto"/>
              <w:ind w:firstLine="0"/>
              <w:jc w:val="center"/>
              <w:rPr>
                <w:rFonts w:ascii="Calibri" w:hAnsi="Calibri" w:cs="Calibri"/>
                <w:sz w:val="21"/>
                <w:szCs w:val="21"/>
              </w:rPr>
            </w:pPr>
            <w:r>
              <w:rPr>
                <w:rFonts w:hint="eastAsia"/>
                <w:sz w:val="21"/>
                <w:szCs w:val="21"/>
              </w:rPr>
              <w:t>0.034</w:t>
            </w:r>
          </w:p>
        </w:tc>
        <w:tc>
          <w:tcPr>
            <w:tcW w:w="1905" w:type="dxa"/>
            <w:noWrap w:val="0"/>
            <w:vAlign w:val="center"/>
          </w:tcPr>
          <w:p w14:paraId="74E6268C">
            <w:pPr>
              <w:spacing w:line="240" w:lineRule="auto"/>
              <w:ind w:firstLine="0"/>
              <w:jc w:val="center"/>
              <w:rPr>
                <w:rFonts w:ascii="Calibri" w:hAnsi="Calibri" w:cs="Calibri"/>
                <w:sz w:val="21"/>
                <w:szCs w:val="21"/>
              </w:rPr>
            </w:pPr>
            <w:r>
              <w:rPr>
                <w:rFonts w:hint="eastAsia"/>
                <w:sz w:val="21"/>
                <w:szCs w:val="21"/>
              </w:rPr>
              <w:t>0.037</w:t>
            </w:r>
          </w:p>
        </w:tc>
        <w:tc>
          <w:tcPr>
            <w:tcW w:w="945" w:type="dxa"/>
            <w:noWrap w:val="0"/>
            <w:vAlign w:val="center"/>
          </w:tcPr>
          <w:p w14:paraId="788C2487">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7FD06EE4">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6BEE7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A35E2AA">
            <w:pPr>
              <w:spacing w:line="240" w:lineRule="auto"/>
              <w:ind w:firstLine="0"/>
              <w:jc w:val="center"/>
              <w:rPr>
                <w:sz w:val="21"/>
                <w:szCs w:val="21"/>
              </w:rPr>
            </w:pPr>
          </w:p>
        </w:tc>
        <w:tc>
          <w:tcPr>
            <w:tcW w:w="1568" w:type="dxa"/>
            <w:vMerge w:val="continue"/>
            <w:noWrap w:val="0"/>
            <w:vAlign w:val="center"/>
          </w:tcPr>
          <w:p w14:paraId="56B4EF3D">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9C9AD0E">
            <w:pPr>
              <w:spacing w:line="310" w:lineRule="exact"/>
              <w:ind w:firstLine="0"/>
              <w:jc w:val="center"/>
              <w:rPr>
                <w:sz w:val="21"/>
                <w:szCs w:val="21"/>
              </w:rPr>
            </w:pPr>
            <w:r>
              <w:rPr>
                <w:sz w:val="21"/>
                <w:szCs w:val="21"/>
              </w:rPr>
              <w:t>20:00</w:t>
            </w:r>
          </w:p>
        </w:tc>
        <w:tc>
          <w:tcPr>
            <w:tcW w:w="1626" w:type="dxa"/>
            <w:noWrap w:val="0"/>
            <w:vAlign w:val="center"/>
          </w:tcPr>
          <w:p w14:paraId="2780DC53">
            <w:pPr>
              <w:spacing w:line="240" w:lineRule="auto"/>
              <w:ind w:firstLine="0"/>
              <w:jc w:val="center"/>
              <w:rPr>
                <w:rFonts w:ascii="Calibri" w:hAnsi="Calibri" w:cs="Calibri"/>
                <w:sz w:val="21"/>
                <w:szCs w:val="21"/>
              </w:rPr>
            </w:pPr>
            <w:r>
              <w:rPr>
                <w:rFonts w:hint="eastAsia"/>
                <w:sz w:val="21"/>
                <w:szCs w:val="21"/>
              </w:rPr>
              <w:t>0.035</w:t>
            </w:r>
          </w:p>
        </w:tc>
        <w:tc>
          <w:tcPr>
            <w:tcW w:w="1905" w:type="dxa"/>
            <w:noWrap w:val="0"/>
            <w:vAlign w:val="center"/>
          </w:tcPr>
          <w:p w14:paraId="0744795F">
            <w:pPr>
              <w:spacing w:line="240" w:lineRule="auto"/>
              <w:ind w:firstLine="0"/>
              <w:jc w:val="center"/>
              <w:rPr>
                <w:rFonts w:ascii="Calibri" w:hAnsi="Calibri" w:cs="Calibri"/>
                <w:sz w:val="21"/>
                <w:szCs w:val="21"/>
              </w:rPr>
            </w:pPr>
            <w:r>
              <w:rPr>
                <w:rFonts w:hint="eastAsia"/>
                <w:sz w:val="21"/>
                <w:szCs w:val="21"/>
              </w:rPr>
              <w:t>0.039</w:t>
            </w:r>
          </w:p>
        </w:tc>
        <w:tc>
          <w:tcPr>
            <w:tcW w:w="945" w:type="dxa"/>
            <w:noWrap w:val="0"/>
            <w:vAlign w:val="center"/>
          </w:tcPr>
          <w:p w14:paraId="52D877C9">
            <w:pPr>
              <w:spacing w:line="240" w:lineRule="auto"/>
              <w:ind w:firstLine="0"/>
              <w:jc w:val="center"/>
              <w:rPr>
                <w:rFonts w:ascii="Calibri" w:hAnsi="Calibri" w:cs="Calibri"/>
                <w:sz w:val="21"/>
                <w:szCs w:val="21"/>
              </w:rPr>
            </w:pPr>
            <w:r>
              <w:rPr>
                <w:rFonts w:hint="eastAsia"/>
                <w:sz w:val="21"/>
                <w:szCs w:val="21"/>
                <w:lang w:val="en-US" w:eastAsia="zh-CN"/>
              </w:rPr>
              <w:t>0.05</w:t>
            </w:r>
          </w:p>
        </w:tc>
        <w:tc>
          <w:tcPr>
            <w:tcW w:w="887" w:type="dxa"/>
            <w:noWrap w:val="0"/>
            <w:vAlign w:val="center"/>
          </w:tcPr>
          <w:p w14:paraId="0B4742A0">
            <w:pPr>
              <w:spacing w:line="240" w:lineRule="auto"/>
              <w:ind w:firstLine="0"/>
              <w:jc w:val="center"/>
              <w:rPr>
                <w:rFonts w:ascii="Calibri" w:hAnsi="Calibri" w:cs="Calibri"/>
                <w:sz w:val="21"/>
                <w:szCs w:val="21"/>
              </w:rPr>
            </w:pPr>
            <w:r>
              <w:rPr>
                <w:rFonts w:hint="eastAsia"/>
                <w:sz w:val="21"/>
                <w:szCs w:val="21"/>
                <w:lang w:val="en-US" w:eastAsia="zh-CN"/>
              </w:rPr>
              <w:t>达标</w:t>
            </w:r>
          </w:p>
        </w:tc>
      </w:tr>
    </w:tbl>
    <w:p w14:paraId="73330425">
      <w:pPr>
        <w:ind w:firstLine="120"/>
        <w:jc w:val="center"/>
        <w:rPr>
          <w:b/>
          <w:bCs/>
          <w:sz w:val="24"/>
          <w:szCs w:val="24"/>
        </w:rPr>
      </w:pPr>
      <w:r>
        <w:rPr>
          <w:b/>
          <w:bCs/>
          <w:sz w:val="24"/>
          <w:szCs w:val="24"/>
        </w:rPr>
        <w:t xml:space="preserve">续表 </w:t>
      </w:r>
      <w:r>
        <w:rPr>
          <w:rFonts w:hint="eastAsia"/>
          <w:b/>
          <w:bCs/>
          <w:sz w:val="24"/>
          <w:szCs w:val="24"/>
          <w:lang w:val="en-US" w:eastAsia="zh-CN"/>
        </w:rPr>
        <w:t>5.4</w:t>
      </w:r>
      <w:r>
        <w:rPr>
          <w:b/>
          <w:bCs/>
          <w:sz w:val="24"/>
          <w:szCs w:val="24"/>
        </w:rPr>
        <w:t>-</w:t>
      </w:r>
      <w:r>
        <w:rPr>
          <w:rFonts w:hint="eastAsia"/>
          <w:b/>
          <w:bCs/>
          <w:sz w:val="24"/>
          <w:szCs w:val="24"/>
          <w:lang w:val="en-US" w:eastAsia="zh-CN"/>
        </w:rPr>
        <w:t>2</w:t>
      </w:r>
      <w:r>
        <w:rPr>
          <w:b/>
          <w:bCs/>
          <w:sz w:val="24"/>
          <w:szCs w:val="24"/>
        </w:rPr>
        <w:t xml:space="preserve"> 环境空气小时值检测结果一览表</w:t>
      </w:r>
    </w:p>
    <w:tbl>
      <w:tblPr>
        <w:tblStyle w:val="32"/>
        <w:tblW w:w="100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419"/>
        <w:gridCol w:w="1568"/>
        <w:gridCol w:w="1675"/>
        <w:gridCol w:w="1641"/>
        <w:gridCol w:w="1875"/>
        <w:gridCol w:w="1095"/>
        <w:gridCol w:w="752"/>
      </w:tblGrid>
      <w:tr w14:paraId="2CBD6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noWrap w:val="0"/>
            <w:tcMar>
              <w:top w:w="15" w:type="dxa"/>
              <w:left w:w="15" w:type="dxa"/>
              <w:bottom w:w="15" w:type="dxa"/>
              <w:right w:w="15" w:type="dxa"/>
            </w:tcMar>
            <w:vAlign w:val="center"/>
          </w:tcPr>
          <w:p w14:paraId="0D56FD9B">
            <w:pPr>
              <w:spacing w:line="240" w:lineRule="auto"/>
              <w:ind w:firstLine="0"/>
              <w:jc w:val="center"/>
              <w:rPr>
                <w:sz w:val="21"/>
                <w:szCs w:val="21"/>
              </w:rPr>
            </w:pPr>
            <w:r>
              <w:rPr>
                <w:sz w:val="21"/>
                <w:szCs w:val="21"/>
              </w:rPr>
              <w:t>分析</w:t>
            </w:r>
          </w:p>
          <w:p w14:paraId="30538FFD">
            <w:pPr>
              <w:spacing w:line="240" w:lineRule="auto"/>
              <w:ind w:firstLine="0"/>
              <w:jc w:val="center"/>
              <w:rPr>
                <w:sz w:val="21"/>
                <w:szCs w:val="21"/>
              </w:rPr>
            </w:pPr>
            <w:r>
              <w:rPr>
                <w:sz w:val="21"/>
                <w:szCs w:val="21"/>
              </w:rPr>
              <w:t>项目</w:t>
            </w:r>
          </w:p>
        </w:tc>
        <w:tc>
          <w:tcPr>
            <w:tcW w:w="1568" w:type="dxa"/>
            <w:noWrap w:val="0"/>
            <w:vAlign w:val="center"/>
          </w:tcPr>
          <w:p w14:paraId="7248B4F6">
            <w:pPr>
              <w:spacing w:line="240" w:lineRule="auto"/>
              <w:ind w:firstLine="0"/>
              <w:jc w:val="center"/>
              <w:rPr>
                <w:sz w:val="21"/>
                <w:szCs w:val="21"/>
              </w:rPr>
            </w:pPr>
            <w:r>
              <w:rPr>
                <w:sz w:val="21"/>
                <w:szCs w:val="21"/>
              </w:rPr>
              <w:t>日 期</w:t>
            </w:r>
          </w:p>
        </w:tc>
        <w:tc>
          <w:tcPr>
            <w:tcW w:w="1675" w:type="dxa"/>
            <w:noWrap w:val="0"/>
            <w:tcMar>
              <w:top w:w="15" w:type="dxa"/>
              <w:left w:w="15" w:type="dxa"/>
              <w:bottom w:w="15" w:type="dxa"/>
              <w:right w:w="15" w:type="dxa"/>
            </w:tcMar>
            <w:vAlign w:val="center"/>
          </w:tcPr>
          <w:p w14:paraId="72CD2761">
            <w:pPr>
              <w:spacing w:line="240" w:lineRule="auto"/>
              <w:ind w:firstLine="0"/>
              <w:jc w:val="center"/>
              <w:rPr>
                <w:sz w:val="21"/>
                <w:szCs w:val="21"/>
              </w:rPr>
            </w:pPr>
            <w:r>
              <w:rPr>
                <w:sz w:val="21"/>
                <w:szCs w:val="21"/>
              </w:rPr>
              <w:t>时间</w:t>
            </w:r>
          </w:p>
        </w:tc>
        <w:tc>
          <w:tcPr>
            <w:tcW w:w="1641" w:type="dxa"/>
            <w:noWrap w:val="0"/>
            <w:vAlign w:val="center"/>
          </w:tcPr>
          <w:p w14:paraId="10ED2493">
            <w:pPr>
              <w:spacing w:line="240" w:lineRule="auto"/>
              <w:ind w:firstLine="0"/>
              <w:contextualSpacing/>
              <w:jc w:val="center"/>
              <w:rPr>
                <w:sz w:val="21"/>
                <w:szCs w:val="21"/>
              </w:rPr>
            </w:pPr>
            <w:r>
              <w:rPr>
                <w:sz w:val="21"/>
                <w:szCs w:val="21"/>
              </w:rPr>
              <w:t>项目区</w:t>
            </w:r>
          </w:p>
          <w:p w14:paraId="138F20B7">
            <w:pPr>
              <w:spacing w:line="240" w:lineRule="auto"/>
              <w:ind w:firstLine="0"/>
              <w:contextualSpacing/>
              <w:jc w:val="center"/>
              <w:rPr>
                <w:sz w:val="21"/>
                <w:szCs w:val="21"/>
              </w:rPr>
            </w:pPr>
            <w:r>
              <w:rPr>
                <w:sz w:val="21"/>
                <w:szCs w:val="21"/>
              </w:rPr>
              <w:t>（HQ01）</w:t>
            </w:r>
          </w:p>
        </w:tc>
        <w:tc>
          <w:tcPr>
            <w:tcW w:w="1875" w:type="dxa"/>
            <w:noWrap w:val="0"/>
            <w:vAlign w:val="center"/>
          </w:tcPr>
          <w:p w14:paraId="6C82E491">
            <w:pPr>
              <w:spacing w:line="240" w:lineRule="auto"/>
              <w:ind w:firstLine="0"/>
              <w:jc w:val="center"/>
              <w:rPr>
                <w:sz w:val="21"/>
                <w:szCs w:val="21"/>
              </w:rPr>
            </w:pPr>
            <w:r>
              <w:rPr>
                <w:sz w:val="21"/>
                <w:szCs w:val="21"/>
              </w:rPr>
              <w:t>中东灰窑村（HQ02）</w:t>
            </w:r>
          </w:p>
        </w:tc>
        <w:tc>
          <w:tcPr>
            <w:tcW w:w="1095" w:type="dxa"/>
            <w:noWrap w:val="0"/>
            <w:vAlign w:val="center"/>
          </w:tcPr>
          <w:p w14:paraId="30974E4F">
            <w:pPr>
              <w:spacing w:line="240" w:lineRule="auto"/>
              <w:ind w:firstLine="0"/>
              <w:jc w:val="center"/>
              <w:rPr>
                <w:sz w:val="21"/>
                <w:szCs w:val="21"/>
              </w:rPr>
            </w:pPr>
            <w:r>
              <w:rPr>
                <w:rFonts w:hint="eastAsia"/>
                <w:sz w:val="21"/>
                <w:szCs w:val="21"/>
              </w:rPr>
              <w:t>标准值</w:t>
            </w:r>
          </w:p>
        </w:tc>
        <w:tc>
          <w:tcPr>
            <w:tcW w:w="752" w:type="dxa"/>
            <w:noWrap w:val="0"/>
            <w:vAlign w:val="center"/>
          </w:tcPr>
          <w:p w14:paraId="4B011E19">
            <w:pPr>
              <w:spacing w:line="240" w:lineRule="auto"/>
              <w:ind w:firstLine="0"/>
              <w:jc w:val="center"/>
              <w:rPr>
                <w:sz w:val="21"/>
                <w:szCs w:val="21"/>
              </w:rPr>
            </w:pPr>
            <w:r>
              <w:rPr>
                <w:rFonts w:hint="eastAsia"/>
                <w:sz w:val="21"/>
                <w:szCs w:val="21"/>
              </w:rPr>
              <w:t>达标情况</w:t>
            </w:r>
          </w:p>
        </w:tc>
      </w:tr>
      <w:tr w14:paraId="7BF0C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restart"/>
            <w:noWrap w:val="0"/>
            <w:tcMar>
              <w:top w:w="15" w:type="dxa"/>
              <w:left w:w="15" w:type="dxa"/>
              <w:bottom w:w="15" w:type="dxa"/>
              <w:right w:w="15" w:type="dxa"/>
            </w:tcMar>
            <w:vAlign w:val="center"/>
          </w:tcPr>
          <w:p w14:paraId="5439AB7F">
            <w:pPr>
              <w:spacing w:line="240" w:lineRule="auto"/>
              <w:ind w:firstLine="0"/>
              <w:jc w:val="center"/>
              <w:rPr>
                <w:sz w:val="21"/>
                <w:szCs w:val="21"/>
              </w:rPr>
            </w:pPr>
            <w:r>
              <w:rPr>
                <w:rFonts w:hint="eastAsia"/>
                <w:sz w:val="21"/>
                <w:szCs w:val="21"/>
              </w:rPr>
              <w:t>非甲烷总烃</w:t>
            </w:r>
          </w:p>
        </w:tc>
        <w:tc>
          <w:tcPr>
            <w:tcW w:w="1568" w:type="dxa"/>
            <w:vMerge w:val="restart"/>
            <w:noWrap w:val="0"/>
            <w:vAlign w:val="center"/>
          </w:tcPr>
          <w:p w14:paraId="3A3C5807">
            <w:pPr>
              <w:spacing w:line="240" w:lineRule="auto"/>
              <w:ind w:firstLine="0"/>
              <w:jc w:val="center"/>
              <w:rPr>
                <w:sz w:val="21"/>
                <w:szCs w:val="21"/>
              </w:rPr>
            </w:pPr>
            <w:r>
              <w:rPr>
                <w:rFonts w:hint="eastAsia"/>
                <w:sz w:val="21"/>
                <w:szCs w:val="21"/>
              </w:rPr>
              <w:t>2019.08.21</w:t>
            </w:r>
          </w:p>
        </w:tc>
        <w:tc>
          <w:tcPr>
            <w:tcW w:w="1675" w:type="dxa"/>
            <w:noWrap w:val="0"/>
            <w:tcMar>
              <w:top w:w="15" w:type="dxa"/>
              <w:left w:w="15" w:type="dxa"/>
              <w:bottom w:w="15" w:type="dxa"/>
              <w:right w:w="15" w:type="dxa"/>
            </w:tcMar>
            <w:vAlign w:val="center"/>
          </w:tcPr>
          <w:p w14:paraId="035DE09D">
            <w:pPr>
              <w:spacing w:line="310" w:lineRule="exact"/>
              <w:ind w:firstLine="0"/>
              <w:jc w:val="center"/>
              <w:rPr>
                <w:sz w:val="21"/>
                <w:szCs w:val="21"/>
              </w:rPr>
            </w:pPr>
            <w:r>
              <w:rPr>
                <w:sz w:val="21"/>
                <w:szCs w:val="21"/>
              </w:rPr>
              <w:t>02:00</w:t>
            </w:r>
          </w:p>
        </w:tc>
        <w:tc>
          <w:tcPr>
            <w:tcW w:w="1641" w:type="dxa"/>
            <w:noWrap w:val="0"/>
            <w:vAlign w:val="center"/>
          </w:tcPr>
          <w:p w14:paraId="5A685F0D">
            <w:pPr>
              <w:spacing w:line="240" w:lineRule="auto"/>
              <w:ind w:firstLine="0"/>
              <w:jc w:val="center"/>
              <w:rPr>
                <w:sz w:val="21"/>
                <w:szCs w:val="21"/>
              </w:rPr>
            </w:pPr>
            <w:r>
              <w:rPr>
                <w:rFonts w:hint="eastAsia"/>
                <w:sz w:val="21"/>
                <w:szCs w:val="21"/>
              </w:rPr>
              <w:t>0.24</w:t>
            </w:r>
          </w:p>
        </w:tc>
        <w:tc>
          <w:tcPr>
            <w:tcW w:w="1875" w:type="dxa"/>
            <w:noWrap w:val="0"/>
            <w:vAlign w:val="center"/>
          </w:tcPr>
          <w:p w14:paraId="6E14EBDC">
            <w:pPr>
              <w:spacing w:line="240" w:lineRule="auto"/>
              <w:ind w:firstLine="0"/>
              <w:jc w:val="center"/>
              <w:rPr>
                <w:sz w:val="21"/>
                <w:szCs w:val="21"/>
              </w:rPr>
            </w:pPr>
            <w:r>
              <w:rPr>
                <w:rFonts w:hint="eastAsia"/>
                <w:sz w:val="21"/>
                <w:szCs w:val="21"/>
              </w:rPr>
              <w:t>0.31</w:t>
            </w:r>
          </w:p>
        </w:tc>
        <w:tc>
          <w:tcPr>
            <w:tcW w:w="1095" w:type="dxa"/>
            <w:noWrap w:val="0"/>
            <w:vAlign w:val="center"/>
          </w:tcPr>
          <w:p w14:paraId="02960FCF">
            <w:pPr>
              <w:spacing w:line="240" w:lineRule="auto"/>
              <w:ind w:firstLine="0"/>
              <w:jc w:val="center"/>
              <w:rPr>
                <w:rFonts w:eastAsia="宋体"/>
                <w:sz w:val="21"/>
                <w:szCs w:val="21"/>
                <w:lang w:val="en-US" w:eastAsia="zh-CN"/>
              </w:rPr>
            </w:pPr>
            <w:r>
              <w:rPr>
                <w:rFonts w:hint="eastAsia"/>
                <w:sz w:val="21"/>
                <w:szCs w:val="21"/>
                <w:lang w:val="en-US" w:eastAsia="zh-CN"/>
              </w:rPr>
              <w:t>2.0</w:t>
            </w:r>
          </w:p>
        </w:tc>
        <w:tc>
          <w:tcPr>
            <w:tcW w:w="752" w:type="dxa"/>
            <w:noWrap w:val="0"/>
            <w:vAlign w:val="center"/>
          </w:tcPr>
          <w:p w14:paraId="445EEC77">
            <w:pPr>
              <w:spacing w:line="240" w:lineRule="auto"/>
              <w:ind w:firstLine="0"/>
              <w:jc w:val="center"/>
              <w:rPr>
                <w:rFonts w:hint="eastAsia" w:eastAsia="宋体"/>
                <w:sz w:val="21"/>
                <w:szCs w:val="21"/>
                <w:lang w:val="en-US" w:eastAsia="zh-CN"/>
              </w:rPr>
            </w:pPr>
            <w:r>
              <w:rPr>
                <w:rFonts w:hint="eastAsia"/>
                <w:sz w:val="21"/>
                <w:szCs w:val="21"/>
                <w:lang w:val="en-US" w:eastAsia="zh-CN"/>
              </w:rPr>
              <w:t>达标</w:t>
            </w:r>
          </w:p>
        </w:tc>
      </w:tr>
      <w:tr w14:paraId="2ECEF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0D48EAE">
            <w:pPr>
              <w:spacing w:line="240" w:lineRule="auto"/>
              <w:ind w:firstLine="0"/>
              <w:jc w:val="center"/>
              <w:rPr>
                <w:sz w:val="21"/>
                <w:szCs w:val="21"/>
              </w:rPr>
            </w:pPr>
          </w:p>
        </w:tc>
        <w:tc>
          <w:tcPr>
            <w:tcW w:w="1568" w:type="dxa"/>
            <w:vMerge w:val="continue"/>
            <w:noWrap w:val="0"/>
            <w:vAlign w:val="center"/>
          </w:tcPr>
          <w:p w14:paraId="7642407E">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5913BDC7">
            <w:pPr>
              <w:spacing w:line="310" w:lineRule="exact"/>
              <w:ind w:firstLine="0"/>
              <w:jc w:val="center"/>
              <w:rPr>
                <w:sz w:val="21"/>
                <w:szCs w:val="21"/>
              </w:rPr>
            </w:pPr>
            <w:r>
              <w:rPr>
                <w:sz w:val="21"/>
                <w:szCs w:val="21"/>
              </w:rPr>
              <w:t>08:00</w:t>
            </w:r>
          </w:p>
        </w:tc>
        <w:tc>
          <w:tcPr>
            <w:tcW w:w="1641" w:type="dxa"/>
            <w:noWrap w:val="0"/>
            <w:vAlign w:val="center"/>
          </w:tcPr>
          <w:p w14:paraId="37D17DD9">
            <w:pPr>
              <w:spacing w:line="240" w:lineRule="auto"/>
              <w:ind w:firstLine="0"/>
              <w:jc w:val="center"/>
              <w:rPr>
                <w:sz w:val="21"/>
                <w:szCs w:val="21"/>
              </w:rPr>
            </w:pPr>
            <w:r>
              <w:rPr>
                <w:rFonts w:hint="eastAsia"/>
                <w:sz w:val="21"/>
                <w:szCs w:val="21"/>
              </w:rPr>
              <w:t>0.31</w:t>
            </w:r>
          </w:p>
        </w:tc>
        <w:tc>
          <w:tcPr>
            <w:tcW w:w="1875" w:type="dxa"/>
            <w:noWrap w:val="0"/>
            <w:vAlign w:val="center"/>
          </w:tcPr>
          <w:p w14:paraId="1900C7F3">
            <w:pPr>
              <w:spacing w:line="240" w:lineRule="auto"/>
              <w:ind w:firstLine="0"/>
              <w:jc w:val="center"/>
              <w:rPr>
                <w:sz w:val="21"/>
                <w:szCs w:val="21"/>
              </w:rPr>
            </w:pPr>
            <w:r>
              <w:rPr>
                <w:rFonts w:hint="eastAsia"/>
                <w:sz w:val="21"/>
                <w:szCs w:val="21"/>
              </w:rPr>
              <w:t>0.37</w:t>
            </w:r>
          </w:p>
        </w:tc>
        <w:tc>
          <w:tcPr>
            <w:tcW w:w="1095" w:type="dxa"/>
            <w:noWrap w:val="0"/>
            <w:vAlign w:val="center"/>
          </w:tcPr>
          <w:p w14:paraId="41024FEE">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0D3FC8DD">
            <w:pPr>
              <w:spacing w:line="240" w:lineRule="auto"/>
              <w:ind w:firstLine="0"/>
              <w:jc w:val="center"/>
              <w:rPr>
                <w:sz w:val="21"/>
                <w:szCs w:val="21"/>
              </w:rPr>
            </w:pPr>
            <w:r>
              <w:rPr>
                <w:rFonts w:hint="eastAsia"/>
                <w:sz w:val="21"/>
                <w:szCs w:val="21"/>
                <w:lang w:val="en-US" w:eastAsia="zh-CN"/>
              </w:rPr>
              <w:t>达标</w:t>
            </w:r>
          </w:p>
        </w:tc>
      </w:tr>
      <w:tr w14:paraId="0E3EC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779D351">
            <w:pPr>
              <w:spacing w:line="240" w:lineRule="auto"/>
              <w:ind w:firstLine="0"/>
              <w:jc w:val="center"/>
              <w:rPr>
                <w:sz w:val="21"/>
                <w:szCs w:val="21"/>
              </w:rPr>
            </w:pPr>
          </w:p>
        </w:tc>
        <w:tc>
          <w:tcPr>
            <w:tcW w:w="1568" w:type="dxa"/>
            <w:vMerge w:val="continue"/>
            <w:noWrap w:val="0"/>
            <w:vAlign w:val="center"/>
          </w:tcPr>
          <w:p w14:paraId="23D7439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B74B58C">
            <w:pPr>
              <w:spacing w:line="310" w:lineRule="exact"/>
              <w:ind w:firstLine="0"/>
              <w:jc w:val="center"/>
              <w:rPr>
                <w:sz w:val="21"/>
                <w:szCs w:val="21"/>
              </w:rPr>
            </w:pPr>
            <w:r>
              <w:rPr>
                <w:sz w:val="21"/>
                <w:szCs w:val="21"/>
              </w:rPr>
              <w:t>14:00</w:t>
            </w:r>
          </w:p>
        </w:tc>
        <w:tc>
          <w:tcPr>
            <w:tcW w:w="1641" w:type="dxa"/>
            <w:noWrap w:val="0"/>
            <w:vAlign w:val="center"/>
          </w:tcPr>
          <w:p w14:paraId="0E114455">
            <w:pPr>
              <w:spacing w:line="240" w:lineRule="auto"/>
              <w:ind w:firstLine="0"/>
              <w:jc w:val="center"/>
              <w:rPr>
                <w:sz w:val="21"/>
                <w:szCs w:val="21"/>
              </w:rPr>
            </w:pPr>
            <w:r>
              <w:rPr>
                <w:rFonts w:hint="eastAsia"/>
                <w:sz w:val="21"/>
                <w:szCs w:val="21"/>
              </w:rPr>
              <w:t>0.53</w:t>
            </w:r>
          </w:p>
        </w:tc>
        <w:tc>
          <w:tcPr>
            <w:tcW w:w="1875" w:type="dxa"/>
            <w:noWrap w:val="0"/>
            <w:vAlign w:val="center"/>
          </w:tcPr>
          <w:p w14:paraId="07AEC72C">
            <w:pPr>
              <w:spacing w:line="240" w:lineRule="auto"/>
              <w:ind w:firstLine="0"/>
              <w:jc w:val="center"/>
              <w:rPr>
                <w:sz w:val="21"/>
                <w:szCs w:val="21"/>
              </w:rPr>
            </w:pPr>
            <w:r>
              <w:rPr>
                <w:rFonts w:hint="eastAsia"/>
                <w:sz w:val="21"/>
                <w:szCs w:val="21"/>
              </w:rPr>
              <w:t>0.46</w:t>
            </w:r>
          </w:p>
        </w:tc>
        <w:tc>
          <w:tcPr>
            <w:tcW w:w="1095" w:type="dxa"/>
            <w:noWrap w:val="0"/>
            <w:vAlign w:val="center"/>
          </w:tcPr>
          <w:p w14:paraId="176EB9C4">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04FE38D2">
            <w:pPr>
              <w:spacing w:line="240" w:lineRule="auto"/>
              <w:ind w:firstLine="0"/>
              <w:jc w:val="center"/>
              <w:rPr>
                <w:sz w:val="21"/>
                <w:szCs w:val="21"/>
              </w:rPr>
            </w:pPr>
            <w:r>
              <w:rPr>
                <w:rFonts w:hint="eastAsia"/>
                <w:sz w:val="21"/>
                <w:szCs w:val="21"/>
                <w:lang w:val="en-US" w:eastAsia="zh-CN"/>
              </w:rPr>
              <w:t>达标</w:t>
            </w:r>
          </w:p>
        </w:tc>
      </w:tr>
      <w:tr w14:paraId="0ED7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E36968D">
            <w:pPr>
              <w:spacing w:line="240" w:lineRule="auto"/>
              <w:ind w:firstLine="0"/>
              <w:jc w:val="center"/>
              <w:rPr>
                <w:sz w:val="21"/>
                <w:szCs w:val="21"/>
              </w:rPr>
            </w:pPr>
          </w:p>
        </w:tc>
        <w:tc>
          <w:tcPr>
            <w:tcW w:w="1568" w:type="dxa"/>
            <w:vMerge w:val="continue"/>
            <w:noWrap w:val="0"/>
            <w:vAlign w:val="center"/>
          </w:tcPr>
          <w:p w14:paraId="296A1841">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62DD3E7">
            <w:pPr>
              <w:spacing w:line="310" w:lineRule="exact"/>
              <w:ind w:firstLine="0"/>
              <w:jc w:val="center"/>
              <w:rPr>
                <w:sz w:val="21"/>
                <w:szCs w:val="21"/>
              </w:rPr>
            </w:pPr>
            <w:r>
              <w:rPr>
                <w:sz w:val="21"/>
                <w:szCs w:val="21"/>
              </w:rPr>
              <w:t>20:00</w:t>
            </w:r>
          </w:p>
        </w:tc>
        <w:tc>
          <w:tcPr>
            <w:tcW w:w="1641" w:type="dxa"/>
            <w:noWrap w:val="0"/>
            <w:vAlign w:val="center"/>
          </w:tcPr>
          <w:p w14:paraId="09FA378C">
            <w:pPr>
              <w:spacing w:line="240" w:lineRule="auto"/>
              <w:ind w:firstLine="0"/>
              <w:jc w:val="center"/>
              <w:rPr>
                <w:sz w:val="21"/>
                <w:szCs w:val="21"/>
              </w:rPr>
            </w:pPr>
            <w:r>
              <w:rPr>
                <w:rFonts w:hint="eastAsia"/>
                <w:sz w:val="21"/>
                <w:szCs w:val="21"/>
              </w:rPr>
              <w:t>0.41</w:t>
            </w:r>
          </w:p>
        </w:tc>
        <w:tc>
          <w:tcPr>
            <w:tcW w:w="1875" w:type="dxa"/>
            <w:noWrap w:val="0"/>
            <w:vAlign w:val="center"/>
          </w:tcPr>
          <w:p w14:paraId="147CF8A5">
            <w:pPr>
              <w:spacing w:line="240" w:lineRule="auto"/>
              <w:ind w:firstLine="0"/>
              <w:jc w:val="center"/>
              <w:rPr>
                <w:sz w:val="21"/>
                <w:szCs w:val="21"/>
              </w:rPr>
            </w:pPr>
            <w:r>
              <w:rPr>
                <w:rFonts w:hint="eastAsia"/>
                <w:sz w:val="21"/>
                <w:szCs w:val="21"/>
              </w:rPr>
              <w:t>0.36</w:t>
            </w:r>
          </w:p>
        </w:tc>
        <w:tc>
          <w:tcPr>
            <w:tcW w:w="1095" w:type="dxa"/>
            <w:noWrap w:val="0"/>
            <w:vAlign w:val="center"/>
          </w:tcPr>
          <w:p w14:paraId="3CA6DC71">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5098C51A">
            <w:pPr>
              <w:spacing w:line="240" w:lineRule="auto"/>
              <w:ind w:firstLine="0"/>
              <w:jc w:val="center"/>
              <w:rPr>
                <w:sz w:val="21"/>
                <w:szCs w:val="21"/>
              </w:rPr>
            </w:pPr>
            <w:r>
              <w:rPr>
                <w:rFonts w:hint="eastAsia"/>
                <w:sz w:val="21"/>
                <w:szCs w:val="21"/>
                <w:lang w:val="en-US" w:eastAsia="zh-CN"/>
              </w:rPr>
              <w:t>达标</w:t>
            </w:r>
          </w:p>
        </w:tc>
      </w:tr>
      <w:tr w14:paraId="26D5A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1DE6AEF">
            <w:pPr>
              <w:spacing w:line="240" w:lineRule="auto"/>
              <w:ind w:firstLine="0"/>
              <w:jc w:val="center"/>
              <w:rPr>
                <w:sz w:val="21"/>
                <w:szCs w:val="21"/>
              </w:rPr>
            </w:pPr>
          </w:p>
        </w:tc>
        <w:tc>
          <w:tcPr>
            <w:tcW w:w="1568" w:type="dxa"/>
            <w:vMerge w:val="restart"/>
            <w:noWrap w:val="0"/>
            <w:vAlign w:val="center"/>
          </w:tcPr>
          <w:p w14:paraId="017DB536">
            <w:pPr>
              <w:spacing w:line="240" w:lineRule="auto"/>
              <w:ind w:firstLine="0"/>
              <w:jc w:val="center"/>
              <w:rPr>
                <w:sz w:val="21"/>
                <w:szCs w:val="21"/>
              </w:rPr>
            </w:pPr>
            <w:r>
              <w:rPr>
                <w:rFonts w:hint="eastAsia"/>
                <w:sz w:val="21"/>
                <w:szCs w:val="21"/>
              </w:rPr>
              <w:t>2019.08.22</w:t>
            </w:r>
          </w:p>
        </w:tc>
        <w:tc>
          <w:tcPr>
            <w:tcW w:w="1675" w:type="dxa"/>
            <w:noWrap w:val="0"/>
            <w:tcMar>
              <w:top w:w="15" w:type="dxa"/>
              <w:left w:w="15" w:type="dxa"/>
              <w:bottom w:w="15" w:type="dxa"/>
              <w:right w:w="15" w:type="dxa"/>
            </w:tcMar>
            <w:vAlign w:val="center"/>
          </w:tcPr>
          <w:p w14:paraId="3FBD68D2">
            <w:pPr>
              <w:spacing w:line="310" w:lineRule="exact"/>
              <w:ind w:firstLine="0"/>
              <w:jc w:val="center"/>
              <w:rPr>
                <w:sz w:val="21"/>
                <w:szCs w:val="21"/>
              </w:rPr>
            </w:pPr>
            <w:r>
              <w:rPr>
                <w:sz w:val="21"/>
                <w:szCs w:val="21"/>
              </w:rPr>
              <w:t>02:00</w:t>
            </w:r>
          </w:p>
        </w:tc>
        <w:tc>
          <w:tcPr>
            <w:tcW w:w="1641" w:type="dxa"/>
            <w:noWrap w:val="0"/>
            <w:vAlign w:val="center"/>
          </w:tcPr>
          <w:p w14:paraId="0BEDAEBF">
            <w:pPr>
              <w:spacing w:line="240" w:lineRule="auto"/>
              <w:ind w:firstLine="0"/>
              <w:jc w:val="center"/>
              <w:rPr>
                <w:sz w:val="21"/>
                <w:szCs w:val="21"/>
              </w:rPr>
            </w:pPr>
            <w:r>
              <w:rPr>
                <w:rFonts w:hint="eastAsia"/>
                <w:sz w:val="21"/>
                <w:szCs w:val="21"/>
              </w:rPr>
              <w:t>0.20</w:t>
            </w:r>
          </w:p>
        </w:tc>
        <w:tc>
          <w:tcPr>
            <w:tcW w:w="1875" w:type="dxa"/>
            <w:noWrap w:val="0"/>
            <w:vAlign w:val="center"/>
          </w:tcPr>
          <w:p w14:paraId="5B316294">
            <w:pPr>
              <w:spacing w:line="240" w:lineRule="auto"/>
              <w:ind w:firstLine="0"/>
              <w:jc w:val="center"/>
              <w:rPr>
                <w:sz w:val="21"/>
                <w:szCs w:val="21"/>
              </w:rPr>
            </w:pPr>
            <w:r>
              <w:rPr>
                <w:rFonts w:hint="eastAsia"/>
                <w:sz w:val="21"/>
                <w:szCs w:val="21"/>
              </w:rPr>
              <w:t>0.24</w:t>
            </w:r>
          </w:p>
        </w:tc>
        <w:tc>
          <w:tcPr>
            <w:tcW w:w="1095" w:type="dxa"/>
            <w:noWrap w:val="0"/>
            <w:vAlign w:val="center"/>
          </w:tcPr>
          <w:p w14:paraId="7988AAC1">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46F16578">
            <w:pPr>
              <w:spacing w:line="240" w:lineRule="auto"/>
              <w:ind w:firstLine="0"/>
              <w:jc w:val="center"/>
              <w:rPr>
                <w:sz w:val="21"/>
                <w:szCs w:val="21"/>
              </w:rPr>
            </w:pPr>
            <w:r>
              <w:rPr>
                <w:rFonts w:hint="eastAsia"/>
                <w:sz w:val="21"/>
                <w:szCs w:val="21"/>
                <w:lang w:val="en-US" w:eastAsia="zh-CN"/>
              </w:rPr>
              <w:t>达标</w:t>
            </w:r>
          </w:p>
        </w:tc>
      </w:tr>
      <w:tr w14:paraId="1CC43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7C44139">
            <w:pPr>
              <w:spacing w:line="240" w:lineRule="auto"/>
              <w:ind w:firstLine="0"/>
              <w:jc w:val="center"/>
              <w:rPr>
                <w:sz w:val="21"/>
                <w:szCs w:val="21"/>
              </w:rPr>
            </w:pPr>
          </w:p>
        </w:tc>
        <w:tc>
          <w:tcPr>
            <w:tcW w:w="1568" w:type="dxa"/>
            <w:vMerge w:val="continue"/>
            <w:noWrap w:val="0"/>
            <w:vAlign w:val="center"/>
          </w:tcPr>
          <w:p w14:paraId="14026DF7">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7FEF001D">
            <w:pPr>
              <w:spacing w:line="310" w:lineRule="exact"/>
              <w:ind w:firstLine="0"/>
              <w:jc w:val="center"/>
              <w:rPr>
                <w:sz w:val="21"/>
                <w:szCs w:val="21"/>
              </w:rPr>
            </w:pPr>
            <w:r>
              <w:rPr>
                <w:sz w:val="21"/>
                <w:szCs w:val="21"/>
              </w:rPr>
              <w:t>08:00</w:t>
            </w:r>
          </w:p>
        </w:tc>
        <w:tc>
          <w:tcPr>
            <w:tcW w:w="1641" w:type="dxa"/>
            <w:noWrap w:val="0"/>
            <w:vAlign w:val="center"/>
          </w:tcPr>
          <w:p w14:paraId="2BC45A56">
            <w:pPr>
              <w:spacing w:line="240" w:lineRule="auto"/>
              <w:ind w:firstLine="0"/>
              <w:jc w:val="center"/>
              <w:rPr>
                <w:sz w:val="21"/>
                <w:szCs w:val="21"/>
              </w:rPr>
            </w:pPr>
            <w:r>
              <w:rPr>
                <w:rFonts w:hint="eastAsia"/>
                <w:sz w:val="21"/>
                <w:szCs w:val="21"/>
              </w:rPr>
              <w:t>0.26</w:t>
            </w:r>
          </w:p>
        </w:tc>
        <w:tc>
          <w:tcPr>
            <w:tcW w:w="1875" w:type="dxa"/>
            <w:noWrap w:val="0"/>
            <w:vAlign w:val="center"/>
          </w:tcPr>
          <w:p w14:paraId="3FFE4F6F">
            <w:pPr>
              <w:spacing w:line="240" w:lineRule="auto"/>
              <w:ind w:firstLine="0"/>
              <w:jc w:val="center"/>
              <w:rPr>
                <w:sz w:val="21"/>
                <w:szCs w:val="21"/>
              </w:rPr>
            </w:pPr>
            <w:r>
              <w:rPr>
                <w:rFonts w:hint="eastAsia"/>
                <w:sz w:val="21"/>
                <w:szCs w:val="21"/>
              </w:rPr>
              <w:t>0.30</w:t>
            </w:r>
          </w:p>
        </w:tc>
        <w:tc>
          <w:tcPr>
            <w:tcW w:w="1095" w:type="dxa"/>
            <w:noWrap w:val="0"/>
            <w:vAlign w:val="center"/>
          </w:tcPr>
          <w:p w14:paraId="5A17F1E0">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6FE587B9">
            <w:pPr>
              <w:spacing w:line="240" w:lineRule="auto"/>
              <w:ind w:firstLine="0"/>
              <w:jc w:val="center"/>
              <w:rPr>
                <w:sz w:val="21"/>
                <w:szCs w:val="21"/>
              </w:rPr>
            </w:pPr>
            <w:r>
              <w:rPr>
                <w:rFonts w:hint="eastAsia"/>
                <w:sz w:val="21"/>
                <w:szCs w:val="21"/>
                <w:lang w:val="en-US" w:eastAsia="zh-CN"/>
              </w:rPr>
              <w:t>达标</w:t>
            </w:r>
          </w:p>
        </w:tc>
      </w:tr>
      <w:tr w14:paraId="5548A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A365621">
            <w:pPr>
              <w:spacing w:line="240" w:lineRule="auto"/>
              <w:ind w:firstLine="0"/>
              <w:jc w:val="center"/>
              <w:rPr>
                <w:sz w:val="21"/>
                <w:szCs w:val="21"/>
              </w:rPr>
            </w:pPr>
          </w:p>
        </w:tc>
        <w:tc>
          <w:tcPr>
            <w:tcW w:w="1568" w:type="dxa"/>
            <w:vMerge w:val="continue"/>
            <w:noWrap w:val="0"/>
            <w:vAlign w:val="center"/>
          </w:tcPr>
          <w:p w14:paraId="6C842959">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57227E90">
            <w:pPr>
              <w:spacing w:line="310" w:lineRule="exact"/>
              <w:ind w:firstLine="0"/>
              <w:jc w:val="center"/>
              <w:rPr>
                <w:sz w:val="21"/>
                <w:szCs w:val="21"/>
              </w:rPr>
            </w:pPr>
            <w:r>
              <w:rPr>
                <w:sz w:val="21"/>
                <w:szCs w:val="21"/>
              </w:rPr>
              <w:t>14:00</w:t>
            </w:r>
          </w:p>
        </w:tc>
        <w:tc>
          <w:tcPr>
            <w:tcW w:w="1641" w:type="dxa"/>
            <w:noWrap w:val="0"/>
            <w:vAlign w:val="center"/>
          </w:tcPr>
          <w:p w14:paraId="2D689C92">
            <w:pPr>
              <w:spacing w:line="240" w:lineRule="auto"/>
              <w:ind w:firstLine="0"/>
              <w:jc w:val="center"/>
              <w:rPr>
                <w:sz w:val="21"/>
                <w:szCs w:val="21"/>
              </w:rPr>
            </w:pPr>
            <w:r>
              <w:rPr>
                <w:rFonts w:hint="eastAsia"/>
                <w:sz w:val="21"/>
                <w:szCs w:val="21"/>
              </w:rPr>
              <w:t>0.45</w:t>
            </w:r>
          </w:p>
        </w:tc>
        <w:tc>
          <w:tcPr>
            <w:tcW w:w="1875" w:type="dxa"/>
            <w:noWrap w:val="0"/>
            <w:vAlign w:val="center"/>
          </w:tcPr>
          <w:p w14:paraId="123AF64E">
            <w:pPr>
              <w:spacing w:line="240" w:lineRule="auto"/>
              <w:ind w:firstLine="0"/>
              <w:jc w:val="center"/>
              <w:rPr>
                <w:sz w:val="21"/>
                <w:szCs w:val="21"/>
              </w:rPr>
            </w:pPr>
            <w:r>
              <w:rPr>
                <w:rFonts w:hint="eastAsia"/>
                <w:sz w:val="21"/>
                <w:szCs w:val="21"/>
              </w:rPr>
              <w:t>0.54</w:t>
            </w:r>
          </w:p>
        </w:tc>
        <w:tc>
          <w:tcPr>
            <w:tcW w:w="1095" w:type="dxa"/>
            <w:noWrap w:val="0"/>
            <w:vAlign w:val="center"/>
          </w:tcPr>
          <w:p w14:paraId="54D7C10F">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6BFAC48D">
            <w:pPr>
              <w:spacing w:line="240" w:lineRule="auto"/>
              <w:ind w:firstLine="0"/>
              <w:jc w:val="center"/>
              <w:rPr>
                <w:sz w:val="21"/>
                <w:szCs w:val="21"/>
              </w:rPr>
            </w:pPr>
            <w:r>
              <w:rPr>
                <w:rFonts w:hint="eastAsia"/>
                <w:sz w:val="21"/>
                <w:szCs w:val="21"/>
                <w:lang w:val="en-US" w:eastAsia="zh-CN"/>
              </w:rPr>
              <w:t>达标</w:t>
            </w:r>
          </w:p>
        </w:tc>
      </w:tr>
      <w:tr w14:paraId="52FC9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5AA79E0">
            <w:pPr>
              <w:spacing w:line="240" w:lineRule="auto"/>
              <w:ind w:firstLine="0"/>
              <w:jc w:val="center"/>
              <w:rPr>
                <w:sz w:val="21"/>
                <w:szCs w:val="21"/>
              </w:rPr>
            </w:pPr>
          </w:p>
        </w:tc>
        <w:tc>
          <w:tcPr>
            <w:tcW w:w="1568" w:type="dxa"/>
            <w:vMerge w:val="continue"/>
            <w:noWrap w:val="0"/>
            <w:vAlign w:val="center"/>
          </w:tcPr>
          <w:p w14:paraId="337E9604">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4E40FFBD">
            <w:pPr>
              <w:spacing w:line="310" w:lineRule="exact"/>
              <w:ind w:firstLine="0"/>
              <w:jc w:val="center"/>
              <w:rPr>
                <w:sz w:val="21"/>
                <w:szCs w:val="21"/>
              </w:rPr>
            </w:pPr>
            <w:r>
              <w:rPr>
                <w:sz w:val="21"/>
                <w:szCs w:val="21"/>
              </w:rPr>
              <w:t>20:00</w:t>
            </w:r>
          </w:p>
        </w:tc>
        <w:tc>
          <w:tcPr>
            <w:tcW w:w="1641" w:type="dxa"/>
            <w:noWrap w:val="0"/>
            <w:vAlign w:val="center"/>
          </w:tcPr>
          <w:p w14:paraId="3F4FC9C4">
            <w:pPr>
              <w:spacing w:line="240" w:lineRule="auto"/>
              <w:ind w:firstLine="0"/>
              <w:jc w:val="center"/>
              <w:rPr>
                <w:sz w:val="21"/>
                <w:szCs w:val="21"/>
              </w:rPr>
            </w:pPr>
            <w:r>
              <w:rPr>
                <w:rFonts w:hint="eastAsia"/>
                <w:sz w:val="21"/>
                <w:szCs w:val="21"/>
              </w:rPr>
              <w:t>0.33</w:t>
            </w:r>
          </w:p>
        </w:tc>
        <w:tc>
          <w:tcPr>
            <w:tcW w:w="1875" w:type="dxa"/>
            <w:noWrap w:val="0"/>
            <w:vAlign w:val="center"/>
          </w:tcPr>
          <w:p w14:paraId="4E259BB6">
            <w:pPr>
              <w:spacing w:line="240" w:lineRule="auto"/>
              <w:ind w:firstLine="0"/>
              <w:jc w:val="center"/>
              <w:rPr>
                <w:sz w:val="21"/>
                <w:szCs w:val="21"/>
              </w:rPr>
            </w:pPr>
            <w:r>
              <w:rPr>
                <w:rFonts w:hint="eastAsia"/>
                <w:sz w:val="21"/>
                <w:szCs w:val="21"/>
              </w:rPr>
              <w:t>0.37</w:t>
            </w:r>
          </w:p>
        </w:tc>
        <w:tc>
          <w:tcPr>
            <w:tcW w:w="1095" w:type="dxa"/>
            <w:noWrap w:val="0"/>
            <w:vAlign w:val="center"/>
          </w:tcPr>
          <w:p w14:paraId="1CC2D0AF">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5BF41D84">
            <w:pPr>
              <w:spacing w:line="240" w:lineRule="auto"/>
              <w:ind w:firstLine="0"/>
              <w:jc w:val="center"/>
              <w:rPr>
                <w:sz w:val="21"/>
                <w:szCs w:val="21"/>
              </w:rPr>
            </w:pPr>
            <w:r>
              <w:rPr>
                <w:rFonts w:hint="eastAsia"/>
                <w:sz w:val="21"/>
                <w:szCs w:val="21"/>
                <w:lang w:val="en-US" w:eastAsia="zh-CN"/>
              </w:rPr>
              <w:t>达标</w:t>
            </w:r>
          </w:p>
        </w:tc>
      </w:tr>
      <w:tr w14:paraId="06BA4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15C44C49">
            <w:pPr>
              <w:spacing w:line="240" w:lineRule="auto"/>
              <w:ind w:firstLine="0"/>
              <w:jc w:val="center"/>
              <w:rPr>
                <w:sz w:val="21"/>
                <w:szCs w:val="21"/>
              </w:rPr>
            </w:pPr>
          </w:p>
        </w:tc>
        <w:tc>
          <w:tcPr>
            <w:tcW w:w="1568" w:type="dxa"/>
            <w:vMerge w:val="restart"/>
            <w:noWrap w:val="0"/>
            <w:vAlign w:val="center"/>
          </w:tcPr>
          <w:p w14:paraId="0133D74C">
            <w:pPr>
              <w:spacing w:line="240" w:lineRule="auto"/>
              <w:ind w:firstLine="0"/>
              <w:jc w:val="center"/>
              <w:rPr>
                <w:sz w:val="21"/>
                <w:szCs w:val="21"/>
              </w:rPr>
            </w:pPr>
            <w:r>
              <w:rPr>
                <w:rFonts w:hint="eastAsia"/>
                <w:sz w:val="21"/>
                <w:szCs w:val="21"/>
              </w:rPr>
              <w:t>2019.08.23</w:t>
            </w:r>
          </w:p>
        </w:tc>
        <w:tc>
          <w:tcPr>
            <w:tcW w:w="1675" w:type="dxa"/>
            <w:noWrap w:val="0"/>
            <w:tcMar>
              <w:top w:w="15" w:type="dxa"/>
              <w:left w:w="15" w:type="dxa"/>
              <w:bottom w:w="15" w:type="dxa"/>
              <w:right w:w="15" w:type="dxa"/>
            </w:tcMar>
            <w:vAlign w:val="center"/>
          </w:tcPr>
          <w:p w14:paraId="0F5ABE69">
            <w:pPr>
              <w:spacing w:line="310" w:lineRule="exact"/>
              <w:ind w:firstLine="0"/>
              <w:jc w:val="center"/>
              <w:rPr>
                <w:sz w:val="21"/>
                <w:szCs w:val="21"/>
              </w:rPr>
            </w:pPr>
            <w:r>
              <w:rPr>
                <w:sz w:val="21"/>
                <w:szCs w:val="21"/>
              </w:rPr>
              <w:t>02:00</w:t>
            </w:r>
          </w:p>
        </w:tc>
        <w:tc>
          <w:tcPr>
            <w:tcW w:w="1641" w:type="dxa"/>
            <w:noWrap w:val="0"/>
            <w:vAlign w:val="center"/>
          </w:tcPr>
          <w:p w14:paraId="32ACC208">
            <w:pPr>
              <w:spacing w:line="240" w:lineRule="auto"/>
              <w:ind w:firstLine="0"/>
              <w:jc w:val="center"/>
              <w:rPr>
                <w:sz w:val="21"/>
                <w:szCs w:val="21"/>
              </w:rPr>
            </w:pPr>
            <w:r>
              <w:rPr>
                <w:rFonts w:hint="eastAsia"/>
                <w:sz w:val="21"/>
                <w:szCs w:val="21"/>
              </w:rPr>
              <w:t>0.21</w:t>
            </w:r>
          </w:p>
        </w:tc>
        <w:tc>
          <w:tcPr>
            <w:tcW w:w="1875" w:type="dxa"/>
            <w:noWrap w:val="0"/>
            <w:vAlign w:val="center"/>
          </w:tcPr>
          <w:p w14:paraId="2EE97EAB">
            <w:pPr>
              <w:spacing w:line="240" w:lineRule="auto"/>
              <w:ind w:firstLine="0"/>
              <w:jc w:val="center"/>
              <w:rPr>
                <w:sz w:val="21"/>
                <w:szCs w:val="21"/>
              </w:rPr>
            </w:pPr>
            <w:r>
              <w:rPr>
                <w:rFonts w:hint="eastAsia"/>
                <w:sz w:val="21"/>
                <w:szCs w:val="21"/>
              </w:rPr>
              <w:t>0.21</w:t>
            </w:r>
          </w:p>
        </w:tc>
        <w:tc>
          <w:tcPr>
            <w:tcW w:w="1095" w:type="dxa"/>
            <w:noWrap w:val="0"/>
            <w:vAlign w:val="center"/>
          </w:tcPr>
          <w:p w14:paraId="24BE506E">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6E4F5C25">
            <w:pPr>
              <w:spacing w:line="240" w:lineRule="auto"/>
              <w:ind w:firstLine="0"/>
              <w:jc w:val="center"/>
              <w:rPr>
                <w:sz w:val="21"/>
                <w:szCs w:val="21"/>
              </w:rPr>
            </w:pPr>
            <w:r>
              <w:rPr>
                <w:rFonts w:hint="eastAsia"/>
                <w:sz w:val="21"/>
                <w:szCs w:val="21"/>
                <w:lang w:val="en-US" w:eastAsia="zh-CN"/>
              </w:rPr>
              <w:t>达标</w:t>
            </w:r>
          </w:p>
        </w:tc>
      </w:tr>
      <w:tr w14:paraId="1C70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EA38366">
            <w:pPr>
              <w:spacing w:line="240" w:lineRule="auto"/>
              <w:ind w:firstLine="0"/>
              <w:jc w:val="center"/>
              <w:rPr>
                <w:sz w:val="21"/>
                <w:szCs w:val="21"/>
              </w:rPr>
            </w:pPr>
          </w:p>
        </w:tc>
        <w:tc>
          <w:tcPr>
            <w:tcW w:w="1568" w:type="dxa"/>
            <w:vMerge w:val="continue"/>
            <w:noWrap w:val="0"/>
            <w:vAlign w:val="center"/>
          </w:tcPr>
          <w:p w14:paraId="1037E786">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125AB63">
            <w:pPr>
              <w:spacing w:line="310" w:lineRule="exact"/>
              <w:ind w:firstLine="0"/>
              <w:jc w:val="center"/>
              <w:rPr>
                <w:sz w:val="21"/>
                <w:szCs w:val="21"/>
              </w:rPr>
            </w:pPr>
            <w:r>
              <w:rPr>
                <w:sz w:val="21"/>
                <w:szCs w:val="21"/>
              </w:rPr>
              <w:t>08:00</w:t>
            </w:r>
          </w:p>
        </w:tc>
        <w:tc>
          <w:tcPr>
            <w:tcW w:w="1641" w:type="dxa"/>
            <w:noWrap w:val="0"/>
            <w:vAlign w:val="center"/>
          </w:tcPr>
          <w:p w14:paraId="748592B2">
            <w:pPr>
              <w:spacing w:line="240" w:lineRule="auto"/>
              <w:ind w:firstLine="0"/>
              <w:jc w:val="center"/>
              <w:rPr>
                <w:sz w:val="21"/>
                <w:szCs w:val="21"/>
              </w:rPr>
            </w:pPr>
            <w:r>
              <w:rPr>
                <w:rFonts w:hint="eastAsia"/>
                <w:sz w:val="21"/>
                <w:szCs w:val="21"/>
              </w:rPr>
              <w:t>0.26</w:t>
            </w:r>
          </w:p>
        </w:tc>
        <w:tc>
          <w:tcPr>
            <w:tcW w:w="1875" w:type="dxa"/>
            <w:noWrap w:val="0"/>
            <w:vAlign w:val="center"/>
          </w:tcPr>
          <w:p w14:paraId="0E98E374">
            <w:pPr>
              <w:spacing w:line="240" w:lineRule="auto"/>
              <w:ind w:firstLine="0"/>
              <w:jc w:val="center"/>
              <w:rPr>
                <w:sz w:val="21"/>
                <w:szCs w:val="21"/>
              </w:rPr>
            </w:pPr>
            <w:r>
              <w:rPr>
                <w:rFonts w:hint="eastAsia"/>
                <w:sz w:val="21"/>
                <w:szCs w:val="21"/>
              </w:rPr>
              <w:t>0.26</w:t>
            </w:r>
          </w:p>
        </w:tc>
        <w:tc>
          <w:tcPr>
            <w:tcW w:w="1095" w:type="dxa"/>
            <w:noWrap w:val="0"/>
            <w:vAlign w:val="center"/>
          </w:tcPr>
          <w:p w14:paraId="1B2BA4B1">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61A4D4D2">
            <w:pPr>
              <w:spacing w:line="240" w:lineRule="auto"/>
              <w:ind w:firstLine="0"/>
              <w:jc w:val="center"/>
              <w:rPr>
                <w:sz w:val="21"/>
                <w:szCs w:val="21"/>
              </w:rPr>
            </w:pPr>
            <w:r>
              <w:rPr>
                <w:rFonts w:hint="eastAsia"/>
                <w:sz w:val="21"/>
                <w:szCs w:val="21"/>
                <w:lang w:val="en-US" w:eastAsia="zh-CN"/>
              </w:rPr>
              <w:t>达标</w:t>
            </w:r>
          </w:p>
        </w:tc>
      </w:tr>
      <w:tr w14:paraId="711E5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5EB21B4">
            <w:pPr>
              <w:spacing w:line="240" w:lineRule="auto"/>
              <w:ind w:firstLine="0"/>
              <w:jc w:val="center"/>
              <w:rPr>
                <w:sz w:val="21"/>
                <w:szCs w:val="21"/>
              </w:rPr>
            </w:pPr>
          </w:p>
        </w:tc>
        <w:tc>
          <w:tcPr>
            <w:tcW w:w="1568" w:type="dxa"/>
            <w:vMerge w:val="continue"/>
            <w:noWrap w:val="0"/>
            <w:vAlign w:val="center"/>
          </w:tcPr>
          <w:p w14:paraId="03A24769">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D5E2075">
            <w:pPr>
              <w:spacing w:line="310" w:lineRule="exact"/>
              <w:ind w:firstLine="0"/>
              <w:jc w:val="center"/>
              <w:rPr>
                <w:sz w:val="21"/>
                <w:szCs w:val="21"/>
              </w:rPr>
            </w:pPr>
            <w:r>
              <w:rPr>
                <w:sz w:val="21"/>
                <w:szCs w:val="21"/>
              </w:rPr>
              <w:t>14:00</w:t>
            </w:r>
          </w:p>
        </w:tc>
        <w:tc>
          <w:tcPr>
            <w:tcW w:w="1641" w:type="dxa"/>
            <w:noWrap w:val="0"/>
            <w:vAlign w:val="center"/>
          </w:tcPr>
          <w:p w14:paraId="4B47BEDB">
            <w:pPr>
              <w:spacing w:line="240" w:lineRule="auto"/>
              <w:ind w:firstLine="0"/>
              <w:jc w:val="center"/>
              <w:rPr>
                <w:sz w:val="21"/>
                <w:szCs w:val="21"/>
              </w:rPr>
            </w:pPr>
            <w:r>
              <w:rPr>
                <w:rFonts w:hint="eastAsia"/>
                <w:sz w:val="21"/>
                <w:szCs w:val="21"/>
              </w:rPr>
              <w:t>0.54</w:t>
            </w:r>
          </w:p>
        </w:tc>
        <w:tc>
          <w:tcPr>
            <w:tcW w:w="1875" w:type="dxa"/>
            <w:noWrap w:val="0"/>
            <w:vAlign w:val="center"/>
          </w:tcPr>
          <w:p w14:paraId="024B3869">
            <w:pPr>
              <w:spacing w:line="240" w:lineRule="auto"/>
              <w:ind w:firstLine="0"/>
              <w:jc w:val="center"/>
              <w:rPr>
                <w:sz w:val="21"/>
                <w:szCs w:val="21"/>
              </w:rPr>
            </w:pPr>
            <w:r>
              <w:rPr>
                <w:rFonts w:hint="eastAsia"/>
                <w:sz w:val="21"/>
                <w:szCs w:val="21"/>
              </w:rPr>
              <w:t>0.53</w:t>
            </w:r>
          </w:p>
        </w:tc>
        <w:tc>
          <w:tcPr>
            <w:tcW w:w="1095" w:type="dxa"/>
            <w:noWrap w:val="0"/>
            <w:vAlign w:val="center"/>
          </w:tcPr>
          <w:p w14:paraId="7C389321">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719A09C9">
            <w:pPr>
              <w:spacing w:line="240" w:lineRule="auto"/>
              <w:ind w:firstLine="0"/>
              <w:jc w:val="center"/>
              <w:rPr>
                <w:sz w:val="21"/>
                <w:szCs w:val="21"/>
              </w:rPr>
            </w:pPr>
            <w:r>
              <w:rPr>
                <w:rFonts w:hint="eastAsia"/>
                <w:sz w:val="21"/>
                <w:szCs w:val="21"/>
                <w:lang w:val="en-US" w:eastAsia="zh-CN"/>
              </w:rPr>
              <w:t>达标</w:t>
            </w:r>
          </w:p>
        </w:tc>
      </w:tr>
      <w:tr w14:paraId="61480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8DD18C8">
            <w:pPr>
              <w:spacing w:line="240" w:lineRule="auto"/>
              <w:ind w:firstLine="0"/>
              <w:jc w:val="center"/>
              <w:rPr>
                <w:sz w:val="21"/>
                <w:szCs w:val="21"/>
              </w:rPr>
            </w:pPr>
          </w:p>
        </w:tc>
        <w:tc>
          <w:tcPr>
            <w:tcW w:w="1568" w:type="dxa"/>
            <w:vMerge w:val="continue"/>
            <w:noWrap w:val="0"/>
            <w:vAlign w:val="center"/>
          </w:tcPr>
          <w:p w14:paraId="50F64BC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31BCA50">
            <w:pPr>
              <w:spacing w:line="310" w:lineRule="exact"/>
              <w:ind w:firstLine="0"/>
              <w:jc w:val="center"/>
              <w:rPr>
                <w:sz w:val="21"/>
                <w:szCs w:val="21"/>
              </w:rPr>
            </w:pPr>
            <w:r>
              <w:rPr>
                <w:sz w:val="21"/>
                <w:szCs w:val="21"/>
              </w:rPr>
              <w:t>20:00</w:t>
            </w:r>
          </w:p>
        </w:tc>
        <w:tc>
          <w:tcPr>
            <w:tcW w:w="1641" w:type="dxa"/>
            <w:noWrap w:val="0"/>
            <w:vAlign w:val="center"/>
          </w:tcPr>
          <w:p w14:paraId="04B2BDBA">
            <w:pPr>
              <w:spacing w:line="240" w:lineRule="auto"/>
              <w:ind w:firstLine="0"/>
              <w:jc w:val="center"/>
              <w:rPr>
                <w:sz w:val="21"/>
                <w:szCs w:val="21"/>
              </w:rPr>
            </w:pPr>
            <w:r>
              <w:rPr>
                <w:rFonts w:hint="eastAsia"/>
                <w:sz w:val="21"/>
                <w:szCs w:val="21"/>
              </w:rPr>
              <w:t>0.40</w:t>
            </w:r>
          </w:p>
        </w:tc>
        <w:tc>
          <w:tcPr>
            <w:tcW w:w="1875" w:type="dxa"/>
            <w:noWrap w:val="0"/>
            <w:vAlign w:val="center"/>
          </w:tcPr>
          <w:p w14:paraId="2BEFB9F1">
            <w:pPr>
              <w:spacing w:line="240" w:lineRule="auto"/>
              <w:ind w:firstLine="0"/>
              <w:jc w:val="center"/>
              <w:rPr>
                <w:sz w:val="21"/>
                <w:szCs w:val="21"/>
              </w:rPr>
            </w:pPr>
            <w:r>
              <w:rPr>
                <w:rFonts w:hint="eastAsia"/>
                <w:sz w:val="21"/>
                <w:szCs w:val="21"/>
              </w:rPr>
              <w:t>0.43</w:t>
            </w:r>
          </w:p>
        </w:tc>
        <w:tc>
          <w:tcPr>
            <w:tcW w:w="1095" w:type="dxa"/>
            <w:noWrap w:val="0"/>
            <w:vAlign w:val="center"/>
          </w:tcPr>
          <w:p w14:paraId="34074548">
            <w:pPr>
              <w:spacing w:line="240" w:lineRule="auto"/>
              <w:ind w:firstLine="0"/>
              <w:jc w:val="center"/>
              <w:rPr>
                <w:sz w:val="21"/>
                <w:szCs w:val="21"/>
              </w:rPr>
            </w:pPr>
            <w:r>
              <w:rPr>
                <w:rFonts w:hint="eastAsia"/>
                <w:sz w:val="21"/>
                <w:szCs w:val="21"/>
                <w:lang w:val="en-US" w:eastAsia="zh-CN"/>
              </w:rPr>
              <w:t>2.0</w:t>
            </w:r>
          </w:p>
        </w:tc>
        <w:tc>
          <w:tcPr>
            <w:tcW w:w="752" w:type="dxa"/>
            <w:noWrap w:val="0"/>
            <w:vAlign w:val="center"/>
          </w:tcPr>
          <w:p w14:paraId="73539BAC">
            <w:pPr>
              <w:spacing w:line="240" w:lineRule="auto"/>
              <w:ind w:firstLine="0"/>
              <w:jc w:val="center"/>
              <w:rPr>
                <w:sz w:val="21"/>
                <w:szCs w:val="21"/>
              </w:rPr>
            </w:pPr>
            <w:r>
              <w:rPr>
                <w:rFonts w:hint="eastAsia"/>
                <w:sz w:val="21"/>
                <w:szCs w:val="21"/>
                <w:lang w:val="en-US" w:eastAsia="zh-CN"/>
              </w:rPr>
              <w:t>达标</w:t>
            </w:r>
          </w:p>
        </w:tc>
      </w:tr>
      <w:tr w14:paraId="2F8E9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835DED6">
            <w:pPr>
              <w:spacing w:line="240" w:lineRule="auto"/>
              <w:ind w:firstLine="0"/>
              <w:jc w:val="center"/>
              <w:rPr>
                <w:sz w:val="21"/>
                <w:szCs w:val="21"/>
              </w:rPr>
            </w:pPr>
          </w:p>
        </w:tc>
        <w:tc>
          <w:tcPr>
            <w:tcW w:w="1568" w:type="dxa"/>
            <w:vMerge w:val="restart"/>
            <w:noWrap w:val="0"/>
            <w:vAlign w:val="center"/>
          </w:tcPr>
          <w:p w14:paraId="75595B91">
            <w:pPr>
              <w:spacing w:line="240" w:lineRule="auto"/>
              <w:ind w:firstLine="0"/>
              <w:jc w:val="center"/>
              <w:rPr>
                <w:sz w:val="21"/>
                <w:szCs w:val="21"/>
              </w:rPr>
            </w:pPr>
            <w:r>
              <w:rPr>
                <w:rFonts w:hint="eastAsia"/>
                <w:sz w:val="21"/>
                <w:szCs w:val="21"/>
              </w:rPr>
              <w:t>2019.08.24</w:t>
            </w:r>
          </w:p>
        </w:tc>
        <w:tc>
          <w:tcPr>
            <w:tcW w:w="1675" w:type="dxa"/>
            <w:noWrap w:val="0"/>
            <w:tcMar>
              <w:top w:w="15" w:type="dxa"/>
              <w:left w:w="15" w:type="dxa"/>
              <w:bottom w:w="15" w:type="dxa"/>
              <w:right w:w="15" w:type="dxa"/>
            </w:tcMar>
            <w:vAlign w:val="center"/>
          </w:tcPr>
          <w:p w14:paraId="2AE5CE13">
            <w:pPr>
              <w:spacing w:line="310" w:lineRule="exact"/>
              <w:ind w:firstLine="0"/>
              <w:jc w:val="center"/>
              <w:rPr>
                <w:sz w:val="21"/>
                <w:szCs w:val="21"/>
              </w:rPr>
            </w:pPr>
            <w:r>
              <w:rPr>
                <w:sz w:val="21"/>
                <w:szCs w:val="21"/>
              </w:rPr>
              <w:t>02:00</w:t>
            </w:r>
          </w:p>
        </w:tc>
        <w:tc>
          <w:tcPr>
            <w:tcW w:w="1641" w:type="dxa"/>
            <w:noWrap w:val="0"/>
            <w:vAlign w:val="center"/>
          </w:tcPr>
          <w:p w14:paraId="27985588">
            <w:pPr>
              <w:spacing w:line="240" w:lineRule="auto"/>
              <w:ind w:firstLine="0"/>
              <w:jc w:val="center"/>
              <w:rPr>
                <w:sz w:val="21"/>
                <w:szCs w:val="21"/>
              </w:rPr>
            </w:pPr>
            <w:r>
              <w:rPr>
                <w:rFonts w:hint="eastAsia"/>
                <w:sz w:val="21"/>
                <w:szCs w:val="21"/>
              </w:rPr>
              <w:t>0.49</w:t>
            </w:r>
          </w:p>
        </w:tc>
        <w:tc>
          <w:tcPr>
            <w:tcW w:w="1875" w:type="dxa"/>
            <w:noWrap w:val="0"/>
            <w:vAlign w:val="center"/>
          </w:tcPr>
          <w:p w14:paraId="3F254E35">
            <w:pPr>
              <w:spacing w:line="240" w:lineRule="auto"/>
              <w:ind w:firstLine="0"/>
              <w:jc w:val="center"/>
              <w:rPr>
                <w:sz w:val="21"/>
                <w:szCs w:val="21"/>
              </w:rPr>
            </w:pPr>
            <w:r>
              <w:rPr>
                <w:rFonts w:hint="eastAsia"/>
                <w:sz w:val="21"/>
                <w:szCs w:val="21"/>
              </w:rPr>
              <w:t>0.36</w:t>
            </w:r>
          </w:p>
        </w:tc>
        <w:tc>
          <w:tcPr>
            <w:tcW w:w="1095" w:type="dxa"/>
            <w:noWrap w:val="0"/>
            <w:vAlign w:val="center"/>
          </w:tcPr>
          <w:p w14:paraId="6C3E4463">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55BB2399">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4F055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3DE30398">
            <w:pPr>
              <w:spacing w:line="240" w:lineRule="auto"/>
              <w:ind w:firstLine="0"/>
              <w:jc w:val="center"/>
              <w:rPr>
                <w:sz w:val="21"/>
                <w:szCs w:val="21"/>
              </w:rPr>
            </w:pPr>
          </w:p>
        </w:tc>
        <w:tc>
          <w:tcPr>
            <w:tcW w:w="1568" w:type="dxa"/>
            <w:vMerge w:val="continue"/>
            <w:noWrap w:val="0"/>
            <w:vAlign w:val="center"/>
          </w:tcPr>
          <w:p w14:paraId="020466E2">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7E04094A">
            <w:pPr>
              <w:spacing w:line="310" w:lineRule="exact"/>
              <w:ind w:firstLine="0"/>
              <w:jc w:val="center"/>
              <w:rPr>
                <w:sz w:val="21"/>
                <w:szCs w:val="21"/>
              </w:rPr>
            </w:pPr>
            <w:r>
              <w:rPr>
                <w:sz w:val="21"/>
                <w:szCs w:val="21"/>
              </w:rPr>
              <w:t>08:00</w:t>
            </w:r>
          </w:p>
        </w:tc>
        <w:tc>
          <w:tcPr>
            <w:tcW w:w="1641" w:type="dxa"/>
            <w:noWrap w:val="0"/>
            <w:vAlign w:val="center"/>
          </w:tcPr>
          <w:p w14:paraId="618BE3DF">
            <w:pPr>
              <w:spacing w:line="240" w:lineRule="auto"/>
              <w:ind w:firstLine="0"/>
              <w:jc w:val="center"/>
              <w:rPr>
                <w:sz w:val="21"/>
                <w:szCs w:val="21"/>
              </w:rPr>
            </w:pPr>
            <w:r>
              <w:rPr>
                <w:rFonts w:hint="eastAsia"/>
                <w:sz w:val="21"/>
                <w:szCs w:val="21"/>
              </w:rPr>
              <w:t>0.40</w:t>
            </w:r>
          </w:p>
        </w:tc>
        <w:tc>
          <w:tcPr>
            <w:tcW w:w="1875" w:type="dxa"/>
            <w:noWrap w:val="0"/>
            <w:vAlign w:val="center"/>
          </w:tcPr>
          <w:p w14:paraId="75653F6B">
            <w:pPr>
              <w:spacing w:line="240" w:lineRule="auto"/>
              <w:ind w:firstLine="0"/>
              <w:jc w:val="center"/>
              <w:rPr>
                <w:sz w:val="21"/>
                <w:szCs w:val="21"/>
              </w:rPr>
            </w:pPr>
            <w:r>
              <w:rPr>
                <w:rFonts w:hint="eastAsia"/>
                <w:sz w:val="21"/>
                <w:szCs w:val="21"/>
              </w:rPr>
              <w:t>0.47</w:t>
            </w:r>
          </w:p>
        </w:tc>
        <w:tc>
          <w:tcPr>
            <w:tcW w:w="1095" w:type="dxa"/>
            <w:noWrap w:val="0"/>
            <w:vAlign w:val="center"/>
          </w:tcPr>
          <w:p w14:paraId="736A23E1">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496F80CF">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61A40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FF8B57F">
            <w:pPr>
              <w:spacing w:line="240" w:lineRule="auto"/>
              <w:ind w:firstLine="0"/>
              <w:jc w:val="center"/>
              <w:rPr>
                <w:sz w:val="21"/>
                <w:szCs w:val="21"/>
              </w:rPr>
            </w:pPr>
          </w:p>
        </w:tc>
        <w:tc>
          <w:tcPr>
            <w:tcW w:w="1568" w:type="dxa"/>
            <w:vMerge w:val="continue"/>
            <w:noWrap w:val="0"/>
            <w:vAlign w:val="center"/>
          </w:tcPr>
          <w:p w14:paraId="7EE05498">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1DCEACC0">
            <w:pPr>
              <w:spacing w:line="310" w:lineRule="exact"/>
              <w:ind w:firstLine="0"/>
              <w:jc w:val="center"/>
              <w:rPr>
                <w:sz w:val="21"/>
                <w:szCs w:val="21"/>
              </w:rPr>
            </w:pPr>
            <w:r>
              <w:rPr>
                <w:sz w:val="21"/>
                <w:szCs w:val="21"/>
              </w:rPr>
              <w:t>14:00</w:t>
            </w:r>
          </w:p>
        </w:tc>
        <w:tc>
          <w:tcPr>
            <w:tcW w:w="1641" w:type="dxa"/>
            <w:noWrap w:val="0"/>
            <w:vAlign w:val="center"/>
          </w:tcPr>
          <w:p w14:paraId="7A1E131F">
            <w:pPr>
              <w:spacing w:line="240" w:lineRule="auto"/>
              <w:ind w:firstLine="0"/>
              <w:jc w:val="center"/>
              <w:rPr>
                <w:sz w:val="21"/>
                <w:szCs w:val="21"/>
              </w:rPr>
            </w:pPr>
            <w:r>
              <w:rPr>
                <w:rFonts w:hint="eastAsia"/>
                <w:sz w:val="21"/>
                <w:szCs w:val="21"/>
              </w:rPr>
              <w:t>0.42</w:t>
            </w:r>
          </w:p>
        </w:tc>
        <w:tc>
          <w:tcPr>
            <w:tcW w:w="1875" w:type="dxa"/>
            <w:noWrap w:val="0"/>
            <w:vAlign w:val="center"/>
          </w:tcPr>
          <w:p w14:paraId="54EC6073">
            <w:pPr>
              <w:spacing w:line="240" w:lineRule="auto"/>
              <w:ind w:firstLine="0"/>
              <w:jc w:val="center"/>
              <w:rPr>
                <w:sz w:val="21"/>
                <w:szCs w:val="21"/>
              </w:rPr>
            </w:pPr>
            <w:r>
              <w:rPr>
                <w:rFonts w:hint="eastAsia"/>
                <w:sz w:val="21"/>
                <w:szCs w:val="21"/>
              </w:rPr>
              <w:t>0.44</w:t>
            </w:r>
          </w:p>
        </w:tc>
        <w:tc>
          <w:tcPr>
            <w:tcW w:w="1095" w:type="dxa"/>
            <w:noWrap w:val="0"/>
            <w:vAlign w:val="center"/>
          </w:tcPr>
          <w:p w14:paraId="7112FF74">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1D71B055">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25F50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62E7136">
            <w:pPr>
              <w:spacing w:line="240" w:lineRule="auto"/>
              <w:ind w:firstLine="0"/>
              <w:jc w:val="center"/>
              <w:rPr>
                <w:sz w:val="21"/>
                <w:szCs w:val="21"/>
              </w:rPr>
            </w:pPr>
          </w:p>
        </w:tc>
        <w:tc>
          <w:tcPr>
            <w:tcW w:w="1568" w:type="dxa"/>
            <w:vMerge w:val="continue"/>
            <w:noWrap w:val="0"/>
            <w:vAlign w:val="center"/>
          </w:tcPr>
          <w:p w14:paraId="67AF114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5C10769D">
            <w:pPr>
              <w:spacing w:line="310" w:lineRule="exact"/>
              <w:ind w:firstLine="0"/>
              <w:jc w:val="center"/>
              <w:rPr>
                <w:sz w:val="21"/>
                <w:szCs w:val="21"/>
              </w:rPr>
            </w:pPr>
            <w:r>
              <w:rPr>
                <w:sz w:val="21"/>
                <w:szCs w:val="21"/>
              </w:rPr>
              <w:t>20:00</w:t>
            </w:r>
          </w:p>
        </w:tc>
        <w:tc>
          <w:tcPr>
            <w:tcW w:w="1641" w:type="dxa"/>
            <w:noWrap w:val="0"/>
            <w:vAlign w:val="center"/>
          </w:tcPr>
          <w:p w14:paraId="2C587D9C">
            <w:pPr>
              <w:spacing w:line="240" w:lineRule="auto"/>
              <w:ind w:firstLine="0"/>
              <w:jc w:val="center"/>
              <w:rPr>
                <w:sz w:val="21"/>
                <w:szCs w:val="21"/>
              </w:rPr>
            </w:pPr>
            <w:r>
              <w:rPr>
                <w:rFonts w:hint="eastAsia"/>
                <w:sz w:val="21"/>
                <w:szCs w:val="21"/>
              </w:rPr>
              <w:t>0.55</w:t>
            </w:r>
          </w:p>
        </w:tc>
        <w:tc>
          <w:tcPr>
            <w:tcW w:w="1875" w:type="dxa"/>
            <w:noWrap w:val="0"/>
            <w:vAlign w:val="center"/>
          </w:tcPr>
          <w:p w14:paraId="0E04BCED">
            <w:pPr>
              <w:spacing w:line="240" w:lineRule="auto"/>
              <w:ind w:firstLine="0"/>
              <w:jc w:val="center"/>
              <w:rPr>
                <w:sz w:val="21"/>
                <w:szCs w:val="21"/>
              </w:rPr>
            </w:pPr>
            <w:r>
              <w:rPr>
                <w:rFonts w:hint="eastAsia"/>
                <w:sz w:val="21"/>
                <w:szCs w:val="21"/>
              </w:rPr>
              <w:t>0.45</w:t>
            </w:r>
          </w:p>
        </w:tc>
        <w:tc>
          <w:tcPr>
            <w:tcW w:w="1095" w:type="dxa"/>
            <w:noWrap w:val="0"/>
            <w:vAlign w:val="center"/>
          </w:tcPr>
          <w:p w14:paraId="760E3067">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5CF87A75">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5DA32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5ADCFA42">
            <w:pPr>
              <w:spacing w:line="240" w:lineRule="auto"/>
              <w:ind w:firstLine="0"/>
              <w:jc w:val="center"/>
              <w:rPr>
                <w:sz w:val="21"/>
                <w:szCs w:val="21"/>
              </w:rPr>
            </w:pPr>
          </w:p>
        </w:tc>
        <w:tc>
          <w:tcPr>
            <w:tcW w:w="1568" w:type="dxa"/>
            <w:vMerge w:val="restart"/>
            <w:noWrap w:val="0"/>
            <w:vAlign w:val="center"/>
          </w:tcPr>
          <w:p w14:paraId="76974FA3">
            <w:pPr>
              <w:spacing w:line="240" w:lineRule="auto"/>
              <w:ind w:firstLine="0"/>
              <w:jc w:val="center"/>
              <w:rPr>
                <w:sz w:val="21"/>
                <w:szCs w:val="21"/>
              </w:rPr>
            </w:pPr>
            <w:r>
              <w:rPr>
                <w:rFonts w:hint="eastAsia"/>
                <w:sz w:val="21"/>
                <w:szCs w:val="21"/>
              </w:rPr>
              <w:t>2019.08.25</w:t>
            </w:r>
          </w:p>
        </w:tc>
        <w:tc>
          <w:tcPr>
            <w:tcW w:w="1675" w:type="dxa"/>
            <w:noWrap w:val="0"/>
            <w:tcMar>
              <w:top w:w="15" w:type="dxa"/>
              <w:left w:w="15" w:type="dxa"/>
              <w:bottom w:w="15" w:type="dxa"/>
              <w:right w:w="15" w:type="dxa"/>
            </w:tcMar>
            <w:vAlign w:val="center"/>
          </w:tcPr>
          <w:p w14:paraId="29331262">
            <w:pPr>
              <w:spacing w:line="310" w:lineRule="exact"/>
              <w:ind w:firstLine="0"/>
              <w:jc w:val="center"/>
              <w:rPr>
                <w:sz w:val="21"/>
                <w:szCs w:val="21"/>
              </w:rPr>
            </w:pPr>
            <w:r>
              <w:rPr>
                <w:sz w:val="21"/>
                <w:szCs w:val="21"/>
              </w:rPr>
              <w:t>02:00</w:t>
            </w:r>
          </w:p>
        </w:tc>
        <w:tc>
          <w:tcPr>
            <w:tcW w:w="1641" w:type="dxa"/>
            <w:noWrap w:val="0"/>
            <w:vAlign w:val="center"/>
          </w:tcPr>
          <w:p w14:paraId="43B3266D">
            <w:pPr>
              <w:spacing w:line="240" w:lineRule="auto"/>
              <w:ind w:firstLine="0"/>
              <w:jc w:val="center"/>
              <w:rPr>
                <w:sz w:val="21"/>
                <w:szCs w:val="21"/>
              </w:rPr>
            </w:pPr>
            <w:r>
              <w:rPr>
                <w:rFonts w:hint="eastAsia"/>
                <w:sz w:val="21"/>
                <w:szCs w:val="21"/>
              </w:rPr>
              <w:t>0.51</w:t>
            </w:r>
          </w:p>
        </w:tc>
        <w:tc>
          <w:tcPr>
            <w:tcW w:w="1875" w:type="dxa"/>
            <w:noWrap w:val="0"/>
            <w:vAlign w:val="center"/>
          </w:tcPr>
          <w:p w14:paraId="0349273D">
            <w:pPr>
              <w:spacing w:line="240" w:lineRule="auto"/>
              <w:ind w:firstLine="0"/>
              <w:jc w:val="center"/>
              <w:rPr>
                <w:sz w:val="21"/>
                <w:szCs w:val="21"/>
              </w:rPr>
            </w:pPr>
            <w:r>
              <w:rPr>
                <w:rFonts w:hint="eastAsia"/>
                <w:sz w:val="21"/>
                <w:szCs w:val="21"/>
              </w:rPr>
              <w:t>0.34</w:t>
            </w:r>
          </w:p>
        </w:tc>
        <w:tc>
          <w:tcPr>
            <w:tcW w:w="1095" w:type="dxa"/>
            <w:noWrap w:val="0"/>
            <w:vAlign w:val="center"/>
          </w:tcPr>
          <w:p w14:paraId="1BD82819">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38DE5394">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5DA9D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54A270B">
            <w:pPr>
              <w:spacing w:line="240" w:lineRule="auto"/>
              <w:ind w:firstLine="0"/>
              <w:jc w:val="center"/>
              <w:rPr>
                <w:sz w:val="21"/>
                <w:szCs w:val="21"/>
              </w:rPr>
            </w:pPr>
          </w:p>
        </w:tc>
        <w:tc>
          <w:tcPr>
            <w:tcW w:w="1568" w:type="dxa"/>
            <w:vMerge w:val="continue"/>
            <w:noWrap w:val="0"/>
            <w:vAlign w:val="center"/>
          </w:tcPr>
          <w:p w14:paraId="7F268AA9">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98E268A">
            <w:pPr>
              <w:spacing w:line="310" w:lineRule="exact"/>
              <w:ind w:firstLine="0"/>
              <w:jc w:val="center"/>
              <w:rPr>
                <w:sz w:val="21"/>
                <w:szCs w:val="21"/>
              </w:rPr>
            </w:pPr>
            <w:r>
              <w:rPr>
                <w:sz w:val="21"/>
                <w:szCs w:val="21"/>
              </w:rPr>
              <w:t>08:00</w:t>
            </w:r>
          </w:p>
        </w:tc>
        <w:tc>
          <w:tcPr>
            <w:tcW w:w="1641" w:type="dxa"/>
            <w:noWrap w:val="0"/>
            <w:vAlign w:val="center"/>
          </w:tcPr>
          <w:p w14:paraId="6AF65835">
            <w:pPr>
              <w:spacing w:line="240" w:lineRule="auto"/>
              <w:ind w:firstLine="0"/>
              <w:jc w:val="center"/>
              <w:rPr>
                <w:sz w:val="21"/>
                <w:szCs w:val="21"/>
              </w:rPr>
            </w:pPr>
            <w:r>
              <w:rPr>
                <w:rFonts w:hint="eastAsia"/>
                <w:sz w:val="21"/>
                <w:szCs w:val="21"/>
              </w:rPr>
              <w:t>0.45</w:t>
            </w:r>
          </w:p>
        </w:tc>
        <w:tc>
          <w:tcPr>
            <w:tcW w:w="1875" w:type="dxa"/>
            <w:noWrap w:val="0"/>
            <w:vAlign w:val="center"/>
          </w:tcPr>
          <w:p w14:paraId="5F5B4AF1">
            <w:pPr>
              <w:spacing w:line="240" w:lineRule="auto"/>
              <w:ind w:firstLine="0"/>
              <w:jc w:val="center"/>
              <w:rPr>
                <w:sz w:val="21"/>
                <w:szCs w:val="21"/>
              </w:rPr>
            </w:pPr>
            <w:r>
              <w:rPr>
                <w:rFonts w:hint="eastAsia"/>
                <w:sz w:val="21"/>
                <w:szCs w:val="21"/>
              </w:rPr>
              <w:t>0.35</w:t>
            </w:r>
          </w:p>
        </w:tc>
        <w:tc>
          <w:tcPr>
            <w:tcW w:w="1095" w:type="dxa"/>
            <w:noWrap w:val="0"/>
            <w:vAlign w:val="center"/>
          </w:tcPr>
          <w:p w14:paraId="3FDAF288">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3EFE19D0">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4BE0A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9A28F7C">
            <w:pPr>
              <w:spacing w:line="240" w:lineRule="auto"/>
              <w:ind w:firstLine="0"/>
              <w:jc w:val="center"/>
              <w:rPr>
                <w:sz w:val="21"/>
                <w:szCs w:val="21"/>
              </w:rPr>
            </w:pPr>
          </w:p>
        </w:tc>
        <w:tc>
          <w:tcPr>
            <w:tcW w:w="1568" w:type="dxa"/>
            <w:vMerge w:val="continue"/>
            <w:noWrap w:val="0"/>
            <w:vAlign w:val="center"/>
          </w:tcPr>
          <w:p w14:paraId="71CC24C9">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2980181E">
            <w:pPr>
              <w:spacing w:line="310" w:lineRule="exact"/>
              <w:ind w:firstLine="0"/>
              <w:jc w:val="center"/>
              <w:rPr>
                <w:sz w:val="21"/>
                <w:szCs w:val="21"/>
              </w:rPr>
            </w:pPr>
            <w:r>
              <w:rPr>
                <w:sz w:val="21"/>
                <w:szCs w:val="21"/>
              </w:rPr>
              <w:t>14:00</w:t>
            </w:r>
          </w:p>
        </w:tc>
        <w:tc>
          <w:tcPr>
            <w:tcW w:w="1641" w:type="dxa"/>
            <w:noWrap w:val="0"/>
            <w:vAlign w:val="center"/>
          </w:tcPr>
          <w:p w14:paraId="5F4FAF46">
            <w:pPr>
              <w:spacing w:line="240" w:lineRule="auto"/>
              <w:ind w:firstLine="0"/>
              <w:jc w:val="center"/>
              <w:rPr>
                <w:sz w:val="21"/>
                <w:szCs w:val="21"/>
              </w:rPr>
            </w:pPr>
            <w:r>
              <w:rPr>
                <w:rFonts w:hint="eastAsia"/>
                <w:sz w:val="21"/>
                <w:szCs w:val="21"/>
              </w:rPr>
              <w:t>0.49</w:t>
            </w:r>
          </w:p>
        </w:tc>
        <w:tc>
          <w:tcPr>
            <w:tcW w:w="1875" w:type="dxa"/>
            <w:noWrap w:val="0"/>
            <w:vAlign w:val="center"/>
          </w:tcPr>
          <w:p w14:paraId="7EE849A6">
            <w:pPr>
              <w:spacing w:line="240" w:lineRule="auto"/>
              <w:ind w:firstLine="0"/>
              <w:jc w:val="center"/>
              <w:rPr>
                <w:sz w:val="21"/>
                <w:szCs w:val="21"/>
              </w:rPr>
            </w:pPr>
            <w:r>
              <w:rPr>
                <w:rFonts w:hint="eastAsia"/>
                <w:sz w:val="21"/>
                <w:szCs w:val="21"/>
              </w:rPr>
              <w:t>0.58</w:t>
            </w:r>
          </w:p>
        </w:tc>
        <w:tc>
          <w:tcPr>
            <w:tcW w:w="1095" w:type="dxa"/>
            <w:noWrap w:val="0"/>
            <w:vAlign w:val="center"/>
          </w:tcPr>
          <w:p w14:paraId="24826907">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6C3797E4">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626AC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F0FA6B4">
            <w:pPr>
              <w:spacing w:line="240" w:lineRule="auto"/>
              <w:ind w:firstLine="0"/>
              <w:jc w:val="center"/>
              <w:rPr>
                <w:sz w:val="21"/>
                <w:szCs w:val="21"/>
              </w:rPr>
            </w:pPr>
          </w:p>
        </w:tc>
        <w:tc>
          <w:tcPr>
            <w:tcW w:w="1568" w:type="dxa"/>
            <w:vMerge w:val="continue"/>
            <w:noWrap w:val="0"/>
            <w:vAlign w:val="center"/>
          </w:tcPr>
          <w:p w14:paraId="6DEC0C67">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5D7ED743">
            <w:pPr>
              <w:spacing w:line="310" w:lineRule="exact"/>
              <w:ind w:firstLine="0"/>
              <w:jc w:val="center"/>
              <w:rPr>
                <w:sz w:val="21"/>
                <w:szCs w:val="21"/>
              </w:rPr>
            </w:pPr>
            <w:r>
              <w:rPr>
                <w:sz w:val="21"/>
                <w:szCs w:val="21"/>
              </w:rPr>
              <w:t>20:00</w:t>
            </w:r>
          </w:p>
        </w:tc>
        <w:tc>
          <w:tcPr>
            <w:tcW w:w="1641" w:type="dxa"/>
            <w:noWrap w:val="0"/>
            <w:vAlign w:val="center"/>
          </w:tcPr>
          <w:p w14:paraId="110C9003">
            <w:pPr>
              <w:spacing w:line="240" w:lineRule="auto"/>
              <w:ind w:firstLine="0"/>
              <w:jc w:val="center"/>
              <w:rPr>
                <w:sz w:val="21"/>
                <w:szCs w:val="21"/>
              </w:rPr>
            </w:pPr>
            <w:r>
              <w:rPr>
                <w:rFonts w:hint="eastAsia"/>
                <w:sz w:val="21"/>
                <w:szCs w:val="21"/>
              </w:rPr>
              <w:t>0.46</w:t>
            </w:r>
          </w:p>
        </w:tc>
        <w:tc>
          <w:tcPr>
            <w:tcW w:w="1875" w:type="dxa"/>
            <w:noWrap w:val="0"/>
            <w:vAlign w:val="center"/>
          </w:tcPr>
          <w:p w14:paraId="7236A98B">
            <w:pPr>
              <w:spacing w:line="240" w:lineRule="auto"/>
              <w:ind w:firstLine="0"/>
              <w:jc w:val="center"/>
              <w:rPr>
                <w:sz w:val="21"/>
                <w:szCs w:val="21"/>
              </w:rPr>
            </w:pPr>
            <w:r>
              <w:rPr>
                <w:rFonts w:hint="eastAsia"/>
                <w:sz w:val="21"/>
                <w:szCs w:val="21"/>
              </w:rPr>
              <w:t>0.40</w:t>
            </w:r>
          </w:p>
        </w:tc>
        <w:tc>
          <w:tcPr>
            <w:tcW w:w="1095" w:type="dxa"/>
            <w:noWrap w:val="0"/>
            <w:vAlign w:val="center"/>
          </w:tcPr>
          <w:p w14:paraId="147B2082">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486FDE86">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39D39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D6D9F03">
            <w:pPr>
              <w:spacing w:line="240" w:lineRule="auto"/>
              <w:ind w:firstLine="0"/>
              <w:jc w:val="center"/>
              <w:rPr>
                <w:sz w:val="21"/>
                <w:szCs w:val="21"/>
              </w:rPr>
            </w:pPr>
          </w:p>
        </w:tc>
        <w:tc>
          <w:tcPr>
            <w:tcW w:w="1568" w:type="dxa"/>
            <w:vMerge w:val="restart"/>
            <w:noWrap w:val="0"/>
            <w:vAlign w:val="center"/>
          </w:tcPr>
          <w:p w14:paraId="5F5E6AFD">
            <w:pPr>
              <w:spacing w:line="240" w:lineRule="auto"/>
              <w:ind w:firstLine="0"/>
              <w:jc w:val="center"/>
              <w:rPr>
                <w:sz w:val="21"/>
                <w:szCs w:val="21"/>
              </w:rPr>
            </w:pPr>
            <w:r>
              <w:rPr>
                <w:rFonts w:hint="eastAsia"/>
                <w:sz w:val="21"/>
                <w:szCs w:val="21"/>
              </w:rPr>
              <w:t>2019.08.26</w:t>
            </w:r>
          </w:p>
        </w:tc>
        <w:tc>
          <w:tcPr>
            <w:tcW w:w="1675" w:type="dxa"/>
            <w:noWrap w:val="0"/>
            <w:tcMar>
              <w:top w:w="15" w:type="dxa"/>
              <w:left w:w="15" w:type="dxa"/>
              <w:bottom w:w="15" w:type="dxa"/>
              <w:right w:w="15" w:type="dxa"/>
            </w:tcMar>
            <w:vAlign w:val="center"/>
          </w:tcPr>
          <w:p w14:paraId="5AF58CBD">
            <w:pPr>
              <w:spacing w:line="310" w:lineRule="exact"/>
              <w:ind w:firstLine="0"/>
              <w:jc w:val="center"/>
              <w:rPr>
                <w:sz w:val="21"/>
                <w:szCs w:val="21"/>
              </w:rPr>
            </w:pPr>
            <w:r>
              <w:rPr>
                <w:sz w:val="21"/>
                <w:szCs w:val="21"/>
              </w:rPr>
              <w:t>02:00</w:t>
            </w:r>
          </w:p>
        </w:tc>
        <w:tc>
          <w:tcPr>
            <w:tcW w:w="1641" w:type="dxa"/>
            <w:noWrap w:val="0"/>
            <w:vAlign w:val="center"/>
          </w:tcPr>
          <w:p w14:paraId="3390689D">
            <w:pPr>
              <w:spacing w:line="240" w:lineRule="auto"/>
              <w:ind w:firstLine="0"/>
              <w:jc w:val="center"/>
              <w:rPr>
                <w:sz w:val="21"/>
                <w:szCs w:val="21"/>
              </w:rPr>
            </w:pPr>
            <w:r>
              <w:rPr>
                <w:rFonts w:hint="eastAsia"/>
                <w:sz w:val="21"/>
                <w:szCs w:val="21"/>
              </w:rPr>
              <w:t>0.21</w:t>
            </w:r>
          </w:p>
        </w:tc>
        <w:tc>
          <w:tcPr>
            <w:tcW w:w="1875" w:type="dxa"/>
            <w:noWrap w:val="0"/>
            <w:vAlign w:val="center"/>
          </w:tcPr>
          <w:p w14:paraId="58A7E4D9">
            <w:pPr>
              <w:spacing w:line="240" w:lineRule="auto"/>
              <w:ind w:firstLine="0"/>
              <w:jc w:val="center"/>
              <w:rPr>
                <w:sz w:val="21"/>
                <w:szCs w:val="21"/>
              </w:rPr>
            </w:pPr>
            <w:r>
              <w:rPr>
                <w:rFonts w:hint="eastAsia"/>
                <w:sz w:val="21"/>
                <w:szCs w:val="21"/>
              </w:rPr>
              <w:t>0.48</w:t>
            </w:r>
          </w:p>
        </w:tc>
        <w:tc>
          <w:tcPr>
            <w:tcW w:w="1095" w:type="dxa"/>
            <w:noWrap w:val="0"/>
            <w:vAlign w:val="center"/>
          </w:tcPr>
          <w:p w14:paraId="3004C5F8">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78B2BA85">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7B9BB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ABBB39B">
            <w:pPr>
              <w:spacing w:line="240" w:lineRule="auto"/>
              <w:ind w:firstLine="0"/>
              <w:jc w:val="center"/>
              <w:rPr>
                <w:sz w:val="21"/>
                <w:szCs w:val="21"/>
              </w:rPr>
            </w:pPr>
          </w:p>
        </w:tc>
        <w:tc>
          <w:tcPr>
            <w:tcW w:w="1568" w:type="dxa"/>
            <w:vMerge w:val="continue"/>
            <w:noWrap w:val="0"/>
            <w:vAlign w:val="center"/>
          </w:tcPr>
          <w:p w14:paraId="5ACF77E2">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D21A7B0">
            <w:pPr>
              <w:spacing w:line="310" w:lineRule="exact"/>
              <w:ind w:firstLine="0"/>
              <w:jc w:val="center"/>
              <w:rPr>
                <w:sz w:val="21"/>
                <w:szCs w:val="21"/>
              </w:rPr>
            </w:pPr>
            <w:r>
              <w:rPr>
                <w:sz w:val="21"/>
                <w:szCs w:val="21"/>
              </w:rPr>
              <w:t>08:00</w:t>
            </w:r>
          </w:p>
        </w:tc>
        <w:tc>
          <w:tcPr>
            <w:tcW w:w="1641" w:type="dxa"/>
            <w:noWrap w:val="0"/>
            <w:vAlign w:val="center"/>
          </w:tcPr>
          <w:p w14:paraId="142D2E09">
            <w:pPr>
              <w:spacing w:line="240" w:lineRule="auto"/>
              <w:ind w:firstLine="0"/>
              <w:jc w:val="center"/>
              <w:rPr>
                <w:sz w:val="21"/>
                <w:szCs w:val="21"/>
              </w:rPr>
            </w:pPr>
            <w:r>
              <w:rPr>
                <w:rFonts w:hint="eastAsia"/>
                <w:sz w:val="21"/>
                <w:szCs w:val="21"/>
              </w:rPr>
              <w:t>0.28</w:t>
            </w:r>
          </w:p>
        </w:tc>
        <w:tc>
          <w:tcPr>
            <w:tcW w:w="1875" w:type="dxa"/>
            <w:noWrap w:val="0"/>
            <w:vAlign w:val="center"/>
          </w:tcPr>
          <w:p w14:paraId="369F453F">
            <w:pPr>
              <w:spacing w:line="240" w:lineRule="auto"/>
              <w:ind w:firstLine="0"/>
              <w:jc w:val="center"/>
              <w:rPr>
                <w:sz w:val="21"/>
                <w:szCs w:val="21"/>
              </w:rPr>
            </w:pPr>
            <w:r>
              <w:rPr>
                <w:rFonts w:hint="eastAsia"/>
                <w:sz w:val="21"/>
                <w:szCs w:val="21"/>
              </w:rPr>
              <w:t>0.55</w:t>
            </w:r>
          </w:p>
        </w:tc>
        <w:tc>
          <w:tcPr>
            <w:tcW w:w="1095" w:type="dxa"/>
            <w:noWrap w:val="0"/>
            <w:vAlign w:val="center"/>
          </w:tcPr>
          <w:p w14:paraId="1988B139">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097DB55C">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1BAA5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6E1610FE">
            <w:pPr>
              <w:spacing w:line="240" w:lineRule="auto"/>
              <w:ind w:firstLine="0"/>
              <w:jc w:val="center"/>
              <w:rPr>
                <w:sz w:val="21"/>
                <w:szCs w:val="21"/>
              </w:rPr>
            </w:pPr>
          </w:p>
        </w:tc>
        <w:tc>
          <w:tcPr>
            <w:tcW w:w="1568" w:type="dxa"/>
            <w:vMerge w:val="continue"/>
            <w:noWrap w:val="0"/>
            <w:vAlign w:val="center"/>
          </w:tcPr>
          <w:p w14:paraId="3EE99C61">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363D2F4">
            <w:pPr>
              <w:spacing w:line="310" w:lineRule="exact"/>
              <w:ind w:firstLine="0"/>
              <w:jc w:val="center"/>
              <w:rPr>
                <w:sz w:val="21"/>
                <w:szCs w:val="21"/>
              </w:rPr>
            </w:pPr>
            <w:r>
              <w:rPr>
                <w:sz w:val="21"/>
                <w:szCs w:val="21"/>
              </w:rPr>
              <w:t>14:00</w:t>
            </w:r>
          </w:p>
        </w:tc>
        <w:tc>
          <w:tcPr>
            <w:tcW w:w="1641" w:type="dxa"/>
            <w:noWrap w:val="0"/>
            <w:vAlign w:val="center"/>
          </w:tcPr>
          <w:p w14:paraId="411259AF">
            <w:pPr>
              <w:spacing w:line="240" w:lineRule="auto"/>
              <w:ind w:firstLine="0"/>
              <w:jc w:val="center"/>
              <w:rPr>
                <w:sz w:val="21"/>
                <w:szCs w:val="21"/>
              </w:rPr>
            </w:pPr>
            <w:r>
              <w:rPr>
                <w:rFonts w:hint="eastAsia"/>
                <w:sz w:val="21"/>
                <w:szCs w:val="21"/>
              </w:rPr>
              <w:t>0.55</w:t>
            </w:r>
          </w:p>
        </w:tc>
        <w:tc>
          <w:tcPr>
            <w:tcW w:w="1875" w:type="dxa"/>
            <w:noWrap w:val="0"/>
            <w:vAlign w:val="center"/>
          </w:tcPr>
          <w:p w14:paraId="18BC84D8">
            <w:pPr>
              <w:spacing w:line="240" w:lineRule="auto"/>
              <w:ind w:firstLine="0"/>
              <w:jc w:val="center"/>
              <w:rPr>
                <w:sz w:val="21"/>
                <w:szCs w:val="21"/>
              </w:rPr>
            </w:pPr>
            <w:r>
              <w:rPr>
                <w:rFonts w:hint="eastAsia"/>
                <w:sz w:val="21"/>
                <w:szCs w:val="21"/>
              </w:rPr>
              <w:t>0.63</w:t>
            </w:r>
          </w:p>
        </w:tc>
        <w:tc>
          <w:tcPr>
            <w:tcW w:w="1095" w:type="dxa"/>
            <w:noWrap w:val="0"/>
            <w:vAlign w:val="center"/>
          </w:tcPr>
          <w:p w14:paraId="236DEF70">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500BE482">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7E195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E48756F">
            <w:pPr>
              <w:spacing w:line="240" w:lineRule="auto"/>
              <w:ind w:firstLine="0"/>
              <w:jc w:val="center"/>
              <w:rPr>
                <w:sz w:val="21"/>
                <w:szCs w:val="21"/>
              </w:rPr>
            </w:pPr>
          </w:p>
        </w:tc>
        <w:tc>
          <w:tcPr>
            <w:tcW w:w="1568" w:type="dxa"/>
            <w:vMerge w:val="continue"/>
            <w:noWrap w:val="0"/>
            <w:vAlign w:val="center"/>
          </w:tcPr>
          <w:p w14:paraId="13185FC2">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045959C5">
            <w:pPr>
              <w:spacing w:line="310" w:lineRule="exact"/>
              <w:ind w:firstLine="0"/>
              <w:jc w:val="center"/>
              <w:rPr>
                <w:sz w:val="21"/>
                <w:szCs w:val="21"/>
              </w:rPr>
            </w:pPr>
            <w:r>
              <w:rPr>
                <w:sz w:val="21"/>
                <w:szCs w:val="21"/>
              </w:rPr>
              <w:t>20:00</w:t>
            </w:r>
          </w:p>
        </w:tc>
        <w:tc>
          <w:tcPr>
            <w:tcW w:w="1641" w:type="dxa"/>
            <w:noWrap w:val="0"/>
            <w:vAlign w:val="center"/>
          </w:tcPr>
          <w:p w14:paraId="711B5C82">
            <w:pPr>
              <w:spacing w:line="240" w:lineRule="auto"/>
              <w:ind w:firstLine="0"/>
              <w:jc w:val="center"/>
              <w:rPr>
                <w:sz w:val="21"/>
                <w:szCs w:val="21"/>
              </w:rPr>
            </w:pPr>
            <w:r>
              <w:rPr>
                <w:rFonts w:hint="eastAsia"/>
                <w:sz w:val="21"/>
                <w:szCs w:val="21"/>
              </w:rPr>
              <w:t>0.37</w:t>
            </w:r>
          </w:p>
        </w:tc>
        <w:tc>
          <w:tcPr>
            <w:tcW w:w="1875" w:type="dxa"/>
            <w:noWrap w:val="0"/>
            <w:vAlign w:val="center"/>
          </w:tcPr>
          <w:p w14:paraId="60928F41">
            <w:pPr>
              <w:spacing w:line="240" w:lineRule="auto"/>
              <w:ind w:firstLine="0"/>
              <w:jc w:val="center"/>
              <w:rPr>
                <w:sz w:val="21"/>
                <w:szCs w:val="21"/>
              </w:rPr>
            </w:pPr>
            <w:r>
              <w:rPr>
                <w:rFonts w:hint="eastAsia"/>
                <w:sz w:val="21"/>
                <w:szCs w:val="21"/>
              </w:rPr>
              <w:t>0.49</w:t>
            </w:r>
          </w:p>
        </w:tc>
        <w:tc>
          <w:tcPr>
            <w:tcW w:w="1095" w:type="dxa"/>
            <w:noWrap w:val="0"/>
            <w:vAlign w:val="center"/>
          </w:tcPr>
          <w:p w14:paraId="1F28CDE8">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09A955A0">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27E07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2BABB857">
            <w:pPr>
              <w:spacing w:line="240" w:lineRule="auto"/>
              <w:ind w:firstLine="0"/>
              <w:jc w:val="center"/>
              <w:rPr>
                <w:sz w:val="21"/>
                <w:szCs w:val="21"/>
              </w:rPr>
            </w:pPr>
          </w:p>
        </w:tc>
        <w:tc>
          <w:tcPr>
            <w:tcW w:w="1568" w:type="dxa"/>
            <w:vMerge w:val="restart"/>
            <w:noWrap w:val="0"/>
            <w:vAlign w:val="center"/>
          </w:tcPr>
          <w:p w14:paraId="7EDD789B">
            <w:pPr>
              <w:spacing w:line="240" w:lineRule="auto"/>
              <w:ind w:firstLine="0"/>
              <w:jc w:val="center"/>
              <w:rPr>
                <w:sz w:val="21"/>
                <w:szCs w:val="21"/>
              </w:rPr>
            </w:pPr>
            <w:r>
              <w:rPr>
                <w:rFonts w:hint="eastAsia"/>
                <w:sz w:val="21"/>
                <w:szCs w:val="21"/>
              </w:rPr>
              <w:t>2019.08.27</w:t>
            </w:r>
          </w:p>
        </w:tc>
        <w:tc>
          <w:tcPr>
            <w:tcW w:w="1675" w:type="dxa"/>
            <w:noWrap w:val="0"/>
            <w:tcMar>
              <w:top w:w="15" w:type="dxa"/>
              <w:left w:w="15" w:type="dxa"/>
              <w:bottom w:w="15" w:type="dxa"/>
              <w:right w:w="15" w:type="dxa"/>
            </w:tcMar>
            <w:vAlign w:val="center"/>
          </w:tcPr>
          <w:p w14:paraId="76617FEF">
            <w:pPr>
              <w:spacing w:line="310" w:lineRule="exact"/>
              <w:ind w:firstLine="0"/>
              <w:jc w:val="center"/>
              <w:rPr>
                <w:sz w:val="21"/>
                <w:szCs w:val="21"/>
              </w:rPr>
            </w:pPr>
            <w:r>
              <w:rPr>
                <w:sz w:val="21"/>
                <w:szCs w:val="21"/>
              </w:rPr>
              <w:t>02:00</w:t>
            </w:r>
          </w:p>
        </w:tc>
        <w:tc>
          <w:tcPr>
            <w:tcW w:w="1641" w:type="dxa"/>
            <w:noWrap w:val="0"/>
            <w:vAlign w:val="center"/>
          </w:tcPr>
          <w:p w14:paraId="037969C0">
            <w:pPr>
              <w:spacing w:line="240" w:lineRule="auto"/>
              <w:ind w:firstLine="0"/>
              <w:jc w:val="center"/>
              <w:rPr>
                <w:sz w:val="21"/>
                <w:szCs w:val="21"/>
              </w:rPr>
            </w:pPr>
            <w:r>
              <w:rPr>
                <w:rFonts w:hint="eastAsia"/>
                <w:sz w:val="21"/>
                <w:szCs w:val="21"/>
              </w:rPr>
              <w:t>0.44</w:t>
            </w:r>
          </w:p>
        </w:tc>
        <w:tc>
          <w:tcPr>
            <w:tcW w:w="1875" w:type="dxa"/>
            <w:noWrap w:val="0"/>
            <w:vAlign w:val="center"/>
          </w:tcPr>
          <w:p w14:paraId="3FDB7758">
            <w:pPr>
              <w:spacing w:line="240" w:lineRule="auto"/>
              <w:ind w:firstLine="0"/>
              <w:jc w:val="center"/>
              <w:rPr>
                <w:sz w:val="21"/>
                <w:szCs w:val="21"/>
              </w:rPr>
            </w:pPr>
            <w:r>
              <w:rPr>
                <w:rFonts w:hint="eastAsia"/>
                <w:sz w:val="21"/>
                <w:szCs w:val="21"/>
              </w:rPr>
              <w:t>0.18</w:t>
            </w:r>
          </w:p>
        </w:tc>
        <w:tc>
          <w:tcPr>
            <w:tcW w:w="1095" w:type="dxa"/>
            <w:noWrap w:val="0"/>
            <w:vAlign w:val="center"/>
          </w:tcPr>
          <w:p w14:paraId="44DA406A">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65FC320E">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3B515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44ABDD52">
            <w:pPr>
              <w:spacing w:line="240" w:lineRule="auto"/>
              <w:ind w:firstLine="0"/>
              <w:jc w:val="center"/>
              <w:rPr>
                <w:sz w:val="21"/>
                <w:szCs w:val="21"/>
              </w:rPr>
            </w:pPr>
          </w:p>
        </w:tc>
        <w:tc>
          <w:tcPr>
            <w:tcW w:w="1568" w:type="dxa"/>
            <w:vMerge w:val="continue"/>
            <w:noWrap w:val="0"/>
            <w:vAlign w:val="center"/>
          </w:tcPr>
          <w:p w14:paraId="5925E390">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272E051">
            <w:pPr>
              <w:spacing w:line="310" w:lineRule="exact"/>
              <w:ind w:firstLine="0"/>
              <w:jc w:val="center"/>
              <w:rPr>
                <w:sz w:val="21"/>
                <w:szCs w:val="21"/>
              </w:rPr>
            </w:pPr>
            <w:r>
              <w:rPr>
                <w:sz w:val="21"/>
                <w:szCs w:val="21"/>
              </w:rPr>
              <w:t>08:00</w:t>
            </w:r>
          </w:p>
        </w:tc>
        <w:tc>
          <w:tcPr>
            <w:tcW w:w="1641" w:type="dxa"/>
            <w:noWrap w:val="0"/>
            <w:vAlign w:val="center"/>
          </w:tcPr>
          <w:p w14:paraId="25D195D5">
            <w:pPr>
              <w:spacing w:line="240" w:lineRule="auto"/>
              <w:ind w:firstLine="0"/>
              <w:jc w:val="center"/>
              <w:rPr>
                <w:sz w:val="21"/>
                <w:szCs w:val="21"/>
              </w:rPr>
            </w:pPr>
            <w:r>
              <w:rPr>
                <w:rFonts w:hint="eastAsia"/>
                <w:sz w:val="21"/>
                <w:szCs w:val="21"/>
              </w:rPr>
              <w:t>0.37</w:t>
            </w:r>
          </w:p>
        </w:tc>
        <w:tc>
          <w:tcPr>
            <w:tcW w:w="1875" w:type="dxa"/>
            <w:noWrap w:val="0"/>
            <w:vAlign w:val="center"/>
          </w:tcPr>
          <w:p w14:paraId="3ADC9089">
            <w:pPr>
              <w:spacing w:line="240" w:lineRule="auto"/>
              <w:ind w:firstLine="0"/>
              <w:jc w:val="center"/>
              <w:rPr>
                <w:sz w:val="21"/>
                <w:szCs w:val="21"/>
              </w:rPr>
            </w:pPr>
            <w:r>
              <w:rPr>
                <w:rFonts w:hint="eastAsia"/>
                <w:sz w:val="21"/>
                <w:szCs w:val="21"/>
              </w:rPr>
              <w:t>0.26</w:t>
            </w:r>
          </w:p>
        </w:tc>
        <w:tc>
          <w:tcPr>
            <w:tcW w:w="1095" w:type="dxa"/>
            <w:noWrap w:val="0"/>
            <w:vAlign w:val="center"/>
          </w:tcPr>
          <w:p w14:paraId="5113488F">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6F7111B8">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131B7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78B228D4">
            <w:pPr>
              <w:spacing w:line="240" w:lineRule="auto"/>
              <w:ind w:firstLine="0"/>
              <w:jc w:val="center"/>
              <w:rPr>
                <w:sz w:val="21"/>
                <w:szCs w:val="21"/>
              </w:rPr>
            </w:pPr>
          </w:p>
        </w:tc>
        <w:tc>
          <w:tcPr>
            <w:tcW w:w="1568" w:type="dxa"/>
            <w:vMerge w:val="continue"/>
            <w:noWrap w:val="0"/>
            <w:vAlign w:val="center"/>
          </w:tcPr>
          <w:p w14:paraId="2A5BB38D">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3B65D8B8">
            <w:pPr>
              <w:spacing w:line="310" w:lineRule="exact"/>
              <w:ind w:firstLine="0"/>
              <w:jc w:val="center"/>
              <w:rPr>
                <w:sz w:val="21"/>
                <w:szCs w:val="21"/>
              </w:rPr>
            </w:pPr>
            <w:r>
              <w:rPr>
                <w:sz w:val="21"/>
                <w:szCs w:val="21"/>
              </w:rPr>
              <w:t>14:00</w:t>
            </w:r>
          </w:p>
        </w:tc>
        <w:tc>
          <w:tcPr>
            <w:tcW w:w="1641" w:type="dxa"/>
            <w:noWrap w:val="0"/>
            <w:vAlign w:val="center"/>
          </w:tcPr>
          <w:p w14:paraId="7553FCC5">
            <w:pPr>
              <w:spacing w:line="240" w:lineRule="auto"/>
              <w:ind w:firstLine="0"/>
              <w:jc w:val="center"/>
              <w:rPr>
                <w:sz w:val="21"/>
                <w:szCs w:val="21"/>
              </w:rPr>
            </w:pPr>
            <w:r>
              <w:rPr>
                <w:rFonts w:hint="eastAsia"/>
                <w:sz w:val="21"/>
                <w:szCs w:val="21"/>
              </w:rPr>
              <w:t>0.31</w:t>
            </w:r>
          </w:p>
        </w:tc>
        <w:tc>
          <w:tcPr>
            <w:tcW w:w="1875" w:type="dxa"/>
            <w:noWrap w:val="0"/>
            <w:vAlign w:val="center"/>
          </w:tcPr>
          <w:p w14:paraId="78CCB862">
            <w:pPr>
              <w:spacing w:line="240" w:lineRule="auto"/>
              <w:ind w:firstLine="0"/>
              <w:jc w:val="center"/>
              <w:rPr>
                <w:sz w:val="21"/>
                <w:szCs w:val="21"/>
              </w:rPr>
            </w:pPr>
            <w:r>
              <w:rPr>
                <w:rFonts w:hint="eastAsia"/>
                <w:sz w:val="21"/>
                <w:szCs w:val="21"/>
              </w:rPr>
              <w:t>0.52</w:t>
            </w:r>
          </w:p>
        </w:tc>
        <w:tc>
          <w:tcPr>
            <w:tcW w:w="1095" w:type="dxa"/>
            <w:noWrap w:val="0"/>
            <w:vAlign w:val="center"/>
          </w:tcPr>
          <w:p w14:paraId="536DD700">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5C97E2F4">
            <w:pPr>
              <w:spacing w:line="240" w:lineRule="auto"/>
              <w:ind w:firstLine="0"/>
              <w:jc w:val="center"/>
              <w:rPr>
                <w:rFonts w:ascii="Calibri" w:hAnsi="Calibri" w:cs="Calibri"/>
                <w:sz w:val="21"/>
                <w:szCs w:val="21"/>
              </w:rPr>
            </w:pPr>
            <w:r>
              <w:rPr>
                <w:rFonts w:hint="eastAsia"/>
                <w:sz w:val="21"/>
                <w:szCs w:val="21"/>
                <w:lang w:val="en-US" w:eastAsia="zh-CN"/>
              </w:rPr>
              <w:t>达标</w:t>
            </w:r>
          </w:p>
        </w:tc>
      </w:tr>
      <w:tr w14:paraId="0BB7C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19" w:type="dxa"/>
            <w:vMerge w:val="continue"/>
            <w:noWrap w:val="0"/>
            <w:tcMar>
              <w:top w:w="15" w:type="dxa"/>
              <w:left w:w="15" w:type="dxa"/>
              <w:bottom w:w="15" w:type="dxa"/>
              <w:right w:w="15" w:type="dxa"/>
            </w:tcMar>
            <w:vAlign w:val="center"/>
          </w:tcPr>
          <w:p w14:paraId="0F818AA9">
            <w:pPr>
              <w:spacing w:line="240" w:lineRule="auto"/>
              <w:ind w:firstLine="0"/>
              <w:jc w:val="center"/>
              <w:rPr>
                <w:sz w:val="21"/>
                <w:szCs w:val="21"/>
              </w:rPr>
            </w:pPr>
          </w:p>
        </w:tc>
        <w:tc>
          <w:tcPr>
            <w:tcW w:w="1568" w:type="dxa"/>
            <w:vMerge w:val="continue"/>
            <w:noWrap w:val="0"/>
            <w:vAlign w:val="center"/>
          </w:tcPr>
          <w:p w14:paraId="180F595B">
            <w:pPr>
              <w:spacing w:line="240" w:lineRule="auto"/>
              <w:ind w:firstLine="0"/>
              <w:jc w:val="center"/>
              <w:rPr>
                <w:sz w:val="21"/>
                <w:szCs w:val="21"/>
              </w:rPr>
            </w:pPr>
          </w:p>
        </w:tc>
        <w:tc>
          <w:tcPr>
            <w:tcW w:w="1675" w:type="dxa"/>
            <w:noWrap w:val="0"/>
            <w:tcMar>
              <w:top w:w="15" w:type="dxa"/>
              <w:left w:w="15" w:type="dxa"/>
              <w:bottom w:w="15" w:type="dxa"/>
              <w:right w:w="15" w:type="dxa"/>
            </w:tcMar>
            <w:vAlign w:val="center"/>
          </w:tcPr>
          <w:p w14:paraId="6F59D99F">
            <w:pPr>
              <w:spacing w:line="310" w:lineRule="exact"/>
              <w:ind w:firstLine="0"/>
              <w:jc w:val="center"/>
              <w:rPr>
                <w:sz w:val="21"/>
                <w:szCs w:val="21"/>
              </w:rPr>
            </w:pPr>
            <w:r>
              <w:rPr>
                <w:sz w:val="21"/>
                <w:szCs w:val="21"/>
              </w:rPr>
              <w:t>20:00</w:t>
            </w:r>
          </w:p>
        </w:tc>
        <w:tc>
          <w:tcPr>
            <w:tcW w:w="1641" w:type="dxa"/>
            <w:noWrap w:val="0"/>
            <w:vAlign w:val="center"/>
          </w:tcPr>
          <w:p w14:paraId="446D207A">
            <w:pPr>
              <w:spacing w:line="240" w:lineRule="auto"/>
              <w:ind w:firstLine="0"/>
              <w:jc w:val="center"/>
              <w:rPr>
                <w:sz w:val="21"/>
                <w:szCs w:val="21"/>
              </w:rPr>
            </w:pPr>
            <w:r>
              <w:rPr>
                <w:rFonts w:hint="eastAsia"/>
                <w:sz w:val="21"/>
                <w:szCs w:val="21"/>
              </w:rPr>
              <w:t>0.46</w:t>
            </w:r>
          </w:p>
        </w:tc>
        <w:tc>
          <w:tcPr>
            <w:tcW w:w="1875" w:type="dxa"/>
            <w:noWrap w:val="0"/>
            <w:vAlign w:val="center"/>
          </w:tcPr>
          <w:p w14:paraId="519C93E8">
            <w:pPr>
              <w:spacing w:line="240" w:lineRule="auto"/>
              <w:ind w:firstLine="0"/>
              <w:jc w:val="center"/>
              <w:rPr>
                <w:sz w:val="21"/>
                <w:szCs w:val="21"/>
              </w:rPr>
            </w:pPr>
            <w:r>
              <w:rPr>
                <w:rFonts w:hint="eastAsia"/>
                <w:sz w:val="21"/>
                <w:szCs w:val="21"/>
              </w:rPr>
              <w:t>0.33</w:t>
            </w:r>
          </w:p>
        </w:tc>
        <w:tc>
          <w:tcPr>
            <w:tcW w:w="1095" w:type="dxa"/>
            <w:noWrap w:val="0"/>
            <w:vAlign w:val="center"/>
          </w:tcPr>
          <w:p w14:paraId="37387113">
            <w:pPr>
              <w:spacing w:line="240" w:lineRule="auto"/>
              <w:ind w:firstLine="0"/>
              <w:jc w:val="center"/>
              <w:rPr>
                <w:rFonts w:ascii="Calibri" w:hAnsi="Calibri" w:cs="Calibri"/>
                <w:sz w:val="21"/>
                <w:szCs w:val="21"/>
              </w:rPr>
            </w:pPr>
            <w:r>
              <w:rPr>
                <w:rFonts w:hint="eastAsia"/>
                <w:sz w:val="21"/>
                <w:szCs w:val="21"/>
                <w:lang w:val="en-US" w:eastAsia="zh-CN"/>
              </w:rPr>
              <w:t>2.0</w:t>
            </w:r>
          </w:p>
        </w:tc>
        <w:tc>
          <w:tcPr>
            <w:tcW w:w="752" w:type="dxa"/>
            <w:noWrap w:val="0"/>
            <w:vAlign w:val="center"/>
          </w:tcPr>
          <w:p w14:paraId="661F4DEC">
            <w:pPr>
              <w:spacing w:line="240" w:lineRule="auto"/>
              <w:ind w:firstLine="0"/>
              <w:jc w:val="center"/>
              <w:rPr>
                <w:rFonts w:ascii="Calibri" w:hAnsi="Calibri" w:cs="Calibri"/>
                <w:sz w:val="21"/>
                <w:szCs w:val="21"/>
              </w:rPr>
            </w:pPr>
            <w:r>
              <w:rPr>
                <w:rFonts w:hint="eastAsia"/>
                <w:sz w:val="21"/>
                <w:szCs w:val="21"/>
                <w:lang w:val="en-US" w:eastAsia="zh-CN"/>
              </w:rPr>
              <w:t>达标</w:t>
            </w:r>
          </w:p>
        </w:tc>
      </w:tr>
    </w:tbl>
    <w:p w14:paraId="46399D13">
      <w:pPr>
        <w:ind w:firstLine="480"/>
        <w:rPr>
          <w:rFonts w:hint="eastAsia" w:eastAsia="宋体"/>
          <w:color w:val="000000"/>
          <w:lang w:val="en-US" w:eastAsia="zh-CN"/>
        </w:rPr>
      </w:pPr>
      <w:bookmarkStart w:id="139" w:name="_Toc418954612"/>
      <w:r>
        <w:rPr>
          <w:rFonts w:hAnsi="宋体"/>
          <w:color w:val="000000"/>
        </w:rPr>
        <w:t>由表</w:t>
      </w:r>
      <w:r>
        <w:rPr>
          <w:rFonts w:hint="eastAsia"/>
          <w:color w:val="000000"/>
          <w:lang w:val="en-US" w:eastAsia="zh-CN"/>
        </w:rPr>
        <w:t>5.4-1</w:t>
      </w:r>
      <w:r>
        <w:rPr>
          <w:rFonts w:hint="eastAsia"/>
          <w:color w:val="000000"/>
        </w:rPr>
        <w:t>监测</w:t>
      </w:r>
      <w:r>
        <w:rPr>
          <w:color w:val="000000"/>
        </w:rPr>
        <w:t>结果可以看出</w:t>
      </w:r>
      <w:r>
        <w:rPr>
          <w:rFonts w:hAnsi="宋体"/>
          <w:color w:val="000000"/>
        </w:rPr>
        <w:t>，</w:t>
      </w:r>
      <w:r>
        <w:rPr>
          <w:rFonts w:hint="eastAsia" w:hAnsi="宋体"/>
          <w:color w:val="000000"/>
        </w:rPr>
        <w:t>各常规</w:t>
      </w:r>
      <w:r>
        <w:rPr>
          <w:rFonts w:hAnsi="宋体"/>
          <w:color w:val="000000"/>
        </w:rPr>
        <w:t>监测因子均能满足</w:t>
      </w:r>
      <w:r>
        <w:rPr>
          <w:color w:val="000000"/>
        </w:rPr>
        <w:t>《</w:t>
      </w:r>
      <w:r>
        <w:rPr>
          <w:rFonts w:hint="eastAsia"/>
          <w:color w:val="000000"/>
        </w:rPr>
        <w:t>环境空气</w:t>
      </w:r>
      <w:r>
        <w:rPr>
          <w:color w:val="000000"/>
        </w:rPr>
        <w:t>质量标准》GB3095-2012中的二级标准</w:t>
      </w:r>
      <w:r>
        <w:rPr>
          <w:rFonts w:hint="eastAsia"/>
          <w:color w:val="000000"/>
          <w:lang w:eastAsia="zh-CN"/>
        </w:rPr>
        <w:t>；</w:t>
      </w:r>
      <w:r>
        <w:rPr>
          <w:rFonts w:hint="eastAsia"/>
          <w:color w:val="000000"/>
          <w:lang w:val="en-US" w:eastAsia="zh-CN"/>
        </w:rPr>
        <w:t>由表5.4-2监测结果可以看出，</w:t>
      </w:r>
      <w:r>
        <w:rPr>
          <w:color w:val="000000"/>
          <w:spacing w:val="-9"/>
          <w:vertAlign w:val="baseline"/>
        </w:rPr>
        <w:t>氨、甲醛</w:t>
      </w:r>
      <w:r>
        <w:rPr>
          <w:rFonts w:hint="eastAsia"/>
          <w:color w:val="000000"/>
          <w:spacing w:val="-9"/>
          <w:vertAlign w:val="baseline"/>
          <w:lang w:val="en-US" w:eastAsia="zh-CN"/>
        </w:rPr>
        <w:t>可满足</w:t>
      </w:r>
      <w:r>
        <w:rPr>
          <w:color w:val="000000"/>
          <w:spacing w:val="-9"/>
          <w:vertAlign w:val="baseline"/>
        </w:rPr>
        <w:t>《环境影响评价技术导则 大气环境》</w:t>
      </w:r>
      <w:r>
        <w:rPr>
          <w:color w:val="000000"/>
          <w:spacing w:val="-3"/>
          <w:vertAlign w:val="baseline"/>
        </w:rPr>
        <w:t>（</w:t>
      </w:r>
      <w:r>
        <w:rPr>
          <w:rFonts w:ascii="Times New Roman" w:eastAsia="Times New Roman"/>
          <w:color w:val="000000"/>
          <w:spacing w:val="-3"/>
          <w:vertAlign w:val="baseline"/>
        </w:rPr>
        <w:t>HJ2.2-2018</w:t>
      </w:r>
      <w:r>
        <w:rPr>
          <w:color w:val="000000"/>
          <w:spacing w:val="-3"/>
          <w:vertAlign w:val="baseline"/>
        </w:rPr>
        <w:t>）</w:t>
      </w:r>
      <w:r>
        <w:rPr>
          <w:color w:val="000000"/>
          <w:spacing w:val="-20"/>
          <w:vertAlign w:val="baseline"/>
        </w:rPr>
        <w:t xml:space="preserve">附录 </w:t>
      </w:r>
      <w:r>
        <w:rPr>
          <w:rFonts w:ascii="Times New Roman" w:eastAsia="Times New Roman"/>
          <w:color w:val="000000"/>
          <w:vertAlign w:val="baseline"/>
        </w:rPr>
        <w:t xml:space="preserve">D </w:t>
      </w:r>
      <w:r>
        <w:rPr>
          <w:color w:val="000000"/>
          <w:spacing w:val="-3"/>
          <w:vertAlign w:val="baseline"/>
        </w:rPr>
        <w:t xml:space="preserve">中的参考限值； </w:t>
      </w:r>
      <w:r>
        <w:rPr>
          <w:rFonts w:hint="eastAsia" w:eastAsia="宋体"/>
          <w:color w:val="000000"/>
          <w:vertAlign w:val="baseline"/>
          <w:lang w:val="en-US" w:eastAsia="zh-CN"/>
        </w:rPr>
        <w:t>非甲烷总烃可满足</w:t>
      </w:r>
      <w:r>
        <w:rPr>
          <w:color w:val="000000"/>
        </w:rPr>
        <w:t>《环境空气质量 非甲烷总烃限制》（DB13/1577-2012）中的二级标准</w:t>
      </w:r>
      <w:r>
        <w:rPr>
          <w:rFonts w:hint="eastAsia" w:hAnsi="宋体"/>
          <w:color w:val="000000"/>
          <w:lang w:eastAsia="zh-CN"/>
        </w:rPr>
        <w:t>。</w:t>
      </w:r>
      <w:r>
        <w:rPr>
          <w:rFonts w:hint="eastAsia"/>
          <w:color w:val="000000"/>
        </w:rPr>
        <w:t>说明项目</w:t>
      </w:r>
      <w:r>
        <w:rPr>
          <w:color w:val="000000"/>
        </w:rPr>
        <w:t>区环境空气</w:t>
      </w:r>
      <w:r>
        <w:rPr>
          <w:rFonts w:hint="eastAsia"/>
          <w:color w:val="000000"/>
        </w:rPr>
        <w:t>未</w:t>
      </w:r>
      <w:r>
        <w:rPr>
          <w:color w:val="000000"/>
        </w:rPr>
        <w:t>受到明显污染</w:t>
      </w:r>
      <w:r>
        <w:rPr>
          <w:rFonts w:hint="eastAsia"/>
          <w:color w:val="000000"/>
        </w:rPr>
        <w:t>，环境空气质量较好。</w:t>
      </w:r>
    </w:p>
    <w:p w14:paraId="30974512">
      <w:pPr>
        <w:pStyle w:val="188"/>
      </w:pPr>
      <w:r>
        <w:rPr>
          <w:rFonts w:hint="eastAsia"/>
          <w:lang w:val="en-US" w:eastAsia="zh-CN"/>
        </w:rPr>
        <w:t>5</w:t>
      </w:r>
      <w:r>
        <w:rPr>
          <w:rFonts w:hint="eastAsia"/>
        </w:rPr>
        <w:t>.4.2 地表水环境质量现状调查与评价</w:t>
      </w:r>
      <w:bookmarkEnd w:id="137"/>
    </w:p>
    <w:p w14:paraId="50F69DA3">
      <w:pPr>
        <w:ind w:firstLine="480"/>
        <w:rPr>
          <w:rFonts w:hint="eastAsia"/>
          <w:szCs w:val="24"/>
        </w:rPr>
      </w:pPr>
      <w:r>
        <w:rPr>
          <w:rFonts w:hint="eastAsia"/>
        </w:rPr>
        <w:t>本项目区最近的地表水体为芒市大河</w:t>
      </w:r>
      <w:r>
        <w:t>，</w:t>
      </w:r>
      <w:r>
        <w:rPr>
          <w:rFonts w:hint="eastAsia"/>
          <w:szCs w:val="24"/>
        </w:rPr>
        <w:t>项目区</w:t>
      </w:r>
      <w:r>
        <w:rPr>
          <w:szCs w:val="24"/>
        </w:rPr>
        <w:t>涉及河段为芒市大河木康至入瑞丽江口河段，</w:t>
      </w:r>
      <w:r>
        <w:rPr>
          <w:rFonts w:hint="eastAsia"/>
          <w:szCs w:val="24"/>
        </w:rPr>
        <w:t>根据《云南省地表水水环境功能区划（2010~2020年）》，芒市大河木康断面至入瑞丽江口河段水环境功能为农业用水、工业用水，水质保护类别为</w:t>
      </w:r>
      <w:r>
        <w:rPr>
          <w:szCs w:val="24"/>
        </w:rPr>
        <w:t>Ⅲ</w:t>
      </w:r>
      <w:r>
        <w:rPr>
          <w:rFonts w:hint="eastAsia"/>
          <w:szCs w:val="24"/>
        </w:rPr>
        <w:t>类，执行《地表水环境质量标准》（GB3838-2002）</w:t>
      </w:r>
      <w:r>
        <w:rPr>
          <w:szCs w:val="24"/>
        </w:rPr>
        <w:t>Ⅲ</w:t>
      </w:r>
      <w:r>
        <w:rPr>
          <w:rFonts w:hint="eastAsia"/>
          <w:szCs w:val="24"/>
        </w:rPr>
        <w:t>类水质标准。</w:t>
      </w:r>
    </w:p>
    <w:p w14:paraId="29DD7E7A">
      <w:pPr>
        <w:ind w:firstLine="482"/>
        <w:jc w:val="left"/>
      </w:pPr>
      <w:r>
        <w:rPr>
          <w:szCs w:val="24"/>
        </w:rPr>
        <w:t>根据《德宏州201</w:t>
      </w:r>
      <w:r>
        <w:rPr>
          <w:rFonts w:hint="eastAsia"/>
          <w:szCs w:val="24"/>
        </w:rPr>
        <w:t>8</w:t>
      </w:r>
      <w:r>
        <w:rPr>
          <w:szCs w:val="24"/>
        </w:rPr>
        <w:t>年环境质量公报》，2018 年芒市大河风平断面水质有所下降，由上年的Ⅲ类良变为Ⅳ类轻度污染；瑞丽江嘎中</w:t>
      </w:r>
      <w:r>
        <w:rPr>
          <w:rFonts w:hint="eastAsia"/>
          <w:szCs w:val="24"/>
        </w:rPr>
        <w:t>大桥断面</w:t>
      </w:r>
      <w:r>
        <w:rPr>
          <w:szCs w:val="24"/>
        </w:rPr>
        <w:t>达到水功能区划要求</w:t>
      </w:r>
      <w:r>
        <w:rPr>
          <w:rFonts w:hint="eastAsia"/>
          <w:szCs w:val="24"/>
        </w:rPr>
        <w:t>，风平断面1月至5月未达水功能区划要求，1月、2 月、5 月份主要污染指标为氨氮；3月份主要污染指标为氨氮和总磷；4月份主要污染指标为氨氮、总磷和五日生化需氧量。</w:t>
      </w:r>
    </w:p>
    <w:p w14:paraId="2A16FF77">
      <w:pPr>
        <w:pStyle w:val="188"/>
      </w:pPr>
      <w:r>
        <w:rPr>
          <w:rFonts w:hint="eastAsia"/>
          <w:lang w:val="en-US" w:eastAsia="zh-CN"/>
        </w:rPr>
        <w:t>5</w:t>
      </w:r>
      <w:r>
        <w:rPr>
          <w:rFonts w:hint="eastAsia"/>
        </w:rPr>
        <w:t>.4.3</w:t>
      </w:r>
      <w:r>
        <w:t xml:space="preserve"> </w:t>
      </w:r>
      <w:r>
        <w:rPr>
          <w:rFonts w:hint="eastAsia"/>
        </w:rPr>
        <w:t>声环境质量现状监测与评价</w:t>
      </w:r>
    </w:p>
    <w:p w14:paraId="394CEFE3">
      <w:pPr>
        <w:ind w:firstLine="480"/>
        <w:rPr>
          <w:szCs w:val="24"/>
        </w:rPr>
      </w:pPr>
      <w:r>
        <w:t>为</w:t>
      </w:r>
      <w:r>
        <w:rPr>
          <w:szCs w:val="24"/>
        </w:rPr>
        <w:t>反映项目所在区域声环境质量现状，建设单位委托云南浩辰环保科技有限公司于2019年</w:t>
      </w:r>
      <w:r>
        <w:rPr>
          <w:rFonts w:hint="eastAsia"/>
          <w:szCs w:val="24"/>
          <w:lang w:val="en-US" w:eastAsia="zh-CN"/>
        </w:rPr>
        <w:t>8</w:t>
      </w:r>
      <w:r>
        <w:rPr>
          <w:szCs w:val="24"/>
        </w:rPr>
        <w:t>月</w:t>
      </w:r>
      <w:r>
        <w:rPr>
          <w:rFonts w:hint="eastAsia"/>
          <w:szCs w:val="24"/>
          <w:lang w:val="en-US" w:eastAsia="zh-CN"/>
        </w:rPr>
        <w:t>25</w:t>
      </w:r>
      <w:r>
        <w:rPr>
          <w:szCs w:val="24"/>
        </w:rPr>
        <w:t>日~</w:t>
      </w:r>
      <w:r>
        <w:rPr>
          <w:rFonts w:hint="eastAsia"/>
          <w:szCs w:val="24"/>
          <w:lang w:val="en-US" w:eastAsia="zh-CN"/>
        </w:rPr>
        <w:t>26</w:t>
      </w:r>
      <w:r>
        <w:rPr>
          <w:szCs w:val="24"/>
        </w:rPr>
        <w:t>日对项目区</w:t>
      </w:r>
      <w:r>
        <w:rPr>
          <w:rFonts w:hint="eastAsia"/>
          <w:szCs w:val="24"/>
          <w:lang w:val="en-US" w:eastAsia="zh-CN"/>
        </w:rPr>
        <w:t>所在区域声环境质量</w:t>
      </w:r>
      <w:r>
        <w:rPr>
          <w:szCs w:val="24"/>
        </w:rPr>
        <w:t>进行了现状监测。</w:t>
      </w:r>
    </w:p>
    <w:p w14:paraId="4938570F">
      <w:pPr>
        <w:spacing w:line="360" w:lineRule="auto"/>
        <w:ind w:firstLine="480"/>
        <w:rPr>
          <w:rFonts w:ascii="宋体" w:hAnsi="宋体"/>
          <w:b w:val="0"/>
          <w:bCs w:val="0"/>
          <w:sz w:val="24"/>
        </w:rPr>
      </w:pPr>
      <w:r>
        <w:rPr>
          <w:b w:val="0"/>
          <w:bCs w:val="0"/>
          <w:sz w:val="24"/>
        </w:rPr>
        <w:t>监测</w:t>
      </w:r>
      <w:r>
        <w:rPr>
          <w:rFonts w:hint="eastAsia"/>
          <w:b w:val="0"/>
          <w:bCs w:val="0"/>
          <w:sz w:val="24"/>
          <w:lang w:val="en-US" w:eastAsia="zh-CN"/>
        </w:rPr>
        <w:t>点位</w:t>
      </w:r>
      <w:r>
        <w:rPr>
          <w:b w:val="0"/>
          <w:bCs w:val="0"/>
          <w:sz w:val="24"/>
        </w:rPr>
        <w:t>：</w:t>
      </w:r>
      <w:r>
        <w:rPr>
          <w:b w:val="0"/>
          <w:bCs w:val="0"/>
          <w:szCs w:val="24"/>
        </w:rPr>
        <w:t>共布</w:t>
      </w:r>
      <w:r>
        <w:rPr>
          <w:rFonts w:hint="eastAsia"/>
          <w:b w:val="0"/>
          <w:bCs w:val="0"/>
          <w:szCs w:val="24"/>
          <w:lang w:val="en-US" w:eastAsia="zh-CN"/>
        </w:rPr>
        <w:t>7</w:t>
      </w:r>
      <w:r>
        <w:rPr>
          <w:b w:val="0"/>
          <w:bCs w:val="0"/>
          <w:szCs w:val="24"/>
        </w:rPr>
        <w:t>个环境监测点。</w:t>
      </w:r>
      <w:r>
        <w:rPr>
          <w:rFonts w:hint="eastAsia" w:ascii="宋体" w:hAnsi="宋体"/>
          <w:b w:val="0"/>
          <w:bCs w:val="0"/>
          <w:sz w:val="24"/>
        </w:rPr>
        <w:t>在项目区厂界四周设</w:t>
      </w:r>
      <w:r>
        <w:rPr>
          <w:rFonts w:hint="eastAsia"/>
          <w:b w:val="0"/>
          <w:bCs w:val="0"/>
          <w:sz w:val="24"/>
        </w:rPr>
        <w:t>4</w:t>
      </w:r>
      <w:r>
        <w:rPr>
          <w:rFonts w:hint="eastAsia" w:ascii="宋体" w:hAnsi="宋体"/>
          <w:b w:val="0"/>
          <w:bCs w:val="0"/>
          <w:sz w:val="24"/>
        </w:rPr>
        <w:t>个监测点，</w:t>
      </w:r>
      <w:r>
        <w:rPr>
          <w:rFonts w:hint="eastAsia" w:ascii="宋体" w:hAnsi="宋体"/>
          <w:b w:val="0"/>
          <w:bCs w:val="0"/>
          <w:sz w:val="24"/>
          <w:lang w:val="en-US" w:eastAsia="zh-CN"/>
        </w:rPr>
        <w:t>中东灰窑村新村、双红新村、盛世佳园小区</w:t>
      </w:r>
      <w:r>
        <w:rPr>
          <w:rFonts w:hint="eastAsia" w:ascii="宋体" w:hAnsi="宋体"/>
          <w:b w:val="0"/>
          <w:bCs w:val="0"/>
          <w:sz w:val="24"/>
        </w:rPr>
        <w:t>分别</w:t>
      </w:r>
      <w:r>
        <w:rPr>
          <w:rFonts w:hint="eastAsia" w:ascii="宋体" w:hAnsi="宋体"/>
          <w:b w:val="0"/>
          <w:bCs w:val="0"/>
          <w:sz w:val="24"/>
          <w:lang w:val="en-US" w:eastAsia="zh-CN"/>
        </w:rPr>
        <w:t>设置1个</w:t>
      </w:r>
      <w:r>
        <w:rPr>
          <w:rFonts w:hint="eastAsia" w:ascii="宋体" w:hAnsi="宋体"/>
          <w:b w:val="0"/>
          <w:bCs w:val="0"/>
          <w:sz w:val="24"/>
        </w:rPr>
        <w:t>监测点</w:t>
      </w:r>
      <w:r>
        <w:rPr>
          <w:b w:val="0"/>
          <w:bCs w:val="0"/>
          <w:sz w:val="24"/>
        </w:rPr>
        <w:t>。</w:t>
      </w:r>
    </w:p>
    <w:p w14:paraId="20F84A79">
      <w:pPr>
        <w:spacing w:line="360" w:lineRule="auto"/>
        <w:ind w:firstLine="480"/>
        <w:rPr>
          <w:rFonts w:hint="eastAsia"/>
          <w:b w:val="0"/>
          <w:bCs w:val="0"/>
          <w:szCs w:val="24"/>
          <w:lang w:eastAsia="zh-CN"/>
        </w:rPr>
      </w:pPr>
      <w:r>
        <w:rPr>
          <w:b w:val="0"/>
          <w:bCs w:val="0"/>
          <w:szCs w:val="24"/>
        </w:rPr>
        <w:t>监测项目：等效连续A声级</w:t>
      </w:r>
      <w:r>
        <w:rPr>
          <w:rFonts w:hint="eastAsia"/>
          <w:b w:val="0"/>
          <w:bCs w:val="0"/>
          <w:szCs w:val="24"/>
          <w:lang w:eastAsia="zh-CN"/>
        </w:rPr>
        <w:t>。</w:t>
      </w:r>
    </w:p>
    <w:p w14:paraId="2E9C1592">
      <w:pPr>
        <w:spacing w:line="360" w:lineRule="auto"/>
        <w:ind w:firstLine="480"/>
        <w:rPr>
          <w:b w:val="0"/>
          <w:bCs w:val="0"/>
          <w:szCs w:val="24"/>
        </w:rPr>
      </w:pPr>
      <w:r>
        <w:rPr>
          <w:b w:val="0"/>
          <w:bCs w:val="0"/>
          <w:sz w:val="24"/>
        </w:rPr>
        <w:t>监测周期和频率：连续监测2</w:t>
      </w:r>
      <w:r>
        <w:rPr>
          <w:rFonts w:ascii="宋体" w:hAnsi="宋体"/>
          <w:b w:val="0"/>
          <w:bCs w:val="0"/>
          <w:sz w:val="24"/>
        </w:rPr>
        <w:t>天，每天监测分昼间、夜间</w:t>
      </w:r>
      <w:r>
        <w:rPr>
          <w:b w:val="0"/>
          <w:bCs w:val="0"/>
          <w:sz w:val="24"/>
        </w:rPr>
        <w:t>2</w:t>
      </w:r>
      <w:r>
        <w:rPr>
          <w:rFonts w:ascii="宋体" w:hAnsi="宋体"/>
          <w:b w:val="0"/>
          <w:bCs w:val="0"/>
          <w:sz w:val="24"/>
        </w:rPr>
        <w:t>个时段。</w:t>
      </w:r>
    </w:p>
    <w:p w14:paraId="27A7A8C7">
      <w:pPr>
        <w:ind w:firstLine="480"/>
        <w:rPr>
          <w:b w:val="0"/>
          <w:bCs w:val="0"/>
          <w:szCs w:val="24"/>
        </w:rPr>
      </w:pPr>
      <w:r>
        <w:rPr>
          <w:b w:val="0"/>
          <w:bCs w:val="0"/>
          <w:szCs w:val="24"/>
        </w:rPr>
        <w:t>项目区声环境质量监测结果减表</w:t>
      </w:r>
      <w:r>
        <w:rPr>
          <w:rFonts w:hint="eastAsia"/>
          <w:b w:val="0"/>
          <w:bCs w:val="0"/>
          <w:szCs w:val="24"/>
          <w:lang w:val="en-US" w:eastAsia="zh-CN"/>
        </w:rPr>
        <w:t>5.4</w:t>
      </w:r>
      <w:r>
        <w:rPr>
          <w:b w:val="0"/>
          <w:bCs w:val="0"/>
          <w:szCs w:val="24"/>
        </w:rPr>
        <w:t>-</w:t>
      </w:r>
      <w:r>
        <w:rPr>
          <w:rFonts w:hint="eastAsia"/>
          <w:b w:val="0"/>
          <w:bCs w:val="0"/>
          <w:szCs w:val="24"/>
          <w:lang w:val="en-US" w:eastAsia="zh-CN"/>
        </w:rPr>
        <w:t>3</w:t>
      </w:r>
      <w:r>
        <w:rPr>
          <w:b w:val="0"/>
          <w:bCs w:val="0"/>
          <w:szCs w:val="24"/>
        </w:rPr>
        <w:t>。</w:t>
      </w:r>
    </w:p>
    <w:p w14:paraId="7899038D">
      <w:pPr>
        <w:pStyle w:val="2"/>
        <w:ind w:firstLine="482"/>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lang w:val="en-US" w:eastAsia="zh-CN"/>
        </w:rPr>
        <w:t>5.4</w:t>
      </w: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3</w:t>
      </w:r>
      <w:r>
        <w:rPr>
          <w:rFonts w:ascii="Times New Roman" w:hAnsi="Times New Roman" w:cs="Times New Roman"/>
          <w:b/>
          <w:bCs/>
          <w:sz w:val="24"/>
          <w:szCs w:val="24"/>
        </w:rPr>
        <w:t xml:space="preserve">  项目区域声环境质量监测结果</w:t>
      </w:r>
    </w:p>
    <w:tbl>
      <w:tblPr>
        <w:tblStyle w:val="32"/>
        <w:tblW w:w="88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57"/>
        <w:gridCol w:w="2439"/>
        <w:gridCol w:w="1428"/>
        <w:gridCol w:w="1185"/>
        <w:gridCol w:w="997"/>
        <w:gridCol w:w="968"/>
      </w:tblGrid>
      <w:tr w14:paraId="17D3E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857" w:type="dxa"/>
            <w:noWrap w:val="0"/>
            <w:vAlign w:val="center"/>
          </w:tcPr>
          <w:p w14:paraId="6A80B008">
            <w:pPr>
              <w:ind w:firstLine="0"/>
              <w:jc w:val="center"/>
              <w:rPr>
                <w:sz w:val="21"/>
                <w:szCs w:val="21"/>
              </w:rPr>
            </w:pPr>
            <w:r>
              <w:rPr>
                <w:sz w:val="21"/>
                <w:szCs w:val="21"/>
              </w:rPr>
              <w:t>监测日期</w:t>
            </w:r>
          </w:p>
        </w:tc>
        <w:tc>
          <w:tcPr>
            <w:tcW w:w="2439" w:type="dxa"/>
            <w:noWrap w:val="0"/>
            <w:vAlign w:val="center"/>
          </w:tcPr>
          <w:p w14:paraId="77E9EFA9">
            <w:pPr>
              <w:ind w:firstLine="0"/>
              <w:jc w:val="center"/>
              <w:rPr>
                <w:sz w:val="21"/>
                <w:szCs w:val="21"/>
              </w:rPr>
            </w:pPr>
            <w:r>
              <w:rPr>
                <w:sz w:val="21"/>
                <w:szCs w:val="21"/>
              </w:rPr>
              <w:t>监测点位</w:t>
            </w:r>
          </w:p>
        </w:tc>
        <w:tc>
          <w:tcPr>
            <w:tcW w:w="1428" w:type="dxa"/>
            <w:noWrap w:val="0"/>
            <w:vAlign w:val="center"/>
          </w:tcPr>
          <w:p w14:paraId="12CC9EB9">
            <w:pPr>
              <w:ind w:firstLine="0"/>
              <w:jc w:val="center"/>
              <w:rPr>
                <w:sz w:val="21"/>
                <w:szCs w:val="21"/>
              </w:rPr>
            </w:pPr>
            <w:r>
              <w:rPr>
                <w:sz w:val="21"/>
                <w:szCs w:val="21"/>
              </w:rPr>
              <w:t>时   段</w:t>
            </w:r>
          </w:p>
        </w:tc>
        <w:tc>
          <w:tcPr>
            <w:tcW w:w="1185" w:type="dxa"/>
            <w:noWrap w:val="0"/>
            <w:vAlign w:val="center"/>
          </w:tcPr>
          <w:p w14:paraId="4B9BD364">
            <w:pPr>
              <w:ind w:firstLine="0"/>
              <w:jc w:val="center"/>
              <w:rPr>
                <w:sz w:val="21"/>
                <w:szCs w:val="21"/>
              </w:rPr>
            </w:pPr>
            <w:r>
              <w:rPr>
                <w:sz w:val="21"/>
                <w:szCs w:val="21"/>
              </w:rPr>
              <w:t>噪声值dB(A)</w:t>
            </w:r>
          </w:p>
        </w:tc>
        <w:tc>
          <w:tcPr>
            <w:tcW w:w="997" w:type="dxa"/>
            <w:noWrap w:val="0"/>
            <w:vAlign w:val="center"/>
          </w:tcPr>
          <w:p w14:paraId="4746F5C1">
            <w:pPr>
              <w:ind w:firstLine="0"/>
              <w:jc w:val="center"/>
              <w:rPr>
                <w:sz w:val="21"/>
                <w:szCs w:val="21"/>
              </w:rPr>
            </w:pPr>
            <w:r>
              <w:rPr>
                <w:sz w:val="21"/>
                <w:szCs w:val="21"/>
              </w:rPr>
              <w:t>评价标准dB(A)</w:t>
            </w:r>
          </w:p>
        </w:tc>
        <w:tc>
          <w:tcPr>
            <w:tcW w:w="968" w:type="dxa"/>
            <w:noWrap w:val="0"/>
            <w:vAlign w:val="center"/>
          </w:tcPr>
          <w:p w14:paraId="6F9095F4">
            <w:pPr>
              <w:ind w:firstLine="0"/>
              <w:jc w:val="center"/>
              <w:rPr>
                <w:sz w:val="21"/>
                <w:szCs w:val="21"/>
              </w:rPr>
            </w:pPr>
            <w:r>
              <w:rPr>
                <w:rFonts w:hint="eastAsia"/>
                <w:sz w:val="21"/>
                <w:szCs w:val="21"/>
              </w:rPr>
              <w:t>达标情况</w:t>
            </w:r>
          </w:p>
        </w:tc>
      </w:tr>
      <w:tr w14:paraId="28E0C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restart"/>
            <w:noWrap w:val="0"/>
            <w:vAlign w:val="center"/>
          </w:tcPr>
          <w:p w14:paraId="035087DA">
            <w:pPr>
              <w:ind w:firstLine="0"/>
              <w:jc w:val="center"/>
              <w:rPr>
                <w:sz w:val="21"/>
                <w:szCs w:val="21"/>
              </w:rPr>
            </w:pPr>
            <w:bookmarkStart w:id="140" w:name="OLE_LINK44"/>
            <w:bookmarkStart w:id="141" w:name="_Hlk454826699"/>
            <w:r>
              <w:rPr>
                <w:sz w:val="21"/>
                <w:szCs w:val="21"/>
              </w:rPr>
              <w:t>2019.0</w:t>
            </w:r>
            <w:r>
              <w:rPr>
                <w:rFonts w:hint="eastAsia"/>
                <w:sz w:val="21"/>
                <w:szCs w:val="21"/>
              </w:rPr>
              <w:t>8</w:t>
            </w:r>
            <w:r>
              <w:rPr>
                <w:sz w:val="21"/>
                <w:szCs w:val="21"/>
              </w:rPr>
              <w:t>.2</w:t>
            </w:r>
            <w:r>
              <w:rPr>
                <w:rFonts w:hint="eastAsia"/>
                <w:sz w:val="21"/>
                <w:szCs w:val="21"/>
              </w:rPr>
              <w:t>5</w:t>
            </w:r>
          </w:p>
        </w:tc>
        <w:tc>
          <w:tcPr>
            <w:tcW w:w="2439" w:type="dxa"/>
            <w:vMerge w:val="restart"/>
            <w:noWrap w:val="0"/>
            <w:vAlign w:val="center"/>
          </w:tcPr>
          <w:p w14:paraId="703D20D0">
            <w:pPr>
              <w:ind w:firstLine="0"/>
              <w:jc w:val="center"/>
              <w:rPr>
                <w:sz w:val="21"/>
                <w:szCs w:val="21"/>
              </w:rPr>
            </w:pPr>
            <w:r>
              <w:rPr>
                <w:sz w:val="21"/>
                <w:szCs w:val="21"/>
              </w:rPr>
              <w:t>项目区厂界东（ZS01）</w:t>
            </w:r>
          </w:p>
        </w:tc>
        <w:tc>
          <w:tcPr>
            <w:tcW w:w="1428" w:type="dxa"/>
            <w:noWrap w:val="0"/>
            <w:vAlign w:val="center"/>
          </w:tcPr>
          <w:p w14:paraId="26343F21">
            <w:pPr>
              <w:ind w:firstLine="0"/>
              <w:jc w:val="center"/>
              <w:rPr>
                <w:sz w:val="21"/>
                <w:szCs w:val="21"/>
              </w:rPr>
            </w:pPr>
            <w:r>
              <w:rPr>
                <w:sz w:val="21"/>
                <w:szCs w:val="21"/>
              </w:rPr>
              <w:t>昼 间</w:t>
            </w:r>
          </w:p>
        </w:tc>
        <w:tc>
          <w:tcPr>
            <w:tcW w:w="1185" w:type="dxa"/>
            <w:noWrap w:val="0"/>
            <w:vAlign w:val="center"/>
          </w:tcPr>
          <w:p w14:paraId="4CD73E81">
            <w:pPr>
              <w:ind w:firstLine="0"/>
              <w:jc w:val="center"/>
              <w:rPr>
                <w:sz w:val="21"/>
                <w:szCs w:val="21"/>
              </w:rPr>
            </w:pPr>
            <w:r>
              <w:rPr>
                <w:rFonts w:hint="eastAsia"/>
                <w:sz w:val="21"/>
                <w:szCs w:val="21"/>
              </w:rPr>
              <w:t>52.4</w:t>
            </w:r>
          </w:p>
        </w:tc>
        <w:tc>
          <w:tcPr>
            <w:tcW w:w="997" w:type="dxa"/>
            <w:noWrap w:val="0"/>
            <w:vAlign w:val="center"/>
          </w:tcPr>
          <w:p w14:paraId="2D7347A4">
            <w:pPr>
              <w:ind w:firstLine="0"/>
              <w:jc w:val="center"/>
              <w:rPr>
                <w:rFonts w:hint="eastAsia"/>
                <w:sz w:val="21"/>
                <w:szCs w:val="21"/>
              </w:rPr>
            </w:pPr>
            <w:r>
              <w:rPr>
                <w:rFonts w:hint="eastAsia"/>
                <w:sz w:val="21"/>
                <w:szCs w:val="21"/>
              </w:rPr>
              <w:t>60</w:t>
            </w:r>
          </w:p>
        </w:tc>
        <w:tc>
          <w:tcPr>
            <w:tcW w:w="968" w:type="dxa"/>
            <w:noWrap w:val="0"/>
            <w:vAlign w:val="center"/>
          </w:tcPr>
          <w:p w14:paraId="02214257">
            <w:pPr>
              <w:ind w:firstLine="0"/>
              <w:jc w:val="center"/>
              <w:rPr>
                <w:rFonts w:hint="eastAsia"/>
                <w:sz w:val="21"/>
                <w:szCs w:val="21"/>
              </w:rPr>
            </w:pPr>
            <w:r>
              <w:rPr>
                <w:rFonts w:hint="eastAsia"/>
                <w:sz w:val="21"/>
                <w:szCs w:val="21"/>
              </w:rPr>
              <w:t>达标</w:t>
            </w:r>
          </w:p>
        </w:tc>
      </w:tr>
      <w:tr w14:paraId="004AA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2E71F64F">
            <w:pPr>
              <w:ind w:firstLine="0"/>
              <w:jc w:val="center"/>
              <w:rPr>
                <w:sz w:val="21"/>
                <w:szCs w:val="21"/>
              </w:rPr>
            </w:pPr>
          </w:p>
        </w:tc>
        <w:tc>
          <w:tcPr>
            <w:tcW w:w="2439" w:type="dxa"/>
            <w:vMerge w:val="continue"/>
            <w:noWrap w:val="0"/>
            <w:vAlign w:val="center"/>
          </w:tcPr>
          <w:p w14:paraId="44FEA347">
            <w:pPr>
              <w:ind w:firstLine="0"/>
              <w:jc w:val="center"/>
              <w:rPr>
                <w:sz w:val="21"/>
                <w:szCs w:val="21"/>
              </w:rPr>
            </w:pPr>
          </w:p>
        </w:tc>
        <w:tc>
          <w:tcPr>
            <w:tcW w:w="1428" w:type="dxa"/>
            <w:noWrap w:val="0"/>
            <w:vAlign w:val="center"/>
          </w:tcPr>
          <w:p w14:paraId="598C651B">
            <w:pPr>
              <w:ind w:firstLine="0"/>
              <w:jc w:val="center"/>
              <w:rPr>
                <w:sz w:val="21"/>
                <w:szCs w:val="21"/>
              </w:rPr>
            </w:pPr>
            <w:r>
              <w:rPr>
                <w:sz w:val="21"/>
                <w:szCs w:val="21"/>
              </w:rPr>
              <w:t>夜 间</w:t>
            </w:r>
          </w:p>
        </w:tc>
        <w:tc>
          <w:tcPr>
            <w:tcW w:w="1185" w:type="dxa"/>
            <w:noWrap w:val="0"/>
            <w:vAlign w:val="center"/>
          </w:tcPr>
          <w:p w14:paraId="56192D7E">
            <w:pPr>
              <w:ind w:firstLine="0"/>
              <w:jc w:val="center"/>
              <w:rPr>
                <w:sz w:val="21"/>
                <w:szCs w:val="21"/>
              </w:rPr>
            </w:pPr>
            <w:r>
              <w:rPr>
                <w:rFonts w:hint="eastAsia"/>
                <w:sz w:val="21"/>
                <w:szCs w:val="21"/>
              </w:rPr>
              <w:t>47.0</w:t>
            </w:r>
          </w:p>
        </w:tc>
        <w:tc>
          <w:tcPr>
            <w:tcW w:w="997" w:type="dxa"/>
            <w:noWrap w:val="0"/>
            <w:vAlign w:val="center"/>
          </w:tcPr>
          <w:p w14:paraId="2AC3BD57">
            <w:pPr>
              <w:ind w:firstLine="0"/>
              <w:jc w:val="center"/>
              <w:rPr>
                <w:rFonts w:hint="eastAsia"/>
                <w:sz w:val="21"/>
                <w:szCs w:val="21"/>
              </w:rPr>
            </w:pPr>
            <w:r>
              <w:rPr>
                <w:rFonts w:hint="eastAsia"/>
                <w:sz w:val="21"/>
                <w:szCs w:val="21"/>
              </w:rPr>
              <w:t>50</w:t>
            </w:r>
          </w:p>
        </w:tc>
        <w:tc>
          <w:tcPr>
            <w:tcW w:w="968" w:type="dxa"/>
            <w:noWrap w:val="0"/>
            <w:vAlign w:val="center"/>
          </w:tcPr>
          <w:p w14:paraId="0577655D">
            <w:pPr>
              <w:ind w:firstLine="0"/>
              <w:jc w:val="center"/>
              <w:rPr>
                <w:rFonts w:hint="eastAsia"/>
                <w:sz w:val="21"/>
                <w:szCs w:val="21"/>
              </w:rPr>
            </w:pPr>
            <w:r>
              <w:rPr>
                <w:rFonts w:hint="eastAsia"/>
                <w:sz w:val="21"/>
                <w:szCs w:val="21"/>
              </w:rPr>
              <w:t>达标</w:t>
            </w:r>
          </w:p>
        </w:tc>
      </w:tr>
      <w:tr w14:paraId="104F3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5190402B">
            <w:pPr>
              <w:ind w:firstLine="0"/>
              <w:jc w:val="center"/>
              <w:rPr>
                <w:sz w:val="21"/>
                <w:szCs w:val="21"/>
              </w:rPr>
            </w:pPr>
          </w:p>
        </w:tc>
        <w:tc>
          <w:tcPr>
            <w:tcW w:w="2439" w:type="dxa"/>
            <w:vMerge w:val="restart"/>
            <w:noWrap w:val="0"/>
            <w:vAlign w:val="center"/>
          </w:tcPr>
          <w:p w14:paraId="386A55F6">
            <w:pPr>
              <w:ind w:firstLine="0"/>
              <w:jc w:val="center"/>
              <w:rPr>
                <w:sz w:val="21"/>
                <w:szCs w:val="21"/>
              </w:rPr>
            </w:pPr>
            <w:r>
              <w:rPr>
                <w:sz w:val="21"/>
                <w:szCs w:val="21"/>
              </w:rPr>
              <w:t>项目区厂界南（ZS02）</w:t>
            </w:r>
          </w:p>
        </w:tc>
        <w:tc>
          <w:tcPr>
            <w:tcW w:w="1428" w:type="dxa"/>
            <w:noWrap w:val="0"/>
            <w:vAlign w:val="center"/>
          </w:tcPr>
          <w:p w14:paraId="4018A8B0">
            <w:pPr>
              <w:ind w:firstLine="0"/>
              <w:jc w:val="center"/>
              <w:rPr>
                <w:sz w:val="21"/>
                <w:szCs w:val="21"/>
              </w:rPr>
            </w:pPr>
            <w:r>
              <w:rPr>
                <w:sz w:val="21"/>
                <w:szCs w:val="21"/>
              </w:rPr>
              <w:t>昼 间</w:t>
            </w:r>
          </w:p>
        </w:tc>
        <w:tc>
          <w:tcPr>
            <w:tcW w:w="1185" w:type="dxa"/>
            <w:noWrap w:val="0"/>
            <w:vAlign w:val="center"/>
          </w:tcPr>
          <w:p w14:paraId="515F3841">
            <w:pPr>
              <w:ind w:firstLine="0"/>
              <w:jc w:val="center"/>
              <w:rPr>
                <w:sz w:val="21"/>
                <w:szCs w:val="21"/>
              </w:rPr>
            </w:pPr>
            <w:r>
              <w:rPr>
                <w:rFonts w:hint="eastAsia"/>
                <w:sz w:val="21"/>
                <w:szCs w:val="21"/>
              </w:rPr>
              <w:t>52.1</w:t>
            </w:r>
          </w:p>
        </w:tc>
        <w:tc>
          <w:tcPr>
            <w:tcW w:w="997" w:type="dxa"/>
            <w:noWrap w:val="0"/>
            <w:vAlign w:val="center"/>
          </w:tcPr>
          <w:p w14:paraId="7B32AA71">
            <w:pPr>
              <w:ind w:firstLine="0"/>
              <w:jc w:val="center"/>
              <w:rPr>
                <w:rFonts w:hint="eastAsia"/>
                <w:sz w:val="21"/>
                <w:szCs w:val="21"/>
              </w:rPr>
            </w:pPr>
            <w:r>
              <w:rPr>
                <w:rFonts w:hint="eastAsia"/>
                <w:sz w:val="21"/>
                <w:szCs w:val="21"/>
              </w:rPr>
              <w:t>60</w:t>
            </w:r>
          </w:p>
        </w:tc>
        <w:tc>
          <w:tcPr>
            <w:tcW w:w="968" w:type="dxa"/>
            <w:noWrap w:val="0"/>
            <w:vAlign w:val="center"/>
          </w:tcPr>
          <w:p w14:paraId="67E47D5F">
            <w:pPr>
              <w:ind w:firstLine="0"/>
              <w:jc w:val="center"/>
              <w:rPr>
                <w:rFonts w:hint="eastAsia"/>
                <w:sz w:val="21"/>
                <w:szCs w:val="21"/>
              </w:rPr>
            </w:pPr>
            <w:r>
              <w:rPr>
                <w:rFonts w:hint="eastAsia"/>
                <w:sz w:val="21"/>
                <w:szCs w:val="21"/>
              </w:rPr>
              <w:t>达标</w:t>
            </w:r>
          </w:p>
        </w:tc>
      </w:tr>
      <w:tr w14:paraId="6517E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08C318FB">
            <w:pPr>
              <w:ind w:firstLine="0"/>
              <w:jc w:val="center"/>
              <w:rPr>
                <w:sz w:val="21"/>
                <w:szCs w:val="21"/>
              </w:rPr>
            </w:pPr>
          </w:p>
        </w:tc>
        <w:tc>
          <w:tcPr>
            <w:tcW w:w="2439" w:type="dxa"/>
            <w:vMerge w:val="continue"/>
            <w:noWrap w:val="0"/>
            <w:vAlign w:val="center"/>
          </w:tcPr>
          <w:p w14:paraId="5AD26986">
            <w:pPr>
              <w:ind w:firstLine="0"/>
              <w:jc w:val="center"/>
              <w:rPr>
                <w:sz w:val="21"/>
                <w:szCs w:val="21"/>
              </w:rPr>
            </w:pPr>
          </w:p>
        </w:tc>
        <w:tc>
          <w:tcPr>
            <w:tcW w:w="1428" w:type="dxa"/>
            <w:noWrap w:val="0"/>
            <w:vAlign w:val="center"/>
          </w:tcPr>
          <w:p w14:paraId="0D4B2F27">
            <w:pPr>
              <w:ind w:firstLine="0"/>
              <w:jc w:val="center"/>
              <w:rPr>
                <w:sz w:val="21"/>
                <w:szCs w:val="21"/>
              </w:rPr>
            </w:pPr>
            <w:r>
              <w:rPr>
                <w:sz w:val="21"/>
                <w:szCs w:val="21"/>
              </w:rPr>
              <w:t>夜 间</w:t>
            </w:r>
          </w:p>
        </w:tc>
        <w:tc>
          <w:tcPr>
            <w:tcW w:w="1185" w:type="dxa"/>
            <w:noWrap w:val="0"/>
            <w:vAlign w:val="center"/>
          </w:tcPr>
          <w:p w14:paraId="7E2A65F0">
            <w:pPr>
              <w:ind w:firstLine="0"/>
              <w:jc w:val="center"/>
              <w:rPr>
                <w:sz w:val="21"/>
                <w:szCs w:val="21"/>
              </w:rPr>
            </w:pPr>
            <w:r>
              <w:rPr>
                <w:rFonts w:hint="eastAsia"/>
                <w:sz w:val="21"/>
                <w:szCs w:val="21"/>
              </w:rPr>
              <w:t>46.1</w:t>
            </w:r>
          </w:p>
        </w:tc>
        <w:tc>
          <w:tcPr>
            <w:tcW w:w="997" w:type="dxa"/>
            <w:noWrap w:val="0"/>
            <w:vAlign w:val="center"/>
          </w:tcPr>
          <w:p w14:paraId="190A9078">
            <w:pPr>
              <w:ind w:firstLine="0"/>
              <w:jc w:val="center"/>
              <w:rPr>
                <w:rFonts w:hint="eastAsia"/>
                <w:sz w:val="21"/>
                <w:szCs w:val="21"/>
              </w:rPr>
            </w:pPr>
            <w:r>
              <w:rPr>
                <w:rFonts w:hint="eastAsia"/>
                <w:sz w:val="21"/>
                <w:szCs w:val="21"/>
              </w:rPr>
              <w:t>50</w:t>
            </w:r>
          </w:p>
        </w:tc>
        <w:tc>
          <w:tcPr>
            <w:tcW w:w="968" w:type="dxa"/>
            <w:noWrap w:val="0"/>
            <w:vAlign w:val="center"/>
          </w:tcPr>
          <w:p w14:paraId="611C7C00">
            <w:pPr>
              <w:ind w:firstLine="0"/>
              <w:jc w:val="center"/>
              <w:rPr>
                <w:rFonts w:hint="eastAsia"/>
                <w:sz w:val="21"/>
                <w:szCs w:val="21"/>
              </w:rPr>
            </w:pPr>
            <w:r>
              <w:rPr>
                <w:rFonts w:hint="eastAsia"/>
                <w:sz w:val="21"/>
                <w:szCs w:val="21"/>
              </w:rPr>
              <w:t>达标</w:t>
            </w:r>
          </w:p>
        </w:tc>
      </w:tr>
      <w:bookmarkEnd w:id="138"/>
      <w:bookmarkEnd w:id="139"/>
      <w:tr w14:paraId="67081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1BCB0991">
            <w:pPr>
              <w:ind w:firstLine="0"/>
              <w:jc w:val="center"/>
              <w:rPr>
                <w:sz w:val="21"/>
                <w:szCs w:val="21"/>
              </w:rPr>
            </w:pPr>
          </w:p>
        </w:tc>
        <w:tc>
          <w:tcPr>
            <w:tcW w:w="2439" w:type="dxa"/>
            <w:vMerge w:val="restart"/>
            <w:noWrap w:val="0"/>
            <w:vAlign w:val="center"/>
          </w:tcPr>
          <w:p w14:paraId="2D1265C7">
            <w:pPr>
              <w:ind w:firstLine="0"/>
              <w:jc w:val="center"/>
              <w:rPr>
                <w:sz w:val="21"/>
                <w:szCs w:val="21"/>
              </w:rPr>
            </w:pPr>
            <w:r>
              <w:rPr>
                <w:sz w:val="21"/>
                <w:szCs w:val="21"/>
              </w:rPr>
              <w:t>项目区厂界西（ZS03）</w:t>
            </w:r>
          </w:p>
        </w:tc>
        <w:tc>
          <w:tcPr>
            <w:tcW w:w="1428" w:type="dxa"/>
            <w:noWrap w:val="0"/>
            <w:vAlign w:val="center"/>
          </w:tcPr>
          <w:p w14:paraId="04F60E92">
            <w:pPr>
              <w:ind w:firstLine="0"/>
              <w:jc w:val="center"/>
              <w:rPr>
                <w:sz w:val="21"/>
                <w:szCs w:val="21"/>
              </w:rPr>
            </w:pPr>
            <w:r>
              <w:rPr>
                <w:sz w:val="21"/>
                <w:szCs w:val="21"/>
              </w:rPr>
              <w:t>昼 间</w:t>
            </w:r>
          </w:p>
        </w:tc>
        <w:tc>
          <w:tcPr>
            <w:tcW w:w="1185" w:type="dxa"/>
            <w:noWrap w:val="0"/>
            <w:vAlign w:val="center"/>
          </w:tcPr>
          <w:p w14:paraId="7D28834F">
            <w:pPr>
              <w:ind w:firstLine="0"/>
              <w:jc w:val="center"/>
              <w:rPr>
                <w:sz w:val="21"/>
                <w:szCs w:val="21"/>
              </w:rPr>
            </w:pPr>
            <w:r>
              <w:rPr>
                <w:rFonts w:hint="eastAsia"/>
                <w:sz w:val="21"/>
                <w:szCs w:val="21"/>
              </w:rPr>
              <w:t>51.3</w:t>
            </w:r>
          </w:p>
        </w:tc>
        <w:tc>
          <w:tcPr>
            <w:tcW w:w="997" w:type="dxa"/>
            <w:noWrap w:val="0"/>
            <w:vAlign w:val="center"/>
          </w:tcPr>
          <w:p w14:paraId="6DC3A30A">
            <w:pPr>
              <w:ind w:firstLine="0"/>
              <w:jc w:val="center"/>
              <w:rPr>
                <w:rFonts w:hint="eastAsia"/>
                <w:sz w:val="21"/>
                <w:szCs w:val="21"/>
              </w:rPr>
            </w:pPr>
            <w:r>
              <w:rPr>
                <w:rFonts w:hint="eastAsia"/>
                <w:sz w:val="21"/>
                <w:szCs w:val="21"/>
              </w:rPr>
              <w:t>60</w:t>
            </w:r>
          </w:p>
        </w:tc>
        <w:tc>
          <w:tcPr>
            <w:tcW w:w="968" w:type="dxa"/>
            <w:noWrap w:val="0"/>
            <w:vAlign w:val="center"/>
          </w:tcPr>
          <w:p w14:paraId="062664E7">
            <w:pPr>
              <w:ind w:firstLine="0"/>
              <w:jc w:val="center"/>
              <w:rPr>
                <w:rFonts w:hint="eastAsia"/>
                <w:sz w:val="21"/>
                <w:szCs w:val="21"/>
              </w:rPr>
            </w:pPr>
            <w:r>
              <w:rPr>
                <w:rFonts w:hint="eastAsia"/>
                <w:sz w:val="21"/>
                <w:szCs w:val="21"/>
              </w:rPr>
              <w:t>达标</w:t>
            </w:r>
          </w:p>
        </w:tc>
      </w:tr>
      <w:tr w14:paraId="76ED4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63334980">
            <w:pPr>
              <w:ind w:firstLine="0"/>
              <w:jc w:val="center"/>
              <w:rPr>
                <w:sz w:val="21"/>
                <w:szCs w:val="21"/>
              </w:rPr>
            </w:pPr>
          </w:p>
        </w:tc>
        <w:tc>
          <w:tcPr>
            <w:tcW w:w="2439" w:type="dxa"/>
            <w:vMerge w:val="continue"/>
            <w:noWrap w:val="0"/>
            <w:vAlign w:val="center"/>
          </w:tcPr>
          <w:p w14:paraId="513F1EDF">
            <w:pPr>
              <w:ind w:firstLine="0"/>
              <w:jc w:val="center"/>
              <w:rPr>
                <w:sz w:val="21"/>
                <w:szCs w:val="21"/>
              </w:rPr>
            </w:pPr>
          </w:p>
        </w:tc>
        <w:tc>
          <w:tcPr>
            <w:tcW w:w="1428" w:type="dxa"/>
            <w:noWrap w:val="0"/>
            <w:vAlign w:val="center"/>
          </w:tcPr>
          <w:p w14:paraId="7580BC12">
            <w:pPr>
              <w:ind w:firstLine="0"/>
              <w:jc w:val="center"/>
              <w:rPr>
                <w:sz w:val="21"/>
                <w:szCs w:val="21"/>
              </w:rPr>
            </w:pPr>
            <w:r>
              <w:rPr>
                <w:sz w:val="21"/>
                <w:szCs w:val="21"/>
              </w:rPr>
              <w:t>夜 间</w:t>
            </w:r>
          </w:p>
        </w:tc>
        <w:tc>
          <w:tcPr>
            <w:tcW w:w="1185" w:type="dxa"/>
            <w:noWrap w:val="0"/>
            <w:vAlign w:val="center"/>
          </w:tcPr>
          <w:p w14:paraId="693FA8BA">
            <w:pPr>
              <w:ind w:firstLine="0"/>
              <w:jc w:val="center"/>
              <w:rPr>
                <w:sz w:val="21"/>
                <w:szCs w:val="21"/>
              </w:rPr>
            </w:pPr>
            <w:r>
              <w:rPr>
                <w:rFonts w:hint="eastAsia"/>
                <w:sz w:val="21"/>
                <w:szCs w:val="21"/>
              </w:rPr>
              <w:t>45.9</w:t>
            </w:r>
          </w:p>
        </w:tc>
        <w:tc>
          <w:tcPr>
            <w:tcW w:w="997" w:type="dxa"/>
            <w:noWrap w:val="0"/>
            <w:vAlign w:val="center"/>
          </w:tcPr>
          <w:p w14:paraId="4DE2ED89">
            <w:pPr>
              <w:ind w:firstLine="0"/>
              <w:jc w:val="center"/>
              <w:rPr>
                <w:rFonts w:hint="eastAsia"/>
                <w:sz w:val="21"/>
                <w:szCs w:val="21"/>
              </w:rPr>
            </w:pPr>
            <w:r>
              <w:rPr>
                <w:rFonts w:hint="eastAsia"/>
                <w:sz w:val="21"/>
                <w:szCs w:val="21"/>
              </w:rPr>
              <w:t>50</w:t>
            </w:r>
          </w:p>
        </w:tc>
        <w:tc>
          <w:tcPr>
            <w:tcW w:w="968" w:type="dxa"/>
            <w:noWrap w:val="0"/>
            <w:vAlign w:val="center"/>
          </w:tcPr>
          <w:p w14:paraId="2144B30C">
            <w:pPr>
              <w:ind w:firstLine="0"/>
              <w:jc w:val="center"/>
              <w:rPr>
                <w:rFonts w:hint="eastAsia"/>
                <w:sz w:val="21"/>
                <w:szCs w:val="21"/>
              </w:rPr>
            </w:pPr>
            <w:r>
              <w:rPr>
                <w:rFonts w:hint="eastAsia"/>
                <w:sz w:val="21"/>
                <w:szCs w:val="21"/>
              </w:rPr>
              <w:t>达标</w:t>
            </w:r>
          </w:p>
        </w:tc>
      </w:tr>
      <w:tr w14:paraId="4BA34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19D54CAE">
            <w:pPr>
              <w:ind w:firstLine="0"/>
              <w:jc w:val="center"/>
              <w:rPr>
                <w:sz w:val="21"/>
                <w:szCs w:val="21"/>
              </w:rPr>
            </w:pPr>
          </w:p>
        </w:tc>
        <w:tc>
          <w:tcPr>
            <w:tcW w:w="2439" w:type="dxa"/>
            <w:vMerge w:val="restart"/>
            <w:noWrap w:val="0"/>
            <w:vAlign w:val="center"/>
          </w:tcPr>
          <w:p w14:paraId="6920EE8E">
            <w:pPr>
              <w:ind w:firstLine="0"/>
              <w:jc w:val="center"/>
              <w:rPr>
                <w:sz w:val="21"/>
                <w:szCs w:val="21"/>
              </w:rPr>
            </w:pPr>
            <w:r>
              <w:rPr>
                <w:sz w:val="21"/>
                <w:szCs w:val="21"/>
              </w:rPr>
              <w:t>项目区厂界北（ZS04）</w:t>
            </w:r>
          </w:p>
        </w:tc>
        <w:tc>
          <w:tcPr>
            <w:tcW w:w="1428" w:type="dxa"/>
            <w:noWrap w:val="0"/>
            <w:vAlign w:val="center"/>
          </w:tcPr>
          <w:p w14:paraId="32FB2037">
            <w:pPr>
              <w:ind w:firstLine="0"/>
              <w:jc w:val="center"/>
              <w:rPr>
                <w:sz w:val="21"/>
                <w:szCs w:val="21"/>
              </w:rPr>
            </w:pPr>
            <w:r>
              <w:rPr>
                <w:sz w:val="21"/>
                <w:szCs w:val="21"/>
              </w:rPr>
              <w:t>昼 间</w:t>
            </w:r>
          </w:p>
        </w:tc>
        <w:tc>
          <w:tcPr>
            <w:tcW w:w="1185" w:type="dxa"/>
            <w:noWrap w:val="0"/>
            <w:vAlign w:val="center"/>
          </w:tcPr>
          <w:p w14:paraId="5A642B0F">
            <w:pPr>
              <w:ind w:firstLine="0"/>
              <w:jc w:val="center"/>
              <w:rPr>
                <w:sz w:val="21"/>
                <w:szCs w:val="21"/>
              </w:rPr>
            </w:pPr>
            <w:r>
              <w:rPr>
                <w:rFonts w:hint="eastAsia"/>
                <w:sz w:val="21"/>
                <w:szCs w:val="21"/>
              </w:rPr>
              <w:t>52.5</w:t>
            </w:r>
          </w:p>
        </w:tc>
        <w:tc>
          <w:tcPr>
            <w:tcW w:w="997" w:type="dxa"/>
            <w:noWrap w:val="0"/>
            <w:vAlign w:val="center"/>
          </w:tcPr>
          <w:p w14:paraId="56D10B31">
            <w:pPr>
              <w:ind w:firstLine="0"/>
              <w:jc w:val="center"/>
              <w:rPr>
                <w:rFonts w:hint="eastAsia"/>
                <w:sz w:val="21"/>
                <w:szCs w:val="21"/>
              </w:rPr>
            </w:pPr>
            <w:r>
              <w:rPr>
                <w:rFonts w:hint="eastAsia"/>
                <w:sz w:val="21"/>
                <w:szCs w:val="21"/>
              </w:rPr>
              <w:t>60</w:t>
            </w:r>
          </w:p>
        </w:tc>
        <w:tc>
          <w:tcPr>
            <w:tcW w:w="968" w:type="dxa"/>
            <w:noWrap w:val="0"/>
            <w:vAlign w:val="center"/>
          </w:tcPr>
          <w:p w14:paraId="4FE5693D">
            <w:pPr>
              <w:ind w:firstLine="0"/>
              <w:jc w:val="center"/>
              <w:rPr>
                <w:rFonts w:hint="eastAsia"/>
                <w:sz w:val="21"/>
                <w:szCs w:val="21"/>
              </w:rPr>
            </w:pPr>
            <w:r>
              <w:rPr>
                <w:rFonts w:hint="eastAsia"/>
                <w:sz w:val="21"/>
                <w:szCs w:val="21"/>
              </w:rPr>
              <w:t>达标</w:t>
            </w:r>
          </w:p>
        </w:tc>
      </w:tr>
      <w:tr w14:paraId="773BD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0FBA4570">
            <w:pPr>
              <w:ind w:firstLine="0"/>
              <w:jc w:val="center"/>
              <w:rPr>
                <w:sz w:val="21"/>
                <w:szCs w:val="21"/>
              </w:rPr>
            </w:pPr>
          </w:p>
        </w:tc>
        <w:tc>
          <w:tcPr>
            <w:tcW w:w="2439" w:type="dxa"/>
            <w:vMerge w:val="continue"/>
            <w:noWrap w:val="0"/>
            <w:vAlign w:val="center"/>
          </w:tcPr>
          <w:p w14:paraId="7E091F01">
            <w:pPr>
              <w:ind w:firstLine="0"/>
              <w:jc w:val="center"/>
              <w:rPr>
                <w:sz w:val="21"/>
                <w:szCs w:val="21"/>
              </w:rPr>
            </w:pPr>
          </w:p>
        </w:tc>
        <w:tc>
          <w:tcPr>
            <w:tcW w:w="1428" w:type="dxa"/>
            <w:noWrap w:val="0"/>
            <w:vAlign w:val="center"/>
          </w:tcPr>
          <w:p w14:paraId="2F59DBA2">
            <w:pPr>
              <w:ind w:firstLine="0"/>
              <w:jc w:val="center"/>
              <w:rPr>
                <w:sz w:val="21"/>
                <w:szCs w:val="21"/>
              </w:rPr>
            </w:pPr>
            <w:r>
              <w:rPr>
                <w:sz w:val="21"/>
                <w:szCs w:val="21"/>
              </w:rPr>
              <w:t>夜 间</w:t>
            </w:r>
          </w:p>
        </w:tc>
        <w:tc>
          <w:tcPr>
            <w:tcW w:w="1185" w:type="dxa"/>
            <w:noWrap w:val="0"/>
            <w:vAlign w:val="center"/>
          </w:tcPr>
          <w:p w14:paraId="6BCBF042">
            <w:pPr>
              <w:ind w:firstLine="0"/>
              <w:jc w:val="center"/>
              <w:rPr>
                <w:sz w:val="21"/>
                <w:szCs w:val="21"/>
              </w:rPr>
            </w:pPr>
            <w:r>
              <w:rPr>
                <w:rFonts w:hint="eastAsia"/>
                <w:sz w:val="21"/>
                <w:szCs w:val="21"/>
              </w:rPr>
              <w:t>45.9</w:t>
            </w:r>
          </w:p>
        </w:tc>
        <w:tc>
          <w:tcPr>
            <w:tcW w:w="997" w:type="dxa"/>
            <w:noWrap w:val="0"/>
            <w:vAlign w:val="center"/>
          </w:tcPr>
          <w:p w14:paraId="572BC70C">
            <w:pPr>
              <w:ind w:firstLine="0"/>
              <w:jc w:val="center"/>
              <w:rPr>
                <w:rFonts w:hint="eastAsia"/>
                <w:sz w:val="21"/>
                <w:szCs w:val="21"/>
              </w:rPr>
            </w:pPr>
            <w:r>
              <w:rPr>
                <w:rFonts w:hint="eastAsia"/>
                <w:sz w:val="21"/>
                <w:szCs w:val="21"/>
              </w:rPr>
              <w:t>50</w:t>
            </w:r>
          </w:p>
        </w:tc>
        <w:tc>
          <w:tcPr>
            <w:tcW w:w="968" w:type="dxa"/>
            <w:noWrap w:val="0"/>
            <w:vAlign w:val="center"/>
          </w:tcPr>
          <w:p w14:paraId="254DBC03">
            <w:pPr>
              <w:ind w:firstLine="0"/>
              <w:jc w:val="center"/>
              <w:rPr>
                <w:rFonts w:hint="eastAsia"/>
                <w:sz w:val="21"/>
                <w:szCs w:val="21"/>
              </w:rPr>
            </w:pPr>
            <w:r>
              <w:rPr>
                <w:rFonts w:hint="eastAsia"/>
                <w:sz w:val="21"/>
                <w:szCs w:val="21"/>
              </w:rPr>
              <w:t>达标</w:t>
            </w:r>
          </w:p>
        </w:tc>
      </w:tr>
      <w:tr w14:paraId="163AA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7C10741C">
            <w:pPr>
              <w:ind w:firstLine="0"/>
              <w:jc w:val="center"/>
              <w:rPr>
                <w:sz w:val="21"/>
                <w:szCs w:val="21"/>
              </w:rPr>
            </w:pPr>
          </w:p>
        </w:tc>
        <w:tc>
          <w:tcPr>
            <w:tcW w:w="2439" w:type="dxa"/>
            <w:vMerge w:val="restart"/>
            <w:noWrap w:val="0"/>
            <w:vAlign w:val="center"/>
          </w:tcPr>
          <w:p w14:paraId="07282831">
            <w:pPr>
              <w:ind w:firstLine="0"/>
              <w:jc w:val="center"/>
              <w:rPr>
                <w:sz w:val="21"/>
                <w:szCs w:val="21"/>
              </w:rPr>
            </w:pPr>
            <w:r>
              <w:rPr>
                <w:sz w:val="21"/>
                <w:szCs w:val="21"/>
              </w:rPr>
              <w:t>中东灰窑村新村（ZS05）</w:t>
            </w:r>
          </w:p>
        </w:tc>
        <w:tc>
          <w:tcPr>
            <w:tcW w:w="1428" w:type="dxa"/>
            <w:noWrap w:val="0"/>
            <w:vAlign w:val="center"/>
          </w:tcPr>
          <w:p w14:paraId="1903CC04">
            <w:pPr>
              <w:ind w:firstLine="0"/>
              <w:jc w:val="center"/>
              <w:rPr>
                <w:sz w:val="21"/>
                <w:szCs w:val="21"/>
              </w:rPr>
            </w:pPr>
            <w:r>
              <w:rPr>
                <w:sz w:val="21"/>
                <w:szCs w:val="21"/>
              </w:rPr>
              <w:t>昼 间</w:t>
            </w:r>
          </w:p>
        </w:tc>
        <w:tc>
          <w:tcPr>
            <w:tcW w:w="1185" w:type="dxa"/>
            <w:noWrap w:val="0"/>
            <w:vAlign w:val="center"/>
          </w:tcPr>
          <w:p w14:paraId="634E7135">
            <w:pPr>
              <w:ind w:firstLine="0"/>
              <w:jc w:val="center"/>
              <w:rPr>
                <w:sz w:val="21"/>
                <w:szCs w:val="21"/>
              </w:rPr>
            </w:pPr>
            <w:r>
              <w:rPr>
                <w:rFonts w:hint="eastAsia"/>
                <w:sz w:val="21"/>
                <w:szCs w:val="21"/>
              </w:rPr>
              <w:t>50.9</w:t>
            </w:r>
          </w:p>
        </w:tc>
        <w:tc>
          <w:tcPr>
            <w:tcW w:w="997" w:type="dxa"/>
            <w:noWrap w:val="0"/>
            <w:vAlign w:val="center"/>
          </w:tcPr>
          <w:p w14:paraId="696B9EDA">
            <w:pPr>
              <w:ind w:firstLine="0"/>
              <w:jc w:val="center"/>
              <w:rPr>
                <w:rFonts w:hint="eastAsia"/>
                <w:sz w:val="21"/>
                <w:szCs w:val="21"/>
              </w:rPr>
            </w:pPr>
            <w:r>
              <w:rPr>
                <w:rFonts w:hint="eastAsia"/>
                <w:sz w:val="21"/>
                <w:szCs w:val="21"/>
              </w:rPr>
              <w:t>60</w:t>
            </w:r>
          </w:p>
        </w:tc>
        <w:tc>
          <w:tcPr>
            <w:tcW w:w="968" w:type="dxa"/>
            <w:noWrap w:val="0"/>
            <w:vAlign w:val="center"/>
          </w:tcPr>
          <w:p w14:paraId="7B2F51E7">
            <w:pPr>
              <w:ind w:firstLine="0"/>
              <w:jc w:val="center"/>
              <w:rPr>
                <w:rFonts w:hint="eastAsia"/>
                <w:sz w:val="21"/>
                <w:szCs w:val="21"/>
              </w:rPr>
            </w:pPr>
            <w:r>
              <w:rPr>
                <w:rFonts w:hint="eastAsia"/>
                <w:sz w:val="21"/>
                <w:szCs w:val="21"/>
              </w:rPr>
              <w:t>达标</w:t>
            </w:r>
          </w:p>
        </w:tc>
      </w:tr>
      <w:tr w14:paraId="4805F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2E684103">
            <w:pPr>
              <w:ind w:firstLine="0"/>
              <w:jc w:val="center"/>
              <w:rPr>
                <w:sz w:val="21"/>
                <w:szCs w:val="21"/>
              </w:rPr>
            </w:pPr>
          </w:p>
        </w:tc>
        <w:tc>
          <w:tcPr>
            <w:tcW w:w="2439" w:type="dxa"/>
            <w:vMerge w:val="continue"/>
            <w:noWrap w:val="0"/>
            <w:vAlign w:val="center"/>
          </w:tcPr>
          <w:p w14:paraId="60BBF661">
            <w:pPr>
              <w:ind w:firstLine="0"/>
              <w:jc w:val="center"/>
              <w:rPr>
                <w:sz w:val="21"/>
                <w:szCs w:val="21"/>
              </w:rPr>
            </w:pPr>
          </w:p>
        </w:tc>
        <w:tc>
          <w:tcPr>
            <w:tcW w:w="1428" w:type="dxa"/>
            <w:noWrap w:val="0"/>
            <w:vAlign w:val="center"/>
          </w:tcPr>
          <w:p w14:paraId="47155804">
            <w:pPr>
              <w:ind w:firstLine="0"/>
              <w:jc w:val="center"/>
              <w:rPr>
                <w:sz w:val="21"/>
                <w:szCs w:val="21"/>
              </w:rPr>
            </w:pPr>
            <w:r>
              <w:rPr>
                <w:sz w:val="21"/>
                <w:szCs w:val="21"/>
              </w:rPr>
              <w:t>夜 间</w:t>
            </w:r>
          </w:p>
        </w:tc>
        <w:tc>
          <w:tcPr>
            <w:tcW w:w="1185" w:type="dxa"/>
            <w:noWrap w:val="0"/>
            <w:vAlign w:val="center"/>
          </w:tcPr>
          <w:p w14:paraId="4AE4FF5C">
            <w:pPr>
              <w:ind w:firstLine="0"/>
              <w:jc w:val="center"/>
              <w:rPr>
                <w:sz w:val="21"/>
                <w:szCs w:val="21"/>
              </w:rPr>
            </w:pPr>
            <w:r>
              <w:rPr>
                <w:rFonts w:hint="eastAsia"/>
                <w:sz w:val="21"/>
                <w:szCs w:val="21"/>
              </w:rPr>
              <w:t>44.4</w:t>
            </w:r>
          </w:p>
        </w:tc>
        <w:tc>
          <w:tcPr>
            <w:tcW w:w="997" w:type="dxa"/>
            <w:noWrap w:val="0"/>
            <w:vAlign w:val="center"/>
          </w:tcPr>
          <w:p w14:paraId="077F5533">
            <w:pPr>
              <w:ind w:firstLine="0"/>
              <w:jc w:val="center"/>
              <w:rPr>
                <w:rFonts w:hint="eastAsia"/>
                <w:sz w:val="21"/>
                <w:szCs w:val="21"/>
              </w:rPr>
            </w:pPr>
            <w:r>
              <w:rPr>
                <w:rFonts w:hint="eastAsia"/>
                <w:sz w:val="21"/>
                <w:szCs w:val="21"/>
              </w:rPr>
              <w:t>50</w:t>
            </w:r>
          </w:p>
        </w:tc>
        <w:tc>
          <w:tcPr>
            <w:tcW w:w="968" w:type="dxa"/>
            <w:noWrap w:val="0"/>
            <w:vAlign w:val="center"/>
          </w:tcPr>
          <w:p w14:paraId="6C637853">
            <w:pPr>
              <w:ind w:firstLine="0"/>
              <w:jc w:val="center"/>
              <w:rPr>
                <w:rFonts w:hint="eastAsia"/>
                <w:sz w:val="21"/>
                <w:szCs w:val="21"/>
              </w:rPr>
            </w:pPr>
            <w:r>
              <w:rPr>
                <w:rFonts w:hint="eastAsia"/>
                <w:sz w:val="21"/>
                <w:szCs w:val="21"/>
              </w:rPr>
              <w:t>达标</w:t>
            </w:r>
          </w:p>
        </w:tc>
      </w:tr>
      <w:tr w14:paraId="15DE7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5AE39DAE">
            <w:pPr>
              <w:ind w:firstLine="0"/>
              <w:jc w:val="center"/>
              <w:rPr>
                <w:sz w:val="21"/>
                <w:szCs w:val="21"/>
              </w:rPr>
            </w:pPr>
          </w:p>
        </w:tc>
        <w:tc>
          <w:tcPr>
            <w:tcW w:w="2439" w:type="dxa"/>
            <w:vMerge w:val="restart"/>
            <w:noWrap w:val="0"/>
            <w:vAlign w:val="center"/>
          </w:tcPr>
          <w:p w14:paraId="15CF10E6">
            <w:pPr>
              <w:ind w:firstLine="0"/>
              <w:jc w:val="center"/>
              <w:rPr>
                <w:sz w:val="21"/>
                <w:szCs w:val="21"/>
              </w:rPr>
            </w:pPr>
            <w:r>
              <w:rPr>
                <w:sz w:val="21"/>
                <w:szCs w:val="21"/>
              </w:rPr>
              <w:t>双红新村（ZS06）</w:t>
            </w:r>
          </w:p>
        </w:tc>
        <w:tc>
          <w:tcPr>
            <w:tcW w:w="1428" w:type="dxa"/>
            <w:noWrap w:val="0"/>
            <w:vAlign w:val="center"/>
          </w:tcPr>
          <w:p w14:paraId="28EFD223">
            <w:pPr>
              <w:ind w:firstLine="0"/>
              <w:jc w:val="center"/>
              <w:rPr>
                <w:sz w:val="21"/>
                <w:szCs w:val="21"/>
              </w:rPr>
            </w:pPr>
            <w:r>
              <w:rPr>
                <w:sz w:val="21"/>
                <w:szCs w:val="21"/>
              </w:rPr>
              <w:t>昼 间</w:t>
            </w:r>
          </w:p>
        </w:tc>
        <w:tc>
          <w:tcPr>
            <w:tcW w:w="1185" w:type="dxa"/>
            <w:noWrap w:val="0"/>
            <w:vAlign w:val="center"/>
          </w:tcPr>
          <w:p w14:paraId="034C9DF4">
            <w:pPr>
              <w:ind w:firstLine="0"/>
              <w:jc w:val="center"/>
              <w:rPr>
                <w:sz w:val="21"/>
                <w:szCs w:val="21"/>
              </w:rPr>
            </w:pPr>
            <w:r>
              <w:rPr>
                <w:rFonts w:hint="eastAsia"/>
                <w:sz w:val="21"/>
                <w:szCs w:val="21"/>
              </w:rPr>
              <w:t>50.4</w:t>
            </w:r>
          </w:p>
        </w:tc>
        <w:tc>
          <w:tcPr>
            <w:tcW w:w="997" w:type="dxa"/>
            <w:noWrap w:val="0"/>
            <w:vAlign w:val="center"/>
          </w:tcPr>
          <w:p w14:paraId="53ADF543">
            <w:pPr>
              <w:ind w:firstLine="0"/>
              <w:jc w:val="center"/>
              <w:rPr>
                <w:rFonts w:hint="eastAsia"/>
                <w:sz w:val="21"/>
                <w:szCs w:val="21"/>
              </w:rPr>
            </w:pPr>
            <w:r>
              <w:rPr>
                <w:rFonts w:hint="eastAsia"/>
                <w:sz w:val="21"/>
                <w:szCs w:val="21"/>
              </w:rPr>
              <w:t>60</w:t>
            </w:r>
          </w:p>
        </w:tc>
        <w:tc>
          <w:tcPr>
            <w:tcW w:w="968" w:type="dxa"/>
            <w:noWrap w:val="0"/>
            <w:vAlign w:val="center"/>
          </w:tcPr>
          <w:p w14:paraId="35585141">
            <w:pPr>
              <w:ind w:firstLine="0"/>
              <w:jc w:val="center"/>
              <w:rPr>
                <w:rFonts w:hint="eastAsia"/>
                <w:sz w:val="21"/>
                <w:szCs w:val="21"/>
              </w:rPr>
            </w:pPr>
            <w:r>
              <w:rPr>
                <w:rFonts w:hint="eastAsia"/>
                <w:sz w:val="21"/>
                <w:szCs w:val="21"/>
              </w:rPr>
              <w:t>达标</w:t>
            </w:r>
          </w:p>
        </w:tc>
      </w:tr>
      <w:tr w14:paraId="5845F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5B3E918A">
            <w:pPr>
              <w:ind w:firstLine="0"/>
              <w:jc w:val="center"/>
              <w:rPr>
                <w:sz w:val="21"/>
                <w:szCs w:val="21"/>
              </w:rPr>
            </w:pPr>
          </w:p>
        </w:tc>
        <w:tc>
          <w:tcPr>
            <w:tcW w:w="2439" w:type="dxa"/>
            <w:vMerge w:val="continue"/>
            <w:noWrap w:val="0"/>
            <w:vAlign w:val="center"/>
          </w:tcPr>
          <w:p w14:paraId="038CAB90">
            <w:pPr>
              <w:ind w:firstLine="0"/>
              <w:jc w:val="center"/>
              <w:rPr>
                <w:sz w:val="21"/>
                <w:szCs w:val="21"/>
              </w:rPr>
            </w:pPr>
          </w:p>
        </w:tc>
        <w:tc>
          <w:tcPr>
            <w:tcW w:w="1428" w:type="dxa"/>
            <w:noWrap w:val="0"/>
            <w:vAlign w:val="center"/>
          </w:tcPr>
          <w:p w14:paraId="379CDA03">
            <w:pPr>
              <w:ind w:firstLine="0"/>
              <w:jc w:val="center"/>
              <w:rPr>
                <w:sz w:val="21"/>
                <w:szCs w:val="21"/>
              </w:rPr>
            </w:pPr>
            <w:r>
              <w:rPr>
                <w:sz w:val="21"/>
                <w:szCs w:val="21"/>
              </w:rPr>
              <w:t>夜 间</w:t>
            </w:r>
          </w:p>
        </w:tc>
        <w:tc>
          <w:tcPr>
            <w:tcW w:w="1185" w:type="dxa"/>
            <w:noWrap w:val="0"/>
            <w:vAlign w:val="center"/>
          </w:tcPr>
          <w:p w14:paraId="65DB487E">
            <w:pPr>
              <w:ind w:firstLine="0"/>
              <w:jc w:val="center"/>
              <w:rPr>
                <w:sz w:val="21"/>
                <w:szCs w:val="21"/>
              </w:rPr>
            </w:pPr>
            <w:r>
              <w:rPr>
                <w:rFonts w:hint="eastAsia"/>
                <w:sz w:val="21"/>
                <w:szCs w:val="21"/>
              </w:rPr>
              <w:t>44.8</w:t>
            </w:r>
          </w:p>
        </w:tc>
        <w:tc>
          <w:tcPr>
            <w:tcW w:w="997" w:type="dxa"/>
            <w:noWrap w:val="0"/>
            <w:vAlign w:val="center"/>
          </w:tcPr>
          <w:p w14:paraId="21B842AA">
            <w:pPr>
              <w:ind w:firstLine="0"/>
              <w:jc w:val="center"/>
              <w:rPr>
                <w:rFonts w:hint="eastAsia"/>
                <w:sz w:val="21"/>
                <w:szCs w:val="21"/>
              </w:rPr>
            </w:pPr>
            <w:r>
              <w:rPr>
                <w:rFonts w:hint="eastAsia"/>
                <w:sz w:val="21"/>
                <w:szCs w:val="21"/>
              </w:rPr>
              <w:t>50</w:t>
            </w:r>
          </w:p>
        </w:tc>
        <w:tc>
          <w:tcPr>
            <w:tcW w:w="968" w:type="dxa"/>
            <w:noWrap w:val="0"/>
            <w:vAlign w:val="center"/>
          </w:tcPr>
          <w:p w14:paraId="37376833">
            <w:pPr>
              <w:ind w:firstLine="0"/>
              <w:jc w:val="center"/>
              <w:rPr>
                <w:rFonts w:hint="eastAsia"/>
                <w:sz w:val="21"/>
                <w:szCs w:val="21"/>
              </w:rPr>
            </w:pPr>
            <w:r>
              <w:rPr>
                <w:rFonts w:hint="eastAsia"/>
                <w:sz w:val="21"/>
                <w:szCs w:val="21"/>
              </w:rPr>
              <w:t>达标</w:t>
            </w:r>
          </w:p>
        </w:tc>
      </w:tr>
      <w:tr w14:paraId="23E0C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746DA725">
            <w:pPr>
              <w:ind w:firstLine="0"/>
              <w:jc w:val="center"/>
              <w:rPr>
                <w:sz w:val="21"/>
                <w:szCs w:val="21"/>
              </w:rPr>
            </w:pPr>
          </w:p>
        </w:tc>
        <w:tc>
          <w:tcPr>
            <w:tcW w:w="2439" w:type="dxa"/>
            <w:vMerge w:val="restart"/>
            <w:noWrap w:val="0"/>
            <w:vAlign w:val="center"/>
          </w:tcPr>
          <w:p w14:paraId="49F4985D">
            <w:pPr>
              <w:ind w:firstLine="0"/>
              <w:jc w:val="center"/>
              <w:rPr>
                <w:sz w:val="21"/>
                <w:szCs w:val="21"/>
              </w:rPr>
            </w:pPr>
            <w:r>
              <w:rPr>
                <w:sz w:val="21"/>
                <w:szCs w:val="21"/>
              </w:rPr>
              <w:t>盛世佳园小区（ZS07）</w:t>
            </w:r>
          </w:p>
        </w:tc>
        <w:tc>
          <w:tcPr>
            <w:tcW w:w="1428" w:type="dxa"/>
            <w:noWrap w:val="0"/>
            <w:vAlign w:val="center"/>
          </w:tcPr>
          <w:p w14:paraId="024F8420">
            <w:pPr>
              <w:ind w:firstLine="0"/>
              <w:jc w:val="center"/>
              <w:rPr>
                <w:sz w:val="21"/>
                <w:szCs w:val="21"/>
              </w:rPr>
            </w:pPr>
            <w:r>
              <w:rPr>
                <w:sz w:val="21"/>
                <w:szCs w:val="21"/>
              </w:rPr>
              <w:t>昼 间</w:t>
            </w:r>
          </w:p>
        </w:tc>
        <w:tc>
          <w:tcPr>
            <w:tcW w:w="1185" w:type="dxa"/>
            <w:noWrap w:val="0"/>
            <w:vAlign w:val="center"/>
          </w:tcPr>
          <w:p w14:paraId="1F52493C">
            <w:pPr>
              <w:ind w:firstLine="0"/>
              <w:jc w:val="center"/>
              <w:rPr>
                <w:sz w:val="21"/>
                <w:szCs w:val="21"/>
              </w:rPr>
            </w:pPr>
            <w:r>
              <w:rPr>
                <w:rFonts w:hint="eastAsia"/>
                <w:sz w:val="21"/>
                <w:szCs w:val="21"/>
              </w:rPr>
              <w:t>50.1</w:t>
            </w:r>
          </w:p>
        </w:tc>
        <w:tc>
          <w:tcPr>
            <w:tcW w:w="997" w:type="dxa"/>
            <w:noWrap w:val="0"/>
            <w:vAlign w:val="center"/>
          </w:tcPr>
          <w:p w14:paraId="3E370E35">
            <w:pPr>
              <w:ind w:firstLine="0"/>
              <w:jc w:val="center"/>
              <w:rPr>
                <w:rFonts w:hint="eastAsia"/>
                <w:sz w:val="21"/>
                <w:szCs w:val="21"/>
              </w:rPr>
            </w:pPr>
            <w:r>
              <w:rPr>
                <w:rFonts w:hint="eastAsia"/>
                <w:sz w:val="21"/>
                <w:szCs w:val="21"/>
              </w:rPr>
              <w:t>60</w:t>
            </w:r>
          </w:p>
        </w:tc>
        <w:tc>
          <w:tcPr>
            <w:tcW w:w="968" w:type="dxa"/>
            <w:noWrap w:val="0"/>
            <w:vAlign w:val="center"/>
          </w:tcPr>
          <w:p w14:paraId="30A37CF7">
            <w:pPr>
              <w:ind w:firstLine="0"/>
              <w:jc w:val="center"/>
              <w:rPr>
                <w:rFonts w:hint="eastAsia"/>
                <w:sz w:val="21"/>
                <w:szCs w:val="21"/>
              </w:rPr>
            </w:pPr>
            <w:r>
              <w:rPr>
                <w:rFonts w:hint="eastAsia"/>
                <w:sz w:val="21"/>
                <w:szCs w:val="21"/>
              </w:rPr>
              <w:t>达标</w:t>
            </w:r>
          </w:p>
        </w:tc>
      </w:tr>
      <w:tr w14:paraId="5D15B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274B9947">
            <w:pPr>
              <w:ind w:firstLine="0"/>
              <w:jc w:val="center"/>
              <w:rPr>
                <w:sz w:val="21"/>
                <w:szCs w:val="21"/>
              </w:rPr>
            </w:pPr>
          </w:p>
        </w:tc>
        <w:tc>
          <w:tcPr>
            <w:tcW w:w="2439" w:type="dxa"/>
            <w:vMerge w:val="continue"/>
            <w:noWrap w:val="0"/>
            <w:vAlign w:val="center"/>
          </w:tcPr>
          <w:p w14:paraId="5009AFAC">
            <w:pPr>
              <w:ind w:firstLine="0"/>
              <w:jc w:val="center"/>
              <w:rPr>
                <w:sz w:val="21"/>
                <w:szCs w:val="21"/>
              </w:rPr>
            </w:pPr>
          </w:p>
        </w:tc>
        <w:tc>
          <w:tcPr>
            <w:tcW w:w="1428" w:type="dxa"/>
            <w:noWrap w:val="0"/>
            <w:vAlign w:val="center"/>
          </w:tcPr>
          <w:p w14:paraId="275D6BC6">
            <w:pPr>
              <w:ind w:firstLine="0"/>
              <w:jc w:val="center"/>
              <w:rPr>
                <w:sz w:val="21"/>
                <w:szCs w:val="21"/>
              </w:rPr>
            </w:pPr>
            <w:r>
              <w:rPr>
                <w:sz w:val="21"/>
                <w:szCs w:val="21"/>
              </w:rPr>
              <w:t>夜 间</w:t>
            </w:r>
          </w:p>
        </w:tc>
        <w:tc>
          <w:tcPr>
            <w:tcW w:w="1185" w:type="dxa"/>
            <w:noWrap w:val="0"/>
            <w:vAlign w:val="center"/>
          </w:tcPr>
          <w:p w14:paraId="0853B8DB">
            <w:pPr>
              <w:ind w:firstLine="0"/>
              <w:jc w:val="center"/>
              <w:rPr>
                <w:sz w:val="21"/>
                <w:szCs w:val="21"/>
              </w:rPr>
            </w:pPr>
            <w:r>
              <w:rPr>
                <w:rFonts w:hint="eastAsia"/>
                <w:sz w:val="21"/>
                <w:szCs w:val="21"/>
              </w:rPr>
              <w:t>43.7</w:t>
            </w:r>
          </w:p>
        </w:tc>
        <w:tc>
          <w:tcPr>
            <w:tcW w:w="997" w:type="dxa"/>
            <w:noWrap w:val="0"/>
            <w:vAlign w:val="center"/>
          </w:tcPr>
          <w:p w14:paraId="70D7CF6E">
            <w:pPr>
              <w:ind w:firstLine="0"/>
              <w:jc w:val="center"/>
              <w:rPr>
                <w:rFonts w:hint="eastAsia"/>
                <w:sz w:val="21"/>
                <w:szCs w:val="21"/>
              </w:rPr>
            </w:pPr>
            <w:r>
              <w:rPr>
                <w:rFonts w:hint="eastAsia"/>
                <w:sz w:val="21"/>
                <w:szCs w:val="21"/>
              </w:rPr>
              <w:t>50</w:t>
            </w:r>
          </w:p>
        </w:tc>
        <w:tc>
          <w:tcPr>
            <w:tcW w:w="968" w:type="dxa"/>
            <w:noWrap w:val="0"/>
            <w:vAlign w:val="center"/>
          </w:tcPr>
          <w:p w14:paraId="237CDC50">
            <w:pPr>
              <w:ind w:firstLine="0"/>
              <w:jc w:val="center"/>
              <w:rPr>
                <w:rFonts w:hint="eastAsia"/>
                <w:sz w:val="21"/>
                <w:szCs w:val="21"/>
              </w:rPr>
            </w:pPr>
            <w:r>
              <w:rPr>
                <w:rFonts w:hint="eastAsia"/>
                <w:sz w:val="21"/>
                <w:szCs w:val="21"/>
              </w:rPr>
              <w:t>达标</w:t>
            </w:r>
          </w:p>
        </w:tc>
      </w:tr>
      <w:tr w14:paraId="319E4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restart"/>
            <w:noWrap w:val="0"/>
            <w:vAlign w:val="center"/>
          </w:tcPr>
          <w:p w14:paraId="2918A332">
            <w:pPr>
              <w:ind w:firstLine="0"/>
              <w:jc w:val="center"/>
              <w:rPr>
                <w:sz w:val="21"/>
                <w:szCs w:val="21"/>
              </w:rPr>
            </w:pPr>
            <w:r>
              <w:rPr>
                <w:rFonts w:hint="eastAsia"/>
                <w:sz w:val="21"/>
                <w:szCs w:val="21"/>
              </w:rPr>
              <w:t>2019.08.26</w:t>
            </w:r>
          </w:p>
        </w:tc>
        <w:tc>
          <w:tcPr>
            <w:tcW w:w="2439" w:type="dxa"/>
            <w:vMerge w:val="restart"/>
            <w:noWrap w:val="0"/>
            <w:vAlign w:val="center"/>
          </w:tcPr>
          <w:p w14:paraId="396E8198">
            <w:pPr>
              <w:ind w:firstLine="0"/>
              <w:jc w:val="center"/>
              <w:rPr>
                <w:sz w:val="21"/>
                <w:szCs w:val="21"/>
              </w:rPr>
            </w:pPr>
            <w:r>
              <w:rPr>
                <w:sz w:val="21"/>
                <w:szCs w:val="21"/>
              </w:rPr>
              <w:t>项目区厂界东（ZS01）</w:t>
            </w:r>
          </w:p>
        </w:tc>
        <w:tc>
          <w:tcPr>
            <w:tcW w:w="1428" w:type="dxa"/>
            <w:noWrap w:val="0"/>
            <w:vAlign w:val="center"/>
          </w:tcPr>
          <w:p w14:paraId="660AF957">
            <w:pPr>
              <w:ind w:firstLine="0"/>
              <w:jc w:val="center"/>
              <w:rPr>
                <w:sz w:val="21"/>
                <w:szCs w:val="21"/>
              </w:rPr>
            </w:pPr>
            <w:r>
              <w:rPr>
                <w:sz w:val="21"/>
                <w:szCs w:val="21"/>
              </w:rPr>
              <w:t>昼 间</w:t>
            </w:r>
          </w:p>
        </w:tc>
        <w:tc>
          <w:tcPr>
            <w:tcW w:w="1185" w:type="dxa"/>
            <w:noWrap w:val="0"/>
            <w:vAlign w:val="center"/>
          </w:tcPr>
          <w:p w14:paraId="7A164C34">
            <w:pPr>
              <w:ind w:firstLine="0"/>
              <w:jc w:val="center"/>
              <w:rPr>
                <w:sz w:val="21"/>
                <w:szCs w:val="21"/>
              </w:rPr>
            </w:pPr>
            <w:r>
              <w:rPr>
                <w:rFonts w:hint="eastAsia"/>
                <w:sz w:val="21"/>
                <w:szCs w:val="21"/>
              </w:rPr>
              <w:t>51.0</w:t>
            </w:r>
          </w:p>
        </w:tc>
        <w:tc>
          <w:tcPr>
            <w:tcW w:w="997" w:type="dxa"/>
            <w:noWrap w:val="0"/>
            <w:vAlign w:val="center"/>
          </w:tcPr>
          <w:p w14:paraId="758253DA">
            <w:pPr>
              <w:ind w:firstLine="0"/>
              <w:jc w:val="center"/>
              <w:rPr>
                <w:rFonts w:hint="eastAsia"/>
                <w:sz w:val="21"/>
                <w:szCs w:val="21"/>
              </w:rPr>
            </w:pPr>
            <w:r>
              <w:rPr>
                <w:rFonts w:hint="eastAsia"/>
                <w:sz w:val="21"/>
                <w:szCs w:val="21"/>
              </w:rPr>
              <w:t>60</w:t>
            </w:r>
          </w:p>
        </w:tc>
        <w:tc>
          <w:tcPr>
            <w:tcW w:w="968" w:type="dxa"/>
            <w:noWrap w:val="0"/>
            <w:vAlign w:val="center"/>
          </w:tcPr>
          <w:p w14:paraId="54B98009">
            <w:pPr>
              <w:ind w:firstLine="0"/>
              <w:jc w:val="center"/>
              <w:rPr>
                <w:rFonts w:hint="eastAsia"/>
                <w:sz w:val="21"/>
                <w:szCs w:val="21"/>
              </w:rPr>
            </w:pPr>
            <w:r>
              <w:rPr>
                <w:rFonts w:hint="eastAsia"/>
                <w:sz w:val="21"/>
                <w:szCs w:val="21"/>
              </w:rPr>
              <w:t>达标</w:t>
            </w:r>
          </w:p>
        </w:tc>
      </w:tr>
      <w:tr w14:paraId="4FBFE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1030CB96">
            <w:pPr>
              <w:ind w:firstLine="0"/>
              <w:jc w:val="center"/>
              <w:rPr>
                <w:sz w:val="21"/>
                <w:szCs w:val="21"/>
              </w:rPr>
            </w:pPr>
          </w:p>
        </w:tc>
        <w:tc>
          <w:tcPr>
            <w:tcW w:w="2439" w:type="dxa"/>
            <w:vMerge w:val="continue"/>
            <w:noWrap w:val="0"/>
            <w:vAlign w:val="center"/>
          </w:tcPr>
          <w:p w14:paraId="6E7F1BBF">
            <w:pPr>
              <w:ind w:firstLine="0"/>
              <w:jc w:val="center"/>
              <w:rPr>
                <w:sz w:val="21"/>
                <w:szCs w:val="21"/>
              </w:rPr>
            </w:pPr>
          </w:p>
        </w:tc>
        <w:tc>
          <w:tcPr>
            <w:tcW w:w="1428" w:type="dxa"/>
            <w:noWrap w:val="0"/>
            <w:vAlign w:val="center"/>
          </w:tcPr>
          <w:p w14:paraId="7080DC5D">
            <w:pPr>
              <w:ind w:firstLine="0"/>
              <w:jc w:val="center"/>
              <w:rPr>
                <w:sz w:val="21"/>
                <w:szCs w:val="21"/>
              </w:rPr>
            </w:pPr>
            <w:r>
              <w:rPr>
                <w:sz w:val="21"/>
                <w:szCs w:val="21"/>
              </w:rPr>
              <w:t>夜 间</w:t>
            </w:r>
          </w:p>
        </w:tc>
        <w:tc>
          <w:tcPr>
            <w:tcW w:w="1185" w:type="dxa"/>
            <w:noWrap w:val="0"/>
            <w:vAlign w:val="center"/>
          </w:tcPr>
          <w:p w14:paraId="40078B3C">
            <w:pPr>
              <w:ind w:firstLine="0"/>
              <w:jc w:val="center"/>
              <w:rPr>
                <w:sz w:val="21"/>
                <w:szCs w:val="21"/>
              </w:rPr>
            </w:pPr>
            <w:r>
              <w:rPr>
                <w:rFonts w:hint="eastAsia"/>
                <w:sz w:val="21"/>
                <w:szCs w:val="21"/>
              </w:rPr>
              <w:t>46.6</w:t>
            </w:r>
          </w:p>
        </w:tc>
        <w:tc>
          <w:tcPr>
            <w:tcW w:w="997" w:type="dxa"/>
            <w:noWrap w:val="0"/>
            <w:vAlign w:val="center"/>
          </w:tcPr>
          <w:p w14:paraId="36AF80D5">
            <w:pPr>
              <w:ind w:firstLine="0"/>
              <w:jc w:val="center"/>
              <w:rPr>
                <w:rFonts w:hint="eastAsia"/>
                <w:sz w:val="21"/>
                <w:szCs w:val="21"/>
              </w:rPr>
            </w:pPr>
            <w:r>
              <w:rPr>
                <w:rFonts w:hint="eastAsia"/>
                <w:sz w:val="21"/>
                <w:szCs w:val="21"/>
              </w:rPr>
              <w:t>50</w:t>
            </w:r>
          </w:p>
        </w:tc>
        <w:tc>
          <w:tcPr>
            <w:tcW w:w="968" w:type="dxa"/>
            <w:noWrap w:val="0"/>
            <w:vAlign w:val="center"/>
          </w:tcPr>
          <w:p w14:paraId="65B64198">
            <w:pPr>
              <w:ind w:firstLine="0"/>
              <w:jc w:val="center"/>
              <w:rPr>
                <w:rFonts w:hint="eastAsia"/>
                <w:sz w:val="21"/>
                <w:szCs w:val="21"/>
              </w:rPr>
            </w:pPr>
            <w:r>
              <w:rPr>
                <w:rFonts w:hint="eastAsia"/>
                <w:sz w:val="21"/>
                <w:szCs w:val="21"/>
              </w:rPr>
              <w:t>达标</w:t>
            </w:r>
          </w:p>
        </w:tc>
      </w:tr>
      <w:tr w14:paraId="2CDA5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0B681647">
            <w:pPr>
              <w:ind w:firstLine="0"/>
              <w:jc w:val="center"/>
              <w:rPr>
                <w:sz w:val="21"/>
                <w:szCs w:val="21"/>
              </w:rPr>
            </w:pPr>
          </w:p>
        </w:tc>
        <w:tc>
          <w:tcPr>
            <w:tcW w:w="2439" w:type="dxa"/>
            <w:vMerge w:val="restart"/>
            <w:noWrap w:val="0"/>
            <w:vAlign w:val="center"/>
          </w:tcPr>
          <w:p w14:paraId="70ADE373">
            <w:pPr>
              <w:ind w:firstLine="0"/>
              <w:jc w:val="center"/>
              <w:rPr>
                <w:sz w:val="21"/>
                <w:szCs w:val="21"/>
              </w:rPr>
            </w:pPr>
            <w:r>
              <w:rPr>
                <w:sz w:val="21"/>
                <w:szCs w:val="21"/>
              </w:rPr>
              <w:t>项目区厂界南（ZS02）</w:t>
            </w:r>
          </w:p>
        </w:tc>
        <w:tc>
          <w:tcPr>
            <w:tcW w:w="1428" w:type="dxa"/>
            <w:noWrap w:val="0"/>
            <w:vAlign w:val="center"/>
          </w:tcPr>
          <w:p w14:paraId="5A52D2A2">
            <w:pPr>
              <w:ind w:firstLine="0"/>
              <w:jc w:val="center"/>
              <w:rPr>
                <w:sz w:val="21"/>
                <w:szCs w:val="21"/>
              </w:rPr>
            </w:pPr>
            <w:r>
              <w:rPr>
                <w:sz w:val="21"/>
                <w:szCs w:val="21"/>
              </w:rPr>
              <w:t>昼 间</w:t>
            </w:r>
          </w:p>
        </w:tc>
        <w:tc>
          <w:tcPr>
            <w:tcW w:w="1185" w:type="dxa"/>
            <w:noWrap w:val="0"/>
            <w:vAlign w:val="center"/>
          </w:tcPr>
          <w:p w14:paraId="2A0B374D">
            <w:pPr>
              <w:ind w:firstLine="0"/>
              <w:jc w:val="center"/>
              <w:rPr>
                <w:sz w:val="21"/>
                <w:szCs w:val="21"/>
              </w:rPr>
            </w:pPr>
            <w:r>
              <w:rPr>
                <w:rFonts w:hint="eastAsia"/>
                <w:sz w:val="21"/>
                <w:szCs w:val="21"/>
              </w:rPr>
              <w:t>52.3</w:t>
            </w:r>
          </w:p>
        </w:tc>
        <w:tc>
          <w:tcPr>
            <w:tcW w:w="997" w:type="dxa"/>
            <w:noWrap w:val="0"/>
            <w:vAlign w:val="center"/>
          </w:tcPr>
          <w:p w14:paraId="22C33D27">
            <w:pPr>
              <w:ind w:firstLine="0"/>
              <w:jc w:val="center"/>
              <w:rPr>
                <w:rFonts w:hint="eastAsia"/>
                <w:sz w:val="21"/>
                <w:szCs w:val="21"/>
              </w:rPr>
            </w:pPr>
            <w:r>
              <w:rPr>
                <w:rFonts w:hint="eastAsia"/>
                <w:sz w:val="21"/>
                <w:szCs w:val="21"/>
              </w:rPr>
              <w:t>60</w:t>
            </w:r>
          </w:p>
        </w:tc>
        <w:tc>
          <w:tcPr>
            <w:tcW w:w="968" w:type="dxa"/>
            <w:noWrap w:val="0"/>
            <w:vAlign w:val="center"/>
          </w:tcPr>
          <w:p w14:paraId="230E10B3">
            <w:pPr>
              <w:ind w:firstLine="0"/>
              <w:jc w:val="center"/>
              <w:rPr>
                <w:rFonts w:hint="eastAsia"/>
                <w:sz w:val="21"/>
                <w:szCs w:val="21"/>
              </w:rPr>
            </w:pPr>
            <w:r>
              <w:rPr>
                <w:rFonts w:hint="eastAsia"/>
                <w:sz w:val="21"/>
                <w:szCs w:val="21"/>
              </w:rPr>
              <w:t>达标</w:t>
            </w:r>
          </w:p>
        </w:tc>
      </w:tr>
      <w:tr w14:paraId="6188F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6AB62E64">
            <w:pPr>
              <w:ind w:firstLine="0"/>
              <w:jc w:val="center"/>
              <w:rPr>
                <w:sz w:val="21"/>
                <w:szCs w:val="21"/>
              </w:rPr>
            </w:pPr>
          </w:p>
        </w:tc>
        <w:tc>
          <w:tcPr>
            <w:tcW w:w="2439" w:type="dxa"/>
            <w:vMerge w:val="continue"/>
            <w:noWrap w:val="0"/>
            <w:vAlign w:val="center"/>
          </w:tcPr>
          <w:p w14:paraId="26241EC7">
            <w:pPr>
              <w:ind w:firstLine="0"/>
              <w:jc w:val="center"/>
              <w:rPr>
                <w:sz w:val="21"/>
                <w:szCs w:val="21"/>
              </w:rPr>
            </w:pPr>
          </w:p>
        </w:tc>
        <w:tc>
          <w:tcPr>
            <w:tcW w:w="1428" w:type="dxa"/>
            <w:noWrap w:val="0"/>
            <w:vAlign w:val="center"/>
          </w:tcPr>
          <w:p w14:paraId="4C549C26">
            <w:pPr>
              <w:ind w:firstLine="0"/>
              <w:jc w:val="center"/>
              <w:rPr>
                <w:sz w:val="21"/>
                <w:szCs w:val="21"/>
              </w:rPr>
            </w:pPr>
            <w:r>
              <w:rPr>
                <w:sz w:val="21"/>
                <w:szCs w:val="21"/>
              </w:rPr>
              <w:t>夜 间</w:t>
            </w:r>
          </w:p>
        </w:tc>
        <w:tc>
          <w:tcPr>
            <w:tcW w:w="1185" w:type="dxa"/>
            <w:noWrap w:val="0"/>
            <w:vAlign w:val="center"/>
          </w:tcPr>
          <w:p w14:paraId="0563DDA1">
            <w:pPr>
              <w:ind w:firstLine="0"/>
              <w:jc w:val="center"/>
              <w:rPr>
                <w:sz w:val="21"/>
                <w:szCs w:val="21"/>
              </w:rPr>
            </w:pPr>
            <w:r>
              <w:rPr>
                <w:rFonts w:hint="eastAsia"/>
                <w:sz w:val="21"/>
                <w:szCs w:val="21"/>
              </w:rPr>
              <w:t>46.2</w:t>
            </w:r>
          </w:p>
        </w:tc>
        <w:tc>
          <w:tcPr>
            <w:tcW w:w="997" w:type="dxa"/>
            <w:noWrap w:val="0"/>
            <w:vAlign w:val="center"/>
          </w:tcPr>
          <w:p w14:paraId="643124E6">
            <w:pPr>
              <w:ind w:firstLine="0"/>
              <w:jc w:val="center"/>
              <w:rPr>
                <w:rFonts w:hint="eastAsia"/>
                <w:sz w:val="21"/>
                <w:szCs w:val="21"/>
              </w:rPr>
            </w:pPr>
            <w:r>
              <w:rPr>
                <w:rFonts w:hint="eastAsia"/>
                <w:sz w:val="21"/>
                <w:szCs w:val="21"/>
              </w:rPr>
              <w:t>50</w:t>
            </w:r>
          </w:p>
        </w:tc>
        <w:tc>
          <w:tcPr>
            <w:tcW w:w="968" w:type="dxa"/>
            <w:noWrap w:val="0"/>
            <w:vAlign w:val="center"/>
          </w:tcPr>
          <w:p w14:paraId="2BA91E84">
            <w:pPr>
              <w:ind w:firstLine="0"/>
              <w:jc w:val="center"/>
              <w:rPr>
                <w:rFonts w:hint="eastAsia"/>
                <w:sz w:val="21"/>
                <w:szCs w:val="21"/>
              </w:rPr>
            </w:pPr>
            <w:r>
              <w:rPr>
                <w:rFonts w:hint="eastAsia"/>
                <w:sz w:val="21"/>
                <w:szCs w:val="21"/>
              </w:rPr>
              <w:t>达标</w:t>
            </w:r>
          </w:p>
        </w:tc>
      </w:tr>
      <w:tr w14:paraId="24720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0CFFB4C7">
            <w:pPr>
              <w:ind w:firstLine="0"/>
              <w:jc w:val="center"/>
              <w:rPr>
                <w:sz w:val="21"/>
                <w:szCs w:val="21"/>
              </w:rPr>
            </w:pPr>
          </w:p>
        </w:tc>
        <w:tc>
          <w:tcPr>
            <w:tcW w:w="2439" w:type="dxa"/>
            <w:vMerge w:val="restart"/>
            <w:noWrap w:val="0"/>
            <w:vAlign w:val="center"/>
          </w:tcPr>
          <w:p w14:paraId="5164EFE3">
            <w:pPr>
              <w:ind w:firstLine="0"/>
              <w:jc w:val="center"/>
              <w:rPr>
                <w:sz w:val="21"/>
                <w:szCs w:val="21"/>
              </w:rPr>
            </w:pPr>
            <w:r>
              <w:rPr>
                <w:sz w:val="21"/>
                <w:szCs w:val="21"/>
              </w:rPr>
              <w:t>项目区厂界西（ZS03）</w:t>
            </w:r>
          </w:p>
        </w:tc>
        <w:tc>
          <w:tcPr>
            <w:tcW w:w="1428" w:type="dxa"/>
            <w:noWrap w:val="0"/>
            <w:vAlign w:val="center"/>
          </w:tcPr>
          <w:p w14:paraId="2BA993FC">
            <w:pPr>
              <w:ind w:firstLine="0"/>
              <w:jc w:val="center"/>
              <w:rPr>
                <w:sz w:val="21"/>
                <w:szCs w:val="21"/>
              </w:rPr>
            </w:pPr>
            <w:r>
              <w:rPr>
                <w:sz w:val="21"/>
                <w:szCs w:val="21"/>
              </w:rPr>
              <w:t>昼 间</w:t>
            </w:r>
          </w:p>
        </w:tc>
        <w:tc>
          <w:tcPr>
            <w:tcW w:w="1185" w:type="dxa"/>
            <w:noWrap w:val="0"/>
            <w:vAlign w:val="center"/>
          </w:tcPr>
          <w:p w14:paraId="5B165F22">
            <w:pPr>
              <w:ind w:firstLine="0"/>
              <w:jc w:val="center"/>
              <w:rPr>
                <w:sz w:val="21"/>
                <w:szCs w:val="21"/>
              </w:rPr>
            </w:pPr>
            <w:r>
              <w:rPr>
                <w:rFonts w:hint="eastAsia"/>
                <w:sz w:val="21"/>
                <w:szCs w:val="21"/>
              </w:rPr>
              <w:t>51.5</w:t>
            </w:r>
          </w:p>
        </w:tc>
        <w:tc>
          <w:tcPr>
            <w:tcW w:w="997" w:type="dxa"/>
            <w:noWrap w:val="0"/>
            <w:vAlign w:val="center"/>
          </w:tcPr>
          <w:p w14:paraId="111143A2">
            <w:pPr>
              <w:ind w:firstLine="0"/>
              <w:jc w:val="center"/>
              <w:rPr>
                <w:rFonts w:hint="eastAsia"/>
                <w:sz w:val="21"/>
                <w:szCs w:val="21"/>
              </w:rPr>
            </w:pPr>
            <w:r>
              <w:rPr>
                <w:rFonts w:hint="eastAsia"/>
                <w:sz w:val="21"/>
                <w:szCs w:val="21"/>
              </w:rPr>
              <w:t>60</w:t>
            </w:r>
          </w:p>
        </w:tc>
        <w:tc>
          <w:tcPr>
            <w:tcW w:w="968" w:type="dxa"/>
            <w:noWrap w:val="0"/>
            <w:vAlign w:val="center"/>
          </w:tcPr>
          <w:p w14:paraId="763C6E05">
            <w:pPr>
              <w:ind w:firstLine="0"/>
              <w:jc w:val="center"/>
              <w:rPr>
                <w:rFonts w:hint="eastAsia"/>
                <w:sz w:val="21"/>
                <w:szCs w:val="21"/>
              </w:rPr>
            </w:pPr>
            <w:r>
              <w:rPr>
                <w:rFonts w:hint="eastAsia"/>
                <w:sz w:val="21"/>
                <w:szCs w:val="21"/>
              </w:rPr>
              <w:t>达标</w:t>
            </w:r>
          </w:p>
        </w:tc>
      </w:tr>
      <w:tr w14:paraId="0585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5991EABB">
            <w:pPr>
              <w:ind w:firstLine="0"/>
              <w:jc w:val="center"/>
              <w:rPr>
                <w:sz w:val="21"/>
                <w:szCs w:val="21"/>
              </w:rPr>
            </w:pPr>
          </w:p>
        </w:tc>
        <w:tc>
          <w:tcPr>
            <w:tcW w:w="2439" w:type="dxa"/>
            <w:vMerge w:val="continue"/>
            <w:noWrap w:val="0"/>
            <w:vAlign w:val="center"/>
          </w:tcPr>
          <w:p w14:paraId="47104F1A">
            <w:pPr>
              <w:ind w:firstLine="0"/>
              <w:jc w:val="center"/>
              <w:rPr>
                <w:sz w:val="21"/>
                <w:szCs w:val="21"/>
              </w:rPr>
            </w:pPr>
          </w:p>
        </w:tc>
        <w:tc>
          <w:tcPr>
            <w:tcW w:w="1428" w:type="dxa"/>
            <w:noWrap w:val="0"/>
            <w:vAlign w:val="center"/>
          </w:tcPr>
          <w:p w14:paraId="7A140468">
            <w:pPr>
              <w:ind w:firstLine="0"/>
              <w:jc w:val="center"/>
              <w:rPr>
                <w:sz w:val="21"/>
                <w:szCs w:val="21"/>
              </w:rPr>
            </w:pPr>
            <w:r>
              <w:rPr>
                <w:sz w:val="21"/>
                <w:szCs w:val="21"/>
              </w:rPr>
              <w:t>夜 间</w:t>
            </w:r>
          </w:p>
        </w:tc>
        <w:tc>
          <w:tcPr>
            <w:tcW w:w="1185" w:type="dxa"/>
            <w:noWrap w:val="0"/>
            <w:vAlign w:val="center"/>
          </w:tcPr>
          <w:p w14:paraId="7696E5F5">
            <w:pPr>
              <w:ind w:firstLine="0"/>
              <w:jc w:val="center"/>
              <w:rPr>
                <w:sz w:val="21"/>
                <w:szCs w:val="21"/>
              </w:rPr>
            </w:pPr>
            <w:r>
              <w:rPr>
                <w:rFonts w:hint="eastAsia"/>
                <w:sz w:val="21"/>
                <w:szCs w:val="21"/>
              </w:rPr>
              <w:t>45.4</w:t>
            </w:r>
          </w:p>
        </w:tc>
        <w:tc>
          <w:tcPr>
            <w:tcW w:w="997" w:type="dxa"/>
            <w:noWrap w:val="0"/>
            <w:vAlign w:val="center"/>
          </w:tcPr>
          <w:p w14:paraId="034D0AAF">
            <w:pPr>
              <w:ind w:firstLine="0"/>
              <w:jc w:val="center"/>
              <w:rPr>
                <w:rFonts w:hint="eastAsia"/>
                <w:sz w:val="21"/>
                <w:szCs w:val="21"/>
              </w:rPr>
            </w:pPr>
            <w:r>
              <w:rPr>
                <w:rFonts w:hint="eastAsia"/>
                <w:sz w:val="21"/>
                <w:szCs w:val="21"/>
              </w:rPr>
              <w:t>50</w:t>
            </w:r>
          </w:p>
        </w:tc>
        <w:tc>
          <w:tcPr>
            <w:tcW w:w="968" w:type="dxa"/>
            <w:noWrap w:val="0"/>
            <w:vAlign w:val="center"/>
          </w:tcPr>
          <w:p w14:paraId="51B4C4DC">
            <w:pPr>
              <w:ind w:firstLine="0"/>
              <w:jc w:val="center"/>
              <w:rPr>
                <w:rFonts w:hint="eastAsia"/>
                <w:sz w:val="21"/>
                <w:szCs w:val="21"/>
              </w:rPr>
            </w:pPr>
            <w:r>
              <w:rPr>
                <w:rFonts w:hint="eastAsia"/>
                <w:sz w:val="21"/>
                <w:szCs w:val="21"/>
              </w:rPr>
              <w:t>达标</w:t>
            </w:r>
          </w:p>
        </w:tc>
      </w:tr>
      <w:tr w14:paraId="650F9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1FD2D22F">
            <w:pPr>
              <w:ind w:firstLine="0"/>
              <w:jc w:val="center"/>
              <w:rPr>
                <w:sz w:val="21"/>
                <w:szCs w:val="21"/>
              </w:rPr>
            </w:pPr>
          </w:p>
        </w:tc>
        <w:tc>
          <w:tcPr>
            <w:tcW w:w="2439" w:type="dxa"/>
            <w:vMerge w:val="restart"/>
            <w:noWrap w:val="0"/>
            <w:vAlign w:val="center"/>
          </w:tcPr>
          <w:p w14:paraId="0EB14C1C">
            <w:pPr>
              <w:ind w:firstLine="0"/>
              <w:jc w:val="center"/>
              <w:rPr>
                <w:sz w:val="21"/>
                <w:szCs w:val="21"/>
              </w:rPr>
            </w:pPr>
            <w:r>
              <w:rPr>
                <w:sz w:val="21"/>
                <w:szCs w:val="21"/>
              </w:rPr>
              <w:t>项目区厂界北（ZS04）</w:t>
            </w:r>
          </w:p>
        </w:tc>
        <w:tc>
          <w:tcPr>
            <w:tcW w:w="1428" w:type="dxa"/>
            <w:noWrap w:val="0"/>
            <w:vAlign w:val="center"/>
          </w:tcPr>
          <w:p w14:paraId="605AA4AC">
            <w:pPr>
              <w:ind w:firstLine="0"/>
              <w:jc w:val="center"/>
              <w:rPr>
                <w:sz w:val="21"/>
                <w:szCs w:val="21"/>
              </w:rPr>
            </w:pPr>
            <w:r>
              <w:rPr>
                <w:sz w:val="21"/>
                <w:szCs w:val="21"/>
              </w:rPr>
              <w:t>昼 间</w:t>
            </w:r>
          </w:p>
        </w:tc>
        <w:tc>
          <w:tcPr>
            <w:tcW w:w="1185" w:type="dxa"/>
            <w:noWrap w:val="0"/>
            <w:vAlign w:val="center"/>
          </w:tcPr>
          <w:p w14:paraId="64A9F519">
            <w:pPr>
              <w:ind w:firstLine="0"/>
              <w:jc w:val="center"/>
              <w:rPr>
                <w:sz w:val="21"/>
                <w:szCs w:val="21"/>
              </w:rPr>
            </w:pPr>
            <w:r>
              <w:rPr>
                <w:rFonts w:hint="eastAsia"/>
                <w:sz w:val="21"/>
                <w:szCs w:val="21"/>
              </w:rPr>
              <w:t>52.5</w:t>
            </w:r>
          </w:p>
        </w:tc>
        <w:tc>
          <w:tcPr>
            <w:tcW w:w="997" w:type="dxa"/>
            <w:noWrap w:val="0"/>
            <w:vAlign w:val="center"/>
          </w:tcPr>
          <w:p w14:paraId="4F0C65EE">
            <w:pPr>
              <w:ind w:firstLine="0"/>
              <w:jc w:val="center"/>
              <w:rPr>
                <w:rFonts w:hint="eastAsia"/>
                <w:sz w:val="21"/>
                <w:szCs w:val="21"/>
              </w:rPr>
            </w:pPr>
            <w:r>
              <w:rPr>
                <w:rFonts w:hint="eastAsia"/>
                <w:sz w:val="21"/>
                <w:szCs w:val="21"/>
              </w:rPr>
              <w:t>60</w:t>
            </w:r>
          </w:p>
        </w:tc>
        <w:tc>
          <w:tcPr>
            <w:tcW w:w="968" w:type="dxa"/>
            <w:noWrap w:val="0"/>
            <w:vAlign w:val="center"/>
          </w:tcPr>
          <w:p w14:paraId="5A58992E">
            <w:pPr>
              <w:ind w:firstLine="0"/>
              <w:jc w:val="center"/>
              <w:rPr>
                <w:rFonts w:hint="eastAsia"/>
                <w:sz w:val="21"/>
                <w:szCs w:val="21"/>
              </w:rPr>
            </w:pPr>
            <w:r>
              <w:rPr>
                <w:rFonts w:hint="eastAsia"/>
                <w:sz w:val="21"/>
                <w:szCs w:val="21"/>
              </w:rPr>
              <w:t>达标</w:t>
            </w:r>
          </w:p>
        </w:tc>
      </w:tr>
      <w:tr w14:paraId="01B9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2267BF3A">
            <w:pPr>
              <w:ind w:firstLine="0"/>
              <w:jc w:val="center"/>
              <w:rPr>
                <w:sz w:val="21"/>
                <w:szCs w:val="21"/>
              </w:rPr>
            </w:pPr>
          </w:p>
        </w:tc>
        <w:tc>
          <w:tcPr>
            <w:tcW w:w="2439" w:type="dxa"/>
            <w:vMerge w:val="continue"/>
            <w:noWrap w:val="0"/>
            <w:vAlign w:val="center"/>
          </w:tcPr>
          <w:p w14:paraId="5B53ECD4">
            <w:pPr>
              <w:ind w:firstLine="0"/>
              <w:jc w:val="center"/>
              <w:rPr>
                <w:sz w:val="21"/>
                <w:szCs w:val="21"/>
              </w:rPr>
            </w:pPr>
          </w:p>
        </w:tc>
        <w:tc>
          <w:tcPr>
            <w:tcW w:w="1428" w:type="dxa"/>
            <w:noWrap w:val="0"/>
            <w:vAlign w:val="center"/>
          </w:tcPr>
          <w:p w14:paraId="14A8858B">
            <w:pPr>
              <w:ind w:firstLine="0"/>
              <w:jc w:val="center"/>
              <w:rPr>
                <w:sz w:val="21"/>
                <w:szCs w:val="21"/>
              </w:rPr>
            </w:pPr>
            <w:r>
              <w:rPr>
                <w:sz w:val="21"/>
                <w:szCs w:val="21"/>
              </w:rPr>
              <w:t>夜 间</w:t>
            </w:r>
          </w:p>
        </w:tc>
        <w:tc>
          <w:tcPr>
            <w:tcW w:w="1185" w:type="dxa"/>
            <w:noWrap w:val="0"/>
            <w:vAlign w:val="center"/>
          </w:tcPr>
          <w:p w14:paraId="199AE2E0">
            <w:pPr>
              <w:ind w:firstLine="0"/>
              <w:jc w:val="center"/>
              <w:rPr>
                <w:sz w:val="21"/>
                <w:szCs w:val="21"/>
              </w:rPr>
            </w:pPr>
            <w:r>
              <w:rPr>
                <w:rFonts w:hint="eastAsia"/>
                <w:sz w:val="21"/>
                <w:szCs w:val="21"/>
              </w:rPr>
              <w:t>46.8</w:t>
            </w:r>
          </w:p>
        </w:tc>
        <w:tc>
          <w:tcPr>
            <w:tcW w:w="997" w:type="dxa"/>
            <w:noWrap w:val="0"/>
            <w:vAlign w:val="center"/>
          </w:tcPr>
          <w:p w14:paraId="1DEB8893">
            <w:pPr>
              <w:ind w:firstLine="0"/>
              <w:jc w:val="center"/>
              <w:rPr>
                <w:rFonts w:hint="eastAsia"/>
                <w:sz w:val="21"/>
                <w:szCs w:val="21"/>
              </w:rPr>
            </w:pPr>
            <w:r>
              <w:rPr>
                <w:rFonts w:hint="eastAsia"/>
                <w:sz w:val="21"/>
                <w:szCs w:val="21"/>
              </w:rPr>
              <w:t>50</w:t>
            </w:r>
          </w:p>
        </w:tc>
        <w:tc>
          <w:tcPr>
            <w:tcW w:w="968" w:type="dxa"/>
            <w:noWrap w:val="0"/>
            <w:vAlign w:val="center"/>
          </w:tcPr>
          <w:p w14:paraId="07884C0D">
            <w:pPr>
              <w:ind w:firstLine="0"/>
              <w:jc w:val="center"/>
              <w:rPr>
                <w:rFonts w:hint="eastAsia"/>
                <w:sz w:val="21"/>
                <w:szCs w:val="21"/>
              </w:rPr>
            </w:pPr>
            <w:r>
              <w:rPr>
                <w:rFonts w:hint="eastAsia"/>
                <w:sz w:val="21"/>
                <w:szCs w:val="21"/>
              </w:rPr>
              <w:t>达标</w:t>
            </w:r>
          </w:p>
        </w:tc>
      </w:tr>
      <w:tr w14:paraId="6C0A0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6A07811B">
            <w:pPr>
              <w:ind w:firstLine="0"/>
              <w:jc w:val="center"/>
              <w:rPr>
                <w:sz w:val="21"/>
                <w:szCs w:val="21"/>
              </w:rPr>
            </w:pPr>
          </w:p>
        </w:tc>
        <w:tc>
          <w:tcPr>
            <w:tcW w:w="2439" w:type="dxa"/>
            <w:vMerge w:val="restart"/>
            <w:noWrap w:val="0"/>
            <w:vAlign w:val="center"/>
          </w:tcPr>
          <w:p w14:paraId="33805A00">
            <w:pPr>
              <w:ind w:firstLine="0"/>
              <w:jc w:val="center"/>
              <w:rPr>
                <w:sz w:val="21"/>
                <w:szCs w:val="21"/>
              </w:rPr>
            </w:pPr>
            <w:r>
              <w:rPr>
                <w:sz w:val="21"/>
                <w:szCs w:val="21"/>
              </w:rPr>
              <w:t>中东灰窑村新村（ZS05）</w:t>
            </w:r>
          </w:p>
        </w:tc>
        <w:tc>
          <w:tcPr>
            <w:tcW w:w="1428" w:type="dxa"/>
            <w:noWrap w:val="0"/>
            <w:vAlign w:val="center"/>
          </w:tcPr>
          <w:p w14:paraId="46DE9848">
            <w:pPr>
              <w:ind w:firstLine="0"/>
              <w:jc w:val="center"/>
              <w:rPr>
                <w:sz w:val="21"/>
                <w:szCs w:val="21"/>
              </w:rPr>
            </w:pPr>
            <w:r>
              <w:rPr>
                <w:sz w:val="21"/>
                <w:szCs w:val="21"/>
              </w:rPr>
              <w:t>昼 间</w:t>
            </w:r>
          </w:p>
        </w:tc>
        <w:tc>
          <w:tcPr>
            <w:tcW w:w="1185" w:type="dxa"/>
            <w:noWrap w:val="0"/>
            <w:vAlign w:val="center"/>
          </w:tcPr>
          <w:p w14:paraId="05837ABC">
            <w:pPr>
              <w:ind w:firstLine="0"/>
              <w:jc w:val="center"/>
              <w:rPr>
                <w:sz w:val="21"/>
                <w:szCs w:val="21"/>
              </w:rPr>
            </w:pPr>
            <w:r>
              <w:rPr>
                <w:rFonts w:hint="eastAsia"/>
                <w:sz w:val="21"/>
                <w:szCs w:val="21"/>
              </w:rPr>
              <w:t>51.6</w:t>
            </w:r>
          </w:p>
        </w:tc>
        <w:tc>
          <w:tcPr>
            <w:tcW w:w="997" w:type="dxa"/>
            <w:noWrap w:val="0"/>
            <w:vAlign w:val="center"/>
          </w:tcPr>
          <w:p w14:paraId="332EEADF">
            <w:pPr>
              <w:ind w:firstLine="0"/>
              <w:jc w:val="center"/>
              <w:rPr>
                <w:rFonts w:hint="eastAsia"/>
                <w:sz w:val="21"/>
                <w:szCs w:val="21"/>
              </w:rPr>
            </w:pPr>
            <w:r>
              <w:rPr>
                <w:rFonts w:hint="eastAsia"/>
                <w:sz w:val="21"/>
                <w:szCs w:val="21"/>
              </w:rPr>
              <w:t>60</w:t>
            </w:r>
          </w:p>
        </w:tc>
        <w:tc>
          <w:tcPr>
            <w:tcW w:w="968" w:type="dxa"/>
            <w:noWrap w:val="0"/>
            <w:vAlign w:val="center"/>
          </w:tcPr>
          <w:p w14:paraId="52B92F1D">
            <w:pPr>
              <w:ind w:firstLine="0"/>
              <w:jc w:val="center"/>
              <w:rPr>
                <w:rFonts w:hint="eastAsia"/>
                <w:sz w:val="21"/>
                <w:szCs w:val="21"/>
              </w:rPr>
            </w:pPr>
            <w:r>
              <w:rPr>
                <w:rFonts w:hint="eastAsia"/>
                <w:sz w:val="21"/>
                <w:szCs w:val="21"/>
              </w:rPr>
              <w:t>达标</w:t>
            </w:r>
          </w:p>
        </w:tc>
      </w:tr>
      <w:tr w14:paraId="43272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2F55B44C">
            <w:pPr>
              <w:ind w:firstLine="0"/>
              <w:jc w:val="center"/>
              <w:rPr>
                <w:sz w:val="21"/>
                <w:szCs w:val="21"/>
              </w:rPr>
            </w:pPr>
          </w:p>
        </w:tc>
        <w:tc>
          <w:tcPr>
            <w:tcW w:w="2439" w:type="dxa"/>
            <w:vMerge w:val="continue"/>
            <w:noWrap w:val="0"/>
            <w:vAlign w:val="center"/>
          </w:tcPr>
          <w:p w14:paraId="276BCC06">
            <w:pPr>
              <w:ind w:firstLine="0"/>
              <w:jc w:val="center"/>
              <w:rPr>
                <w:sz w:val="21"/>
                <w:szCs w:val="21"/>
              </w:rPr>
            </w:pPr>
          </w:p>
        </w:tc>
        <w:tc>
          <w:tcPr>
            <w:tcW w:w="1428" w:type="dxa"/>
            <w:noWrap w:val="0"/>
            <w:vAlign w:val="center"/>
          </w:tcPr>
          <w:p w14:paraId="7D69F937">
            <w:pPr>
              <w:ind w:firstLine="0"/>
              <w:jc w:val="center"/>
              <w:rPr>
                <w:sz w:val="21"/>
                <w:szCs w:val="21"/>
              </w:rPr>
            </w:pPr>
            <w:r>
              <w:rPr>
                <w:sz w:val="21"/>
                <w:szCs w:val="21"/>
              </w:rPr>
              <w:t>夜 间</w:t>
            </w:r>
          </w:p>
        </w:tc>
        <w:tc>
          <w:tcPr>
            <w:tcW w:w="1185" w:type="dxa"/>
            <w:noWrap w:val="0"/>
            <w:vAlign w:val="center"/>
          </w:tcPr>
          <w:p w14:paraId="03FF148F">
            <w:pPr>
              <w:ind w:firstLine="0"/>
              <w:jc w:val="center"/>
              <w:rPr>
                <w:sz w:val="21"/>
                <w:szCs w:val="21"/>
              </w:rPr>
            </w:pPr>
            <w:r>
              <w:rPr>
                <w:rFonts w:hint="eastAsia"/>
                <w:sz w:val="21"/>
                <w:szCs w:val="21"/>
              </w:rPr>
              <w:t>44.3</w:t>
            </w:r>
          </w:p>
        </w:tc>
        <w:tc>
          <w:tcPr>
            <w:tcW w:w="997" w:type="dxa"/>
            <w:noWrap w:val="0"/>
            <w:vAlign w:val="center"/>
          </w:tcPr>
          <w:p w14:paraId="0D5391ED">
            <w:pPr>
              <w:ind w:firstLine="0"/>
              <w:jc w:val="center"/>
              <w:rPr>
                <w:rFonts w:hint="eastAsia"/>
                <w:sz w:val="21"/>
                <w:szCs w:val="21"/>
              </w:rPr>
            </w:pPr>
            <w:r>
              <w:rPr>
                <w:rFonts w:hint="eastAsia"/>
                <w:sz w:val="21"/>
                <w:szCs w:val="21"/>
              </w:rPr>
              <w:t>50</w:t>
            </w:r>
          </w:p>
        </w:tc>
        <w:tc>
          <w:tcPr>
            <w:tcW w:w="968" w:type="dxa"/>
            <w:noWrap w:val="0"/>
            <w:vAlign w:val="center"/>
          </w:tcPr>
          <w:p w14:paraId="57288407">
            <w:pPr>
              <w:ind w:firstLine="0"/>
              <w:jc w:val="center"/>
              <w:rPr>
                <w:rFonts w:hint="eastAsia"/>
                <w:sz w:val="21"/>
                <w:szCs w:val="21"/>
              </w:rPr>
            </w:pPr>
            <w:r>
              <w:rPr>
                <w:rFonts w:hint="eastAsia"/>
                <w:sz w:val="21"/>
                <w:szCs w:val="21"/>
              </w:rPr>
              <w:t>达标</w:t>
            </w:r>
          </w:p>
        </w:tc>
      </w:tr>
      <w:tr w14:paraId="76129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0FB28323">
            <w:pPr>
              <w:ind w:firstLine="0"/>
              <w:jc w:val="center"/>
              <w:rPr>
                <w:sz w:val="21"/>
                <w:szCs w:val="21"/>
              </w:rPr>
            </w:pPr>
          </w:p>
        </w:tc>
        <w:tc>
          <w:tcPr>
            <w:tcW w:w="2439" w:type="dxa"/>
            <w:vMerge w:val="restart"/>
            <w:noWrap w:val="0"/>
            <w:vAlign w:val="center"/>
          </w:tcPr>
          <w:p w14:paraId="31EBA18B">
            <w:pPr>
              <w:ind w:firstLine="0"/>
              <w:jc w:val="center"/>
              <w:rPr>
                <w:sz w:val="21"/>
                <w:szCs w:val="21"/>
              </w:rPr>
            </w:pPr>
            <w:r>
              <w:rPr>
                <w:sz w:val="21"/>
                <w:szCs w:val="21"/>
              </w:rPr>
              <w:t>双红新村（ZS06）</w:t>
            </w:r>
          </w:p>
        </w:tc>
        <w:tc>
          <w:tcPr>
            <w:tcW w:w="1428" w:type="dxa"/>
            <w:noWrap w:val="0"/>
            <w:vAlign w:val="center"/>
          </w:tcPr>
          <w:p w14:paraId="677CF420">
            <w:pPr>
              <w:ind w:firstLine="0"/>
              <w:jc w:val="center"/>
              <w:rPr>
                <w:sz w:val="21"/>
                <w:szCs w:val="21"/>
              </w:rPr>
            </w:pPr>
            <w:r>
              <w:rPr>
                <w:sz w:val="21"/>
                <w:szCs w:val="21"/>
              </w:rPr>
              <w:t>昼 间</w:t>
            </w:r>
          </w:p>
        </w:tc>
        <w:tc>
          <w:tcPr>
            <w:tcW w:w="1185" w:type="dxa"/>
            <w:noWrap w:val="0"/>
            <w:vAlign w:val="center"/>
          </w:tcPr>
          <w:p w14:paraId="617E5C02">
            <w:pPr>
              <w:ind w:firstLine="0"/>
              <w:jc w:val="center"/>
              <w:rPr>
                <w:sz w:val="21"/>
                <w:szCs w:val="21"/>
              </w:rPr>
            </w:pPr>
            <w:r>
              <w:rPr>
                <w:rFonts w:hint="eastAsia"/>
                <w:sz w:val="21"/>
                <w:szCs w:val="21"/>
              </w:rPr>
              <w:t>51.0</w:t>
            </w:r>
          </w:p>
        </w:tc>
        <w:tc>
          <w:tcPr>
            <w:tcW w:w="997" w:type="dxa"/>
            <w:noWrap w:val="0"/>
            <w:vAlign w:val="center"/>
          </w:tcPr>
          <w:p w14:paraId="0C6E7B7E">
            <w:pPr>
              <w:ind w:firstLine="0"/>
              <w:jc w:val="center"/>
              <w:rPr>
                <w:rFonts w:hint="eastAsia"/>
                <w:sz w:val="21"/>
                <w:szCs w:val="21"/>
              </w:rPr>
            </w:pPr>
            <w:r>
              <w:rPr>
                <w:rFonts w:hint="eastAsia"/>
                <w:sz w:val="21"/>
                <w:szCs w:val="21"/>
              </w:rPr>
              <w:t>60</w:t>
            </w:r>
          </w:p>
        </w:tc>
        <w:tc>
          <w:tcPr>
            <w:tcW w:w="968" w:type="dxa"/>
            <w:noWrap w:val="0"/>
            <w:vAlign w:val="center"/>
          </w:tcPr>
          <w:p w14:paraId="15CDC60E">
            <w:pPr>
              <w:ind w:firstLine="0"/>
              <w:jc w:val="center"/>
              <w:rPr>
                <w:rFonts w:hint="eastAsia"/>
                <w:sz w:val="21"/>
                <w:szCs w:val="21"/>
              </w:rPr>
            </w:pPr>
            <w:r>
              <w:rPr>
                <w:rFonts w:hint="eastAsia"/>
                <w:sz w:val="21"/>
                <w:szCs w:val="21"/>
              </w:rPr>
              <w:t>达标</w:t>
            </w:r>
          </w:p>
        </w:tc>
      </w:tr>
      <w:tr w14:paraId="42C07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52EB9827">
            <w:pPr>
              <w:ind w:firstLine="0"/>
              <w:jc w:val="center"/>
              <w:rPr>
                <w:sz w:val="21"/>
                <w:szCs w:val="21"/>
              </w:rPr>
            </w:pPr>
          </w:p>
        </w:tc>
        <w:tc>
          <w:tcPr>
            <w:tcW w:w="2439" w:type="dxa"/>
            <w:vMerge w:val="continue"/>
            <w:noWrap w:val="0"/>
            <w:vAlign w:val="center"/>
          </w:tcPr>
          <w:p w14:paraId="1252FC18">
            <w:pPr>
              <w:ind w:firstLine="0"/>
              <w:jc w:val="center"/>
              <w:rPr>
                <w:sz w:val="21"/>
                <w:szCs w:val="21"/>
              </w:rPr>
            </w:pPr>
          </w:p>
        </w:tc>
        <w:tc>
          <w:tcPr>
            <w:tcW w:w="1428" w:type="dxa"/>
            <w:noWrap w:val="0"/>
            <w:vAlign w:val="center"/>
          </w:tcPr>
          <w:p w14:paraId="2740A317">
            <w:pPr>
              <w:ind w:firstLine="0"/>
              <w:jc w:val="center"/>
              <w:rPr>
                <w:sz w:val="21"/>
                <w:szCs w:val="21"/>
              </w:rPr>
            </w:pPr>
            <w:r>
              <w:rPr>
                <w:sz w:val="21"/>
                <w:szCs w:val="21"/>
              </w:rPr>
              <w:t>夜 间</w:t>
            </w:r>
          </w:p>
        </w:tc>
        <w:tc>
          <w:tcPr>
            <w:tcW w:w="1185" w:type="dxa"/>
            <w:noWrap w:val="0"/>
            <w:vAlign w:val="center"/>
          </w:tcPr>
          <w:p w14:paraId="439DC2CE">
            <w:pPr>
              <w:ind w:firstLine="0"/>
              <w:jc w:val="center"/>
              <w:rPr>
                <w:sz w:val="21"/>
                <w:szCs w:val="21"/>
              </w:rPr>
            </w:pPr>
            <w:r>
              <w:rPr>
                <w:rFonts w:hint="eastAsia"/>
                <w:sz w:val="21"/>
                <w:szCs w:val="21"/>
              </w:rPr>
              <w:t>44.1</w:t>
            </w:r>
          </w:p>
        </w:tc>
        <w:tc>
          <w:tcPr>
            <w:tcW w:w="997" w:type="dxa"/>
            <w:noWrap w:val="0"/>
            <w:vAlign w:val="center"/>
          </w:tcPr>
          <w:p w14:paraId="17707E86">
            <w:pPr>
              <w:ind w:firstLine="0"/>
              <w:jc w:val="center"/>
              <w:rPr>
                <w:rFonts w:hint="eastAsia"/>
                <w:sz w:val="21"/>
                <w:szCs w:val="21"/>
              </w:rPr>
            </w:pPr>
            <w:r>
              <w:rPr>
                <w:rFonts w:hint="eastAsia"/>
                <w:sz w:val="21"/>
                <w:szCs w:val="21"/>
              </w:rPr>
              <w:t>50</w:t>
            </w:r>
          </w:p>
        </w:tc>
        <w:tc>
          <w:tcPr>
            <w:tcW w:w="968" w:type="dxa"/>
            <w:noWrap w:val="0"/>
            <w:vAlign w:val="center"/>
          </w:tcPr>
          <w:p w14:paraId="362129A2">
            <w:pPr>
              <w:ind w:firstLine="0"/>
              <w:jc w:val="center"/>
              <w:rPr>
                <w:rFonts w:hint="eastAsia"/>
                <w:sz w:val="21"/>
                <w:szCs w:val="21"/>
              </w:rPr>
            </w:pPr>
            <w:r>
              <w:rPr>
                <w:rFonts w:hint="eastAsia"/>
                <w:sz w:val="21"/>
                <w:szCs w:val="21"/>
              </w:rPr>
              <w:t>达标</w:t>
            </w:r>
          </w:p>
        </w:tc>
      </w:tr>
      <w:tr w14:paraId="5F954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001CFEC9">
            <w:pPr>
              <w:ind w:firstLine="0"/>
              <w:jc w:val="center"/>
              <w:rPr>
                <w:sz w:val="21"/>
                <w:szCs w:val="21"/>
              </w:rPr>
            </w:pPr>
          </w:p>
        </w:tc>
        <w:tc>
          <w:tcPr>
            <w:tcW w:w="2439" w:type="dxa"/>
            <w:vMerge w:val="restart"/>
            <w:noWrap w:val="0"/>
            <w:vAlign w:val="center"/>
          </w:tcPr>
          <w:p w14:paraId="7321AB35">
            <w:pPr>
              <w:ind w:firstLine="0"/>
              <w:jc w:val="center"/>
              <w:rPr>
                <w:sz w:val="21"/>
                <w:szCs w:val="21"/>
              </w:rPr>
            </w:pPr>
            <w:r>
              <w:rPr>
                <w:sz w:val="21"/>
                <w:szCs w:val="21"/>
              </w:rPr>
              <w:t>盛世佳园小区（ZS07）</w:t>
            </w:r>
          </w:p>
        </w:tc>
        <w:tc>
          <w:tcPr>
            <w:tcW w:w="1428" w:type="dxa"/>
            <w:noWrap w:val="0"/>
            <w:vAlign w:val="center"/>
          </w:tcPr>
          <w:p w14:paraId="3AF5E365">
            <w:pPr>
              <w:ind w:firstLine="0"/>
              <w:jc w:val="center"/>
              <w:rPr>
                <w:sz w:val="21"/>
                <w:szCs w:val="21"/>
              </w:rPr>
            </w:pPr>
            <w:r>
              <w:rPr>
                <w:sz w:val="21"/>
                <w:szCs w:val="21"/>
              </w:rPr>
              <w:t>昼 间</w:t>
            </w:r>
          </w:p>
        </w:tc>
        <w:tc>
          <w:tcPr>
            <w:tcW w:w="1185" w:type="dxa"/>
            <w:noWrap w:val="0"/>
            <w:vAlign w:val="center"/>
          </w:tcPr>
          <w:p w14:paraId="25B71BE7">
            <w:pPr>
              <w:ind w:firstLine="0"/>
              <w:jc w:val="center"/>
              <w:rPr>
                <w:sz w:val="21"/>
                <w:szCs w:val="21"/>
              </w:rPr>
            </w:pPr>
            <w:r>
              <w:rPr>
                <w:rFonts w:hint="eastAsia"/>
                <w:sz w:val="21"/>
                <w:szCs w:val="21"/>
              </w:rPr>
              <w:t>50.7</w:t>
            </w:r>
          </w:p>
        </w:tc>
        <w:tc>
          <w:tcPr>
            <w:tcW w:w="997" w:type="dxa"/>
            <w:noWrap w:val="0"/>
            <w:vAlign w:val="center"/>
          </w:tcPr>
          <w:p w14:paraId="05592371">
            <w:pPr>
              <w:ind w:firstLine="0"/>
              <w:jc w:val="center"/>
              <w:rPr>
                <w:rFonts w:hint="eastAsia"/>
                <w:sz w:val="21"/>
                <w:szCs w:val="21"/>
              </w:rPr>
            </w:pPr>
            <w:r>
              <w:rPr>
                <w:rFonts w:hint="eastAsia"/>
                <w:sz w:val="21"/>
                <w:szCs w:val="21"/>
              </w:rPr>
              <w:t>60</w:t>
            </w:r>
          </w:p>
        </w:tc>
        <w:tc>
          <w:tcPr>
            <w:tcW w:w="968" w:type="dxa"/>
            <w:noWrap w:val="0"/>
            <w:vAlign w:val="center"/>
          </w:tcPr>
          <w:p w14:paraId="17AEED43">
            <w:pPr>
              <w:ind w:firstLine="0"/>
              <w:jc w:val="center"/>
              <w:rPr>
                <w:rFonts w:hint="eastAsia"/>
                <w:sz w:val="21"/>
                <w:szCs w:val="21"/>
              </w:rPr>
            </w:pPr>
            <w:r>
              <w:rPr>
                <w:rFonts w:hint="eastAsia"/>
                <w:sz w:val="21"/>
                <w:szCs w:val="21"/>
              </w:rPr>
              <w:t>达标</w:t>
            </w:r>
          </w:p>
        </w:tc>
      </w:tr>
      <w:tr w14:paraId="2B70E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noWrap w:val="0"/>
            <w:vAlign w:val="center"/>
          </w:tcPr>
          <w:p w14:paraId="6709F003">
            <w:pPr>
              <w:ind w:firstLine="0"/>
              <w:jc w:val="center"/>
              <w:rPr>
                <w:sz w:val="21"/>
                <w:szCs w:val="21"/>
              </w:rPr>
            </w:pPr>
          </w:p>
        </w:tc>
        <w:tc>
          <w:tcPr>
            <w:tcW w:w="2439" w:type="dxa"/>
            <w:vMerge w:val="continue"/>
            <w:noWrap w:val="0"/>
            <w:vAlign w:val="center"/>
          </w:tcPr>
          <w:p w14:paraId="748AD2D4">
            <w:pPr>
              <w:ind w:firstLine="0"/>
              <w:jc w:val="center"/>
              <w:rPr>
                <w:sz w:val="21"/>
                <w:szCs w:val="21"/>
              </w:rPr>
            </w:pPr>
          </w:p>
        </w:tc>
        <w:tc>
          <w:tcPr>
            <w:tcW w:w="1428" w:type="dxa"/>
            <w:noWrap w:val="0"/>
            <w:vAlign w:val="center"/>
          </w:tcPr>
          <w:p w14:paraId="61F19669">
            <w:pPr>
              <w:ind w:firstLine="0"/>
              <w:jc w:val="center"/>
              <w:rPr>
                <w:sz w:val="21"/>
                <w:szCs w:val="21"/>
              </w:rPr>
            </w:pPr>
            <w:r>
              <w:rPr>
                <w:sz w:val="21"/>
                <w:szCs w:val="21"/>
              </w:rPr>
              <w:t>夜 间</w:t>
            </w:r>
          </w:p>
        </w:tc>
        <w:tc>
          <w:tcPr>
            <w:tcW w:w="1185" w:type="dxa"/>
            <w:noWrap w:val="0"/>
            <w:vAlign w:val="center"/>
          </w:tcPr>
          <w:p w14:paraId="7F695183">
            <w:pPr>
              <w:ind w:firstLine="0"/>
              <w:jc w:val="center"/>
              <w:rPr>
                <w:sz w:val="21"/>
                <w:szCs w:val="21"/>
              </w:rPr>
            </w:pPr>
            <w:r>
              <w:rPr>
                <w:rFonts w:hint="eastAsia"/>
                <w:sz w:val="21"/>
                <w:szCs w:val="21"/>
              </w:rPr>
              <w:t>43.3</w:t>
            </w:r>
          </w:p>
        </w:tc>
        <w:tc>
          <w:tcPr>
            <w:tcW w:w="997" w:type="dxa"/>
            <w:noWrap w:val="0"/>
            <w:vAlign w:val="center"/>
          </w:tcPr>
          <w:p w14:paraId="40A63567">
            <w:pPr>
              <w:ind w:firstLine="0"/>
              <w:jc w:val="center"/>
              <w:rPr>
                <w:rFonts w:hint="eastAsia"/>
                <w:sz w:val="21"/>
                <w:szCs w:val="21"/>
              </w:rPr>
            </w:pPr>
            <w:r>
              <w:rPr>
                <w:rFonts w:hint="eastAsia"/>
                <w:sz w:val="21"/>
                <w:szCs w:val="21"/>
              </w:rPr>
              <w:t>50</w:t>
            </w:r>
          </w:p>
        </w:tc>
        <w:tc>
          <w:tcPr>
            <w:tcW w:w="968" w:type="dxa"/>
            <w:noWrap w:val="0"/>
            <w:vAlign w:val="center"/>
          </w:tcPr>
          <w:p w14:paraId="6CF49930">
            <w:pPr>
              <w:ind w:firstLine="0"/>
              <w:jc w:val="center"/>
              <w:rPr>
                <w:rFonts w:hint="eastAsia"/>
                <w:sz w:val="21"/>
                <w:szCs w:val="21"/>
              </w:rPr>
            </w:pPr>
            <w:r>
              <w:rPr>
                <w:rFonts w:hint="eastAsia"/>
                <w:sz w:val="21"/>
                <w:szCs w:val="21"/>
              </w:rPr>
              <w:t>达标</w:t>
            </w:r>
          </w:p>
        </w:tc>
      </w:tr>
    </w:tbl>
    <w:p w14:paraId="4871D299">
      <w:pPr>
        <w:pStyle w:val="2"/>
        <w:ind w:firstLine="480"/>
        <w:rPr>
          <w:rFonts w:ascii="Times New Roman" w:hAnsi="Times New Roman" w:cs="Times New Roman"/>
          <w:bCs/>
          <w:sz w:val="24"/>
          <w:szCs w:val="24"/>
        </w:rPr>
      </w:pPr>
      <w:r>
        <w:rPr>
          <w:rFonts w:ascii="Times New Roman" w:hAnsi="Times New Roman" w:cs="Times New Roman"/>
          <w:bCs/>
          <w:sz w:val="24"/>
          <w:szCs w:val="24"/>
        </w:rPr>
        <w:t>从表</w:t>
      </w:r>
      <w:r>
        <w:rPr>
          <w:rFonts w:hint="eastAsia" w:ascii="Times New Roman" w:hAnsi="Times New Roman" w:cs="Times New Roman"/>
          <w:bCs/>
          <w:sz w:val="24"/>
          <w:szCs w:val="24"/>
          <w:lang w:val="en-US" w:eastAsia="zh-CN"/>
        </w:rPr>
        <w:t>5.4-3</w:t>
      </w:r>
      <w:r>
        <w:rPr>
          <w:rFonts w:ascii="Times New Roman" w:hAnsi="Times New Roman" w:cs="Times New Roman"/>
          <w:bCs/>
          <w:sz w:val="24"/>
          <w:szCs w:val="24"/>
        </w:rPr>
        <w:t>监测结果可以看出，本项目区域昼夜环境噪声均低于评价标准限值，满足《声环境质量标准》GB3096-2008中2类标准要求。说明区域声环境质量良好。</w:t>
      </w:r>
    </w:p>
    <w:p w14:paraId="21167625">
      <w:pPr>
        <w:pStyle w:val="188"/>
        <w:rPr>
          <w:rFonts w:hint="eastAsia"/>
        </w:rPr>
      </w:pPr>
      <w:r>
        <w:rPr>
          <w:rFonts w:hint="eastAsia"/>
          <w:lang w:val="en-US" w:eastAsia="zh-CN"/>
        </w:rPr>
        <w:t>5</w:t>
      </w:r>
      <w:r>
        <w:rPr>
          <w:rFonts w:hint="eastAsia"/>
        </w:rPr>
        <w:t>.</w:t>
      </w:r>
      <w:r>
        <w:rPr>
          <w:rFonts w:hint="eastAsia"/>
          <w:lang w:val="en-US" w:eastAsia="zh-CN"/>
        </w:rPr>
        <w:t>4</w:t>
      </w:r>
      <w:r>
        <w:rPr>
          <w:rFonts w:hint="eastAsia"/>
        </w:rPr>
        <w:t>.4</w:t>
      </w:r>
      <w:r>
        <w:t xml:space="preserve"> </w:t>
      </w:r>
      <w:r>
        <w:rPr>
          <w:rFonts w:hint="eastAsia"/>
        </w:rPr>
        <w:t>地下水环境现状</w:t>
      </w:r>
    </w:p>
    <w:p w14:paraId="77ADCE99">
      <w:pPr>
        <w:spacing w:line="360" w:lineRule="auto"/>
        <w:ind w:firstLine="480"/>
        <w:rPr>
          <w:rFonts w:hint="eastAsia" w:ascii="Times New Roman" w:hAnsi="Times New Roman" w:cs="Times New Roman"/>
          <w:sz w:val="24"/>
          <w:szCs w:val="22"/>
        </w:rPr>
      </w:pPr>
      <w:r>
        <w:rPr>
          <w:rFonts w:hint="eastAsia" w:ascii="Times New Roman" w:hAnsi="Times New Roman" w:cs="Times New Roman"/>
          <w:sz w:val="24"/>
          <w:szCs w:val="22"/>
        </w:rPr>
        <w:t>为反映更好的反应地下水的水质现状，建设单位委托云南浩辰环保科技有限公司于2019年</w:t>
      </w:r>
      <w:r>
        <w:rPr>
          <w:rFonts w:hint="eastAsia" w:ascii="Times New Roman" w:hAnsi="Times New Roman" w:cs="Times New Roman"/>
          <w:sz w:val="24"/>
          <w:szCs w:val="22"/>
          <w:lang w:val="en-US" w:eastAsia="zh-CN"/>
        </w:rPr>
        <w:t>8</w:t>
      </w:r>
      <w:r>
        <w:rPr>
          <w:rFonts w:hint="eastAsia" w:ascii="Times New Roman" w:hAnsi="Times New Roman" w:cs="Times New Roman"/>
          <w:sz w:val="24"/>
          <w:szCs w:val="22"/>
        </w:rPr>
        <w:t>月</w:t>
      </w:r>
      <w:r>
        <w:rPr>
          <w:rFonts w:hint="eastAsia" w:ascii="Times New Roman" w:hAnsi="Times New Roman" w:cs="Times New Roman"/>
          <w:sz w:val="24"/>
          <w:szCs w:val="22"/>
          <w:lang w:val="en-US" w:eastAsia="zh-CN"/>
        </w:rPr>
        <w:t>25</w:t>
      </w:r>
      <w:r>
        <w:rPr>
          <w:rFonts w:hint="eastAsia" w:ascii="Times New Roman" w:hAnsi="Times New Roman" w:cs="Times New Roman"/>
          <w:sz w:val="24"/>
          <w:szCs w:val="22"/>
        </w:rPr>
        <w:t>日~</w:t>
      </w:r>
      <w:r>
        <w:rPr>
          <w:rFonts w:hint="eastAsia" w:ascii="Times New Roman" w:hAnsi="Times New Roman" w:cs="Times New Roman"/>
          <w:sz w:val="24"/>
          <w:szCs w:val="22"/>
          <w:lang w:val="en-US" w:eastAsia="zh-CN"/>
        </w:rPr>
        <w:t>27</w:t>
      </w:r>
      <w:r>
        <w:rPr>
          <w:rFonts w:hint="eastAsia" w:ascii="Times New Roman" w:hAnsi="Times New Roman" w:cs="Times New Roman"/>
          <w:sz w:val="24"/>
          <w:szCs w:val="22"/>
        </w:rPr>
        <w:t>日对</w:t>
      </w:r>
      <w:r>
        <w:rPr>
          <w:rFonts w:hint="eastAsia" w:ascii="Times New Roman" w:hAnsi="Times New Roman" w:cs="Times New Roman"/>
          <w:sz w:val="24"/>
          <w:szCs w:val="22"/>
          <w:lang w:val="en-US" w:eastAsia="zh-CN"/>
        </w:rPr>
        <w:t>项目所在区域的地下水进行了</w:t>
      </w:r>
      <w:r>
        <w:rPr>
          <w:rFonts w:hint="eastAsia" w:ascii="Times New Roman" w:hAnsi="Times New Roman" w:cs="Times New Roman"/>
          <w:sz w:val="24"/>
          <w:szCs w:val="22"/>
        </w:rPr>
        <w:t>水质监测。</w:t>
      </w:r>
    </w:p>
    <w:p w14:paraId="505C7558">
      <w:pPr>
        <w:spacing w:line="360" w:lineRule="auto"/>
        <w:ind w:firstLine="480"/>
        <w:rPr>
          <w:szCs w:val="24"/>
        </w:rPr>
      </w:pPr>
      <w:r>
        <w:rPr>
          <w:rFonts w:hint="eastAsia" w:ascii="Times New Roman" w:hAnsi="Times New Roman" w:cs="Times New Roman"/>
          <w:sz w:val="24"/>
          <w:szCs w:val="22"/>
          <w:lang w:val="en-US" w:eastAsia="zh-CN"/>
        </w:rPr>
        <w:t>监测点位：</w:t>
      </w:r>
      <w:r>
        <w:rPr>
          <w:szCs w:val="24"/>
        </w:rPr>
        <w:t>共布</w:t>
      </w:r>
      <w:r>
        <w:rPr>
          <w:rFonts w:hint="eastAsia"/>
          <w:szCs w:val="24"/>
          <w:lang w:val="en-US" w:eastAsia="zh-CN"/>
        </w:rPr>
        <w:t>1</w:t>
      </w:r>
      <w:r>
        <w:rPr>
          <w:szCs w:val="24"/>
        </w:rPr>
        <w:t>个环境监测点</w:t>
      </w:r>
      <w:r>
        <w:rPr>
          <w:rFonts w:hint="eastAsia"/>
          <w:szCs w:val="24"/>
          <w:lang w:eastAsia="zh-CN"/>
        </w:rPr>
        <w:t>，</w:t>
      </w:r>
      <w:r>
        <w:rPr>
          <w:rFonts w:hint="eastAsia"/>
          <w:szCs w:val="24"/>
          <w:lang w:val="en-US" w:eastAsia="zh-CN"/>
        </w:rPr>
        <w:t>项目区</w:t>
      </w:r>
      <w:r>
        <w:rPr>
          <w:rFonts w:hint="eastAsia" w:ascii="Times New Roman" w:hAnsi="Times New Roman" w:cs="Times New Roman"/>
          <w:sz w:val="24"/>
          <w:szCs w:val="22"/>
          <w:lang w:val="en-US" w:eastAsia="zh-CN"/>
        </w:rPr>
        <w:t>北侧80米处的</w:t>
      </w:r>
      <w:r>
        <w:rPr>
          <w:rFonts w:hint="eastAsia" w:ascii="Times New Roman" w:hAnsi="Times New Roman" w:cs="Times New Roman"/>
          <w:sz w:val="24"/>
          <w:szCs w:val="22"/>
        </w:rPr>
        <w:t>地下水井</w:t>
      </w:r>
      <w:r>
        <w:rPr>
          <w:szCs w:val="24"/>
        </w:rPr>
        <w:t>。</w:t>
      </w:r>
    </w:p>
    <w:p w14:paraId="675623DF">
      <w:pPr>
        <w:spacing w:line="360" w:lineRule="auto"/>
        <w:ind w:firstLine="480"/>
        <w:rPr>
          <w:rFonts w:hint="eastAsia" w:eastAsia="宋体"/>
          <w:color w:val="000000"/>
          <w:sz w:val="24"/>
          <w:lang w:val="en-US" w:eastAsia="zh-CN"/>
        </w:rPr>
      </w:pPr>
      <w:r>
        <w:rPr>
          <w:szCs w:val="24"/>
        </w:rPr>
        <w:t>监测项目：</w:t>
      </w:r>
      <w:r>
        <w:rPr>
          <w:color w:val="000000"/>
          <w:sz w:val="24"/>
        </w:rPr>
        <w:t>pH、</w:t>
      </w:r>
      <w:r>
        <w:rPr>
          <w:rFonts w:hint="eastAsia" w:eastAsia="宋体"/>
          <w:color w:val="000000"/>
          <w:sz w:val="24"/>
          <w:lang w:val="en-US" w:eastAsia="zh-CN"/>
        </w:rPr>
        <w:t>耗氧量、总硬度、</w:t>
      </w:r>
      <w:r>
        <w:rPr>
          <w:color w:val="000000"/>
          <w:sz w:val="24"/>
        </w:rPr>
        <w:t>溶解性固体、氨氮、硝酸盐、</w:t>
      </w:r>
      <w:r>
        <w:rPr>
          <w:rFonts w:hint="eastAsia" w:eastAsia="宋体"/>
          <w:color w:val="000000"/>
          <w:sz w:val="24"/>
          <w:lang w:val="en-US" w:eastAsia="zh-CN"/>
        </w:rPr>
        <w:t>氟化物、挥发酚、</w:t>
      </w:r>
      <w:r>
        <w:rPr>
          <w:color w:val="000000"/>
          <w:sz w:val="24"/>
        </w:rPr>
        <w:t>氯化物、铁、锰、镉、砷、汞、铬（六价）、总大肠菌群</w:t>
      </w:r>
      <w:r>
        <w:rPr>
          <w:rFonts w:hint="eastAsia" w:eastAsia="宋体"/>
          <w:color w:val="000000"/>
          <w:sz w:val="24"/>
          <w:lang w:eastAsia="zh-CN"/>
        </w:rPr>
        <w:t>、</w:t>
      </w:r>
      <w:r>
        <w:rPr>
          <w:rFonts w:hint="eastAsia" w:eastAsia="宋体"/>
          <w:color w:val="000000"/>
          <w:sz w:val="24"/>
          <w:lang w:val="en-US" w:eastAsia="zh-CN"/>
        </w:rPr>
        <w:t>甲醛</w:t>
      </w:r>
      <w:r>
        <w:rPr>
          <w:rFonts w:hint="eastAsia" w:eastAsia="宋体"/>
          <w:color w:val="000000"/>
          <w:sz w:val="24"/>
          <w:lang w:eastAsia="zh-CN"/>
        </w:rPr>
        <w:t>。</w:t>
      </w:r>
    </w:p>
    <w:p w14:paraId="5E38983D">
      <w:pPr>
        <w:spacing w:line="360" w:lineRule="auto"/>
        <w:rPr>
          <w:sz w:val="24"/>
        </w:rPr>
      </w:pPr>
      <w:r>
        <w:rPr>
          <w:b w:val="0"/>
          <w:bCs/>
          <w:sz w:val="24"/>
        </w:rPr>
        <w:t>监测</w:t>
      </w:r>
      <w:r>
        <w:rPr>
          <w:rFonts w:hint="eastAsia"/>
          <w:b w:val="0"/>
          <w:bCs/>
          <w:sz w:val="24"/>
          <w:lang w:val="en-US" w:eastAsia="zh-CN"/>
        </w:rPr>
        <w:t>周期</w:t>
      </w:r>
      <w:r>
        <w:rPr>
          <w:b w:val="0"/>
          <w:bCs/>
          <w:sz w:val="24"/>
        </w:rPr>
        <w:t>及频率</w:t>
      </w:r>
      <w:r>
        <w:rPr>
          <w:rFonts w:hint="eastAsia"/>
          <w:b w:val="0"/>
          <w:bCs/>
          <w:sz w:val="24"/>
          <w:lang w:eastAsia="zh-CN"/>
        </w:rPr>
        <w:t>：</w:t>
      </w:r>
      <w:r>
        <w:rPr>
          <w:sz w:val="24"/>
        </w:rPr>
        <w:t>连续监测</w:t>
      </w:r>
      <w:r>
        <w:rPr>
          <w:rFonts w:hint="eastAsia"/>
          <w:sz w:val="24"/>
        </w:rPr>
        <w:t>3</w:t>
      </w:r>
      <w:r>
        <w:rPr>
          <w:sz w:val="24"/>
        </w:rPr>
        <w:t>天，每天监测1次</w:t>
      </w:r>
      <w:r>
        <w:rPr>
          <w:rFonts w:hint="eastAsia"/>
          <w:sz w:val="24"/>
        </w:rPr>
        <w:t>。</w:t>
      </w:r>
    </w:p>
    <w:p w14:paraId="062DB159">
      <w:pPr>
        <w:ind w:firstLine="480"/>
        <w:rPr>
          <w:rFonts w:eastAsia="宋体"/>
          <w:szCs w:val="24"/>
          <w:lang w:val="en-US" w:eastAsia="zh-CN"/>
        </w:rPr>
      </w:pPr>
      <w:r>
        <w:rPr>
          <w:rFonts w:hint="eastAsia"/>
          <w:szCs w:val="24"/>
          <w:lang w:val="en-US" w:eastAsia="zh-CN"/>
        </w:rPr>
        <w:t>具体监测结果如表5.4-4。</w:t>
      </w:r>
    </w:p>
    <w:p w14:paraId="426A2EF9">
      <w:pPr>
        <w:ind w:firstLine="482"/>
        <w:jc w:val="center"/>
        <w:rPr>
          <w:rFonts w:hint="eastAsia" w:eastAsia="宋体"/>
          <w:b/>
          <w:bCs/>
          <w:color w:val="000000"/>
          <w:sz w:val="24"/>
          <w:szCs w:val="24"/>
          <w:lang w:val="en-US" w:eastAsia="zh-CN"/>
        </w:rPr>
      </w:pPr>
      <w:r>
        <w:rPr>
          <w:b/>
          <w:bCs/>
          <w:color w:val="000000"/>
          <w:sz w:val="24"/>
          <w:szCs w:val="24"/>
        </w:rPr>
        <w:t>表</w:t>
      </w:r>
      <w:r>
        <w:rPr>
          <w:rFonts w:hint="eastAsia"/>
          <w:b/>
          <w:bCs/>
          <w:color w:val="000000"/>
          <w:sz w:val="24"/>
          <w:szCs w:val="24"/>
          <w:lang w:val="en-US" w:eastAsia="zh-CN"/>
        </w:rPr>
        <w:t>5.4-4</w:t>
      </w:r>
      <w:r>
        <w:rPr>
          <w:rFonts w:hint="eastAsia"/>
          <w:b/>
          <w:bCs/>
          <w:color w:val="000000"/>
          <w:sz w:val="24"/>
          <w:szCs w:val="24"/>
        </w:rPr>
        <w:t xml:space="preserve"> </w:t>
      </w:r>
      <w:r>
        <w:rPr>
          <w:b/>
          <w:bCs/>
          <w:color w:val="000000"/>
          <w:sz w:val="24"/>
          <w:szCs w:val="24"/>
        </w:rPr>
        <w:t>地下水检测结果一览表</w:t>
      </w:r>
      <w:r>
        <w:rPr>
          <w:rFonts w:hint="eastAsia"/>
          <w:b/>
          <w:bCs/>
          <w:color w:val="000000"/>
          <w:sz w:val="24"/>
          <w:szCs w:val="24"/>
          <w:lang w:val="en-US" w:eastAsia="zh-CN"/>
        </w:rPr>
        <w:t xml:space="preserve"> 单位：</w:t>
      </w:r>
      <w:r>
        <w:rPr>
          <w:rFonts w:ascii="Times New Roman" w:hAnsi="Times New Roman" w:eastAsia="宋体" w:cs="Times New Roman"/>
          <w:b/>
          <w:bCs/>
          <w:color w:val="000000"/>
          <w:sz w:val="24"/>
          <w:szCs w:val="24"/>
        </w:rPr>
        <w:t>mg/L</w:t>
      </w: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pH除外</w:t>
      </w:r>
      <w:r>
        <w:rPr>
          <w:rFonts w:hint="eastAsia" w:ascii="Times New Roman" w:hAnsi="Times New Roman" w:eastAsia="宋体" w:cs="Times New Roman"/>
          <w:b/>
          <w:bCs/>
          <w:color w:val="000000"/>
          <w:sz w:val="24"/>
          <w:szCs w:val="24"/>
          <w:lang w:eastAsia="zh-CN"/>
        </w:rPr>
        <w:t>）</w:t>
      </w:r>
    </w:p>
    <w:tbl>
      <w:tblPr>
        <w:tblStyle w:val="32"/>
        <w:tblW w:w="86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7"/>
        <w:gridCol w:w="1526"/>
        <w:gridCol w:w="1993"/>
        <w:gridCol w:w="2302"/>
        <w:gridCol w:w="799"/>
        <w:gridCol w:w="669"/>
      </w:tblGrid>
      <w:tr w14:paraId="29B87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327" w:type="dxa"/>
            <w:noWrap w:val="0"/>
            <w:tcMar>
              <w:top w:w="15" w:type="dxa"/>
              <w:left w:w="15" w:type="dxa"/>
              <w:bottom w:w="15" w:type="dxa"/>
              <w:right w:w="15" w:type="dxa"/>
            </w:tcMar>
            <w:vAlign w:val="center"/>
          </w:tcPr>
          <w:p w14:paraId="57939D92">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样品</w:t>
            </w:r>
          </w:p>
          <w:p w14:paraId="08FBEECB">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类型</w:t>
            </w:r>
          </w:p>
        </w:tc>
        <w:tc>
          <w:tcPr>
            <w:tcW w:w="1526" w:type="dxa"/>
            <w:noWrap w:val="0"/>
            <w:tcMar>
              <w:top w:w="15" w:type="dxa"/>
              <w:left w:w="15" w:type="dxa"/>
              <w:bottom w:w="15" w:type="dxa"/>
              <w:right w:w="15" w:type="dxa"/>
            </w:tcMar>
            <w:vAlign w:val="center"/>
          </w:tcPr>
          <w:p w14:paraId="78647523">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分析</w:t>
            </w:r>
          </w:p>
          <w:p w14:paraId="292B186D">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1993" w:type="dxa"/>
            <w:noWrap w:val="0"/>
            <w:tcMar>
              <w:top w:w="15" w:type="dxa"/>
              <w:left w:w="15" w:type="dxa"/>
              <w:bottom w:w="15" w:type="dxa"/>
              <w:right w:w="15" w:type="dxa"/>
            </w:tcMar>
            <w:vAlign w:val="center"/>
          </w:tcPr>
          <w:p w14:paraId="6A4C9348">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采样日期</w:t>
            </w:r>
          </w:p>
        </w:tc>
        <w:tc>
          <w:tcPr>
            <w:tcW w:w="2302" w:type="dxa"/>
            <w:noWrap w:val="0"/>
            <w:tcMar>
              <w:top w:w="15" w:type="dxa"/>
              <w:left w:w="15" w:type="dxa"/>
              <w:bottom w:w="15" w:type="dxa"/>
              <w:right w:w="15" w:type="dxa"/>
            </w:tcMar>
            <w:vAlign w:val="center"/>
          </w:tcPr>
          <w:p w14:paraId="011DFB94">
            <w:pPr>
              <w:spacing w:line="240" w:lineRule="auto"/>
              <w:ind w:firstLine="0"/>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项目北侧80米处地下水（DX01））</w:t>
            </w:r>
          </w:p>
        </w:tc>
        <w:tc>
          <w:tcPr>
            <w:tcW w:w="799" w:type="dxa"/>
            <w:noWrap w:val="0"/>
            <w:tcMar>
              <w:top w:w="15" w:type="dxa"/>
              <w:left w:w="15" w:type="dxa"/>
              <w:bottom w:w="15" w:type="dxa"/>
              <w:right w:w="15" w:type="dxa"/>
            </w:tcMar>
            <w:vAlign w:val="center"/>
          </w:tcPr>
          <w:p w14:paraId="1A7108BF">
            <w:pPr>
              <w:spacing w:line="240" w:lineRule="auto"/>
              <w:ind w:firstLine="0"/>
              <w:contextualSpacing/>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标准值</w:t>
            </w:r>
          </w:p>
        </w:tc>
        <w:tc>
          <w:tcPr>
            <w:tcW w:w="669" w:type="dxa"/>
            <w:noWrap w:val="0"/>
            <w:tcMar>
              <w:top w:w="15" w:type="dxa"/>
              <w:left w:w="15" w:type="dxa"/>
              <w:bottom w:w="15" w:type="dxa"/>
              <w:right w:w="15" w:type="dxa"/>
            </w:tcMar>
            <w:vAlign w:val="center"/>
          </w:tcPr>
          <w:p w14:paraId="09526E01">
            <w:pPr>
              <w:spacing w:line="240" w:lineRule="auto"/>
              <w:ind w:firstLine="0"/>
              <w:contextualSpacing/>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达标情况</w:t>
            </w:r>
          </w:p>
        </w:tc>
      </w:tr>
      <w:tr w14:paraId="00107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restart"/>
            <w:noWrap w:val="0"/>
            <w:vAlign w:val="center"/>
          </w:tcPr>
          <w:p w14:paraId="23E44084">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地</w:t>
            </w:r>
          </w:p>
          <w:p w14:paraId="49632E3F">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下</w:t>
            </w:r>
          </w:p>
          <w:p w14:paraId="7365EC54">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水</w:t>
            </w:r>
          </w:p>
        </w:tc>
        <w:tc>
          <w:tcPr>
            <w:tcW w:w="1526" w:type="dxa"/>
            <w:vMerge w:val="restart"/>
            <w:noWrap w:val="0"/>
            <w:tcMar>
              <w:top w:w="15" w:type="dxa"/>
              <w:left w:w="15" w:type="dxa"/>
              <w:bottom w:w="15" w:type="dxa"/>
              <w:right w:w="15" w:type="dxa"/>
            </w:tcMar>
            <w:vAlign w:val="center"/>
          </w:tcPr>
          <w:p w14:paraId="18E32B8A">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pH</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无量纲</w:t>
            </w:r>
            <w:r>
              <w:rPr>
                <w:rFonts w:hint="eastAsia" w:ascii="Times New Roman" w:hAnsi="Times New Roman" w:eastAsia="宋体" w:cs="Times New Roman"/>
                <w:sz w:val="21"/>
                <w:szCs w:val="21"/>
                <w:lang w:eastAsia="zh-CN"/>
              </w:rPr>
              <w:t>）</w:t>
            </w:r>
          </w:p>
        </w:tc>
        <w:tc>
          <w:tcPr>
            <w:tcW w:w="1993" w:type="dxa"/>
            <w:noWrap w:val="0"/>
            <w:tcMar>
              <w:top w:w="15" w:type="dxa"/>
              <w:left w:w="15" w:type="dxa"/>
              <w:bottom w:w="15" w:type="dxa"/>
              <w:right w:w="15" w:type="dxa"/>
            </w:tcMar>
            <w:vAlign w:val="center"/>
          </w:tcPr>
          <w:p w14:paraId="032387C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7CFDFC0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6.74</w:t>
            </w:r>
          </w:p>
        </w:tc>
        <w:tc>
          <w:tcPr>
            <w:tcW w:w="799" w:type="dxa"/>
            <w:vMerge w:val="restart"/>
            <w:noWrap w:val="0"/>
            <w:tcMar>
              <w:top w:w="15" w:type="dxa"/>
              <w:left w:w="15" w:type="dxa"/>
              <w:bottom w:w="15" w:type="dxa"/>
              <w:right w:w="15" w:type="dxa"/>
            </w:tcMar>
            <w:vAlign w:val="center"/>
          </w:tcPr>
          <w:p w14:paraId="0970AD9E">
            <w:pPr>
              <w:spacing w:line="240" w:lineRule="auto"/>
              <w:ind w:firstLine="0"/>
              <w:jc w:val="center"/>
              <w:rPr>
                <w:rFonts w:ascii="Times New Roman" w:hAnsi="Times New Roman" w:eastAsia="宋体" w:cs="Times New Roman"/>
                <w:sz w:val="21"/>
                <w:szCs w:val="21"/>
                <w:lang w:val="en-US"/>
              </w:rPr>
            </w:pPr>
            <w:r>
              <w:rPr>
                <w:sz w:val="21"/>
                <w:szCs w:val="21"/>
                <w:lang w:val="zh-CN" w:eastAsia="zh-CN"/>
              </w:rPr>
              <w:t>6</w:t>
            </w:r>
            <w:r>
              <w:rPr>
                <w:rFonts w:hint="eastAsia"/>
                <w:sz w:val="21"/>
                <w:szCs w:val="21"/>
                <w:lang w:val="en-US" w:eastAsia="zh-CN"/>
              </w:rPr>
              <w:t>.5</w:t>
            </w:r>
            <w:r>
              <w:rPr>
                <w:sz w:val="21"/>
                <w:szCs w:val="21"/>
                <w:lang w:val="zh-CN" w:eastAsia="zh-CN"/>
              </w:rPr>
              <w:t>～</w:t>
            </w:r>
            <w:r>
              <w:rPr>
                <w:rFonts w:hint="eastAsia"/>
                <w:sz w:val="21"/>
                <w:szCs w:val="21"/>
                <w:lang w:val="en-US" w:eastAsia="zh-CN"/>
              </w:rPr>
              <w:t>8.5</w:t>
            </w:r>
          </w:p>
        </w:tc>
        <w:tc>
          <w:tcPr>
            <w:tcW w:w="669" w:type="dxa"/>
            <w:vMerge w:val="restart"/>
            <w:noWrap w:val="0"/>
            <w:tcMar>
              <w:top w:w="15" w:type="dxa"/>
              <w:left w:w="15" w:type="dxa"/>
              <w:bottom w:w="15" w:type="dxa"/>
              <w:right w:w="15" w:type="dxa"/>
            </w:tcMar>
            <w:vAlign w:val="center"/>
          </w:tcPr>
          <w:p w14:paraId="1DA084C4">
            <w:pPr>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r w14:paraId="5099F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1EDC74D4">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6096AE9B">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180588A5">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7ECFD35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6.88</w:t>
            </w:r>
          </w:p>
        </w:tc>
        <w:tc>
          <w:tcPr>
            <w:tcW w:w="799" w:type="dxa"/>
            <w:vMerge w:val="continue"/>
            <w:noWrap w:val="0"/>
            <w:tcMar>
              <w:top w:w="15" w:type="dxa"/>
              <w:left w:w="15" w:type="dxa"/>
              <w:bottom w:w="15" w:type="dxa"/>
              <w:right w:w="15" w:type="dxa"/>
            </w:tcMar>
            <w:vAlign w:val="center"/>
          </w:tcPr>
          <w:p w14:paraId="56BAF29E">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62A43E2A">
            <w:pPr>
              <w:spacing w:line="240" w:lineRule="auto"/>
              <w:ind w:firstLine="0"/>
              <w:jc w:val="center"/>
              <w:rPr>
                <w:rFonts w:hint="eastAsia" w:ascii="Times New Roman" w:hAnsi="Times New Roman" w:eastAsia="宋体" w:cs="Times New Roman"/>
                <w:sz w:val="21"/>
                <w:szCs w:val="21"/>
              </w:rPr>
            </w:pPr>
          </w:p>
        </w:tc>
      </w:tr>
      <w:tr w14:paraId="40FDD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2DDFCCBE">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059E9B9">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63DDC589">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2378B3F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6.83</w:t>
            </w:r>
          </w:p>
        </w:tc>
        <w:tc>
          <w:tcPr>
            <w:tcW w:w="799" w:type="dxa"/>
            <w:vMerge w:val="continue"/>
            <w:noWrap w:val="0"/>
            <w:tcMar>
              <w:top w:w="15" w:type="dxa"/>
              <w:left w:w="15" w:type="dxa"/>
              <w:bottom w:w="15" w:type="dxa"/>
              <w:right w:w="15" w:type="dxa"/>
            </w:tcMar>
            <w:vAlign w:val="center"/>
          </w:tcPr>
          <w:p w14:paraId="38D23379">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6D823D9C">
            <w:pPr>
              <w:spacing w:line="240" w:lineRule="auto"/>
              <w:ind w:firstLine="0"/>
              <w:jc w:val="center"/>
              <w:rPr>
                <w:rFonts w:hint="eastAsia" w:ascii="Times New Roman" w:hAnsi="Times New Roman" w:eastAsia="宋体" w:cs="Times New Roman"/>
                <w:sz w:val="21"/>
                <w:szCs w:val="21"/>
              </w:rPr>
            </w:pPr>
          </w:p>
        </w:tc>
      </w:tr>
      <w:tr w14:paraId="1CFF3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29E91BBC">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17289040">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耗氧量</w:t>
            </w:r>
          </w:p>
        </w:tc>
        <w:tc>
          <w:tcPr>
            <w:tcW w:w="1993" w:type="dxa"/>
            <w:noWrap w:val="0"/>
            <w:tcMar>
              <w:top w:w="15" w:type="dxa"/>
              <w:left w:w="15" w:type="dxa"/>
              <w:bottom w:w="15" w:type="dxa"/>
              <w:right w:w="15" w:type="dxa"/>
            </w:tcMar>
            <w:vAlign w:val="center"/>
          </w:tcPr>
          <w:p w14:paraId="71267B0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51BCBEF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99" w:type="dxa"/>
            <w:vMerge w:val="restart"/>
            <w:noWrap w:val="0"/>
            <w:tcMar>
              <w:top w:w="15" w:type="dxa"/>
              <w:left w:w="15" w:type="dxa"/>
              <w:bottom w:w="15" w:type="dxa"/>
              <w:right w:w="15" w:type="dxa"/>
            </w:tcMar>
            <w:vAlign w:val="center"/>
          </w:tcPr>
          <w:p w14:paraId="14993E19">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669" w:type="dxa"/>
            <w:vMerge w:val="restart"/>
            <w:noWrap w:val="0"/>
            <w:tcMar>
              <w:top w:w="15" w:type="dxa"/>
              <w:left w:w="15" w:type="dxa"/>
              <w:bottom w:w="15" w:type="dxa"/>
              <w:right w:w="15" w:type="dxa"/>
            </w:tcMar>
            <w:vAlign w:val="center"/>
          </w:tcPr>
          <w:p w14:paraId="42F6E9F1">
            <w:pPr>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r w14:paraId="33DA8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4D3908B4">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369173E7">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6568D0E9">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58AFCCE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99" w:type="dxa"/>
            <w:vMerge w:val="continue"/>
            <w:noWrap w:val="0"/>
            <w:tcMar>
              <w:top w:w="15" w:type="dxa"/>
              <w:left w:w="15" w:type="dxa"/>
              <w:bottom w:w="15" w:type="dxa"/>
              <w:right w:w="15" w:type="dxa"/>
            </w:tcMar>
            <w:vAlign w:val="center"/>
          </w:tcPr>
          <w:p w14:paraId="0B56F2C0">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2F544E10">
            <w:pPr>
              <w:spacing w:line="240" w:lineRule="auto"/>
              <w:ind w:firstLine="0"/>
              <w:jc w:val="center"/>
              <w:rPr>
                <w:rFonts w:hint="eastAsia" w:ascii="Times New Roman" w:hAnsi="Times New Roman" w:eastAsia="宋体" w:cs="Times New Roman"/>
                <w:sz w:val="21"/>
                <w:szCs w:val="21"/>
              </w:rPr>
            </w:pPr>
          </w:p>
        </w:tc>
      </w:tr>
      <w:tr w14:paraId="12B9F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6D889361">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32AD3F13">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346B339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136B9942">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0.22</w:t>
            </w:r>
          </w:p>
        </w:tc>
        <w:tc>
          <w:tcPr>
            <w:tcW w:w="799" w:type="dxa"/>
            <w:vMerge w:val="continue"/>
            <w:noWrap w:val="0"/>
            <w:tcMar>
              <w:top w:w="15" w:type="dxa"/>
              <w:left w:w="15" w:type="dxa"/>
              <w:bottom w:w="15" w:type="dxa"/>
              <w:right w:w="15" w:type="dxa"/>
            </w:tcMar>
            <w:vAlign w:val="center"/>
          </w:tcPr>
          <w:p w14:paraId="6000F484">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4D62CB3B">
            <w:pPr>
              <w:spacing w:line="240" w:lineRule="auto"/>
              <w:ind w:firstLine="0"/>
              <w:jc w:val="center"/>
              <w:rPr>
                <w:rFonts w:hint="eastAsia" w:ascii="Times New Roman" w:hAnsi="Times New Roman" w:eastAsia="宋体" w:cs="Times New Roman"/>
                <w:sz w:val="21"/>
                <w:szCs w:val="21"/>
              </w:rPr>
            </w:pPr>
          </w:p>
        </w:tc>
      </w:tr>
      <w:tr w14:paraId="2319E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3EDAB2EE">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2EF61781">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总硬度</w:t>
            </w:r>
          </w:p>
        </w:tc>
        <w:tc>
          <w:tcPr>
            <w:tcW w:w="1993" w:type="dxa"/>
            <w:noWrap w:val="0"/>
            <w:tcMar>
              <w:top w:w="15" w:type="dxa"/>
              <w:left w:w="15" w:type="dxa"/>
              <w:bottom w:w="15" w:type="dxa"/>
              <w:right w:w="15" w:type="dxa"/>
            </w:tcMar>
            <w:vAlign w:val="center"/>
          </w:tcPr>
          <w:p w14:paraId="1CFFD19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625DB79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w:t>
            </w:r>
          </w:p>
        </w:tc>
        <w:tc>
          <w:tcPr>
            <w:tcW w:w="799" w:type="dxa"/>
            <w:vMerge w:val="restart"/>
            <w:noWrap w:val="0"/>
            <w:tcMar>
              <w:top w:w="15" w:type="dxa"/>
              <w:left w:w="15" w:type="dxa"/>
              <w:bottom w:w="15" w:type="dxa"/>
              <w:right w:w="15" w:type="dxa"/>
            </w:tcMar>
            <w:vAlign w:val="center"/>
          </w:tcPr>
          <w:p w14:paraId="242E492F">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450</w:t>
            </w:r>
          </w:p>
        </w:tc>
        <w:tc>
          <w:tcPr>
            <w:tcW w:w="669" w:type="dxa"/>
            <w:vMerge w:val="restart"/>
            <w:noWrap w:val="0"/>
            <w:tcMar>
              <w:top w:w="15" w:type="dxa"/>
              <w:left w:w="15" w:type="dxa"/>
              <w:bottom w:w="15" w:type="dxa"/>
              <w:right w:w="15" w:type="dxa"/>
            </w:tcMar>
            <w:vAlign w:val="center"/>
          </w:tcPr>
          <w:p w14:paraId="59A2EFCD">
            <w:pPr>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r w14:paraId="7ECE3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3ADC556B">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5F72AE8B">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C5A200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2DA81CA5">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66</w:t>
            </w:r>
          </w:p>
        </w:tc>
        <w:tc>
          <w:tcPr>
            <w:tcW w:w="799" w:type="dxa"/>
            <w:vMerge w:val="continue"/>
            <w:noWrap w:val="0"/>
            <w:tcMar>
              <w:top w:w="15" w:type="dxa"/>
              <w:left w:w="15" w:type="dxa"/>
              <w:bottom w:w="15" w:type="dxa"/>
              <w:right w:w="15" w:type="dxa"/>
            </w:tcMar>
            <w:vAlign w:val="center"/>
          </w:tcPr>
          <w:p w14:paraId="45023A1D">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758CBA62">
            <w:pPr>
              <w:spacing w:line="240" w:lineRule="auto"/>
              <w:ind w:firstLine="0"/>
              <w:jc w:val="center"/>
              <w:rPr>
                <w:rFonts w:hint="eastAsia" w:ascii="Times New Roman" w:hAnsi="Times New Roman" w:eastAsia="宋体" w:cs="Times New Roman"/>
                <w:sz w:val="21"/>
                <w:szCs w:val="21"/>
              </w:rPr>
            </w:pPr>
          </w:p>
        </w:tc>
      </w:tr>
      <w:tr w14:paraId="59DC6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4EA9ECDF">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7E0C6A45">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D3F1E7F">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7A77B6D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68</w:t>
            </w:r>
          </w:p>
        </w:tc>
        <w:tc>
          <w:tcPr>
            <w:tcW w:w="799" w:type="dxa"/>
            <w:vMerge w:val="continue"/>
            <w:noWrap w:val="0"/>
            <w:tcMar>
              <w:top w:w="15" w:type="dxa"/>
              <w:left w:w="15" w:type="dxa"/>
              <w:bottom w:w="15" w:type="dxa"/>
              <w:right w:w="15" w:type="dxa"/>
            </w:tcMar>
            <w:vAlign w:val="center"/>
          </w:tcPr>
          <w:p w14:paraId="17BE7DFD">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4D93526C">
            <w:pPr>
              <w:spacing w:line="240" w:lineRule="auto"/>
              <w:ind w:firstLine="0"/>
              <w:jc w:val="center"/>
              <w:rPr>
                <w:rFonts w:hint="eastAsia" w:ascii="Times New Roman" w:hAnsi="Times New Roman" w:eastAsia="宋体" w:cs="Times New Roman"/>
                <w:sz w:val="21"/>
                <w:szCs w:val="21"/>
              </w:rPr>
            </w:pPr>
          </w:p>
        </w:tc>
      </w:tr>
      <w:tr w14:paraId="0B044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4331D021">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12DF4187">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溶解性</w:t>
            </w:r>
          </w:p>
          <w:p w14:paraId="18AEE92F">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总固体</w:t>
            </w:r>
          </w:p>
        </w:tc>
        <w:tc>
          <w:tcPr>
            <w:tcW w:w="1993" w:type="dxa"/>
            <w:noWrap w:val="0"/>
            <w:tcMar>
              <w:top w:w="15" w:type="dxa"/>
              <w:left w:w="15" w:type="dxa"/>
              <w:bottom w:w="15" w:type="dxa"/>
              <w:right w:w="15" w:type="dxa"/>
            </w:tcMar>
            <w:vAlign w:val="center"/>
          </w:tcPr>
          <w:p w14:paraId="598B2BC0">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79DF837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82</w:t>
            </w:r>
          </w:p>
        </w:tc>
        <w:tc>
          <w:tcPr>
            <w:tcW w:w="799" w:type="dxa"/>
            <w:vMerge w:val="restart"/>
            <w:noWrap w:val="0"/>
            <w:tcMar>
              <w:top w:w="15" w:type="dxa"/>
              <w:left w:w="15" w:type="dxa"/>
              <w:bottom w:w="15" w:type="dxa"/>
              <w:right w:w="15" w:type="dxa"/>
            </w:tcMar>
            <w:vAlign w:val="center"/>
          </w:tcPr>
          <w:p w14:paraId="14A70A3A">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w:t>
            </w:r>
          </w:p>
        </w:tc>
        <w:tc>
          <w:tcPr>
            <w:tcW w:w="669" w:type="dxa"/>
            <w:vMerge w:val="restart"/>
            <w:noWrap w:val="0"/>
            <w:tcMar>
              <w:top w:w="15" w:type="dxa"/>
              <w:left w:w="15" w:type="dxa"/>
              <w:bottom w:w="15" w:type="dxa"/>
              <w:right w:w="15" w:type="dxa"/>
            </w:tcMar>
            <w:vAlign w:val="center"/>
          </w:tcPr>
          <w:p w14:paraId="5BE4703E">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6B686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6B8EE771">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3DAB6E84">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39F4050D">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0DC4BB8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88</w:t>
            </w:r>
          </w:p>
        </w:tc>
        <w:tc>
          <w:tcPr>
            <w:tcW w:w="799" w:type="dxa"/>
            <w:vMerge w:val="continue"/>
            <w:noWrap w:val="0"/>
            <w:tcMar>
              <w:top w:w="15" w:type="dxa"/>
              <w:left w:w="15" w:type="dxa"/>
              <w:bottom w:w="15" w:type="dxa"/>
              <w:right w:w="15" w:type="dxa"/>
            </w:tcMar>
            <w:vAlign w:val="center"/>
          </w:tcPr>
          <w:p w14:paraId="294EF398">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6D5CAF42">
            <w:pPr>
              <w:spacing w:line="240" w:lineRule="auto"/>
              <w:ind w:firstLine="0"/>
              <w:jc w:val="center"/>
              <w:rPr>
                <w:rFonts w:hint="eastAsia" w:ascii="Times New Roman" w:hAnsi="Times New Roman" w:eastAsia="宋体" w:cs="Times New Roman"/>
                <w:sz w:val="21"/>
                <w:szCs w:val="21"/>
              </w:rPr>
            </w:pPr>
          </w:p>
        </w:tc>
      </w:tr>
      <w:tr w14:paraId="60081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6AD82FB4">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45A839C3">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1EB5D6D3">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6C29C154">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84</w:t>
            </w:r>
          </w:p>
        </w:tc>
        <w:tc>
          <w:tcPr>
            <w:tcW w:w="799" w:type="dxa"/>
            <w:vMerge w:val="continue"/>
            <w:noWrap w:val="0"/>
            <w:tcMar>
              <w:top w:w="15" w:type="dxa"/>
              <w:left w:w="15" w:type="dxa"/>
              <w:bottom w:w="15" w:type="dxa"/>
              <w:right w:w="15" w:type="dxa"/>
            </w:tcMar>
            <w:vAlign w:val="center"/>
          </w:tcPr>
          <w:p w14:paraId="0B225888">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1DD17FFA">
            <w:pPr>
              <w:spacing w:line="240" w:lineRule="auto"/>
              <w:ind w:firstLine="0"/>
              <w:jc w:val="center"/>
              <w:rPr>
                <w:rFonts w:hint="eastAsia" w:ascii="Times New Roman" w:hAnsi="Times New Roman" w:eastAsia="宋体" w:cs="Times New Roman"/>
                <w:sz w:val="21"/>
                <w:szCs w:val="21"/>
              </w:rPr>
            </w:pPr>
          </w:p>
        </w:tc>
      </w:tr>
      <w:tr w14:paraId="3EA79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2173002C">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44144587">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993" w:type="dxa"/>
            <w:noWrap w:val="0"/>
            <w:tcMar>
              <w:top w:w="15" w:type="dxa"/>
              <w:left w:w="15" w:type="dxa"/>
              <w:bottom w:w="15" w:type="dxa"/>
              <w:right w:w="15" w:type="dxa"/>
            </w:tcMar>
            <w:vAlign w:val="center"/>
          </w:tcPr>
          <w:p w14:paraId="0D260B1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53A3D58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0.219</w:t>
            </w:r>
          </w:p>
        </w:tc>
        <w:tc>
          <w:tcPr>
            <w:tcW w:w="799" w:type="dxa"/>
            <w:vMerge w:val="restart"/>
            <w:noWrap w:val="0"/>
            <w:tcMar>
              <w:top w:w="15" w:type="dxa"/>
              <w:left w:w="15" w:type="dxa"/>
              <w:bottom w:w="15" w:type="dxa"/>
              <w:right w:w="15" w:type="dxa"/>
            </w:tcMar>
            <w:vAlign w:val="center"/>
          </w:tcPr>
          <w:p w14:paraId="47B78CCA">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c>
          <w:tcPr>
            <w:tcW w:w="669" w:type="dxa"/>
            <w:vMerge w:val="restart"/>
            <w:noWrap w:val="0"/>
            <w:tcMar>
              <w:top w:w="15" w:type="dxa"/>
              <w:left w:w="15" w:type="dxa"/>
              <w:bottom w:w="15" w:type="dxa"/>
              <w:right w:w="15" w:type="dxa"/>
            </w:tcMar>
            <w:vAlign w:val="center"/>
          </w:tcPr>
          <w:p w14:paraId="5117AAF5">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1C67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3A286476">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794AEDA">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36095E4D">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1D376554">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0.254</w:t>
            </w:r>
          </w:p>
        </w:tc>
        <w:tc>
          <w:tcPr>
            <w:tcW w:w="799" w:type="dxa"/>
            <w:vMerge w:val="continue"/>
            <w:noWrap w:val="0"/>
            <w:tcMar>
              <w:top w:w="15" w:type="dxa"/>
              <w:left w:w="15" w:type="dxa"/>
              <w:bottom w:w="15" w:type="dxa"/>
              <w:right w:w="15" w:type="dxa"/>
            </w:tcMar>
            <w:vAlign w:val="center"/>
          </w:tcPr>
          <w:p w14:paraId="0A1B2C37">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72F083FF">
            <w:pPr>
              <w:spacing w:line="240" w:lineRule="auto"/>
              <w:ind w:firstLine="0"/>
              <w:jc w:val="center"/>
              <w:rPr>
                <w:rFonts w:hint="eastAsia" w:ascii="Times New Roman" w:hAnsi="Times New Roman" w:eastAsia="宋体" w:cs="Times New Roman"/>
                <w:sz w:val="21"/>
                <w:szCs w:val="21"/>
              </w:rPr>
            </w:pPr>
          </w:p>
        </w:tc>
      </w:tr>
      <w:tr w14:paraId="35EFD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4C591C0A">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65047EDE">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4F6E5832">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29A0A8EF">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0.278</w:t>
            </w:r>
          </w:p>
        </w:tc>
        <w:tc>
          <w:tcPr>
            <w:tcW w:w="799" w:type="dxa"/>
            <w:vMerge w:val="continue"/>
            <w:noWrap w:val="0"/>
            <w:tcMar>
              <w:top w:w="15" w:type="dxa"/>
              <w:left w:w="15" w:type="dxa"/>
              <w:bottom w:w="15" w:type="dxa"/>
              <w:right w:w="15" w:type="dxa"/>
            </w:tcMar>
            <w:vAlign w:val="center"/>
          </w:tcPr>
          <w:p w14:paraId="157905B6">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7E1EF759">
            <w:pPr>
              <w:spacing w:line="240" w:lineRule="auto"/>
              <w:ind w:firstLine="0"/>
              <w:jc w:val="center"/>
              <w:rPr>
                <w:rFonts w:hint="eastAsia" w:ascii="Times New Roman" w:hAnsi="Times New Roman" w:eastAsia="宋体" w:cs="Times New Roman"/>
                <w:sz w:val="21"/>
                <w:szCs w:val="21"/>
              </w:rPr>
            </w:pPr>
          </w:p>
        </w:tc>
      </w:tr>
      <w:tr w14:paraId="5FA58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2DC563D9">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53E8C55F">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硝酸盐</w:t>
            </w:r>
          </w:p>
        </w:tc>
        <w:tc>
          <w:tcPr>
            <w:tcW w:w="1993" w:type="dxa"/>
            <w:noWrap w:val="0"/>
            <w:tcMar>
              <w:top w:w="15" w:type="dxa"/>
              <w:left w:w="15" w:type="dxa"/>
              <w:bottom w:w="15" w:type="dxa"/>
              <w:right w:w="15" w:type="dxa"/>
            </w:tcMar>
            <w:vAlign w:val="center"/>
          </w:tcPr>
          <w:p w14:paraId="49513CC6">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68CBD2C9">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0.08L</w:t>
            </w:r>
          </w:p>
        </w:tc>
        <w:tc>
          <w:tcPr>
            <w:tcW w:w="799" w:type="dxa"/>
            <w:vMerge w:val="restart"/>
            <w:noWrap w:val="0"/>
            <w:tcMar>
              <w:top w:w="15" w:type="dxa"/>
              <w:left w:w="15" w:type="dxa"/>
              <w:bottom w:w="15" w:type="dxa"/>
              <w:right w:w="15" w:type="dxa"/>
            </w:tcMar>
            <w:vAlign w:val="center"/>
          </w:tcPr>
          <w:p w14:paraId="1343709E">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669" w:type="dxa"/>
            <w:vMerge w:val="restart"/>
            <w:noWrap w:val="0"/>
            <w:tcMar>
              <w:top w:w="15" w:type="dxa"/>
              <w:left w:w="15" w:type="dxa"/>
              <w:bottom w:w="15" w:type="dxa"/>
              <w:right w:w="15" w:type="dxa"/>
            </w:tcMar>
            <w:vAlign w:val="center"/>
          </w:tcPr>
          <w:p w14:paraId="4998F532">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7619D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3E41CD22">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03157686">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4F86423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2BAC0C13">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0.08L</w:t>
            </w:r>
          </w:p>
        </w:tc>
        <w:tc>
          <w:tcPr>
            <w:tcW w:w="799" w:type="dxa"/>
            <w:vMerge w:val="continue"/>
            <w:noWrap w:val="0"/>
            <w:tcMar>
              <w:top w:w="15" w:type="dxa"/>
              <w:left w:w="15" w:type="dxa"/>
              <w:bottom w:w="15" w:type="dxa"/>
              <w:right w:w="15" w:type="dxa"/>
            </w:tcMar>
            <w:vAlign w:val="center"/>
          </w:tcPr>
          <w:p w14:paraId="5C035C86">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436940AB">
            <w:pPr>
              <w:spacing w:line="240" w:lineRule="auto"/>
              <w:ind w:firstLine="0"/>
              <w:jc w:val="center"/>
              <w:rPr>
                <w:rFonts w:hint="eastAsia" w:ascii="Times New Roman" w:hAnsi="Times New Roman" w:eastAsia="宋体" w:cs="Times New Roman"/>
                <w:sz w:val="21"/>
                <w:szCs w:val="21"/>
              </w:rPr>
            </w:pPr>
          </w:p>
        </w:tc>
      </w:tr>
      <w:tr w14:paraId="3A70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6861D45F">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5C7DA301">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5A9CD042">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522C7E90">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0.08L</w:t>
            </w:r>
          </w:p>
        </w:tc>
        <w:tc>
          <w:tcPr>
            <w:tcW w:w="799" w:type="dxa"/>
            <w:vMerge w:val="continue"/>
            <w:noWrap w:val="0"/>
            <w:tcMar>
              <w:top w:w="15" w:type="dxa"/>
              <w:left w:w="15" w:type="dxa"/>
              <w:bottom w:w="15" w:type="dxa"/>
              <w:right w:w="15" w:type="dxa"/>
            </w:tcMar>
            <w:vAlign w:val="center"/>
          </w:tcPr>
          <w:p w14:paraId="302D9970">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4113F49F">
            <w:pPr>
              <w:spacing w:line="240" w:lineRule="auto"/>
              <w:ind w:firstLine="0"/>
              <w:jc w:val="center"/>
              <w:rPr>
                <w:rFonts w:hint="eastAsia" w:ascii="Times New Roman" w:hAnsi="Times New Roman" w:eastAsia="宋体" w:cs="Times New Roman"/>
                <w:sz w:val="21"/>
                <w:szCs w:val="21"/>
              </w:rPr>
            </w:pPr>
          </w:p>
        </w:tc>
      </w:tr>
      <w:tr w14:paraId="7030E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61DE982E">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73593CB9">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硫酸盐</w:t>
            </w:r>
          </w:p>
        </w:tc>
        <w:tc>
          <w:tcPr>
            <w:tcW w:w="1993" w:type="dxa"/>
            <w:noWrap w:val="0"/>
            <w:tcMar>
              <w:top w:w="15" w:type="dxa"/>
              <w:left w:w="15" w:type="dxa"/>
              <w:bottom w:w="15" w:type="dxa"/>
              <w:right w:w="15" w:type="dxa"/>
            </w:tcMar>
            <w:vAlign w:val="center"/>
          </w:tcPr>
          <w:p w14:paraId="05074AA9">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02788DD1">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8L</w:t>
            </w:r>
          </w:p>
        </w:tc>
        <w:tc>
          <w:tcPr>
            <w:tcW w:w="799" w:type="dxa"/>
            <w:vMerge w:val="restart"/>
            <w:noWrap w:val="0"/>
            <w:tcMar>
              <w:top w:w="15" w:type="dxa"/>
              <w:left w:w="15" w:type="dxa"/>
              <w:bottom w:w="15" w:type="dxa"/>
              <w:right w:w="15" w:type="dxa"/>
            </w:tcMar>
            <w:vAlign w:val="center"/>
          </w:tcPr>
          <w:p w14:paraId="127E7922">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669" w:type="dxa"/>
            <w:vMerge w:val="restart"/>
            <w:noWrap w:val="0"/>
            <w:tcMar>
              <w:top w:w="15" w:type="dxa"/>
              <w:left w:w="15" w:type="dxa"/>
              <w:bottom w:w="15" w:type="dxa"/>
              <w:right w:w="15" w:type="dxa"/>
            </w:tcMar>
            <w:vAlign w:val="center"/>
          </w:tcPr>
          <w:p w14:paraId="75D3C2B3">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1BD1B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7798969B">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541D7AD0">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0F5EC0F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41B13E1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8L</w:t>
            </w:r>
          </w:p>
        </w:tc>
        <w:tc>
          <w:tcPr>
            <w:tcW w:w="799" w:type="dxa"/>
            <w:vMerge w:val="continue"/>
            <w:noWrap w:val="0"/>
            <w:tcMar>
              <w:top w:w="15" w:type="dxa"/>
              <w:left w:w="15" w:type="dxa"/>
              <w:bottom w:w="15" w:type="dxa"/>
              <w:right w:w="15" w:type="dxa"/>
            </w:tcMar>
            <w:vAlign w:val="center"/>
          </w:tcPr>
          <w:p w14:paraId="4901867C">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029F2358">
            <w:pPr>
              <w:spacing w:line="240" w:lineRule="auto"/>
              <w:ind w:firstLine="0"/>
              <w:jc w:val="center"/>
              <w:rPr>
                <w:rFonts w:hint="eastAsia" w:ascii="Times New Roman" w:hAnsi="Times New Roman" w:eastAsia="宋体" w:cs="Times New Roman"/>
                <w:sz w:val="21"/>
                <w:szCs w:val="21"/>
              </w:rPr>
            </w:pPr>
          </w:p>
        </w:tc>
      </w:tr>
      <w:tr w14:paraId="05EF1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080E70BE">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7E928CB6">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0E291F4F">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2F6AF691">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8L</w:t>
            </w:r>
          </w:p>
        </w:tc>
        <w:tc>
          <w:tcPr>
            <w:tcW w:w="799" w:type="dxa"/>
            <w:vMerge w:val="continue"/>
            <w:noWrap w:val="0"/>
            <w:tcMar>
              <w:top w:w="15" w:type="dxa"/>
              <w:left w:w="15" w:type="dxa"/>
              <w:bottom w:w="15" w:type="dxa"/>
              <w:right w:w="15" w:type="dxa"/>
            </w:tcMar>
            <w:vAlign w:val="center"/>
          </w:tcPr>
          <w:p w14:paraId="6B299107">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6CC4D451">
            <w:pPr>
              <w:spacing w:line="240" w:lineRule="auto"/>
              <w:ind w:firstLine="0"/>
              <w:jc w:val="center"/>
              <w:rPr>
                <w:rFonts w:hint="eastAsia" w:ascii="Times New Roman" w:hAnsi="Times New Roman" w:eastAsia="宋体" w:cs="Times New Roman"/>
                <w:sz w:val="21"/>
                <w:szCs w:val="21"/>
              </w:rPr>
            </w:pPr>
          </w:p>
        </w:tc>
      </w:tr>
      <w:tr w14:paraId="3E796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5DE9E2A9">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64444416">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氟化物</w:t>
            </w:r>
          </w:p>
        </w:tc>
        <w:tc>
          <w:tcPr>
            <w:tcW w:w="1993" w:type="dxa"/>
            <w:noWrap w:val="0"/>
            <w:tcMar>
              <w:top w:w="15" w:type="dxa"/>
              <w:left w:w="15" w:type="dxa"/>
              <w:bottom w:w="15" w:type="dxa"/>
              <w:right w:w="15" w:type="dxa"/>
            </w:tcMar>
            <w:vAlign w:val="center"/>
          </w:tcPr>
          <w:p w14:paraId="0EB582E0">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5ACC6179">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0.05</w:t>
            </w:r>
          </w:p>
        </w:tc>
        <w:tc>
          <w:tcPr>
            <w:tcW w:w="799" w:type="dxa"/>
            <w:vMerge w:val="restart"/>
            <w:noWrap w:val="0"/>
            <w:tcMar>
              <w:top w:w="15" w:type="dxa"/>
              <w:left w:w="15" w:type="dxa"/>
              <w:bottom w:w="15" w:type="dxa"/>
              <w:right w:w="15" w:type="dxa"/>
            </w:tcMar>
            <w:vAlign w:val="center"/>
          </w:tcPr>
          <w:p w14:paraId="2631ED14">
            <w:pPr>
              <w:ind w:left="0" w:firstLine="0"/>
              <w:jc w:val="center"/>
              <w:rPr>
                <w:rFonts w:ascii="Times New Roman" w:hAnsi="Times New Roman" w:eastAsia="宋体" w:cs="Times New Roman"/>
                <w:bCs w:val="0"/>
                <w:szCs w:val="21"/>
                <w:lang w:val="en-US" w:eastAsia="zh-CN" w:bidi="ar-SA"/>
              </w:rPr>
            </w:pPr>
            <w:bookmarkStart w:id="142" w:name="_Toc12258"/>
            <w:r>
              <w:rPr>
                <w:rFonts w:hint="eastAsia"/>
                <w:lang w:val="en-US" w:eastAsia="zh-CN"/>
              </w:rPr>
              <w:t>1.0</w:t>
            </w:r>
            <w:bookmarkEnd w:id="140"/>
          </w:p>
        </w:tc>
        <w:tc>
          <w:tcPr>
            <w:tcW w:w="669" w:type="dxa"/>
            <w:vMerge w:val="restart"/>
            <w:noWrap w:val="0"/>
            <w:tcMar>
              <w:top w:w="15" w:type="dxa"/>
              <w:left w:w="15" w:type="dxa"/>
              <w:bottom w:w="15" w:type="dxa"/>
              <w:right w:w="15" w:type="dxa"/>
            </w:tcMar>
            <w:vAlign w:val="center"/>
          </w:tcPr>
          <w:p w14:paraId="49B3EDEF">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67BBD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078987EF">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773F4A49">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1364194D">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4C1BA55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w:t>
            </w:r>
          </w:p>
        </w:tc>
        <w:tc>
          <w:tcPr>
            <w:tcW w:w="799" w:type="dxa"/>
            <w:vMerge w:val="continue"/>
            <w:noWrap w:val="0"/>
            <w:tcMar>
              <w:top w:w="15" w:type="dxa"/>
              <w:left w:w="15" w:type="dxa"/>
              <w:bottom w:w="15" w:type="dxa"/>
              <w:right w:w="15" w:type="dxa"/>
            </w:tcMar>
            <w:vAlign w:val="center"/>
          </w:tcPr>
          <w:p w14:paraId="1D22EBA3">
            <w:pPr>
              <w:spacing w:line="240" w:lineRule="auto"/>
              <w:ind w:firstLine="0"/>
              <w:jc w:val="center"/>
              <w:rPr>
                <w:rFonts w:hint="eastAsia" w:ascii="Times New Roman" w:hAnsi="Times New Roman" w:eastAsia="宋体" w:cs="Times New Roman"/>
                <w:sz w:val="21"/>
                <w:szCs w:val="21"/>
                <w:lang w:val="en-US" w:eastAsia="zh-CN"/>
              </w:rPr>
            </w:pPr>
          </w:p>
        </w:tc>
        <w:tc>
          <w:tcPr>
            <w:tcW w:w="669" w:type="dxa"/>
            <w:vMerge w:val="continue"/>
            <w:noWrap w:val="0"/>
            <w:tcMar>
              <w:top w:w="15" w:type="dxa"/>
              <w:left w:w="15" w:type="dxa"/>
              <w:bottom w:w="15" w:type="dxa"/>
              <w:right w:w="15" w:type="dxa"/>
            </w:tcMar>
            <w:vAlign w:val="center"/>
          </w:tcPr>
          <w:p w14:paraId="1D642C49">
            <w:pPr>
              <w:spacing w:line="240" w:lineRule="auto"/>
              <w:ind w:firstLine="0"/>
              <w:jc w:val="center"/>
              <w:rPr>
                <w:rFonts w:hint="eastAsia" w:ascii="Times New Roman" w:hAnsi="Times New Roman" w:eastAsia="宋体" w:cs="Times New Roman"/>
                <w:sz w:val="21"/>
                <w:szCs w:val="21"/>
              </w:rPr>
            </w:pPr>
          </w:p>
        </w:tc>
      </w:tr>
      <w:tr w14:paraId="6F382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5160E0C8">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6D8353D">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442B1BA4">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5D01D6C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0.07</w:t>
            </w:r>
          </w:p>
        </w:tc>
        <w:tc>
          <w:tcPr>
            <w:tcW w:w="799" w:type="dxa"/>
            <w:vMerge w:val="continue"/>
            <w:noWrap w:val="0"/>
            <w:tcMar>
              <w:top w:w="15" w:type="dxa"/>
              <w:left w:w="15" w:type="dxa"/>
              <w:bottom w:w="15" w:type="dxa"/>
              <w:right w:w="15" w:type="dxa"/>
            </w:tcMar>
            <w:vAlign w:val="center"/>
          </w:tcPr>
          <w:p w14:paraId="3AC66027">
            <w:pPr>
              <w:spacing w:line="240" w:lineRule="auto"/>
              <w:ind w:firstLine="0"/>
              <w:jc w:val="center"/>
              <w:rPr>
                <w:rFonts w:hint="eastAsia" w:ascii="Times New Roman" w:hAnsi="Times New Roman" w:eastAsia="宋体" w:cs="Times New Roman"/>
                <w:sz w:val="21"/>
                <w:szCs w:val="21"/>
                <w:lang w:val="en-US" w:eastAsia="zh-CN"/>
              </w:rPr>
            </w:pPr>
          </w:p>
        </w:tc>
        <w:tc>
          <w:tcPr>
            <w:tcW w:w="669" w:type="dxa"/>
            <w:vMerge w:val="continue"/>
            <w:noWrap w:val="0"/>
            <w:tcMar>
              <w:top w:w="15" w:type="dxa"/>
              <w:left w:w="15" w:type="dxa"/>
              <w:bottom w:w="15" w:type="dxa"/>
              <w:right w:w="15" w:type="dxa"/>
            </w:tcMar>
            <w:vAlign w:val="center"/>
          </w:tcPr>
          <w:p w14:paraId="238B4760">
            <w:pPr>
              <w:spacing w:line="240" w:lineRule="auto"/>
              <w:ind w:firstLine="0"/>
              <w:jc w:val="center"/>
              <w:rPr>
                <w:rFonts w:hint="eastAsia" w:ascii="Times New Roman" w:hAnsi="Times New Roman" w:eastAsia="宋体" w:cs="Times New Roman"/>
                <w:sz w:val="21"/>
                <w:szCs w:val="21"/>
              </w:rPr>
            </w:pPr>
          </w:p>
        </w:tc>
      </w:tr>
      <w:tr w14:paraId="761EE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7" w:hRule="atLeast"/>
          <w:jc w:val="center"/>
        </w:trPr>
        <w:tc>
          <w:tcPr>
            <w:tcW w:w="1327" w:type="dxa"/>
            <w:vMerge w:val="continue"/>
            <w:noWrap w:val="0"/>
            <w:vAlign w:val="center"/>
          </w:tcPr>
          <w:p w14:paraId="52AA8BED">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2B143F6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挥发酚</w:t>
            </w:r>
          </w:p>
        </w:tc>
        <w:tc>
          <w:tcPr>
            <w:tcW w:w="1993" w:type="dxa"/>
            <w:noWrap w:val="0"/>
            <w:tcMar>
              <w:top w:w="15" w:type="dxa"/>
              <w:left w:w="15" w:type="dxa"/>
              <w:bottom w:w="15" w:type="dxa"/>
              <w:right w:w="15" w:type="dxa"/>
            </w:tcMar>
            <w:vAlign w:val="center"/>
          </w:tcPr>
          <w:p w14:paraId="58FF0866">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302" w:type="dxa"/>
            <w:noWrap w:val="0"/>
            <w:tcMar>
              <w:top w:w="15" w:type="dxa"/>
              <w:left w:w="15" w:type="dxa"/>
              <w:bottom w:w="15" w:type="dxa"/>
              <w:right w:w="15" w:type="dxa"/>
            </w:tcMar>
            <w:vAlign w:val="center"/>
          </w:tcPr>
          <w:p w14:paraId="593AE0B3">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0.0003L</w:t>
            </w:r>
          </w:p>
        </w:tc>
        <w:tc>
          <w:tcPr>
            <w:tcW w:w="799" w:type="dxa"/>
            <w:vMerge w:val="restart"/>
            <w:noWrap w:val="0"/>
            <w:tcMar>
              <w:top w:w="15" w:type="dxa"/>
              <w:left w:w="15" w:type="dxa"/>
              <w:bottom w:w="15" w:type="dxa"/>
              <w:right w:w="15" w:type="dxa"/>
            </w:tcMar>
            <w:vAlign w:val="center"/>
          </w:tcPr>
          <w:p w14:paraId="6312D858">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0.002</w:t>
            </w:r>
          </w:p>
        </w:tc>
        <w:tc>
          <w:tcPr>
            <w:tcW w:w="669" w:type="dxa"/>
            <w:vMerge w:val="restart"/>
            <w:noWrap w:val="0"/>
            <w:tcMar>
              <w:top w:w="15" w:type="dxa"/>
              <w:left w:w="15" w:type="dxa"/>
              <w:bottom w:w="15" w:type="dxa"/>
              <w:right w:w="15" w:type="dxa"/>
            </w:tcMar>
            <w:vAlign w:val="center"/>
          </w:tcPr>
          <w:p w14:paraId="32BB8CE4">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6CB2A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76EA4D7F">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36D73AAD">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3AB779C2">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302" w:type="dxa"/>
            <w:noWrap w:val="0"/>
            <w:tcMar>
              <w:top w:w="15" w:type="dxa"/>
              <w:left w:w="15" w:type="dxa"/>
              <w:bottom w:w="15" w:type="dxa"/>
              <w:right w:w="15" w:type="dxa"/>
            </w:tcMar>
            <w:vAlign w:val="center"/>
          </w:tcPr>
          <w:p w14:paraId="5796BFE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0.0003L</w:t>
            </w:r>
          </w:p>
        </w:tc>
        <w:tc>
          <w:tcPr>
            <w:tcW w:w="799" w:type="dxa"/>
            <w:vMerge w:val="continue"/>
            <w:noWrap w:val="0"/>
            <w:tcMar>
              <w:top w:w="15" w:type="dxa"/>
              <w:left w:w="15" w:type="dxa"/>
              <w:bottom w:w="15" w:type="dxa"/>
              <w:right w:w="15" w:type="dxa"/>
            </w:tcMar>
            <w:vAlign w:val="center"/>
          </w:tcPr>
          <w:p w14:paraId="79B14816">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5D25DF67">
            <w:pPr>
              <w:spacing w:line="240" w:lineRule="auto"/>
              <w:ind w:firstLine="0"/>
              <w:jc w:val="center"/>
              <w:rPr>
                <w:rFonts w:hint="eastAsia" w:ascii="Times New Roman" w:hAnsi="Times New Roman" w:eastAsia="宋体" w:cs="Times New Roman"/>
                <w:sz w:val="21"/>
                <w:szCs w:val="21"/>
              </w:rPr>
            </w:pPr>
          </w:p>
        </w:tc>
      </w:tr>
      <w:tr w14:paraId="4C778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327" w:type="dxa"/>
            <w:vMerge w:val="continue"/>
            <w:noWrap w:val="0"/>
            <w:vAlign w:val="center"/>
          </w:tcPr>
          <w:p w14:paraId="6EE23FE8">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435D7C1C">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1934AD2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302" w:type="dxa"/>
            <w:noWrap w:val="0"/>
            <w:tcMar>
              <w:top w:w="15" w:type="dxa"/>
              <w:left w:w="15" w:type="dxa"/>
              <w:bottom w:w="15" w:type="dxa"/>
              <w:right w:w="15" w:type="dxa"/>
            </w:tcMar>
            <w:vAlign w:val="center"/>
          </w:tcPr>
          <w:p w14:paraId="0843810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0.0003L</w:t>
            </w:r>
          </w:p>
        </w:tc>
        <w:tc>
          <w:tcPr>
            <w:tcW w:w="799" w:type="dxa"/>
            <w:vMerge w:val="continue"/>
            <w:noWrap w:val="0"/>
            <w:tcMar>
              <w:top w:w="15" w:type="dxa"/>
              <w:left w:w="15" w:type="dxa"/>
              <w:bottom w:w="15" w:type="dxa"/>
              <w:right w:w="15" w:type="dxa"/>
            </w:tcMar>
            <w:vAlign w:val="center"/>
          </w:tcPr>
          <w:p w14:paraId="40E7FD79">
            <w:pPr>
              <w:spacing w:line="240" w:lineRule="auto"/>
              <w:ind w:firstLine="0"/>
              <w:jc w:val="center"/>
              <w:rPr>
                <w:rFonts w:hint="eastAsia" w:ascii="Times New Roman" w:hAnsi="Times New Roman" w:eastAsia="宋体" w:cs="Times New Roman"/>
                <w:sz w:val="21"/>
                <w:szCs w:val="21"/>
              </w:rPr>
            </w:pPr>
          </w:p>
        </w:tc>
        <w:tc>
          <w:tcPr>
            <w:tcW w:w="669" w:type="dxa"/>
            <w:vMerge w:val="continue"/>
            <w:noWrap w:val="0"/>
            <w:tcMar>
              <w:top w:w="15" w:type="dxa"/>
              <w:left w:w="15" w:type="dxa"/>
              <w:bottom w:w="15" w:type="dxa"/>
              <w:right w:w="15" w:type="dxa"/>
            </w:tcMar>
            <w:vAlign w:val="center"/>
          </w:tcPr>
          <w:p w14:paraId="13D96BBB">
            <w:pPr>
              <w:spacing w:line="240" w:lineRule="auto"/>
              <w:ind w:firstLine="0"/>
              <w:jc w:val="center"/>
              <w:rPr>
                <w:rFonts w:hint="eastAsia" w:ascii="Times New Roman" w:hAnsi="Times New Roman" w:eastAsia="宋体" w:cs="Times New Roman"/>
                <w:sz w:val="21"/>
                <w:szCs w:val="21"/>
              </w:rPr>
            </w:pPr>
          </w:p>
        </w:tc>
      </w:tr>
    </w:tbl>
    <w:p w14:paraId="60CD1080">
      <w:pPr>
        <w:ind w:firstLine="482"/>
        <w:jc w:val="center"/>
        <w:rPr>
          <w:rFonts w:hint="eastAsia" w:eastAsia="宋体"/>
          <w:b/>
          <w:bCs/>
          <w:color w:val="000000"/>
          <w:sz w:val="24"/>
          <w:szCs w:val="24"/>
          <w:lang w:val="en-US" w:eastAsia="zh-CN"/>
        </w:rPr>
      </w:pPr>
      <w:r>
        <w:rPr>
          <w:rFonts w:ascii="Times New Roman" w:hAnsi="Times New Roman" w:eastAsia="宋体" w:cs="Times New Roman"/>
          <w:b/>
          <w:bCs/>
          <w:sz w:val="24"/>
          <w:szCs w:val="24"/>
        </w:rPr>
        <w:t>续表</w:t>
      </w:r>
      <w:r>
        <w:rPr>
          <w:rFonts w:hint="eastAsia" w:ascii="Times New Roman" w:hAnsi="Times New Roman" w:eastAsia="宋体" w:cs="Times New Roman"/>
          <w:b/>
          <w:bCs/>
          <w:sz w:val="24"/>
          <w:szCs w:val="24"/>
          <w:lang w:val="en-US" w:eastAsia="zh-CN"/>
        </w:rPr>
        <w:t>5.</w:t>
      </w:r>
      <w:r>
        <w:rPr>
          <w:rFonts w:ascii="Times New Roman" w:hAnsi="Times New Roman" w:eastAsia="宋体" w:cs="Times New Roman"/>
          <w:b/>
          <w:bCs/>
          <w:sz w:val="24"/>
          <w:szCs w:val="24"/>
        </w:rPr>
        <w:t>4-</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 xml:space="preserve">  地下水检测结果</w:t>
      </w:r>
      <w:r>
        <w:rPr>
          <w:rFonts w:ascii="Times New Roman" w:hAnsi="Times New Roman" w:eastAsia="宋体" w:cs="Times New Roman"/>
          <w:b/>
          <w:bCs/>
          <w:color w:val="000000"/>
          <w:sz w:val="24"/>
          <w:szCs w:val="24"/>
        </w:rPr>
        <w:t>一览表</w:t>
      </w:r>
      <w:r>
        <w:rPr>
          <w:rFonts w:hint="eastAsia"/>
          <w:b/>
          <w:bCs/>
          <w:color w:val="000000"/>
          <w:sz w:val="24"/>
          <w:szCs w:val="24"/>
          <w:lang w:val="en-US" w:eastAsia="zh-CN"/>
        </w:rPr>
        <w:t>单位：</w:t>
      </w:r>
      <w:r>
        <w:rPr>
          <w:rFonts w:ascii="Times New Roman" w:hAnsi="Times New Roman" w:eastAsia="宋体" w:cs="Times New Roman"/>
          <w:b/>
          <w:bCs/>
          <w:color w:val="000000"/>
          <w:sz w:val="24"/>
          <w:szCs w:val="24"/>
        </w:rPr>
        <w:t>mg/L</w:t>
      </w: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粪大肠菌群除外</w:t>
      </w:r>
      <w:r>
        <w:rPr>
          <w:rFonts w:hint="eastAsia" w:ascii="Times New Roman" w:hAnsi="Times New Roman" w:eastAsia="宋体" w:cs="Times New Roman"/>
          <w:b/>
          <w:bCs/>
          <w:color w:val="000000"/>
          <w:sz w:val="24"/>
          <w:szCs w:val="24"/>
          <w:lang w:eastAsia="zh-CN"/>
        </w:rPr>
        <w:t>）</w:t>
      </w:r>
    </w:p>
    <w:tbl>
      <w:tblPr>
        <w:tblStyle w:val="32"/>
        <w:tblW w:w="86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7"/>
        <w:gridCol w:w="1526"/>
        <w:gridCol w:w="1993"/>
        <w:gridCol w:w="2414"/>
        <w:gridCol w:w="688"/>
        <w:gridCol w:w="668"/>
      </w:tblGrid>
      <w:tr w14:paraId="407ED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3" w:hRule="atLeast"/>
          <w:jc w:val="center"/>
        </w:trPr>
        <w:tc>
          <w:tcPr>
            <w:tcW w:w="1327" w:type="dxa"/>
            <w:noWrap w:val="0"/>
            <w:tcMar>
              <w:top w:w="15" w:type="dxa"/>
              <w:left w:w="15" w:type="dxa"/>
              <w:bottom w:w="15" w:type="dxa"/>
              <w:right w:w="15" w:type="dxa"/>
            </w:tcMar>
            <w:vAlign w:val="center"/>
          </w:tcPr>
          <w:p w14:paraId="04C38182">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样</w:t>
            </w:r>
            <w:r>
              <w:rPr>
                <w:rFonts w:ascii="Times New Roman" w:hAnsi="Times New Roman" w:eastAsia="宋体" w:cs="Times New Roman"/>
                <w:sz w:val="21"/>
                <w:szCs w:val="21"/>
              </w:rPr>
              <w:t>品</w:t>
            </w:r>
          </w:p>
          <w:p w14:paraId="356948DE">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类型</w:t>
            </w:r>
          </w:p>
        </w:tc>
        <w:tc>
          <w:tcPr>
            <w:tcW w:w="1526" w:type="dxa"/>
            <w:noWrap w:val="0"/>
            <w:tcMar>
              <w:top w:w="15" w:type="dxa"/>
              <w:left w:w="15" w:type="dxa"/>
              <w:bottom w:w="15" w:type="dxa"/>
              <w:right w:w="15" w:type="dxa"/>
            </w:tcMar>
            <w:vAlign w:val="center"/>
          </w:tcPr>
          <w:p w14:paraId="053A7B8E">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分析</w:t>
            </w:r>
          </w:p>
          <w:p w14:paraId="3474BAA3">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1993" w:type="dxa"/>
            <w:noWrap w:val="0"/>
            <w:tcMar>
              <w:top w:w="15" w:type="dxa"/>
              <w:left w:w="15" w:type="dxa"/>
              <w:bottom w:w="15" w:type="dxa"/>
              <w:right w:w="15" w:type="dxa"/>
            </w:tcMar>
            <w:vAlign w:val="center"/>
          </w:tcPr>
          <w:p w14:paraId="731197E7">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采样日期</w:t>
            </w:r>
          </w:p>
        </w:tc>
        <w:tc>
          <w:tcPr>
            <w:tcW w:w="2414" w:type="dxa"/>
            <w:noWrap w:val="0"/>
            <w:tcMar>
              <w:top w:w="15" w:type="dxa"/>
              <w:left w:w="15" w:type="dxa"/>
              <w:bottom w:w="15" w:type="dxa"/>
              <w:right w:w="15" w:type="dxa"/>
            </w:tcMar>
            <w:vAlign w:val="center"/>
          </w:tcPr>
          <w:p w14:paraId="72E3784A">
            <w:pPr>
              <w:spacing w:line="240" w:lineRule="auto"/>
              <w:ind w:firstLine="0"/>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项目北侧80米处地下水（DX01）</w:t>
            </w:r>
          </w:p>
        </w:tc>
        <w:tc>
          <w:tcPr>
            <w:tcW w:w="688" w:type="dxa"/>
            <w:noWrap w:val="0"/>
            <w:tcMar>
              <w:top w:w="15" w:type="dxa"/>
              <w:left w:w="15" w:type="dxa"/>
              <w:bottom w:w="15" w:type="dxa"/>
              <w:right w:w="15" w:type="dxa"/>
            </w:tcMar>
            <w:vAlign w:val="center"/>
          </w:tcPr>
          <w:p w14:paraId="30AEA87E">
            <w:pPr>
              <w:spacing w:line="240" w:lineRule="auto"/>
              <w:ind w:firstLine="0"/>
              <w:contextualSpacing/>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标准值</w:t>
            </w:r>
          </w:p>
        </w:tc>
        <w:tc>
          <w:tcPr>
            <w:tcW w:w="668" w:type="dxa"/>
            <w:noWrap w:val="0"/>
            <w:tcMar>
              <w:top w:w="15" w:type="dxa"/>
              <w:left w:w="15" w:type="dxa"/>
              <w:bottom w:w="15" w:type="dxa"/>
              <w:right w:w="15" w:type="dxa"/>
            </w:tcMar>
            <w:vAlign w:val="center"/>
          </w:tcPr>
          <w:p w14:paraId="264AC622">
            <w:pPr>
              <w:spacing w:line="240" w:lineRule="auto"/>
              <w:ind w:firstLine="0"/>
              <w:contextualSpacing/>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达标情况</w:t>
            </w:r>
          </w:p>
        </w:tc>
      </w:tr>
      <w:tr w14:paraId="553FB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restart"/>
            <w:noWrap w:val="0"/>
            <w:vAlign w:val="center"/>
          </w:tcPr>
          <w:p w14:paraId="64BEFBFA">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地</w:t>
            </w:r>
          </w:p>
          <w:p w14:paraId="57F2BE23">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下</w:t>
            </w:r>
          </w:p>
          <w:p w14:paraId="77809114">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水</w:t>
            </w:r>
          </w:p>
        </w:tc>
        <w:tc>
          <w:tcPr>
            <w:tcW w:w="1526" w:type="dxa"/>
            <w:vMerge w:val="restart"/>
            <w:noWrap w:val="0"/>
            <w:tcMar>
              <w:top w:w="15" w:type="dxa"/>
              <w:left w:w="15" w:type="dxa"/>
              <w:bottom w:w="15" w:type="dxa"/>
              <w:right w:w="15" w:type="dxa"/>
            </w:tcMar>
            <w:vAlign w:val="center"/>
          </w:tcPr>
          <w:p w14:paraId="387A7FF8">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氯化物</w:t>
            </w:r>
          </w:p>
        </w:tc>
        <w:tc>
          <w:tcPr>
            <w:tcW w:w="1993" w:type="dxa"/>
            <w:noWrap w:val="0"/>
            <w:tcMar>
              <w:top w:w="15" w:type="dxa"/>
              <w:left w:w="15" w:type="dxa"/>
              <w:bottom w:w="15" w:type="dxa"/>
              <w:right w:w="15" w:type="dxa"/>
            </w:tcMar>
            <w:vAlign w:val="center"/>
          </w:tcPr>
          <w:p w14:paraId="4588FF2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2F2583B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2.9</w:t>
            </w:r>
          </w:p>
        </w:tc>
        <w:tc>
          <w:tcPr>
            <w:tcW w:w="688" w:type="dxa"/>
            <w:vMerge w:val="restart"/>
            <w:noWrap w:val="0"/>
            <w:tcMar>
              <w:top w:w="15" w:type="dxa"/>
              <w:left w:w="15" w:type="dxa"/>
              <w:bottom w:w="15" w:type="dxa"/>
              <w:right w:w="15" w:type="dxa"/>
            </w:tcMar>
            <w:vAlign w:val="center"/>
          </w:tcPr>
          <w:p w14:paraId="2B58E0A1">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668" w:type="dxa"/>
            <w:vMerge w:val="restart"/>
            <w:noWrap w:val="0"/>
            <w:tcMar>
              <w:top w:w="15" w:type="dxa"/>
              <w:left w:w="15" w:type="dxa"/>
              <w:bottom w:w="15" w:type="dxa"/>
              <w:right w:w="15" w:type="dxa"/>
            </w:tcMar>
            <w:vAlign w:val="center"/>
          </w:tcPr>
          <w:p w14:paraId="14D0AC96">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5C2AE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14C549AF">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6BA8DCA7">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1CE0F5A3">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4E83589B">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688" w:type="dxa"/>
            <w:vMerge w:val="continue"/>
            <w:noWrap w:val="0"/>
            <w:tcMar>
              <w:top w:w="15" w:type="dxa"/>
              <w:left w:w="15" w:type="dxa"/>
              <w:bottom w:w="15" w:type="dxa"/>
              <w:right w:w="15" w:type="dxa"/>
            </w:tcMar>
            <w:vAlign w:val="center"/>
          </w:tcPr>
          <w:p w14:paraId="4737FA6D">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0A83788E">
            <w:pPr>
              <w:spacing w:line="240" w:lineRule="auto"/>
              <w:ind w:firstLine="0"/>
              <w:jc w:val="center"/>
              <w:rPr>
                <w:rFonts w:hint="eastAsia" w:ascii="Times New Roman" w:hAnsi="Times New Roman" w:eastAsia="宋体" w:cs="Times New Roman"/>
                <w:sz w:val="21"/>
                <w:szCs w:val="21"/>
              </w:rPr>
            </w:pPr>
          </w:p>
        </w:tc>
      </w:tr>
      <w:tr w14:paraId="01C4E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43EF0813">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5706843D">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D1836F0">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30D84496">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688" w:type="dxa"/>
            <w:vMerge w:val="continue"/>
            <w:noWrap w:val="0"/>
            <w:tcMar>
              <w:top w:w="15" w:type="dxa"/>
              <w:left w:w="15" w:type="dxa"/>
              <w:bottom w:w="15" w:type="dxa"/>
              <w:right w:w="15" w:type="dxa"/>
            </w:tcMar>
            <w:vAlign w:val="center"/>
          </w:tcPr>
          <w:p w14:paraId="6C2345DA">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21B52B5A">
            <w:pPr>
              <w:spacing w:line="240" w:lineRule="auto"/>
              <w:ind w:firstLine="0"/>
              <w:jc w:val="center"/>
              <w:rPr>
                <w:rFonts w:hint="eastAsia" w:ascii="Times New Roman" w:hAnsi="Times New Roman" w:eastAsia="宋体" w:cs="Times New Roman"/>
                <w:sz w:val="21"/>
                <w:szCs w:val="21"/>
              </w:rPr>
            </w:pPr>
          </w:p>
        </w:tc>
      </w:tr>
      <w:tr w14:paraId="43A09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5CC80755">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14E3C613">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铁</w:t>
            </w:r>
          </w:p>
        </w:tc>
        <w:tc>
          <w:tcPr>
            <w:tcW w:w="1993" w:type="dxa"/>
            <w:noWrap w:val="0"/>
            <w:tcMar>
              <w:top w:w="15" w:type="dxa"/>
              <w:left w:w="15" w:type="dxa"/>
              <w:bottom w:w="15" w:type="dxa"/>
              <w:right w:w="15" w:type="dxa"/>
            </w:tcMar>
            <w:vAlign w:val="center"/>
          </w:tcPr>
          <w:p w14:paraId="451B736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23B7F9E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0.03L</w:t>
            </w:r>
          </w:p>
        </w:tc>
        <w:tc>
          <w:tcPr>
            <w:tcW w:w="688" w:type="dxa"/>
            <w:vMerge w:val="restart"/>
            <w:noWrap w:val="0"/>
            <w:tcMar>
              <w:top w:w="15" w:type="dxa"/>
              <w:left w:w="15" w:type="dxa"/>
              <w:bottom w:w="15" w:type="dxa"/>
              <w:right w:w="15" w:type="dxa"/>
            </w:tcMar>
            <w:vAlign w:val="center"/>
          </w:tcPr>
          <w:p w14:paraId="5365D663">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c>
          <w:tcPr>
            <w:tcW w:w="668" w:type="dxa"/>
            <w:vMerge w:val="restart"/>
            <w:noWrap w:val="0"/>
            <w:tcMar>
              <w:top w:w="15" w:type="dxa"/>
              <w:left w:w="15" w:type="dxa"/>
              <w:bottom w:w="15" w:type="dxa"/>
              <w:right w:w="15" w:type="dxa"/>
            </w:tcMar>
            <w:vAlign w:val="center"/>
          </w:tcPr>
          <w:p w14:paraId="428D5248">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60359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2221B6CC">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5E230A69">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EC8B523">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6937AD52">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0.03L</w:t>
            </w:r>
          </w:p>
        </w:tc>
        <w:tc>
          <w:tcPr>
            <w:tcW w:w="688" w:type="dxa"/>
            <w:vMerge w:val="continue"/>
            <w:noWrap w:val="0"/>
            <w:tcMar>
              <w:top w:w="15" w:type="dxa"/>
              <w:left w:w="15" w:type="dxa"/>
              <w:bottom w:w="15" w:type="dxa"/>
              <w:right w:w="15" w:type="dxa"/>
            </w:tcMar>
            <w:vAlign w:val="center"/>
          </w:tcPr>
          <w:p w14:paraId="527FD917">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533F612B">
            <w:pPr>
              <w:spacing w:line="240" w:lineRule="auto"/>
              <w:ind w:firstLine="0"/>
              <w:jc w:val="center"/>
              <w:rPr>
                <w:rFonts w:hint="eastAsia" w:ascii="Times New Roman" w:hAnsi="Times New Roman" w:eastAsia="宋体" w:cs="Times New Roman"/>
                <w:sz w:val="21"/>
                <w:szCs w:val="21"/>
              </w:rPr>
            </w:pPr>
          </w:p>
        </w:tc>
      </w:tr>
      <w:tr w14:paraId="113AD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3E4E3FEE">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560BBEB0">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19508D2F">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521025A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0.03L</w:t>
            </w:r>
          </w:p>
        </w:tc>
        <w:tc>
          <w:tcPr>
            <w:tcW w:w="688" w:type="dxa"/>
            <w:vMerge w:val="continue"/>
            <w:noWrap w:val="0"/>
            <w:tcMar>
              <w:top w:w="15" w:type="dxa"/>
              <w:left w:w="15" w:type="dxa"/>
              <w:bottom w:w="15" w:type="dxa"/>
              <w:right w:w="15" w:type="dxa"/>
            </w:tcMar>
            <w:vAlign w:val="center"/>
          </w:tcPr>
          <w:p w14:paraId="5700365D">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5E2B7ABB">
            <w:pPr>
              <w:spacing w:line="240" w:lineRule="auto"/>
              <w:ind w:firstLine="0"/>
              <w:jc w:val="center"/>
              <w:rPr>
                <w:rFonts w:hint="eastAsia" w:ascii="Times New Roman" w:hAnsi="Times New Roman" w:eastAsia="宋体" w:cs="Times New Roman"/>
                <w:sz w:val="21"/>
                <w:szCs w:val="21"/>
              </w:rPr>
            </w:pPr>
          </w:p>
        </w:tc>
      </w:tr>
      <w:tr w14:paraId="10A32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6A2C5130">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0CEB05AC">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锰</w:t>
            </w:r>
          </w:p>
        </w:tc>
        <w:tc>
          <w:tcPr>
            <w:tcW w:w="1993" w:type="dxa"/>
            <w:noWrap w:val="0"/>
            <w:tcMar>
              <w:top w:w="15" w:type="dxa"/>
              <w:left w:w="15" w:type="dxa"/>
              <w:bottom w:w="15" w:type="dxa"/>
              <w:right w:w="15" w:type="dxa"/>
            </w:tcMar>
            <w:vAlign w:val="center"/>
          </w:tcPr>
          <w:p w14:paraId="5A1C03F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0A6FD83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0.06</w:t>
            </w:r>
          </w:p>
        </w:tc>
        <w:tc>
          <w:tcPr>
            <w:tcW w:w="688" w:type="dxa"/>
            <w:vMerge w:val="restart"/>
            <w:noWrap w:val="0"/>
            <w:tcMar>
              <w:top w:w="15" w:type="dxa"/>
              <w:left w:w="15" w:type="dxa"/>
              <w:bottom w:w="15" w:type="dxa"/>
              <w:right w:w="15" w:type="dxa"/>
            </w:tcMar>
            <w:vAlign w:val="center"/>
          </w:tcPr>
          <w:p w14:paraId="7CD59157">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w:t>
            </w:r>
          </w:p>
        </w:tc>
        <w:tc>
          <w:tcPr>
            <w:tcW w:w="668" w:type="dxa"/>
            <w:vMerge w:val="restart"/>
            <w:noWrap w:val="0"/>
            <w:tcMar>
              <w:top w:w="15" w:type="dxa"/>
              <w:left w:w="15" w:type="dxa"/>
              <w:bottom w:w="15" w:type="dxa"/>
              <w:right w:w="15" w:type="dxa"/>
            </w:tcMar>
            <w:vAlign w:val="center"/>
          </w:tcPr>
          <w:p w14:paraId="391B7AFF">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2EB17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585AAE07">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17CDC818">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82860DD">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07EF99C0">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0.06</w:t>
            </w:r>
          </w:p>
        </w:tc>
        <w:tc>
          <w:tcPr>
            <w:tcW w:w="688" w:type="dxa"/>
            <w:vMerge w:val="continue"/>
            <w:noWrap w:val="0"/>
            <w:tcMar>
              <w:top w:w="15" w:type="dxa"/>
              <w:left w:w="15" w:type="dxa"/>
              <w:bottom w:w="15" w:type="dxa"/>
              <w:right w:w="15" w:type="dxa"/>
            </w:tcMar>
            <w:vAlign w:val="center"/>
          </w:tcPr>
          <w:p w14:paraId="236E3C0D">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10A365B4">
            <w:pPr>
              <w:spacing w:line="240" w:lineRule="auto"/>
              <w:ind w:firstLine="0"/>
              <w:jc w:val="center"/>
              <w:rPr>
                <w:rFonts w:hint="eastAsia" w:ascii="Times New Roman" w:hAnsi="Times New Roman" w:eastAsia="宋体" w:cs="Times New Roman"/>
                <w:sz w:val="21"/>
                <w:szCs w:val="21"/>
              </w:rPr>
            </w:pPr>
          </w:p>
        </w:tc>
      </w:tr>
      <w:tr w14:paraId="15890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1BD8406F">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3B237ED8">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47C205C2">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33FACCFB">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0.07</w:t>
            </w:r>
          </w:p>
        </w:tc>
        <w:tc>
          <w:tcPr>
            <w:tcW w:w="688" w:type="dxa"/>
            <w:vMerge w:val="continue"/>
            <w:noWrap w:val="0"/>
            <w:tcMar>
              <w:top w:w="15" w:type="dxa"/>
              <w:left w:w="15" w:type="dxa"/>
              <w:bottom w:w="15" w:type="dxa"/>
              <w:right w:w="15" w:type="dxa"/>
            </w:tcMar>
            <w:vAlign w:val="center"/>
          </w:tcPr>
          <w:p w14:paraId="1C912D59">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6723E8A4">
            <w:pPr>
              <w:spacing w:line="240" w:lineRule="auto"/>
              <w:ind w:firstLine="0"/>
              <w:jc w:val="center"/>
              <w:rPr>
                <w:rFonts w:hint="eastAsia" w:ascii="Times New Roman" w:hAnsi="Times New Roman" w:eastAsia="宋体" w:cs="Times New Roman"/>
                <w:sz w:val="21"/>
                <w:szCs w:val="21"/>
              </w:rPr>
            </w:pPr>
          </w:p>
        </w:tc>
      </w:tr>
      <w:tr w14:paraId="00ECE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073104BB">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3E6FC24F">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镉</w:t>
            </w:r>
          </w:p>
        </w:tc>
        <w:tc>
          <w:tcPr>
            <w:tcW w:w="1993" w:type="dxa"/>
            <w:noWrap w:val="0"/>
            <w:tcMar>
              <w:top w:w="15" w:type="dxa"/>
              <w:left w:w="15" w:type="dxa"/>
              <w:bottom w:w="15" w:type="dxa"/>
              <w:right w:w="15" w:type="dxa"/>
            </w:tcMar>
            <w:vAlign w:val="center"/>
          </w:tcPr>
          <w:p w14:paraId="0A3E534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5F571D0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0.0006</w:t>
            </w:r>
          </w:p>
        </w:tc>
        <w:tc>
          <w:tcPr>
            <w:tcW w:w="688" w:type="dxa"/>
            <w:vMerge w:val="restart"/>
            <w:noWrap w:val="0"/>
            <w:tcMar>
              <w:top w:w="15" w:type="dxa"/>
              <w:left w:w="15" w:type="dxa"/>
              <w:bottom w:w="15" w:type="dxa"/>
              <w:right w:w="15" w:type="dxa"/>
            </w:tcMar>
            <w:vAlign w:val="center"/>
          </w:tcPr>
          <w:p w14:paraId="3473CC57">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0.005</w:t>
            </w:r>
          </w:p>
        </w:tc>
        <w:tc>
          <w:tcPr>
            <w:tcW w:w="668" w:type="dxa"/>
            <w:vMerge w:val="restart"/>
            <w:noWrap w:val="0"/>
            <w:tcMar>
              <w:top w:w="15" w:type="dxa"/>
              <w:left w:w="15" w:type="dxa"/>
              <w:bottom w:w="15" w:type="dxa"/>
              <w:right w:w="15" w:type="dxa"/>
            </w:tcMar>
            <w:vAlign w:val="center"/>
          </w:tcPr>
          <w:p w14:paraId="3BE3F8D3">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31C0B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3EC6D276">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3F325E26">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AB42395">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5A4E42F1">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0.0007</w:t>
            </w:r>
          </w:p>
        </w:tc>
        <w:tc>
          <w:tcPr>
            <w:tcW w:w="688" w:type="dxa"/>
            <w:vMerge w:val="continue"/>
            <w:noWrap w:val="0"/>
            <w:tcMar>
              <w:top w:w="15" w:type="dxa"/>
              <w:left w:w="15" w:type="dxa"/>
              <w:bottom w:w="15" w:type="dxa"/>
              <w:right w:w="15" w:type="dxa"/>
            </w:tcMar>
            <w:vAlign w:val="center"/>
          </w:tcPr>
          <w:p w14:paraId="7595016B">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5E41558C">
            <w:pPr>
              <w:spacing w:line="240" w:lineRule="auto"/>
              <w:ind w:firstLine="0"/>
              <w:jc w:val="center"/>
              <w:rPr>
                <w:rFonts w:hint="eastAsia" w:ascii="Times New Roman" w:hAnsi="Times New Roman" w:eastAsia="宋体" w:cs="Times New Roman"/>
                <w:sz w:val="21"/>
                <w:szCs w:val="21"/>
              </w:rPr>
            </w:pPr>
          </w:p>
        </w:tc>
      </w:tr>
      <w:tr w14:paraId="6810B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5449245D">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3C66A93">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0C84FD7F">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599C9A6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0.0010</w:t>
            </w:r>
          </w:p>
        </w:tc>
        <w:tc>
          <w:tcPr>
            <w:tcW w:w="688" w:type="dxa"/>
            <w:vMerge w:val="continue"/>
            <w:noWrap w:val="0"/>
            <w:tcMar>
              <w:top w:w="15" w:type="dxa"/>
              <w:left w:w="15" w:type="dxa"/>
              <w:bottom w:w="15" w:type="dxa"/>
              <w:right w:w="15" w:type="dxa"/>
            </w:tcMar>
            <w:vAlign w:val="center"/>
          </w:tcPr>
          <w:p w14:paraId="785DE316">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14BBD99E">
            <w:pPr>
              <w:spacing w:line="240" w:lineRule="auto"/>
              <w:ind w:firstLine="0"/>
              <w:jc w:val="center"/>
              <w:rPr>
                <w:rFonts w:hint="eastAsia" w:ascii="Times New Roman" w:hAnsi="Times New Roman" w:eastAsia="宋体" w:cs="Times New Roman"/>
                <w:sz w:val="21"/>
                <w:szCs w:val="21"/>
              </w:rPr>
            </w:pPr>
          </w:p>
        </w:tc>
      </w:tr>
      <w:tr w14:paraId="389DB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48356AC7">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4D9B8CCA">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砷</w:t>
            </w:r>
          </w:p>
        </w:tc>
        <w:tc>
          <w:tcPr>
            <w:tcW w:w="1993" w:type="dxa"/>
            <w:noWrap w:val="0"/>
            <w:tcMar>
              <w:top w:w="15" w:type="dxa"/>
              <w:left w:w="15" w:type="dxa"/>
              <w:bottom w:w="15" w:type="dxa"/>
              <w:right w:w="15" w:type="dxa"/>
            </w:tcMar>
            <w:vAlign w:val="center"/>
          </w:tcPr>
          <w:p w14:paraId="52A5CDA6">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198E3CA3">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0.0003L</w:t>
            </w:r>
          </w:p>
        </w:tc>
        <w:tc>
          <w:tcPr>
            <w:tcW w:w="688" w:type="dxa"/>
            <w:vMerge w:val="restart"/>
            <w:noWrap w:val="0"/>
            <w:tcMar>
              <w:top w:w="15" w:type="dxa"/>
              <w:left w:w="15" w:type="dxa"/>
              <w:bottom w:w="15" w:type="dxa"/>
              <w:right w:w="15" w:type="dxa"/>
            </w:tcMar>
            <w:vAlign w:val="center"/>
          </w:tcPr>
          <w:p w14:paraId="413095E5">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w:t>
            </w:r>
          </w:p>
        </w:tc>
        <w:tc>
          <w:tcPr>
            <w:tcW w:w="668" w:type="dxa"/>
            <w:vMerge w:val="restart"/>
            <w:noWrap w:val="0"/>
            <w:tcMar>
              <w:top w:w="15" w:type="dxa"/>
              <w:left w:w="15" w:type="dxa"/>
              <w:bottom w:w="15" w:type="dxa"/>
              <w:right w:w="15" w:type="dxa"/>
            </w:tcMar>
            <w:vAlign w:val="center"/>
          </w:tcPr>
          <w:p w14:paraId="144BEFCF">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70267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19C1443B">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7B307443">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3115AC25">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1F075E31">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0.0003L</w:t>
            </w:r>
          </w:p>
        </w:tc>
        <w:tc>
          <w:tcPr>
            <w:tcW w:w="688" w:type="dxa"/>
            <w:vMerge w:val="continue"/>
            <w:noWrap w:val="0"/>
            <w:tcMar>
              <w:top w:w="15" w:type="dxa"/>
              <w:left w:w="15" w:type="dxa"/>
              <w:bottom w:w="15" w:type="dxa"/>
              <w:right w:w="15" w:type="dxa"/>
            </w:tcMar>
            <w:vAlign w:val="center"/>
          </w:tcPr>
          <w:p w14:paraId="097E9844">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04D0DF86">
            <w:pPr>
              <w:spacing w:line="240" w:lineRule="auto"/>
              <w:ind w:firstLine="0"/>
              <w:jc w:val="center"/>
              <w:rPr>
                <w:rFonts w:hint="eastAsia" w:ascii="Times New Roman" w:hAnsi="Times New Roman" w:eastAsia="宋体" w:cs="Times New Roman"/>
                <w:sz w:val="21"/>
                <w:szCs w:val="21"/>
              </w:rPr>
            </w:pPr>
          </w:p>
        </w:tc>
      </w:tr>
      <w:tr w14:paraId="788F6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6943078C">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25C7408">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2255DA1">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4AECA005">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0.0003L</w:t>
            </w:r>
          </w:p>
        </w:tc>
        <w:tc>
          <w:tcPr>
            <w:tcW w:w="688" w:type="dxa"/>
            <w:vMerge w:val="continue"/>
            <w:noWrap w:val="0"/>
            <w:tcMar>
              <w:top w:w="15" w:type="dxa"/>
              <w:left w:w="15" w:type="dxa"/>
              <w:bottom w:w="15" w:type="dxa"/>
              <w:right w:w="15" w:type="dxa"/>
            </w:tcMar>
            <w:vAlign w:val="center"/>
          </w:tcPr>
          <w:p w14:paraId="2E69BB01">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0E840111">
            <w:pPr>
              <w:spacing w:line="240" w:lineRule="auto"/>
              <w:ind w:firstLine="0"/>
              <w:jc w:val="center"/>
              <w:rPr>
                <w:rFonts w:hint="eastAsia" w:ascii="Times New Roman" w:hAnsi="Times New Roman" w:eastAsia="宋体" w:cs="Times New Roman"/>
                <w:sz w:val="21"/>
                <w:szCs w:val="21"/>
              </w:rPr>
            </w:pPr>
          </w:p>
        </w:tc>
      </w:tr>
      <w:tr w14:paraId="73B69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740EC7C1">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61152D35">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汞</w:t>
            </w:r>
          </w:p>
        </w:tc>
        <w:tc>
          <w:tcPr>
            <w:tcW w:w="1993" w:type="dxa"/>
            <w:noWrap w:val="0"/>
            <w:tcMar>
              <w:top w:w="15" w:type="dxa"/>
              <w:left w:w="15" w:type="dxa"/>
              <w:bottom w:w="15" w:type="dxa"/>
              <w:right w:w="15" w:type="dxa"/>
            </w:tcMar>
            <w:vAlign w:val="center"/>
          </w:tcPr>
          <w:p w14:paraId="5DDC44B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2C2CB81F">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0.00004L</w:t>
            </w:r>
          </w:p>
        </w:tc>
        <w:tc>
          <w:tcPr>
            <w:tcW w:w="688" w:type="dxa"/>
            <w:vMerge w:val="restart"/>
            <w:noWrap w:val="0"/>
            <w:tcMar>
              <w:top w:w="15" w:type="dxa"/>
              <w:left w:w="15" w:type="dxa"/>
              <w:bottom w:w="15" w:type="dxa"/>
              <w:right w:w="15" w:type="dxa"/>
            </w:tcMar>
            <w:vAlign w:val="center"/>
          </w:tcPr>
          <w:p w14:paraId="7A027F5D">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0.001</w:t>
            </w:r>
          </w:p>
        </w:tc>
        <w:tc>
          <w:tcPr>
            <w:tcW w:w="668" w:type="dxa"/>
            <w:vMerge w:val="restart"/>
            <w:noWrap w:val="0"/>
            <w:tcMar>
              <w:top w:w="15" w:type="dxa"/>
              <w:left w:w="15" w:type="dxa"/>
              <w:bottom w:w="15" w:type="dxa"/>
              <w:right w:w="15" w:type="dxa"/>
            </w:tcMar>
            <w:vAlign w:val="center"/>
          </w:tcPr>
          <w:p w14:paraId="4F4AC9CB">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6D5E4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2B489119">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0050A47">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05886331">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57C96C2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0.00004L</w:t>
            </w:r>
          </w:p>
        </w:tc>
        <w:tc>
          <w:tcPr>
            <w:tcW w:w="688" w:type="dxa"/>
            <w:vMerge w:val="continue"/>
            <w:noWrap w:val="0"/>
            <w:tcMar>
              <w:top w:w="15" w:type="dxa"/>
              <w:left w:w="15" w:type="dxa"/>
              <w:bottom w:w="15" w:type="dxa"/>
              <w:right w:w="15" w:type="dxa"/>
            </w:tcMar>
            <w:vAlign w:val="center"/>
          </w:tcPr>
          <w:p w14:paraId="1019D527">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61FB6C3E">
            <w:pPr>
              <w:spacing w:line="240" w:lineRule="auto"/>
              <w:ind w:firstLine="0"/>
              <w:jc w:val="center"/>
              <w:rPr>
                <w:rFonts w:hint="eastAsia" w:ascii="Times New Roman" w:hAnsi="Times New Roman" w:eastAsia="宋体" w:cs="Times New Roman"/>
                <w:sz w:val="21"/>
                <w:szCs w:val="21"/>
              </w:rPr>
            </w:pPr>
          </w:p>
        </w:tc>
      </w:tr>
      <w:tr w14:paraId="7E98B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55B752FE">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74BDFEF1">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0FCBF7D4">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1722176B">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0.00004L</w:t>
            </w:r>
          </w:p>
        </w:tc>
        <w:tc>
          <w:tcPr>
            <w:tcW w:w="688" w:type="dxa"/>
            <w:vMerge w:val="continue"/>
            <w:noWrap w:val="0"/>
            <w:tcMar>
              <w:top w:w="15" w:type="dxa"/>
              <w:left w:w="15" w:type="dxa"/>
              <w:bottom w:w="15" w:type="dxa"/>
              <w:right w:w="15" w:type="dxa"/>
            </w:tcMar>
            <w:vAlign w:val="center"/>
          </w:tcPr>
          <w:p w14:paraId="437B26D5">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068BDFF4">
            <w:pPr>
              <w:spacing w:line="240" w:lineRule="auto"/>
              <w:ind w:firstLine="0"/>
              <w:jc w:val="center"/>
              <w:rPr>
                <w:rFonts w:hint="eastAsia" w:ascii="Times New Roman" w:hAnsi="Times New Roman" w:eastAsia="宋体" w:cs="Times New Roman"/>
                <w:sz w:val="21"/>
                <w:szCs w:val="21"/>
              </w:rPr>
            </w:pPr>
          </w:p>
        </w:tc>
      </w:tr>
      <w:tr w14:paraId="17C03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4" w:hRule="atLeast"/>
          <w:jc w:val="center"/>
        </w:trPr>
        <w:tc>
          <w:tcPr>
            <w:tcW w:w="1327" w:type="dxa"/>
            <w:vMerge w:val="continue"/>
            <w:noWrap w:val="0"/>
            <w:vAlign w:val="center"/>
          </w:tcPr>
          <w:p w14:paraId="5E742011">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119F5259">
            <w:pPr>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六价铬</w:t>
            </w:r>
          </w:p>
        </w:tc>
        <w:tc>
          <w:tcPr>
            <w:tcW w:w="1993" w:type="dxa"/>
            <w:noWrap w:val="0"/>
            <w:tcMar>
              <w:top w:w="15" w:type="dxa"/>
              <w:left w:w="15" w:type="dxa"/>
              <w:bottom w:w="15" w:type="dxa"/>
              <w:right w:w="15" w:type="dxa"/>
            </w:tcMar>
            <w:vAlign w:val="center"/>
          </w:tcPr>
          <w:p w14:paraId="7CAAF0E3">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0D1B00C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0.004L</w:t>
            </w:r>
          </w:p>
        </w:tc>
        <w:tc>
          <w:tcPr>
            <w:tcW w:w="688" w:type="dxa"/>
            <w:vMerge w:val="restart"/>
            <w:noWrap w:val="0"/>
            <w:tcMar>
              <w:top w:w="15" w:type="dxa"/>
              <w:left w:w="15" w:type="dxa"/>
              <w:bottom w:w="15" w:type="dxa"/>
              <w:right w:w="15" w:type="dxa"/>
            </w:tcMar>
            <w:vAlign w:val="center"/>
          </w:tcPr>
          <w:p w14:paraId="603C4C3E">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c>
          <w:tcPr>
            <w:tcW w:w="668" w:type="dxa"/>
            <w:vMerge w:val="restart"/>
            <w:noWrap w:val="0"/>
            <w:tcMar>
              <w:top w:w="15" w:type="dxa"/>
              <w:left w:w="15" w:type="dxa"/>
              <w:bottom w:w="15" w:type="dxa"/>
              <w:right w:w="15" w:type="dxa"/>
            </w:tcMar>
            <w:vAlign w:val="center"/>
          </w:tcPr>
          <w:p w14:paraId="2BA31D65">
            <w:pPr>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达标</w:t>
            </w:r>
          </w:p>
        </w:tc>
      </w:tr>
      <w:tr w14:paraId="57A98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44F45F76">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3E82A2BA">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5F023138">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40B16B99">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0.004L</w:t>
            </w:r>
          </w:p>
        </w:tc>
        <w:tc>
          <w:tcPr>
            <w:tcW w:w="688" w:type="dxa"/>
            <w:vMerge w:val="continue"/>
            <w:noWrap w:val="0"/>
            <w:tcMar>
              <w:top w:w="15" w:type="dxa"/>
              <w:left w:w="15" w:type="dxa"/>
              <w:bottom w:w="15" w:type="dxa"/>
              <w:right w:w="15" w:type="dxa"/>
            </w:tcMar>
            <w:vAlign w:val="center"/>
          </w:tcPr>
          <w:p w14:paraId="4CEB8539">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477DB3B4">
            <w:pPr>
              <w:spacing w:line="240" w:lineRule="auto"/>
              <w:ind w:firstLine="0"/>
              <w:jc w:val="center"/>
              <w:rPr>
                <w:rFonts w:hint="eastAsia" w:ascii="Times New Roman" w:hAnsi="Times New Roman" w:eastAsia="宋体" w:cs="Times New Roman"/>
                <w:sz w:val="21"/>
                <w:szCs w:val="21"/>
              </w:rPr>
            </w:pPr>
          </w:p>
        </w:tc>
      </w:tr>
      <w:tr w14:paraId="1398F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410F5ADE">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418825E">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246431D1">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3B4E183D">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0.004L</w:t>
            </w:r>
          </w:p>
        </w:tc>
        <w:tc>
          <w:tcPr>
            <w:tcW w:w="688" w:type="dxa"/>
            <w:vMerge w:val="continue"/>
            <w:noWrap w:val="0"/>
            <w:tcMar>
              <w:top w:w="15" w:type="dxa"/>
              <w:left w:w="15" w:type="dxa"/>
              <w:bottom w:w="15" w:type="dxa"/>
              <w:right w:w="15" w:type="dxa"/>
            </w:tcMar>
            <w:vAlign w:val="center"/>
          </w:tcPr>
          <w:p w14:paraId="371288D4">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7513DBEE">
            <w:pPr>
              <w:spacing w:line="240" w:lineRule="auto"/>
              <w:ind w:firstLine="0"/>
              <w:jc w:val="center"/>
              <w:rPr>
                <w:rFonts w:hint="eastAsia" w:ascii="Times New Roman" w:hAnsi="Times New Roman" w:eastAsia="宋体" w:cs="Times New Roman"/>
                <w:sz w:val="21"/>
                <w:szCs w:val="21"/>
              </w:rPr>
            </w:pPr>
          </w:p>
        </w:tc>
      </w:tr>
      <w:tr w14:paraId="3C38C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4B8A1912">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079E0F42">
            <w:pPr>
              <w:spacing w:line="240" w:lineRule="auto"/>
              <w:ind w:firstLine="0"/>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总大肠菌群</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MPN/100ml</w:t>
            </w:r>
            <w:r>
              <w:rPr>
                <w:rFonts w:hint="eastAsia" w:ascii="Times New Roman" w:hAnsi="Times New Roman" w:eastAsia="宋体" w:cs="Times New Roman"/>
                <w:sz w:val="21"/>
                <w:szCs w:val="21"/>
                <w:lang w:eastAsia="zh-CN"/>
              </w:rPr>
              <w:t>）</w:t>
            </w:r>
          </w:p>
        </w:tc>
        <w:tc>
          <w:tcPr>
            <w:tcW w:w="1993" w:type="dxa"/>
            <w:noWrap w:val="0"/>
            <w:tcMar>
              <w:top w:w="15" w:type="dxa"/>
              <w:left w:w="15" w:type="dxa"/>
              <w:bottom w:w="15" w:type="dxa"/>
              <w:right w:w="15" w:type="dxa"/>
            </w:tcMar>
            <w:vAlign w:val="center"/>
          </w:tcPr>
          <w:p w14:paraId="766E495A">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0BABF86D">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88" w:type="dxa"/>
            <w:vMerge w:val="restart"/>
            <w:noWrap w:val="0"/>
            <w:tcMar>
              <w:top w:w="15" w:type="dxa"/>
              <w:left w:w="15" w:type="dxa"/>
              <w:bottom w:w="15" w:type="dxa"/>
              <w:right w:w="15" w:type="dxa"/>
            </w:tcMar>
            <w:vAlign w:val="center"/>
          </w:tcPr>
          <w:p w14:paraId="3529F7F0">
            <w:pPr>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668" w:type="dxa"/>
            <w:vMerge w:val="restart"/>
            <w:noWrap w:val="0"/>
            <w:tcMar>
              <w:top w:w="15" w:type="dxa"/>
              <w:left w:w="15" w:type="dxa"/>
              <w:bottom w:w="15" w:type="dxa"/>
              <w:right w:w="15" w:type="dxa"/>
            </w:tcMar>
            <w:vAlign w:val="center"/>
          </w:tcPr>
          <w:p w14:paraId="3B41E6A2">
            <w:pPr>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r w14:paraId="7D4AD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37A26C1A">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4B6E8F8C">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3A0096C6">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7D99C1C6">
            <w:pPr>
              <w:spacing w:line="240" w:lineRule="auto"/>
              <w:ind w:firstLine="0"/>
              <w:jc w:val="center"/>
              <w:rPr>
                <w:rFonts w:ascii="Calibri" w:hAnsi="Calibri" w:eastAsia="宋体" w:cs="Calibri"/>
                <w:sz w:val="21"/>
                <w:szCs w:val="21"/>
              </w:rPr>
            </w:pPr>
            <w:r>
              <w:rPr>
                <w:rFonts w:hint="eastAsia" w:ascii="Times New Roman" w:hAnsi="Times New Roman" w:eastAsia="宋体" w:cs="Times New Roman"/>
                <w:sz w:val="21"/>
                <w:szCs w:val="21"/>
              </w:rPr>
              <w:t>＜2</w:t>
            </w:r>
          </w:p>
        </w:tc>
        <w:tc>
          <w:tcPr>
            <w:tcW w:w="688" w:type="dxa"/>
            <w:vMerge w:val="continue"/>
            <w:noWrap w:val="0"/>
            <w:tcMar>
              <w:top w:w="15" w:type="dxa"/>
              <w:left w:w="15" w:type="dxa"/>
              <w:bottom w:w="15" w:type="dxa"/>
              <w:right w:w="15" w:type="dxa"/>
            </w:tcMar>
            <w:vAlign w:val="center"/>
          </w:tcPr>
          <w:p w14:paraId="00500133">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182E2A7C">
            <w:pPr>
              <w:spacing w:line="240" w:lineRule="auto"/>
              <w:ind w:firstLine="0"/>
              <w:jc w:val="center"/>
              <w:rPr>
                <w:rFonts w:hint="eastAsia" w:ascii="Times New Roman" w:hAnsi="Times New Roman" w:eastAsia="宋体" w:cs="Times New Roman"/>
                <w:sz w:val="21"/>
                <w:szCs w:val="21"/>
              </w:rPr>
            </w:pPr>
          </w:p>
        </w:tc>
      </w:tr>
      <w:tr w14:paraId="64282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1489F95C">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207BC2E4">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59F7323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5583C30E">
            <w:pPr>
              <w:spacing w:line="240" w:lineRule="auto"/>
              <w:ind w:firstLine="0"/>
              <w:jc w:val="center"/>
              <w:rPr>
                <w:rFonts w:ascii="Calibri" w:hAnsi="Calibri" w:eastAsia="宋体" w:cs="Calibri"/>
                <w:sz w:val="21"/>
                <w:szCs w:val="21"/>
              </w:rPr>
            </w:pPr>
            <w:r>
              <w:rPr>
                <w:rFonts w:hint="eastAsia" w:ascii="Times New Roman" w:hAnsi="Times New Roman" w:eastAsia="宋体" w:cs="Times New Roman"/>
                <w:sz w:val="21"/>
                <w:szCs w:val="21"/>
              </w:rPr>
              <w:t>＜2</w:t>
            </w:r>
          </w:p>
        </w:tc>
        <w:tc>
          <w:tcPr>
            <w:tcW w:w="688" w:type="dxa"/>
            <w:vMerge w:val="continue"/>
            <w:noWrap w:val="0"/>
            <w:tcMar>
              <w:top w:w="15" w:type="dxa"/>
              <w:left w:w="15" w:type="dxa"/>
              <w:bottom w:w="15" w:type="dxa"/>
              <w:right w:w="15" w:type="dxa"/>
            </w:tcMar>
            <w:vAlign w:val="center"/>
          </w:tcPr>
          <w:p w14:paraId="1ADE49F4">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69E9CE11">
            <w:pPr>
              <w:spacing w:line="240" w:lineRule="auto"/>
              <w:ind w:firstLine="0"/>
              <w:jc w:val="center"/>
              <w:rPr>
                <w:rFonts w:hint="eastAsia" w:ascii="Times New Roman" w:hAnsi="Times New Roman" w:eastAsia="宋体" w:cs="Times New Roman"/>
                <w:sz w:val="21"/>
                <w:szCs w:val="21"/>
              </w:rPr>
            </w:pPr>
          </w:p>
        </w:tc>
      </w:tr>
      <w:tr w14:paraId="3E593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4EED6A23">
            <w:pPr>
              <w:spacing w:line="240" w:lineRule="auto"/>
              <w:ind w:firstLine="0"/>
              <w:jc w:val="center"/>
              <w:rPr>
                <w:rFonts w:ascii="Times New Roman" w:hAnsi="Times New Roman" w:eastAsia="宋体" w:cs="Times New Roman"/>
                <w:sz w:val="21"/>
                <w:szCs w:val="21"/>
              </w:rPr>
            </w:pPr>
          </w:p>
        </w:tc>
        <w:tc>
          <w:tcPr>
            <w:tcW w:w="1526" w:type="dxa"/>
            <w:vMerge w:val="restart"/>
            <w:noWrap w:val="0"/>
            <w:tcMar>
              <w:top w:w="15" w:type="dxa"/>
              <w:left w:w="15" w:type="dxa"/>
              <w:bottom w:w="15" w:type="dxa"/>
              <w:right w:w="15" w:type="dxa"/>
            </w:tcMar>
            <w:vAlign w:val="center"/>
          </w:tcPr>
          <w:p w14:paraId="51B46A50">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甲醛</w:t>
            </w:r>
          </w:p>
        </w:tc>
        <w:tc>
          <w:tcPr>
            <w:tcW w:w="1993" w:type="dxa"/>
            <w:noWrap w:val="0"/>
            <w:tcMar>
              <w:top w:w="15" w:type="dxa"/>
              <w:left w:w="15" w:type="dxa"/>
              <w:bottom w:w="15" w:type="dxa"/>
              <w:right w:w="15" w:type="dxa"/>
            </w:tcMar>
            <w:vAlign w:val="center"/>
          </w:tcPr>
          <w:p w14:paraId="47BFE64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2019.08.25</w:t>
            </w:r>
          </w:p>
        </w:tc>
        <w:tc>
          <w:tcPr>
            <w:tcW w:w="2414" w:type="dxa"/>
            <w:noWrap w:val="0"/>
            <w:tcMar>
              <w:top w:w="15" w:type="dxa"/>
              <w:left w:w="15" w:type="dxa"/>
              <w:bottom w:w="15" w:type="dxa"/>
              <w:right w:w="15" w:type="dxa"/>
            </w:tcMar>
            <w:vAlign w:val="center"/>
          </w:tcPr>
          <w:p w14:paraId="6700612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0.06</w:t>
            </w:r>
          </w:p>
        </w:tc>
        <w:tc>
          <w:tcPr>
            <w:tcW w:w="688" w:type="dxa"/>
            <w:vMerge w:val="restart"/>
            <w:noWrap w:val="0"/>
            <w:tcMar>
              <w:top w:w="15" w:type="dxa"/>
              <w:left w:w="15" w:type="dxa"/>
              <w:bottom w:w="15" w:type="dxa"/>
              <w:right w:w="15" w:type="dxa"/>
            </w:tcMar>
            <w:vAlign w:val="center"/>
          </w:tcPr>
          <w:p w14:paraId="4970AA82">
            <w:pPr>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p>
        </w:tc>
        <w:tc>
          <w:tcPr>
            <w:tcW w:w="668" w:type="dxa"/>
            <w:vMerge w:val="restart"/>
            <w:noWrap w:val="0"/>
            <w:tcMar>
              <w:top w:w="15" w:type="dxa"/>
              <w:left w:w="15" w:type="dxa"/>
              <w:bottom w:w="15" w:type="dxa"/>
              <w:right w:w="15" w:type="dxa"/>
            </w:tcMar>
            <w:vAlign w:val="center"/>
          </w:tcPr>
          <w:p w14:paraId="0DABAE29">
            <w:pPr>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p>
        </w:tc>
      </w:tr>
      <w:tr w14:paraId="16AE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2" w:hRule="atLeast"/>
          <w:jc w:val="center"/>
        </w:trPr>
        <w:tc>
          <w:tcPr>
            <w:tcW w:w="1327" w:type="dxa"/>
            <w:vMerge w:val="continue"/>
            <w:noWrap w:val="0"/>
            <w:vAlign w:val="center"/>
          </w:tcPr>
          <w:p w14:paraId="39A6F2DF">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01074FD5">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00A7286C">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2019.08.26</w:t>
            </w:r>
          </w:p>
        </w:tc>
        <w:tc>
          <w:tcPr>
            <w:tcW w:w="2414" w:type="dxa"/>
            <w:noWrap w:val="0"/>
            <w:tcMar>
              <w:top w:w="15" w:type="dxa"/>
              <w:left w:w="15" w:type="dxa"/>
              <w:bottom w:w="15" w:type="dxa"/>
              <w:right w:w="15" w:type="dxa"/>
            </w:tcMar>
            <w:vAlign w:val="center"/>
          </w:tcPr>
          <w:p w14:paraId="1DDD81E6">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0.05</w:t>
            </w:r>
          </w:p>
        </w:tc>
        <w:tc>
          <w:tcPr>
            <w:tcW w:w="688" w:type="dxa"/>
            <w:vMerge w:val="continue"/>
            <w:noWrap w:val="0"/>
            <w:tcMar>
              <w:top w:w="15" w:type="dxa"/>
              <w:left w:w="15" w:type="dxa"/>
              <w:bottom w:w="15" w:type="dxa"/>
              <w:right w:w="15" w:type="dxa"/>
            </w:tcMar>
            <w:vAlign w:val="center"/>
          </w:tcPr>
          <w:p w14:paraId="1332E320">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696428D6">
            <w:pPr>
              <w:spacing w:line="240" w:lineRule="auto"/>
              <w:ind w:firstLine="0"/>
              <w:jc w:val="center"/>
              <w:rPr>
                <w:rFonts w:hint="eastAsia" w:ascii="Times New Roman" w:hAnsi="Times New Roman" w:eastAsia="宋体" w:cs="Times New Roman"/>
                <w:sz w:val="21"/>
                <w:szCs w:val="21"/>
              </w:rPr>
            </w:pPr>
          </w:p>
        </w:tc>
      </w:tr>
      <w:tr w14:paraId="5D86C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8" w:hRule="atLeast"/>
          <w:jc w:val="center"/>
        </w:trPr>
        <w:tc>
          <w:tcPr>
            <w:tcW w:w="1327" w:type="dxa"/>
            <w:vMerge w:val="continue"/>
            <w:noWrap w:val="0"/>
            <w:vAlign w:val="center"/>
          </w:tcPr>
          <w:p w14:paraId="0E6FAD04">
            <w:pPr>
              <w:spacing w:line="240" w:lineRule="auto"/>
              <w:ind w:firstLine="0"/>
              <w:jc w:val="center"/>
              <w:rPr>
                <w:rFonts w:ascii="Times New Roman" w:hAnsi="Times New Roman" w:eastAsia="宋体" w:cs="Times New Roman"/>
                <w:sz w:val="21"/>
                <w:szCs w:val="21"/>
              </w:rPr>
            </w:pPr>
          </w:p>
        </w:tc>
        <w:tc>
          <w:tcPr>
            <w:tcW w:w="1526" w:type="dxa"/>
            <w:vMerge w:val="continue"/>
            <w:noWrap w:val="0"/>
            <w:tcMar>
              <w:top w:w="15" w:type="dxa"/>
              <w:left w:w="15" w:type="dxa"/>
              <w:bottom w:w="15" w:type="dxa"/>
              <w:right w:w="15" w:type="dxa"/>
            </w:tcMar>
            <w:vAlign w:val="center"/>
          </w:tcPr>
          <w:p w14:paraId="098DB3B7">
            <w:pPr>
              <w:spacing w:line="240" w:lineRule="auto"/>
              <w:ind w:firstLine="0"/>
              <w:jc w:val="center"/>
              <w:rPr>
                <w:rFonts w:ascii="Times New Roman" w:hAnsi="Times New Roman" w:eastAsia="宋体" w:cs="Times New Roman"/>
                <w:sz w:val="21"/>
                <w:szCs w:val="21"/>
              </w:rPr>
            </w:pPr>
          </w:p>
        </w:tc>
        <w:tc>
          <w:tcPr>
            <w:tcW w:w="1993" w:type="dxa"/>
            <w:noWrap w:val="0"/>
            <w:tcMar>
              <w:top w:w="15" w:type="dxa"/>
              <w:left w:w="15" w:type="dxa"/>
              <w:bottom w:w="15" w:type="dxa"/>
              <w:right w:w="15" w:type="dxa"/>
            </w:tcMar>
            <w:vAlign w:val="center"/>
          </w:tcPr>
          <w:p w14:paraId="098D56B9">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2019.08.27</w:t>
            </w:r>
          </w:p>
        </w:tc>
        <w:tc>
          <w:tcPr>
            <w:tcW w:w="2414" w:type="dxa"/>
            <w:noWrap w:val="0"/>
            <w:tcMar>
              <w:top w:w="15" w:type="dxa"/>
              <w:left w:w="15" w:type="dxa"/>
              <w:bottom w:w="15" w:type="dxa"/>
              <w:right w:w="15" w:type="dxa"/>
            </w:tcMar>
            <w:vAlign w:val="center"/>
          </w:tcPr>
          <w:p w14:paraId="31F7DA7E">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0.06</w:t>
            </w:r>
          </w:p>
        </w:tc>
        <w:tc>
          <w:tcPr>
            <w:tcW w:w="688" w:type="dxa"/>
            <w:vMerge w:val="continue"/>
            <w:noWrap w:val="0"/>
            <w:tcMar>
              <w:top w:w="15" w:type="dxa"/>
              <w:left w:w="15" w:type="dxa"/>
              <w:bottom w:w="15" w:type="dxa"/>
              <w:right w:w="15" w:type="dxa"/>
            </w:tcMar>
            <w:vAlign w:val="center"/>
          </w:tcPr>
          <w:p w14:paraId="73132CA9">
            <w:pPr>
              <w:spacing w:line="240" w:lineRule="auto"/>
              <w:ind w:firstLine="0"/>
              <w:jc w:val="center"/>
              <w:rPr>
                <w:rFonts w:hint="eastAsia" w:ascii="Times New Roman" w:hAnsi="Times New Roman" w:eastAsia="宋体" w:cs="Times New Roman"/>
                <w:sz w:val="21"/>
                <w:szCs w:val="21"/>
              </w:rPr>
            </w:pPr>
          </w:p>
        </w:tc>
        <w:tc>
          <w:tcPr>
            <w:tcW w:w="668" w:type="dxa"/>
            <w:vMerge w:val="continue"/>
            <w:noWrap w:val="0"/>
            <w:tcMar>
              <w:top w:w="15" w:type="dxa"/>
              <w:left w:w="15" w:type="dxa"/>
              <w:bottom w:w="15" w:type="dxa"/>
              <w:right w:w="15" w:type="dxa"/>
            </w:tcMar>
            <w:vAlign w:val="center"/>
          </w:tcPr>
          <w:p w14:paraId="4628409B">
            <w:pPr>
              <w:spacing w:line="240" w:lineRule="auto"/>
              <w:ind w:firstLine="0"/>
              <w:jc w:val="center"/>
              <w:rPr>
                <w:rFonts w:hint="eastAsia" w:ascii="Times New Roman" w:hAnsi="Times New Roman" w:eastAsia="宋体" w:cs="Times New Roman"/>
                <w:sz w:val="21"/>
                <w:szCs w:val="21"/>
              </w:rPr>
            </w:pPr>
          </w:p>
        </w:tc>
      </w:tr>
    </w:tbl>
    <w:p w14:paraId="3D24BE73">
      <w:pPr>
        <w:ind w:firstLine="480"/>
      </w:pPr>
      <w:r>
        <w:t>根据表</w:t>
      </w:r>
      <w:r>
        <w:rPr>
          <w:rFonts w:hint="eastAsia"/>
          <w:lang w:val="en-US" w:eastAsia="zh-CN"/>
        </w:rPr>
        <w:t>5.4</w:t>
      </w:r>
      <w:r>
        <w:t>-</w:t>
      </w:r>
      <w:r>
        <w:rPr>
          <w:rFonts w:hint="eastAsia"/>
          <w:lang w:val="en-US" w:eastAsia="zh-CN"/>
        </w:rPr>
        <w:t>4</w:t>
      </w:r>
      <w:r>
        <w:t>的监测结果表明，项目区地下水水质能够满足《地下水质量标准》（GB/T14848-2017）Ⅲ类标准。</w:t>
      </w:r>
    </w:p>
    <w:p w14:paraId="1CD125F0">
      <w:pPr>
        <w:pStyle w:val="188"/>
        <w:rPr>
          <w:lang w:val="en-US" w:eastAsia="zh-CN"/>
        </w:rPr>
      </w:pPr>
      <w:r>
        <w:rPr>
          <w:rFonts w:hint="eastAsia"/>
          <w:lang w:val="en-US" w:eastAsia="zh-CN"/>
        </w:rPr>
        <w:t>5.4.5土壤环境现状</w:t>
      </w:r>
    </w:p>
    <w:p w14:paraId="5D53FEAC">
      <w:pPr>
        <w:pStyle w:val="2"/>
      </w:pPr>
      <w:r>
        <w:rPr>
          <w:rFonts w:hint="eastAsia" w:ascii="Times New Roman" w:hAnsi="Times New Roman" w:cs="Times New Roman"/>
          <w:sz w:val="24"/>
          <w:szCs w:val="22"/>
        </w:rPr>
        <w:t>为反映更好的反应</w:t>
      </w:r>
      <w:r>
        <w:rPr>
          <w:rFonts w:hint="eastAsia" w:ascii="Times New Roman" w:hAnsi="Times New Roman" w:eastAsia="宋体" w:cs="Times New Roman"/>
          <w:sz w:val="24"/>
          <w:szCs w:val="22"/>
          <w:lang w:val="en-US" w:eastAsia="zh-CN"/>
        </w:rPr>
        <w:t>评价区域土壤环境</w:t>
      </w:r>
      <w:r>
        <w:rPr>
          <w:rFonts w:hint="eastAsia" w:ascii="Times New Roman" w:hAnsi="Times New Roman" w:cs="Times New Roman"/>
          <w:sz w:val="24"/>
          <w:szCs w:val="22"/>
        </w:rPr>
        <w:t>现状，建设单位委托云南浩辰环保科技有限公司于20</w:t>
      </w:r>
      <w:r>
        <w:rPr>
          <w:rFonts w:hint="eastAsia" w:ascii="Times New Roman" w:hAnsi="Times New Roman" w:eastAsia="宋体" w:cs="Times New Roman"/>
          <w:sz w:val="24"/>
          <w:szCs w:val="22"/>
          <w:lang w:val="en-US" w:eastAsia="zh-CN"/>
        </w:rPr>
        <w:t>20</w:t>
      </w:r>
      <w:r>
        <w:rPr>
          <w:rFonts w:hint="eastAsia" w:ascii="Times New Roman" w:hAnsi="Times New Roman" w:cs="Times New Roman"/>
          <w:sz w:val="24"/>
          <w:szCs w:val="22"/>
        </w:rPr>
        <w:t>年</w:t>
      </w:r>
      <w:r>
        <w:rPr>
          <w:rFonts w:hint="eastAsia" w:ascii="Times New Roman" w:hAnsi="Times New Roman" w:cs="Times New Roman"/>
          <w:sz w:val="24"/>
          <w:szCs w:val="22"/>
          <w:lang w:val="en-US" w:eastAsia="zh-CN"/>
        </w:rPr>
        <w:t>1</w:t>
      </w:r>
      <w:r>
        <w:rPr>
          <w:rFonts w:hint="eastAsia" w:ascii="Times New Roman" w:hAnsi="Times New Roman" w:cs="Times New Roman"/>
          <w:sz w:val="24"/>
          <w:szCs w:val="22"/>
        </w:rPr>
        <w:t>月</w:t>
      </w:r>
      <w:r>
        <w:rPr>
          <w:rFonts w:hint="eastAsia" w:ascii="Times New Roman" w:hAnsi="Times New Roman" w:cs="Times New Roman"/>
          <w:sz w:val="24"/>
          <w:szCs w:val="22"/>
          <w:lang w:val="en-US" w:eastAsia="zh-CN"/>
        </w:rPr>
        <w:t>20</w:t>
      </w:r>
      <w:r>
        <w:rPr>
          <w:rFonts w:hint="eastAsia" w:ascii="Times New Roman" w:hAnsi="Times New Roman" w:cs="Times New Roman"/>
          <w:sz w:val="24"/>
          <w:szCs w:val="22"/>
        </w:rPr>
        <w:t>日~</w:t>
      </w:r>
      <w:r>
        <w:rPr>
          <w:rFonts w:hint="eastAsia" w:ascii="Times New Roman" w:hAnsi="Times New Roman" w:cs="Times New Roman"/>
          <w:sz w:val="24"/>
          <w:szCs w:val="22"/>
          <w:lang w:val="en-US" w:eastAsia="zh-CN"/>
        </w:rPr>
        <w:t>21</w:t>
      </w:r>
      <w:r>
        <w:rPr>
          <w:rFonts w:hint="eastAsia" w:ascii="Times New Roman" w:hAnsi="Times New Roman" w:cs="Times New Roman"/>
          <w:sz w:val="24"/>
          <w:szCs w:val="22"/>
        </w:rPr>
        <w:t>日对</w:t>
      </w:r>
      <w:r>
        <w:rPr>
          <w:rFonts w:hint="eastAsia" w:ascii="Times New Roman" w:hAnsi="Times New Roman" w:cs="Times New Roman"/>
          <w:sz w:val="24"/>
          <w:szCs w:val="22"/>
          <w:lang w:val="en-US" w:eastAsia="zh-CN"/>
        </w:rPr>
        <w:t>项目所在区域的土壤进行了取样</w:t>
      </w:r>
      <w:r>
        <w:rPr>
          <w:rFonts w:hint="eastAsia" w:ascii="Times New Roman" w:hAnsi="Times New Roman" w:cs="Times New Roman"/>
          <w:sz w:val="24"/>
          <w:szCs w:val="22"/>
        </w:rPr>
        <w:t>监测。</w:t>
      </w:r>
    </w:p>
    <w:p w14:paraId="1CBFAE1C">
      <w:pPr>
        <w:keepNext w:val="0"/>
        <w:keepLines w:val="0"/>
        <w:pageBreakBefore w:val="0"/>
        <w:widowControl/>
        <w:suppressLineNumbers w:val="0"/>
        <w:spacing w:line="360" w:lineRule="auto"/>
        <w:ind w:firstLine="480"/>
        <w:jc w:val="left"/>
      </w:pPr>
      <w:r>
        <w:rPr>
          <w:rFonts w:hint="eastAsia" w:ascii="宋体" w:hAnsi="宋体" w:eastAsia="宋体" w:cs="宋体"/>
          <w:color w:val="000000"/>
          <w:sz w:val="24"/>
          <w:szCs w:val="24"/>
          <w:lang w:val="en-US" w:eastAsia="zh-CN" w:bidi="ar"/>
        </w:rPr>
        <w:t xml:space="preserve">本项目在厂区内设 </w:t>
      </w:r>
      <w:r>
        <w:rPr>
          <w:rFonts w:hint="eastAsia" w:ascii="Times New Roman" w:hAnsi="Times New Roman" w:eastAsia="宋体" w:cs="Times New Roman"/>
          <w:color w:val="000000"/>
          <w:sz w:val="24"/>
          <w:szCs w:val="24"/>
          <w:lang w:val="en-US" w:eastAsia="zh-CN" w:bidi="ar"/>
        </w:rPr>
        <w:t>5</w:t>
      </w:r>
      <w:r>
        <w:rPr>
          <w:rFonts w:ascii="Times New Roman" w:hAnsi="Times New Roman" w:eastAsia="宋体" w:cs="Times New Roman"/>
          <w:color w:val="000000"/>
          <w:sz w:val="24"/>
          <w:szCs w:val="24"/>
          <w:lang w:val="en-US" w:eastAsia="zh-CN" w:bidi="ar"/>
        </w:rPr>
        <w:t xml:space="preserve"> </w:t>
      </w:r>
      <w:r>
        <w:rPr>
          <w:rFonts w:hint="eastAsia" w:ascii="宋体" w:hAnsi="宋体" w:eastAsia="宋体" w:cs="宋体"/>
          <w:color w:val="000000"/>
          <w:sz w:val="24"/>
          <w:szCs w:val="24"/>
          <w:lang w:val="en-US" w:eastAsia="zh-CN" w:bidi="ar"/>
        </w:rPr>
        <w:t>个柱状样点、</w:t>
      </w:r>
      <w:r>
        <w:rPr>
          <w:rFonts w:hint="eastAsia"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个表层样点，厂区外1k</w:t>
      </w:r>
      <w:r>
        <w:rPr>
          <w:rFonts w:ascii="Times New Roman" w:hAnsi="Times New Roman" w:eastAsia="宋体" w:cs="Times New Roman"/>
          <w:color w:val="000000"/>
          <w:sz w:val="24"/>
          <w:szCs w:val="24"/>
          <w:lang w:val="en-US" w:eastAsia="zh-CN" w:bidi="ar"/>
        </w:rPr>
        <w:t xml:space="preserve">m </w:t>
      </w:r>
      <w:r>
        <w:rPr>
          <w:rFonts w:hint="eastAsia" w:ascii="宋体" w:hAnsi="宋体" w:eastAsia="宋体" w:cs="宋体"/>
          <w:color w:val="000000"/>
          <w:sz w:val="24"/>
          <w:szCs w:val="24"/>
          <w:lang w:val="en-US" w:eastAsia="zh-CN" w:bidi="ar"/>
        </w:rPr>
        <w:t xml:space="preserve">范围内设 </w:t>
      </w:r>
      <w:r>
        <w:rPr>
          <w:rFonts w:hint="eastAsia" w:ascii="Times New Roman" w:hAnsi="Times New Roman" w:eastAsia="宋体" w:cs="Times New Roman"/>
          <w:color w:val="000000"/>
          <w:sz w:val="24"/>
          <w:szCs w:val="24"/>
          <w:lang w:val="en-US" w:eastAsia="zh-CN" w:bidi="ar"/>
        </w:rPr>
        <w:t>4</w:t>
      </w:r>
      <w:r>
        <w:rPr>
          <w:rFonts w:ascii="Times New Roman" w:hAnsi="Times New Roman" w:eastAsia="宋体" w:cs="Times New Roman"/>
          <w:color w:val="000000"/>
          <w:sz w:val="24"/>
          <w:szCs w:val="24"/>
          <w:lang w:val="en-US" w:eastAsia="zh-CN" w:bidi="ar"/>
        </w:rPr>
        <w:t xml:space="preserve"> </w:t>
      </w:r>
      <w:r>
        <w:rPr>
          <w:rFonts w:hint="eastAsia" w:ascii="宋体" w:hAnsi="宋体" w:eastAsia="宋体" w:cs="宋体"/>
          <w:color w:val="000000"/>
          <w:sz w:val="24"/>
          <w:szCs w:val="24"/>
          <w:lang w:val="en-US" w:eastAsia="zh-CN" w:bidi="ar"/>
        </w:rPr>
        <w:t>个表层样点。</w:t>
      </w:r>
    </w:p>
    <w:p w14:paraId="1DAAFEA0">
      <w:pPr>
        <w:pStyle w:val="2"/>
        <w:jc w:val="center"/>
        <w:rPr>
          <w:rFonts w:ascii="Times New Roman" w:hAnsi="Times New Roman" w:eastAsia="宋体" w:cs="Times New Roman"/>
          <w:b/>
          <w:bCs/>
          <w:sz w:val="24"/>
          <w:szCs w:val="24"/>
          <w:lang w:val="en-US" w:eastAsia="zh-CN"/>
        </w:rPr>
      </w:pPr>
      <w:r>
        <w:rPr>
          <w:rFonts w:ascii="Times New Roman" w:hAnsi="Times New Roman" w:eastAsia="宋体" w:cs="Times New Roman"/>
          <w:b/>
          <w:bCs/>
          <w:sz w:val="24"/>
          <w:szCs w:val="24"/>
          <w:lang w:val="en-US" w:eastAsia="zh-CN"/>
        </w:rPr>
        <w:t>表5.4-5具体的监测方案</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432"/>
        <w:gridCol w:w="1530"/>
        <w:gridCol w:w="1065"/>
        <w:gridCol w:w="2791"/>
      </w:tblGrid>
      <w:tr w14:paraId="39834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0DA20DB7">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监测点位</w:t>
            </w:r>
          </w:p>
        </w:tc>
        <w:tc>
          <w:tcPr>
            <w:tcW w:w="1432" w:type="dxa"/>
            <w:noWrap w:val="0"/>
            <w:vAlign w:val="center"/>
          </w:tcPr>
          <w:p w14:paraId="23F47659">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位置</w:t>
            </w:r>
          </w:p>
        </w:tc>
        <w:tc>
          <w:tcPr>
            <w:tcW w:w="2595" w:type="dxa"/>
            <w:gridSpan w:val="2"/>
            <w:noWrap w:val="0"/>
            <w:vAlign w:val="center"/>
          </w:tcPr>
          <w:p w14:paraId="55497530">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监测样类型及取样深度</w:t>
            </w:r>
          </w:p>
        </w:tc>
        <w:tc>
          <w:tcPr>
            <w:tcW w:w="2791" w:type="dxa"/>
            <w:noWrap w:val="0"/>
            <w:vAlign w:val="center"/>
          </w:tcPr>
          <w:p w14:paraId="76762944">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监测因子</w:t>
            </w:r>
          </w:p>
        </w:tc>
      </w:tr>
      <w:tr w14:paraId="42280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4634C574">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T1</w:t>
            </w:r>
          </w:p>
        </w:tc>
        <w:tc>
          <w:tcPr>
            <w:tcW w:w="1432" w:type="dxa"/>
            <w:vMerge w:val="restart"/>
            <w:noWrap w:val="0"/>
            <w:vAlign w:val="center"/>
          </w:tcPr>
          <w:p w14:paraId="6E21BD79">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厂区内</w:t>
            </w:r>
          </w:p>
        </w:tc>
        <w:tc>
          <w:tcPr>
            <w:tcW w:w="1530" w:type="dxa"/>
            <w:noWrap w:val="0"/>
            <w:vAlign w:val="center"/>
          </w:tcPr>
          <w:p w14:paraId="137C8F42">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表层样0.15m</w:t>
            </w:r>
          </w:p>
        </w:tc>
        <w:tc>
          <w:tcPr>
            <w:tcW w:w="1065" w:type="dxa"/>
            <w:noWrap w:val="0"/>
            <w:vAlign w:val="center"/>
          </w:tcPr>
          <w:p w14:paraId="228D3AAC">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2791" w:type="dxa"/>
            <w:noWrap w:val="0"/>
            <w:vAlign w:val="center"/>
          </w:tcPr>
          <w:p w14:paraId="0684C9DA">
            <w:pPr>
              <w:keepNext w:val="0"/>
              <w:keepLines w:val="0"/>
              <w:widowControl/>
              <w:suppressLineNumbers w:val="0"/>
              <w:spacing w:line="240" w:lineRule="auto"/>
              <w:ind w:firstLine="0"/>
              <w:jc w:val="both"/>
              <w:rPr>
                <w:rFonts w:ascii="Calibri" w:hAnsi="Calibri" w:eastAsia="宋体" w:cs="Times New Roman"/>
                <w:sz w:val="21"/>
                <w:szCs w:val="21"/>
              </w:rPr>
            </w:pPr>
            <w:r>
              <w:rPr>
                <w:rFonts w:hint="eastAsia" w:ascii="宋体" w:hAnsi="宋体" w:eastAsia="宋体" w:cs="宋体"/>
                <w:color w:val="000000"/>
                <w:sz w:val="21"/>
                <w:szCs w:val="21"/>
                <w:lang w:val="en-US" w:eastAsia="zh-CN" w:bidi="ar"/>
              </w:rPr>
              <w:t>《土壤环境质量建设用地土壤污染风险管控标准</w:t>
            </w:r>
          </w:p>
          <w:p w14:paraId="1ADE8670">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（试行）》</w:t>
            </w:r>
            <w:r>
              <w:rPr>
                <w:rFonts w:ascii="Times New Roman" w:hAnsi="Times New Roman" w:eastAsia="宋体" w:cs="Times New Roman"/>
                <w:color w:val="000000"/>
                <w:sz w:val="21"/>
                <w:szCs w:val="21"/>
                <w:lang w:val="en-US" w:eastAsia="zh-CN" w:bidi="ar"/>
              </w:rPr>
              <w:t>(GB36600-2018)</w:t>
            </w:r>
            <w:r>
              <w:rPr>
                <w:rFonts w:hint="eastAsia" w:ascii="宋体" w:hAnsi="宋体" w:eastAsia="宋体" w:cs="宋体"/>
                <w:color w:val="000000"/>
                <w:sz w:val="21"/>
                <w:szCs w:val="21"/>
                <w:lang w:val="en-US" w:eastAsia="zh-CN" w:bidi="ar"/>
              </w:rPr>
              <w:t xml:space="preserve">表 </w:t>
            </w:r>
            <w:r>
              <w:rPr>
                <w:rFonts w:ascii="Times New Roman" w:hAnsi="Times New Roman" w:eastAsia="宋体" w:cs="Times New Roman"/>
                <w:color w:val="000000"/>
                <w:sz w:val="21"/>
                <w:szCs w:val="21"/>
                <w:lang w:val="en-US" w:eastAsia="zh-CN" w:bidi="ar"/>
              </w:rPr>
              <w:t xml:space="preserve">1 </w:t>
            </w:r>
            <w:r>
              <w:rPr>
                <w:rFonts w:hint="eastAsia" w:ascii="宋体" w:hAnsi="宋体" w:eastAsia="宋体" w:cs="宋体"/>
                <w:color w:val="000000"/>
                <w:sz w:val="21"/>
                <w:szCs w:val="21"/>
                <w:lang w:val="en-US" w:eastAsia="zh-CN" w:bidi="ar"/>
              </w:rPr>
              <w:t xml:space="preserve">中 </w:t>
            </w:r>
            <w:r>
              <w:rPr>
                <w:rFonts w:ascii="Times New Roman" w:hAnsi="Times New Roman" w:eastAsia="宋体" w:cs="Times New Roman"/>
                <w:color w:val="000000"/>
                <w:sz w:val="21"/>
                <w:szCs w:val="21"/>
                <w:lang w:val="en-US" w:eastAsia="zh-CN" w:bidi="ar"/>
              </w:rPr>
              <w:t xml:space="preserve">45 </w:t>
            </w:r>
            <w:r>
              <w:rPr>
                <w:rFonts w:hint="eastAsia" w:ascii="宋体" w:hAnsi="宋体" w:eastAsia="宋体" w:cs="宋体"/>
                <w:color w:val="000000"/>
                <w:sz w:val="21"/>
                <w:szCs w:val="21"/>
                <w:lang w:val="en-US" w:eastAsia="zh-CN" w:bidi="ar"/>
              </w:rPr>
              <w:t>项基本项目：</w:t>
            </w:r>
          </w:p>
          <w:p w14:paraId="30D95674">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砷、镉、铬（六价）、铜、铅、汞、镍；四氯化碳、</w:t>
            </w:r>
          </w:p>
          <w:p w14:paraId="5A4ECC93">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氯仿、氯甲烷、</w:t>
            </w:r>
            <w:r>
              <w:rPr>
                <w:rFonts w:ascii="Times New Roman" w:hAnsi="Times New Roman" w:eastAsia="宋体" w:cs="Times New Roman"/>
                <w:color w:val="000000"/>
                <w:sz w:val="21"/>
                <w:szCs w:val="21"/>
                <w:lang w:val="en-US" w:eastAsia="zh-CN" w:bidi="ar"/>
              </w:rPr>
              <w:t>1,1-</w:t>
            </w:r>
            <w:r>
              <w:rPr>
                <w:rFonts w:hint="eastAsia" w:ascii="宋体" w:hAnsi="宋体" w:eastAsia="宋体" w:cs="宋体"/>
                <w:color w:val="000000"/>
                <w:sz w:val="21"/>
                <w:szCs w:val="21"/>
                <w:lang w:val="en-US" w:eastAsia="zh-CN" w:bidi="ar"/>
              </w:rPr>
              <w:t>二氯乙烷、</w:t>
            </w:r>
            <w:r>
              <w:rPr>
                <w:rFonts w:ascii="Times New Roman" w:hAnsi="Times New Roman" w:eastAsia="宋体" w:cs="Times New Roman"/>
                <w:color w:val="000000"/>
                <w:sz w:val="21"/>
                <w:szCs w:val="21"/>
                <w:lang w:val="en-US" w:eastAsia="zh-CN" w:bidi="ar"/>
              </w:rPr>
              <w:t>1,2-</w:t>
            </w:r>
            <w:r>
              <w:rPr>
                <w:rFonts w:hint="eastAsia" w:ascii="宋体" w:hAnsi="宋体" w:eastAsia="宋体" w:cs="宋体"/>
                <w:color w:val="000000"/>
                <w:sz w:val="21"/>
                <w:szCs w:val="21"/>
                <w:lang w:val="en-US" w:eastAsia="zh-CN" w:bidi="ar"/>
              </w:rPr>
              <w:t>二氯乙烷、</w:t>
            </w:r>
            <w:r>
              <w:rPr>
                <w:rFonts w:ascii="Times New Roman" w:hAnsi="Times New Roman" w:eastAsia="宋体" w:cs="Times New Roman"/>
                <w:color w:val="000000"/>
                <w:sz w:val="21"/>
                <w:szCs w:val="21"/>
                <w:lang w:val="en-US" w:eastAsia="zh-CN" w:bidi="ar"/>
              </w:rPr>
              <w:t>1,1-</w:t>
            </w:r>
          </w:p>
          <w:p w14:paraId="2B0CC31F">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二氯乙烯、顺</w:t>
            </w:r>
            <w:r>
              <w:rPr>
                <w:rFonts w:ascii="Times New Roman" w:hAnsi="Times New Roman" w:eastAsia="宋体" w:cs="Times New Roman"/>
                <w:color w:val="000000"/>
                <w:sz w:val="21"/>
                <w:szCs w:val="21"/>
                <w:lang w:val="en-US" w:eastAsia="zh-CN" w:bidi="ar"/>
              </w:rPr>
              <w:t>-1,2-</w:t>
            </w:r>
            <w:r>
              <w:rPr>
                <w:rFonts w:hint="eastAsia" w:ascii="宋体" w:hAnsi="宋体" w:eastAsia="宋体" w:cs="宋体"/>
                <w:color w:val="000000"/>
                <w:sz w:val="21"/>
                <w:szCs w:val="21"/>
                <w:lang w:val="en-US" w:eastAsia="zh-CN" w:bidi="ar"/>
              </w:rPr>
              <w:t>二氯乙烯、反</w:t>
            </w:r>
            <w:r>
              <w:rPr>
                <w:rFonts w:ascii="Times New Roman" w:hAnsi="Times New Roman" w:eastAsia="宋体" w:cs="Times New Roman"/>
                <w:color w:val="000000"/>
                <w:sz w:val="21"/>
                <w:szCs w:val="21"/>
                <w:lang w:val="en-US" w:eastAsia="zh-CN" w:bidi="ar"/>
              </w:rPr>
              <w:t>-1,2-</w:t>
            </w:r>
            <w:r>
              <w:rPr>
                <w:rFonts w:hint="eastAsia" w:ascii="宋体" w:hAnsi="宋体" w:eastAsia="宋体" w:cs="宋体"/>
                <w:color w:val="000000"/>
                <w:sz w:val="21"/>
                <w:szCs w:val="21"/>
                <w:lang w:val="en-US" w:eastAsia="zh-CN" w:bidi="ar"/>
              </w:rPr>
              <w:t>二氯乙烯、二</w:t>
            </w:r>
          </w:p>
          <w:p w14:paraId="2C2B4ACE">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氯甲烷、</w:t>
            </w:r>
            <w:r>
              <w:rPr>
                <w:rFonts w:ascii="Times New Roman" w:hAnsi="Times New Roman" w:eastAsia="宋体" w:cs="Times New Roman"/>
                <w:color w:val="000000"/>
                <w:sz w:val="21"/>
                <w:szCs w:val="21"/>
                <w:lang w:val="en-US" w:eastAsia="zh-CN" w:bidi="ar"/>
              </w:rPr>
              <w:t>1,2-</w:t>
            </w:r>
            <w:r>
              <w:rPr>
                <w:rFonts w:hint="eastAsia" w:ascii="宋体" w:hAnsi="宋体" w:eastAsia="宋体" w:cs="宋体"/>
                <w:color w:val="000000"/>
                <w:sz w:val="21"/>
                <w:szCs w:val="21"/>
                <w:lang w:val="en-US" w:eastAsia="zh-CN" w:bidi="ar"/>
              </w:rPr>
              <w:t>二氯丙烷、</w:t>
            </w:r>
            <w:r>
              <w:rPr>
                <w:rFonts w:ascii="Times New Roman" w:hAnsi="Times New Roman" w:eastAsia="宋体" w:cs="Times New Roman"/>
                <w:color w:val="000000"/>
                <w:sz w:val="21"/>
                <w:szCs w:val="21"/>
                <w:lang w:val="en-US" w:eastAsia="zh-CN" w:bidi="ar"/>
              </w:rPr>
              <w:t>1,1,1,2-</w:t>
            </w:r>
            <w:r>
              <w:rPr>
                <w:rFonts w:hint="eastAsia" w:ascii="宋体" w:hAnsi="宋体" w:eastAsia="宋体" w:cs="宋体"/>
                <w:color w:val="000000"/>
                <w:sz w:val="21"/>
                <w:szCs w:val="21"/>
                <w:lang w:val="en-US" w:eastAsia="zh-CN" w:bidi="ar"/>
              </w:rPr>
              <w:t>四氯乙烷、</w:t>
            </w:r>
            <w:r>
              <w:rPr>
                <w:rFonts w:ascii="Times New Roman" w:hAnsi="Times New Roman" w:eastAsia="宋体" w:cs="Times New Roman"/>
                <w:color w:val="000000"/>
                <w:sz w:val="21"/>
                <w:szCs w:val="21"/>
                <w:lang w:val="en-US" w:eastAsia="zh-CN" w:bidi="ar"/>
              </w:rPr>
              <w:t>1,1,2,2-</w:t>
            </w:r>
          </w:p>
          <w:p w14:paraId="2C8BA7B6">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四氯乙烷、四氯乙烯、</w:t>
            </w:r>
            <w:r>
              <w:rPr>
                <w:rFonts w:ascii="Times New Roman" w:hAnsi="Times New Roman" w:eastAsia="宋体" w:cs="Times New Roman"/>
                <w:color w:val="000000"/>
                <w:sz w:val="21"/>
                <w:szCs w:val="21"/>
                <w:lang w:val="en-US" w:eastAsia="zh-CN" w:bidi="ar"/>
              </w:rPr>
              <w:t>1,1,1-</w:t>
            </w:r>
            <w:r>
              <w:rPr>
                <w:rFonts w:hint="eastAsia" w:ascii="宋体" w:hAnsi="宋体" w:eastAsia="宋体" w:cs="宋体"/>
                <w:color w:val="000000"/>
                <w:sz w:val="21"/>
                <w:szCs w:val="21"/>
                <w:lang w:val="en-US" w:eastAsia="zh-CN" w:bidi="ar"/>
              </w:rPr>
              <w:t>三氯乙烷、</w:t>
            </w:r>
            <w:r>
              <w:rPr>
                <w:rFonts w:ascii="Times New Roman" w:hAnsi="Times New Roman" w:eastAsia="宋体" w:cs="Times New Roman"/>
                <w:color w:val="000000"/>
                <w:sz w:val="21"/>
                <w:szCs w:val="21"/>
                <w:lang w:val="en-US" w:eastAsia="zh-CN" w:bidi="ar"/>
              </w:rPr>
              <w:t>1,1,2-</w:t>
            </w:r>
            <w:r>
              <w:rPr>
                <w:rFonts w:hint="eastAsia" w:ascii="宋体" w:hAnsi="宋体" w:eastAsia="宋体" w:cs="宋体"/>
                <w:color w:val="000000"/>
                <w:sz w:val="21"/>
                <w:szCs w:val="21"/>
                <w:lang w:val="en-US" w:eastAsia="zh-CN" w:bidi="ar"/>
              </w:rPr>
              <w:t>三氯乙</w:t>
            </w:r>
          </w:p>
          <w:p w14:paraId="7638E83E">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烷、三氯乙烯、</w:t>
            </w:r>
            <w:r>
              <w:rPr>
                <w:rFonts w:ascii="Times New Roman" w:hAnsi="Times New Roman" w:eastAsia="宋体" w:cs="Times New Roman"/>
                <w:color w:val="000000"/>
                <w:sz w:val="21"/>
                <w:szCs w:val="21"/>
                <w:lang w:val="en-US" w:eastAsia="zh-CN" w:bidi="ar"/>
              </w:rPr>
              <w:t>1,2,3-</w:t>
            </w:r>
            <w:r>
              <w:rPr>
                <w:rFonts w:hint="eastAsia" w:ascii="宋体" w:hAnsi="宋体" w:eastAsia="宋体" w:cs="宋体"/>
                <w:color w:val="000000"/>
                <w:sz w:val="21"/>
                <w:szCs w:val="21"/>
                <w:lang w:val="en-US" w:eastAsia="zh-CN" w:bidi="ar"/>
              </w:rPr>
              <w:t>三氯丙烷、氯乙烯、苯、氯苯、</w:t>
            </w:r>
          </w:p>
          <w:p w14:paraId="54598F68">
            <w:pPr>
              <w:keepNext w:val="0"/>
              <w:keepLines w:val="0"/>
              <w:widowControl/>
              <w:suppressLineNumbers w:val="0"/>
              <w:spacing w:line="240" w:lineRule="auto"/>
              <w:ind w:firstLine="0"/>
              <w:jc w:val="center"/>
              <w:rPr>
                <w:rFonts w:ascii="Calibri" w:hAnsi="Calibri" w:eastAsia="宋体" w:cs="Times New Roman"/>
                <w:sz w:val="21"/>
                <w:szCs w:val="21"/>
              </w:rPr>
            </w:pPr>
            <w:r>
              <w:rPr>
                <w:rFonts w:ascii="Times New Roman" w:hAnsi="Times New Roman" w:eastAsia="宋体" w:cs="Times New Roman"/>
                <w:color w:val="000000"/>
                <w:sz w:val="21"/>
                <w:szCs w:val="21"/>
                <w:lang w:val="en-US" w:eastAsia="zh-CN" w:bidi="ar"/>
              </w:rPr>
              <w:t>1,2-</w:t>
            </w:r>
            <w:r>
              <w:rPr>
                <w:rFonts w:hint="eastAsia" w:ascii="宋体" w:hAnsi="宋体" w:eastAsia="宋体" w:cs="宋体"/>
                <w:color w:val="000000"/>
                <w:sz w:val="21"/>
                <w:szCs w:val="21"/>
                <w:lang w:val="en-US" w:eastAsia="zh-CN" w:bidi="ar"/>
              </w:rPr>
              <w:t>二氯苯、</w:t>
            </w:r>
            <w:r>
              <w:rPr>
                <w:rFonts w:ascii="Times New Roman" w:hAnsi="Times New Roman" w:eastAsia="宋体" w:cs="Times New Roman"/>
                <w:color w:val="000000"/>
                <w:sz w:val="21"/>
                <w:szCs w:val="21"/>
                <w:lang w:val="en-US" w:eastAsia="zh-CN" w:bidi="ar"/>
              </w:rPr>
              <w:t>1,4-</w:t>
            </w:r>
            <w:r>
              <w:rPr>
                <w:rFonts w:hint="eastAsia" w:ascii="宋体" w:hAnsi="宋体" w:eastAsia="宋体" w:cs="宋体"/>
                <w:color w:val="000000"/>
                <w:sz w:val="21"/>
                <w:szCs w:val="21"/>
                <w:lang w:val="en-US" w:eastAsia="zh-CN" w:bidi="ar"/>
              </w:rPr>
              <w:t>二氯苯、乙苯、 苯乙烯、甲苯、间</w:t>
            </w:r>
          </w:p>
          <w:p w14:paraId="231F835B">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二甲苯</w:t>
            </w:r>
            <w:r>
              <w:rPr>
                <w:rFonts w:ascii="Times New Roman" w:hAnsi="Times New Roman" w:eastAsia="宋体" w:cs="Times New Roman"/>
                <w:color w:val="000000"/>
                <w:sz w:val="21"/>
                <w:szCs w:val="21"/>
                <w:lang w:val="en-US" w:eastAsia="zh-CN" w:bidi="ar"/>
              </w:rPr>
              <w:t>+</w:t>
            </w:r>
            <w:r>
              <w:rPr>
                <w:rFonts w:hint="eastAsia" w:ascii="宋体" w:hAnsi="宋体" w:eastAsia="宋体" w:cs="宋体"/>
                <w:color w:val="000000"/>
                <w:sz w:val="21"/>
                <w:szCs w:val="21"/>
                <w:lang w:val="en-US" w:eastAsia="zh-CN" w:bidi="ar"/>
              </w:rPr>
              <w:t>对二甲苯、邻二甲苯；硝基苯、苯胺、</w:t>
            </w:r>
            <w:r>
              <w:rPr>
                <w:rFonts w:ascii="Times New Roman" w:hAnsi="Times New Roman" w:eastAsia="宋体" w:cs="Times New Roman"/>
                <w:color w:val="000000"/>
                <w:sz w:val="21"/>
                <w:szCs w:val="21"/>
                <w:lang w:val="en-US" w:eastAsia="zh-CN" w:bidi="ar"/>
              </w:rPr>
              <w:t>2-</w:t>
            </w:r>
          </w:p>
          <w:p w14:paraId="7DBFAD3C">
            <w:pPr>
              <w:keepNext w:val="0"/>
              <w:keepLines w:val="0"/>
              <w:widowControl/>
              <w:suppressLineNumbers w:val="0"/>
              <w:spacing w:line="240" w:lineRule="auto"/>
              <w:ind w:firstLine="0"/>
              <w:jc w:val="center"/>
              <w:rPr>
                <w:rFonts w:ascii="Calibri" w:hAnsi="Calibri" w:eastAsia="宋体" w:cs="Times New Roman"/>
                <w:sz w:val="21"/>
                <w:szCs w:val="21"/>
              </w:rPr>
            </w:pPr>
            <w:r>
              <w:rPr>
                <w:rFonts w:hint="eastAsia" w:ascii="宋体" w:hAnsi="宋体" w:eastAsia="宋体" w:cs="宋体"/>
                <w:color w:val="000000"/>
                <w:sz w:val="21"/>
                <w:szCs w:val="21"/>
                <w:lang w:val="en-US" w:eastAsia="zh-CN" w:bidi="ar"/>
              </w:rPr>
              <w:t>氯酚、苯并</w:t>
            </w:r>
            <w:r>
              <w:rPr>
                <w:rFonts w:ascii="Times New Roman" w:hAnsi="Times New Roman" w:eastAsia="宋体" w:cs="Times New Roman"/>
                <w:color w:val="000000"/>
                <w:sz w:val="21"/>
                <w:szCs w:val="21"/>
                <w:lang w:val="en-US" w:eastAsia="zh-CN" w:bidi="ar"/>
              </w:rPr>
              <w:t>[a]</w:t>
            </w:r>
            <w:r>
              <w:rPr>
                <w:rFonts w:hint="eastAsia" w:ascii="宋体" w:hAnsi="宋体" w:eastAsia="宋体" w:cs="宋体"/>
                <w:color w:val="000000"/>
                <w:sz w:val="21"/>
                <w:szCs w:val="21"/>
                <w:lang w:val="en-US" w:eastAsia="zh-CN" w:bidi="ar"/>
              </w:rPr>
              <w:t>蒽、苯并</w:t>
            </w:r>
            <w:r>
              <w:rPr>
                <w:rFonts w:ascii="Times New Roman" w:hAnsi="Times New Roman" w:eastAsia="宋体" w:cs="Times New Roman"/>
                <w:color w:val="000000"/>
                <w:sz w:val="21"/>
                <w:szCs w:val="21"/>
                <w:lang w:val="en-US" w:eastAsia="zh-CN" w:bidi="ar"/>
              </w:rPr>
              <w:t>[a]</w:t>
            </w:r>
            <w:r>
              <w:rPr>
                <w:rFonts w:hint="eastAsia" w:ascii="宋体" w:hAnsi="宋体" w:eastAsia="宋体" w:cs="宋体"/>
                <w:color w:val="000000"/>
                <w:sz w:val="21"/>
                <w:szCs w:val="21"/>
                <w:lang w:val="en-US" w:eastAsia="zh-CN" w:bidi="ar"/>
              </w:rPr>
              <w:t>芘、苯并</w:t>
            </w:r>
            <w:r>
              <w:rPr>
                <w:rFonts w:ascii="Times New Roman" w:hAnsi="Times New Roman" w:eastAsia="宋体" w:cs="Times New Roman"/>
                <w:color w:val="000000"/>
                <w:sz w:val="21"/>
                <w:szCs w:val="21"/>
                <w:lang w:val="en-US" w:eastAsia="zh-CN" w:bidi="ar"/>
              </w:rPr>
              <w:t>[b]</w:t>
            </w:r>
            <w:r>
              <w:rPr>
                <w:rFonts w:hint="eastAsia" w:ascii="宋体" w:hAnsi="宋体" w:eastAsia="宋体" w:cs="宋体"/>
                <w:color w:val="000000"/>
                <w:sz w:val="21"/>
                <w:szCs w:val="21"/>
                <w:lang w:val="en-US" w:eastAsia="zh-CN" w:bidi="ar"/>
              </w:rPr>
              <w:t>荧蒽、苯并</w:t>
            </w:r>
            <w:r>
              <w:rPr>
                <w:rFonts w:ascii="Times New Roman" w:hAnsi="Times New Roman" w:eastAsia="宋体" w:cs="Times New Roman"/>
                <w:color w:val="000000"/>
                <w:sz w:val="21"/>
                <w:szCs w:val="21"/>
                <w:lang w:val="en-US" w:eastAsia="zh-CN" w:bidi="ar"/>
              </w:rPr>
              <w:t>[k]</w:t>
            </w:r>
          </w:p>
          <w:p w14:paraId="6BA3929C">
            <w:pPr>
              <w:keepNext w:val="0"/>
              <w:keepLines w:val="0"/>
              <w:widowControl/>
              <w:suppressLineNumbers w:val="0"/>
              <w:spacing w:line="240" w:lineRule="auto"/>
              <w:ind w:firstLine="0"/>
              <w:jc w:val="center"/>
              <w:rPr>
                <w:rFonts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荧蒽、䓛、二苯并</w:t>
            </w:r>
            <w:r>
              <w:rPr>
                <w:rFonts w:ascii="Times New Roman" w:hAnsi="Times New Roman" w:eastAsia="宋体" w:cs="Times New Roman"/>
                <w:color w:val="000000"/>
                <w:sz w:val="21"/>
                <w:szCs w:val="21"/>
                <w:lang w:val="en-US" w:eastAsia="zh-CN" w:bidi="ar"/>
              </w:rPr>
              <w:t>[a,h]</w:t>
            </w:r>
            <w:r>
              <w:rPr>
                <w:rFonts w:hint="eastAsia" w:ascii="宋体" w:hAnsi="宋体" w:eastAsia="宋体" w:cs="宋体"/>
                <w:color w:val="000000"/>
                <w:sz w:val="21"/>
                <w:szCs w:val="21"/>
                <w:lang w:val="en-US" w:eastAsia="zh-CN" w:bidi="ar"/>
              </w:rPr>
              <w:t>蒽、茚并</w:t>
            </w:r>
            <w:r>
              <w:rPr>
                <w:rFonts w:ascii="Times New Roman" w:hAnsi="Times New Roman" w:eastAsia="宋体" w:cs="Times New Roman"/>
                <w:color w:val="000000"/>
                <w:sz w:val="21"/>
                <w:szCs w:val="21"/>
                <w:lang w:val="en-US" w:eastAsia="zh-CN" w:bidi="ar"/>
              </w:rPr>
              <w:t>[1,2,3-cd]</w:t>
            </w:r>
            <w:r>
              <w:rPr>
                <w:rFonts w:hint="eastAsia" w:ascii="宋体" w:hAnsi="宋体" w:eastAsia="宋体" w:cs="宋体"/>
                <w:color w:val="000000"/>
                <w:sz w:val="21"/>
                <w:szCs w:val="21"/>
                <w:lang w:val="en-US" w:eastAsia="zh-CN" w:bidi="ar"/>
              </w:rPr>
              <w:t>芘、萘、pH</w:t>
            </w:r>
          </w:p>
        </w:tc>
      </w:tr>
      <w:tr w14:paraId="64D86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541AD966">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T2</w:t>
            </w:r>
          </w:p>
        </w:tc>
        <w:tc>
          <w:tcPr>
            <w:tcW w:w="1432" w:type="dxa"/>
            <w:vMerge w:val="continue"/>
            <w:noWrap w:val="0"/>
            <w:vAlign w:val="center"/>
          </w:tcPr>
          <w:p w14:paraId="2DBADD23">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530" w:type="dxa"/>
            <w:noWrap w:val="0"/>
            <w:vAlign w:val="center"/>
          </w:tcPr>
          <w:p w14:paraId="28B2E1C8">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表层样0.2m</w:t>
            </w:r>
          </w:p>
        </w:tc>
        <w:tc>
          <w:tcPr>
            <w:tcW w:w="1065" w:type="dxa"/>
            <w:noWrap w:val="0"/>
            <w:vAlign w:val="center"/>
          </w:tcPr>
          <w:p w14:paraId="051563C0">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2791" w:type="dxa"/>
            <w:noWrap w:val="0"/>
            <w:vAlign w:val="center"/>
          </w:tcPr>
          <w:p w14:paraId="48C7B430">
            <w:pPr>
              <w:keepNext w:val="0"/>
              <w:keepLines w:val="0"/>
              <w:widowControl/>
              <w:suppressLineNumbers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w:t>
            </w:r>
          </w:p>
        </w:tc>
      </w:tr>
      <w:tr w14:paraId="352C3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1704" w:type="dxa"/>
            <w:vMerge w:val="restart"/>
            <w:noWrap w:val="0"/>
            <w:vAlign w:val="center"/>
          </w:tcPr>
          <w:p w14:paraId="5DCCEC92">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T3-T7</w:t>
            </w:r>
          </w:p>
        </w:tc>
        <w:tc>
          <w:tcPr>
            <w:tcW w:w="1432" w:type="dxa"/>
            <w:vMerge w:val="continue"/>
            <w:noWrap w:val="0"/>
            <w:vAlign w:val="center"/>
          </w:tcPr>
          <w:p w14:paraId="7085A456">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530" w:type="dxa"/>
            <w:vMerge w:val="restart"/>
            <w:noWrap w:val="0"/>
            <w:vAlign w:val="center"/>
          </w:tcPr>
          <w:p w14:paraId="0A23692A">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5个点柱状样</w:t>
            </w:r>
          </w:p>
        </w:tc>
        <w:tc>
          <w:tcPr>
            <w:tcW w:w="1065" w:type="dxa"/>
            <w:noWrap w:val="0"/>
            <w:vAlign w:val="center"/>
          </w:tcPr>
          <w:p w14:paraId="71B25D66">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表层（0.3m）</w:t>
            </w:r>
          </w:p>
        </w:tc>
        <w:tc>
          <w:tcPr>
            <w:tcW w:w="2791" w:type="dxa"/>
            <w:noWrap w:val="0"/>
            <w:vAlign w:val="center"/>
          </w:tcPr>
          <w:p w14:paraId="4C8C91CF">
            <w:pPr>
              <w:keepNext w:val="0"/>
              <w:keepLines w:val="0"/>
              <w:widowControl/>
              <w:suppressLineNumbers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w:t>
            </w:r>
          </w:p>
        </w:tc>
      </w:tr>
      <w:tr w14:paraId="5ABA9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Merge w:val="continue"/>
            <w:noWrap w:val="0"/>
            <w:vAlign w:val="center"/>
          </w:tcPr>
          <w:p w14:paraId="4FEED8AC">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432" w:type="dxa"/>
            <w:vMerge w:val="continue"/>
            <w:noWrap w:val="0"/>
            <w:vAlign w:val="center"/>
          </w:tcPr>
          <w:p w14:paraId="255C5CD8">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530" w:type="dxa"/>
            <w:vMerge w:val="continue"/>
            <w:noWrap w:val="0"/>
            <w:vAlign w:val="center"/>
          </w:tcPr>
          <w:p w14:paraId="23608F86">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065" w:type="dxa"/>
            <w:noWrap w:val="0"/>
            <w:vAlign w:val="center"/>
          </w:tcPr>
          <w:p w14:paraId="3328E0DE">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中层（1m）</w:t>
            </w:r>
          </w:p>
        </w:tc>
        <w:tc>
          <w:tcPr>
            <w:tcW w:w="2791" w:type="dxa"/>
            <w:noWrap w:val="0"/>
            <w:vAlign w:val="center"/>
          </w:tcPr>
          <w:p w14:paraId="47647462">
            <w:pPr>
              <w:keepNext w:val="0"/>
              <w:keepLines w:val="0"/>
              <w:widowControl/>
              <w:suppressLineNumbers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w:t>
            </w:r>
          </w:p>
        </w:tc>
      </w:tr>
      <w:tr w14:paraId="05102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Merge w:val="continue"/>
            <w:noWrap w:val="0"/>
            <w:vAlign w:val="center"/>
          </w:tcPr>
          <w:p w14:paraId="4E2B8BF7">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432" w:type="dxa"/>
            <w:vMerge w:val="continue"/>
            <w:noWrap w:val="0"/>
            <w:vAlign w:val="center"/>
          </w:tcPr>
          <w:p w14:paraId="3D4040B6">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530" w:type="dxa"/>
            <w:vMerge w:val="continue"/>
            <w:noWrap w:val="0"/>
            <w:vAlign w:val="center"/>
          </w:tcPr>
          <w:p w14:paraId="349C825E">
            <w:pPr>
              <w:widowControl w:val="0"/>
              <w:spacing w:line="240" w:lineRule="auto"/>
              <w:ind w:firstLine="0"/>
              <w:jc w:val="center"/>
              <w:rPr>
                <w:rFonts w:hint="eastAsia" w:ascii="Calibri" w:hAnsi="Calibri" w:eastAsia="宋体" w:cs="Times New Roman"/>
                <w:sz w:val="21"/>
                <w:szCs w:val="21"/>
                <w:vertAlign w:val="baseline"/>
                <w:lang w:val="en-US" w:eastAsia="zh-CN"/>
              </w:rPr>
            </w:pPr>
          </w:p>
        </w:tc>
        <w:tc>
          <w:tcPr>
            <w:tcW w:w="1065" w:type="dxa"/>
            <w:noWrap w:val="0"/>
            <w:vAlign w:val="center"/>
          </w:tcPr>
          <w:p w14:paraId="3D56C654">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深层（2.0m）</w:t>
            </w:r>
          </w:p>
        </w:tc>
        <w:tc>
          <w:tcPr>
            <w:tcW w:w="2791" w:type="dxa"/>
            <w:noWrap w:val="0"/>
            <w:vAlign w:val="center"/>
          </w:tcPr>
          <w:p w14:paraId="66B6F68E">
            <w:pPr>
              <w:keepNext w:val="0"/>
              <w:keepLines w:val="0"/>
              <w:widowControl/>
              <w:suppressLineNumbers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w:t>
            </w:r>
          </w:p>
        </w:tc>
      </w:tr>
      <w:tr w14:paraId="5BDA4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167E23F7">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T8</w:t>
            </w:r>
          </w:p>
        </w:tc>
        <w:tc>
          <w:tcPr>
            <w:tcW w:w="1432" w:type="dxa"/>
            <w:noWrap w:val="0"/>
            <w:vAlign w:val="center"/>
          </w:tcPr>
          <w:p w14:paraId="21C116E9">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厂区东侧</w:t>
            </w:r>
          </w:p>
        </w:tc>
        <w:tc>
          <w:tcPr>
            <w:tcW w:w="2595" w:type="dxa"/>
            <w:gridSpan w:val="2"/>
            <w:noWrap w:val="0"/>
            <w:vAlign w:val="center"/>
          </w:tcPr>
          <w:p w14:paraId="3C572F0B">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表层样0.15m</w:t>
            </w:r>
          </w:p>
        </w:tc>
        <w:tc>
          <w:tcPr>
            <w:tcW w:w="2791" w:type="dxa"/>
            <w:noWrap w:val="0"/>
            <w:vAlign w:val="center"/>
          </w:tcPr>
          <w:p w14:paraId="19E1E5BC">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pH、砷、镉、铬（六价）、铜、铅、汞、镍、锌</w:t>
            </w:r>
          </w:p>
        </w:tc>
      </w:tr>
      <w:tr w14:paraId="1AF26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4DD330B1">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T9</w:t>
            </w:r>
          </w:p>
        </w:tc>
        <w:tc>
          <w:tcPr>
            <w:tcW w:w="1432" w:type="dxa"/>
            <w:noWrap w:val="0"/>
            <w:vAlign w:val="center"/>
          </w:tcPr>
          <w:p w14:paraId="34F0E065">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厂区西侧</w:t>
            </w:r>
          </w:p>
        </w:tc>
        <w:tc>
          <w:tcPr>
            <w:tcW w:w="2595" w:type="dxa"/>
            <w:gridSpan w:val="2"/>
            <w:noWrap w:val="0"/>
            <w:vAlign w:val="center"/>
          </w:tcPr>
          <w:p w14:paraId="5428AA60">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表层样0.15m</w:t>
            </w:r>
          </w:p>
        </w:tc>
        <w:tc>
          <w:tcPr>
            <w:tcW w:w="2791" w:type="dxa"/>
            <w:noWrap w:val="0"/>
            <w:vAlign w:val="center"/>
          </w:tcPr>
          <w:p w14:paraId="12C94695">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pH、砷、镉、铬（六价）、铜、铅、汞、镍、锌</w:t>
            </w:r>
          </w:p>
        </w:tc>
      </w:tr>
      <w:tr w14:paraId="71BFD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3DA2BB38">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T10</w:t>
            </w:r>
          </w:p>
        </w:tc>
        <w:tc>
          <w:tcPr>
            <w:tcW w:w="1432" w:type="dxa"/>
            <w:noWrap w:val="0"/>
            <w:vAlign w:val="center"/>
          </w:tcPr>
          <w:p w14:paraId="5B23AF0D">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厂区南侧</w:t>
            </w:r>
          </w:p>
        </w:tc>
        <w:tc>
          <w:tcPr>
            <w:tcW w:w="2595" w:type="dxa"/>
            <w:gridSpan w:val="2"/>
            <w:noWrap w:val="0"/>
            <w:vAlign w:val="center"/>
          </w:tcPr>
          <w:p w14:paraId="1E6AFE6D">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表层样0.15m</w:t>
            </w:r>
          </w:p>
        </w:tc>
        <w:tc>
          <w:tcPr>
            <w:tcW w:w="2791" w:type="dxa"/>
            <w:noWrap w:val="0"/>
            <w:vAlign w:val="center"/>
          </w:tcPr>
          <w:p w14:paraId="677DB0F0">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pH、砷、镉、铬（六价）、铜、铅、汞、镍、锌</w:t>
            </w:r>
          </w:p>
        </w:tc>
      </w:tr>
      <w:tr w14:paraId="32946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0B1A608E">
            <w:pPr>
              <w:widowControl w:val="0"/>
              <w:spacing w:line="240" w:lineRule="auto"/>
              <w:ind w:firstLine="0"/>
              <w:jc w:val="center"/>
              <w:rPr>
                <w:rFonts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T11</w:t>
            </w:r>
          </w:p>
        </w:tc>
        <w:tc>
          <w:tcPr>
            <w:tcW w:w="1432" w:type="dxa"/>
            <w:noWrap w:val="0"/>
            <w:vAlign w:val="center"/>
          </w:tcPr>
          <w:p w14:paraId="69F40D81">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厂区北侧</w:t>
            </w:r>
          </w:p>
        </w:tc>
        <w:tc>
          <w:tcPr>
            <w:tcW w:w="2595" w:type="dxa"/>
            <w:gridSpan w:val="2"/>
            <w:noWrap w:val="0"/>
            <w:vAlign w:val="center"/>
          </w:tcPr>
          <w:p w14:paraId="01009FB5">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Calibri" w:hAnsi="Calibri" w:eastAsia="宋体" w:cs="Times New Roman"/>
                <w:sz w:val="21"/>
                <w:szCs w:val="21"/>
                <w:vertAlign w:val="baseline"/>
                <w:lang w:val="en-US" w:eastAsia="zh-CN"/>
              </w:rPr>
              <w:t>表层样0.15m</w:t>
            </w:r>
          </w:p>
        </w:tc>
        <w:tc>
          <w:tcPr>
            <w:tcW w:w="2791" w:type="dxa"/>
            <w:noWrap w:val="0"/>
            <w:vAlign w:val="center"/>
          </w:tcPr>
          <w:p w14:paraId="62BC595F">
            <w:pPr>
              <w:widowControl w:val="0"/>
              <w:spacing w:line="240" w:lineRule="auto"/>
              <w:ind w:firstLine="0"/>
              <w:jc w:val="center"/>
              <w:rPr>
                <w:rFonts w:hint="eastAsia" w:ascii="Calibri" w:hAnsi="Calibri" w:eastAsia="宋体" w:cs="Times New Roman"/>
                <w:sz w:val="21"/>
                <w:szCs w:val="21"/>
                <w:vertAlign w:val="baseline"/>
                <w:lang w:val="en-US" w:eastAsia="zh-CN"/>
              </w:rPr>
            </w:pPr>
            <w:r>
              <w:rPr>
                <w:rFonts w:hint="eastAsia" w:ascii="宋体" w:hAnsi="宋体" w:eastAsia="宋体" w:cs="宋体"/>
                <w:color w:val="000000"/>
                <w:sz w:val="21"/>
                <w:szCs w:val="21"/>
                <w:lang w:val="en-US" w:eastAsia="zh-CN" w:bidi="ar"/>
              </w:rPr>
              <w:t>pH、砷、镉、铬（六价）、铜、铅、汞、镍、锌</w:t>
            </w:r>
          </w:p>
        </w:tc>
      </w:tr>
    </w:tbl>
    <w:p w14:paraId="3F6F63BB">
      <w:pPr>
        <w:pStyle w:val="2"/>
        <w:rPr>
          <w:rFonts w:hint="eastAsia"/>
          <w:sz w:val="24"/>
          <w:szCs w:val="24"/>
          <w:lang w:val="en-US" w:eastAsia="zh-CN"/>
        </w:rPr>
      </w:pPr>
      <w:r>
        <w:rPr>
          <w:rFonts w:hint="eastAsia"/>
          <w:sz w:val="24"/>
          <w:szCs w:val="24"/>
          <w:lang w:val="en-US" w:eastAsia="zh-CN"/>
        </w:rPr>
        <w:t>具体监测结果如下表。</w:t>
      </w:r>
    </w:p>
    <w:p w14:paraId="7BC0C4DF">
      <w:pPr>
        <w:pStyle w:val="2"/>
        <w:ind w:left="0" w:firstLine="2409"/>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t>表5.4-</w:t>
      </w:r>
      <w:r>
        <w:rPr>
          <w:rFonts w:hint="eastAsia" w:ascii="Times New Roman" w:hAnsi="Times New Roman" w:cs="Times New Roman"/>
          <w:b/>
          <w:bCs/>
          <w:sz w:val="24"/>
          <w:szCs w:val="24"/>
          <w:lang w:val="en-US" w:eastAsia="zh-CN"/>
        </w:rPr>
        <w:t>6</w:t>
      </w:r>
      <w:r>
        <w:rPr>
          <w:rFonts w:ascii="Times New Roman" w:hAnsi="Times New Roman" w:cs="Times New Roman"/>
          <w:b/>
          <w:bCs/>
          <w:sz w:val="24"/>
          <w:szCs w:val="24"/>
          <w:lang w:val="en-US" w:eastAsia="zh-CN"/>
        </w:rPr>
        <w:t>土壤样品监测结果分析</w:t>
      </w:r>
      <w:r>
        <w:rPr>
          <w:rFonts w:hint="eastAsia" w:ascii="Times New Roman" w:hAnsi="Times New Roman" w:cs="Times New Roman"/>
          <w:b/>
          <w:bCs/>
          <w:sz w:val="24"/>
          <w:szCs w:val="24"/>
          <w:lang w:val="en-US" w:eastAsia="zh-CN"/>
        </w:rPr>
        <w:t xml:space="preserve">  单位：mg/kg</w:t>
      </w:r>
    </w:p>
    <w:tbl>
      <w:tblPr>
        <w:tblStyle w:val="32"/>
        <w:tblW w:w="8276" w:type="dxa"/>
        <w:tblInd w:w="1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067"/>
        <w:gridCol w:w="2051"/>
        <w:gridCol w:w="2345"/>
        <w:gridCol w:w="1494"/>
        <w:gridCol w:w="1319"/>
      </w:tblGrid>
      <w:tr w14:paraId="1774F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4" w:hRule="atLeast"/>
        </w:trPr>
        <w:tc>
          <w:tcPr>
            <w:tcW w:w="1067" w:type="dxa"/>
            <w:vMerge w:val="restart"/>
            <w:shd w:val="clear" w:color="auto" w:fill="FFFFFF"/>
            <w:noWrap w:val="0"/>
            <w:vAlign w:val="center"/>
          </w:tcPr>
          <w:p w14:paraId="6D8FAB46">
            <w:pPr>
              <w:spacing w:line="360" w:lineRule="auto"/>
              <w:ind w:left="0" w:firstLine="0"/>
              <w:jc w:val="center"/>
              <w:rPr>
                <w:rFonts w:ascii="Times New Roman" w:hAnsi="Times New Roman" w:eastAsia="宋体" w:cs="Times New Roman"/>
                <w:b/>
                <w:bCs/>
                <w:sz w:val="21"/>
                <w:szCs w:val="21"/>
                <w:vertAlign w:val="baseline"/>
                <w:lang w:val="en-US" w:eastAsia="zh-CN" w:bidi="ar-SA"/>
              </w:rPr>
            </w:pPr>
          </w:p>
          <w:p w14:paraId="428C684B">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序号</w:t>
            </w:r>
          </w:p>
        </w:tc>
        <w:tc>
          <w:tcPr>
            <w:tcW w:w="2051" w:type="dxa"/>
            <w:vMerge w:val="restart"/>
            <w:shd w:val="clear" w:color="auto" w:fill="FFFFFF"/>
            <w:noWrap w:val="0"/>
            <w:vAlign w:val="center"/>
          </w:tcPr>
          <w:p w14:paraId="33117715">
            <w:pPr>
              <w:spacing w:line="360" w:lineRule="auto"/>
              <w:ind w:left="0" w:firstLine="0"/>
              <w:jc w:val="center"/>
              <w:rPr>
                <w:rFonts w:ascii="Times New Roman" w:hAnsi="Times New Roman" w:eastAsia="宋体" w:cs="Times New Roman"/>
                <w:b/>
                <w:bCs/>
                <w:sz w:val="21"/>
                <w:szCs w:val="21"/>
                <w:vertAlign w:val="baseline"/>
                <w:lang w:val="en-US" w:eastAsia="zh-CN" w:bidi="ar-SA"/>
              </w:rPr>
            </w:pPr>
          </w:p>
          <w:p w14:paraId="42780E28">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ascii="Times New Roman" w:hAnsi="Times New Roman" w:eastAsia="宋体" w:cs="Times New Roman"/>
                <w:b/>
                <w:bCs/>
                <w:sz w:val="21"/>
                <w:szCs w:val="21"/>
                <w:vertAlign w:val="baseline"/>
                <w:lang w:val="en-US" w:eastAsia="zh-CN" w:bidi="ar-SA"/>
              </w:rPr>
              <w:t>污染物项目</w:t>
            </w:r>
          </w:p>
        </w:tc>
        <w:tc>
          <w:tcPr>
            <w:tcW w:w="2345" w:type="dxa"/>
            <w:shd w:val="clear" w:color="auto" w:fill="FFFFFF"/>
            <w:noWrap w:val="0"/>
            <w:vAlign w:val="center"/>
          </w:tcPr>
          <w:p w14:paraId="06A5FC71">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hint="eastAsia" w:ascii="Times New Roman" w:hAnsi="Times New Roman" w:eastAsia="宋体" w:cs="Times New Roman"/>
                <w:b/>
                <w:bCs/>
                <w:sz w:val="21"/>
                <w:szCs w:val="21"/>
                <w:vertAlign w:val="baseline"/>
                <w:lang w:val="en-US" w:eastAsia="zh-CN" w:bidi="ar-SA"/>
              </w:rPr>
              <w:t>监测点位</w:t>
            </w:r>
          </w:p>
        </w:tc>
        <w:tc>
          <w:tcPr>
            <w:tcW w:w="1494" w:type="dxa"/>
            <w:vMerge w:val="restart"/>
            <w:shd w:val="clear" w:color="auto" w:fill="FFFFFF"/>
            <w:noWrap w:val="0"/>
            <w:vAlign w:val="center"/>
          </w:tcPr>
          <w:p w14:paraId="69F986BC">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hint="eastAsia" w:ascii="Times New Roman" w:hAnsi="Times New Roman" w:eastAsia="宋体" w:cs="Times New Roman"/>
                <w:b/>
                <w:bCs/>
                <w:sz w:val="21"/>
                <w:szCs w:val="21"/>
                <w:vertAlign w:val="baseline"/>
                <w:lang w:val="en-US" w:eastAsia="zh-CN" w:bidi="ar-SA"/>
              </w:rPr>
              <w:t>标准值</w:t>
            </w:r>
          </w:p>
        </w:tc>
        <w:tc>
          <w:tcPr>
            <w:tcW w:w="1319" w:type="dxa"/>
            <w:vMerge w:val="restart"/>
            <w:shd w:val="clear" w:color="auto" w:fill="FFFFFF"/>
            <w:noWrap w:val="0"/>
            <w:vAlign w:val="center"/>
          </w:tcPr>
          <w:p w14:paraId="27651AE6">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hint="eastAsia" w:ascii="Times New Roman" w:hAnsi="Times New Roman" w:eastAsia="宋体" w:cs="Times New Roman"/>
                <w:b/>
                <w:bCs/>
                <w:sz w:val="21"/>
                <w:szCs w:val="21"/>
                <w:vertAlign w:val="baseline"/>
                <w:lang w:val="en-US" w:eastAsia="zh-CN" w:bidi="ar-SA"/>
              </w:rPr>
              <w:t>达标情况</w:t>
            </w:r>
          </w:p>
        </w:tc>
      </w:tr>
      <w:tr w14:paraId="099A5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4" w:hRule="atLeast"/>
        </w:trPr>
        <w:tc>
          <w:tcPr>
            <w:tcW w:w="1067" w:type="dxa"/>
            <w:vMerge w:val="continue"/>
            <w:shd w:val="clear" w:color="auto" w:fill="FFFFFF"/>
            <w:noWrap w:val="0"/>
            <w:vAlign w:val="center"/>
          </w:tcPr>
          <w:p w14:paraId="4804AFB8">
            <w:pPr>
              <w:spacing w:line="360" w:lineRule="auto"/>
              <w:ind w:left="0" w:firstLine="0"/>
              <w:jc w:val="center"/>
              <w:rPr>
                <w:rFonts w:ascii="Times New Roman" w:hAnsi="Times New Roman" w:eastAsia="宋体" w:cs="Times New Roman"/>
                <w:b/>
                <w:bCs/>
                <w:sz w:val="21"/>
                <w:szCs w:val="21"/>
                <w:vertAlign w:val="baseline"/>
                <w:lang w:val="en-US" w:eastAsia="zh-CN" w:bidi="ar-SA"/>
              </w:rPr>
            </w:pPr>
          </w:p>
        </w:tc>
        <w:tc>
          <w:tcPr>
            <w:tcW w:w="2051" w:type="dxa"/>
            <w:vMerge w:val="continue"/>
            <w:shd w:val="clear" w:color="auto" w:fill="FFFFFF"/>
            <w:noWrap w:val="0"/>
            <w:vAlign w:val="center"/>
          </w:tcPr>
          <w:p w14:paraId="063C431E">
            <w:pPr>
              <w:spacing w:line="360" w:lineRule="auto"/>
              <w:ind w:left="0" w:firstLine="0"/>
              <w:jc w:val="center"/>
              <w:rPr>
                <w:rFonts w:ascii="Times New Roman" w:hAnsi="Times New Roman" w:eastAsia="宋体" w:cs="Times New Roman"/>
                <w:b/>
                <w:bCs/>
                <w:sz w:val="21"/>
                <w:szCs w:val="21"/>
                <w:vertAlign w:val="baseline"/>
                <w:lang w:val="en-US" w:eastAsia="zh-CN" w:bidi="ar-SA"/>
              </w:rPr>
            </w:pPr>
          </w:p>
        </w:tc>
        <w:tc>
          <w:tcPr>
            <w:tcW w:w="2345" w:type="dxa"/>
            <w:shd w:val="clear" w:color="auto" w:fill="FFFFFF"/>
            <w:noWrap w:val="0"/>
            <w:vAlign w:val="center"/>
          </w:tcPr>
          <w:p w14:paraId="37579685">
            <w:pPr>
              <w:spacing w:line="360" w:lineRule="auto"/>
              <w:ind w:left="0" w:firstLine="0"/>
              <w:jc w:val="center"/>
              <w:rPr>
                <w:rFonts w:ascii="Times New Roman" w:hAnsi="Times New Roman" w:eastAsia="宋体" w:cs="Times New Roman"/>
                <w:b/>
                <w:bCs/>
                <w:sz w:val="21"/>
                <w:szCs w:val="21"/>
                <w:vertAlign w:val="baseline"/>
                <w:lang w:val="en-US" w:eastAsia="zh-CN" w:bidi="ar-SA"/>
              </w:rPr>
            </w:pPr>
            <w:r>
              <w:rPr>
                <w:rFonts w:hint="eastAsia" w:ascii="Times New Roman" w:hAnsi="Times New Roman" w:eastAsia="宋体" w:cs="Times New Roman"/>
                <w:b/>
                <w:bCs/>
                <w:sz w:val="21"/>
                <w:szCs w:val="21"/>
                <w:vertAlign w:val="baseline"/>
                <w:lang w:val="en-US" w:eastAsia="zh-CN" w:bidi="ar-SA"/>
              </w:rPr>
              <w:t>厂区内1#表层样（TR01)</w:t>
            </w:r>
          </w:p>
        </w:tc>
        <w:tc>
          <w:tcPr>
            <w:tcW w:w="1494" w:type="dxa"/>
            <w:vMerge w:val="continue"/>
            <w:shd w:val="clear" w:color="auto" w:fill="FFFFFF"/>
            <w:noWrap w:val="0"/>
            <w:vAlign w:val="center"/>
          </w:tcPr>
          <w:p w14:paraId="5D253932">
            <w:pPr>
              <w:spacing w:line="360" w:lineRule="auto"/>
              <w:ind w:left="0" w:firstLine="0"/>
              <w:jc w:val="center"/>
              <w:rPr>
                <w:rFonts w:ascii="Times New Roman" w:hAnsi="Times New Roman" w:eastAsia="宋体" w:cs="Times New Roman"/>
                <w:b/>
                <w:bCs/>
                <w:sz w:val="21"/>
                <w:szCs w:val="21"/>
                <w:vertAlign w:val="baseline"/>
                <w:lang w:val="en-US" w:eastAsia="zh-CN" w:bidi="ar-SA"/>
              </w:rPr>
            </w:pPr>
          </w:p>
        </w:tc>
        <w:tc>
          <w:tcPr>
            <w:tcW w:w="1319" w:type="dxa"/>
            <w:vMerge w:val="continue"/>
            <w:shd w:val="clear" w:color="auto" w:fill="FFFFFF"/>
            <w:noWrap w:val="0"/>
            <w:vAlign w:val="center"/>
          </w:tcPr>
          <w:p w14:paraId="1E9AD530">
            <w:pPr>
              <w:spacing w:line="360" w:lineRule="auto"/>
              <w:ind w:left="0" w:firstLine="0"/>
              <w:jc w:val="center"/>
              <w:rPr>
                <w:rFonts w:ascii="Times New Roman" w:hAnsi="Times New Roman" w:eastAsia="宋体" w:cs="Times New Roman"/>
                <w:b/>
                <w:bCs/>
                <w:sz w:val="21"/>
                <w:szCs w:val="21"/>
                <w:vertAlign w:val="baseline"/>
                <w:lang w:val="en-US" w:eastAsia="zh-CN" w:bidi="ar-SA"/>
              </w:rPr>
            </w:pPr>
          </w:p>
        </w:tc>
      </w:tr>
      <w:tr w14:paraId="79E6A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37CE341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w:t>
            </w:r>
          </w:p>
        </w:tc>
        <w:tc>
          <w:tcPr>
            <w:tcW w:w="2051" w:type="dxa"/>
            <w:noWrap w:val="0"/>
            <w:vAlign w:val="center"/>
          </w:tcPr>
          <w:p w14:paraId="2B46C23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四氯化碳</w:t>
            </w:r>
          </w:p>
        </w:tc>
        <w:tc>
          <w:tcPr>
            <w:tcW w:w="2345" w:type="dxa"/>
            <w:noWrap w:val="0"/>
            <w:vAlign w:val="center"/>
          </w:tcPr>
          <w:p w14:paraId="640CEB4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0.0013</w:t>
            </w:r>
          </w:p>
        </w:tc>
        <w:tc>
          <w:tcPr>
            <w:tcW w:w="1494" w:type="dxa"/>
            <w:noWrap w:val="0"/>
            <w:vAlign w:val="center"/>
          </w:tcPr>
          <w:p w14:paraId="6E987C3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c>
          <w:tcPr>
            <w:tcW w:w="1319" w:type="dxa"/>
            <w:noWrap w:val="0"/>
            <w:vAlign w:val="center"/>
          </w:tcPr>
          <w:p w14:paraId="41E5818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03DCB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1246D16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w:t>
            </w:r>
          </w:p>
        </w:tc>
        <w:tc>
          <w:tcPr>
            <w:tcW w:w="2051" w:type="dxa"/>
            <w:noWrap w:val="0"/>
            <w:vAlign w:val="center"/>
          </w:tcPr>
          <w:p w14:paraId="5ADCC0F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氯仿</w:t>
            </w:r>
          </w:p>
        </w:tc>
        <w:tc>
          <w:tcPr>
            <w:tcW w:w="2345" w:type="dxa"/>
            <w:noWrap w:val="0"/>
            <w:vAlign w:val="center"/>
          </w:tcPr>
          <w:p w14:paraId="42FCF78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0.0011</w:t>
            </w:r>
          </w:p>
        </w:tc>
        <w:tc>
          <w:tcPr>
            <w:tcW w:w="1494" w:type="dxa"/>
            <w:noWrap w:val="0"/>
            <w:vAlign w:val="center"/>
          </w:tcPr>
          <w:p w14:paraId="67394A2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0.9</w:t>
            </w:r>
          </w:p>
        </w:tc>
        <w:tc>
          <w:tcPr>
            <w:tcW w:w="1319" w:type="dxa"/>
            <w:noWrap w:val="0"/>
            <w:vAlign w:val="center"/>
          </w:tcPr>
          <w:p w14:paraId="28B923C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6F58D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271BBE0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w:t>
            </w:r>
          </w:p>
        </w:tc>
        <w:tc>
          <w:tcPr>
            <w:tcW w:w="2051" w:type="dxa"/>
            <w:noWrap w:val="0"/>
            <w:vAlign w:val="center"/>
          </w:tcPr>
          <w:p w14:paraId="539C678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氯甲烷</w:t>
            </w:r>
          </w:p>
        </w:tc>
        <w:tc>
          <w:tcPr>
            <w:tcW w:w="2345" w:type="dxa"/>
            <w:noWrap w:val="0"/>
            <w:vAlign w:val="center"/>
          </w:tcPr>
          <w:p w14:paraId="1CA8159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w:t>
            </w:r>
          </w:p>
        </w:tc>
        <w:tc>
          <w:tcPr>
            <w:tcW w:w="1494" w:type="dxa"/>
            <w:noWrap w:val="0"/>
            <w:vAlign w:val="center"/>
          </w:tcPr>
          <w:p w14:paraId="5CE6240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37</w:t>
            </w:r>
          </w:p>
        </w:tc>
        <w:tc>
          <w:tcPr>
            <w:tcW w:w="1319" w:type="dxa"/>
            <w:noWrap w:val="0"/>
            <w:vAlign w:val="center"/>
          </w:tcPr>
          <w:p w14:paraId="47C4CCD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713D8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21C2C29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4</w:t>
            </w:r>
          </w:p>
        </w:tc>
        <w:tc>
          <w:tcPr>
            <w:tcW w:w="2051" w:type="dxa"/>
            <w:noWrap w:val="0"/>
            <w:vAlign w:val="center"/>
          </w:tcPr>
          <w:p w14:paraId="1B78255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1,1-二氯乙烷</w:t>
            </w:r>
          </w:p>
        </w:tc>
        <w:tc>
          <w:tcPr>
            <w:tcW w:w="2345" w:type="dxa"/>
            <w:noWrap w:val="0"/>
            <w:vAlign w:val="center"/>
          </w:tcPr>
          <w:p w14:paraId="7F09A38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w:t>
            </w:r>
          </w:p>
        </w:tc>
        <w:tc>
          <w:tcPr>
            <w:tcW w:w="1494" w:type="dxa"/>
            <w:noWrap w:val="0"/>
            <w:vAlign w:val="center"/>
          </w:tcPr>
          <w:p w14:paraId="04F468A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9</w:t>
            </w:r>
          </w:p>
        </w:tc>
        <w:tc>
          <w:tcPr>
            <w:tcW w:w="1319" w:type="dxa"/>
            <w:noWrap w:val="0"/>
            <w:vAlign w:val="center"/>
          </w:tcPr>
          <w:p w14:paraId="0FD9D1F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57CB6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630B606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5</w:t>
            </w:r>
          </w:p>
        </w:tc>
        <w:tc>
          <w:tcPr>
            <w:tcW w:w="2051" w:type="dxa"/>
            <w:noWrap w:val="0"/>
            <w:vAlign w:val="center"/>
          </w:tcPr>
          <w:p w14:paraId="37C4158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1,2-二氯乙烷</w:t>
            </w:r>
          </w:p>
        </w:tc>
        <w:tc>
          <w:tcPr>
            <w:tcW w:w="2345" w:type="dxa"/>
            <w:noWrap w:val="0"/>
            <w:vAlign w:val="center"/>
          </w:tcPr>
          <w:p w14:paraId="29F747A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2AA4CF0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w:t>
            </w:r>
          </w:p>
        </w:tc>
        <w:tc>
          <w:tcPr>
            <w:tcW w:w="1319" w:type="dxa"/>
            <w:noWrap w:val="0"/>
            <w:vAlign w:val="center"/>
          </w:tcPr>
          <w:p w14:paraId="2425964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1704C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54C0FCB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6</w:t>
            </w:r>
          </w:p>
        </w:tc>
        <w:tc>
          <w:tcPr>
            <w:tcW w:w="2051" w:type="dxa"/>
            <w:noWrap w:val="0"/>
            <w:vAlign w:val="center"/>
          </w:tcPr>
          <w:p w14:paraId="0438AAC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1,1-二氯乙烯</w:t>
            </w:r>
          </w:p>
        </w:tc>
        <w:tc>
          <w:tcPr>
            <w:tcW w:w="2345" w:type="dxa"/>
            <w:noWrap w:val="0"/>
            <w:vAlign w:val="center"/>
          </w:tcPr>
          <w:p w14:paraId="1DB5F20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w:t>
            </w:r>
          </w:p>
        </w:tc>
        <w:tc>
          <w:tcPr>
            <w:tcW w:w="1494" w:type="dxa"/>
            <w:noWrap w:val="0"/>
            <w:vAlign w:val="center"/>
          </w:tcPr>
          <w:p w14:paraId="0A92AA7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66</w:t>
            </w:r>
          </w:p>
        </w:tc>
        <w:tc>
          <w:tcPr>
            <w:tcW w:w="1319" w:type="dxa"/>
            <w:noWrap w:val="0"/>
            <w:vAlign w:val="center"/>
          </w:tcPr>
          <w:p w14:paraId="2BE4A02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5E959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66749C9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7</w:t>
            </w:r>
          </w:p>
        </w:tc>
        <w:tc>
          <w:tcPr>
            <w:tcW w:w="2051" w:type="dxa"/>
            <w:noWrap w:val="0"/>
            <w:vAlign w:val="center"/>
          </w:tcPr>
          <w:p w14:paraId="06EDA29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顺-1,2-二氯乙烯</w:t>
            </w:r>
          </w:p>
        </w:tc>
        <w:tc>
          <w:tcPr>
            <w:tcW w:w="2345" w:type="dxa"/>
            <w:noWrap w:val="0"/>
            <w:vAlign w:val="center"/>
          </w:tcPr>
          <w:p w14:paraId="0019BE7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0.0013</w:t>
            </w:r>
          </w:p>
        </w:tc>
        <w:tc>
          <w:tcPr>
            <w:tcW w:w="1494" w:type="dxa"/>
            <w:noWrap w:val="0"/>
            <w:vAlign w:val="center"/>
          </w:tcPr>
          <w:p w14:paraId="4C5AFB9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596</w:t>
            </w:r>
          </w:p>
        </w:tc>
        <w:tc>
          <w:tcPr>
            <w:tcW w:w="1319" w:type="dxa"/>
            <w:noWrap w:val="0"/>
            <w:vAlign w:val="center"/>
          </w:tcPr>
          <w:p w14:paraId="0DAD0B9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57F8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4A6262F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8</w:t>
            </w:r>
          </w:p>
        </w:tc>
        <w:tc>
          <w:tcPr>
            <w:tcW w:w="2051" w:type="dxa"/>
            <w:noWrap w:val="0"/>
            <w:vAlign w:val="center"/>
          </w:tcPr>
          <w:p w14:paraId="02A8254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反-1,2-二氯乙烯</w:t>
            </w:r>
          </w:p>
        </w:tc>
        <w:tc>
          <w:tcPr>
            <w:tcW w:w="2345" w:type="dxa"/>
            <w:noWrap w:val="0"/>
            <w:vAlign w:val="center"/>
          </w:tcPr>
          <w:p w14:paraId="2D85558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0.0014</w:t>
            </w:r>
          </w:p>
        </w:tc>
        <w:tc>
          <w:tcPr>
            <w:tcW w:w="1494" w:type="dxa"/>
            <w:noWrap w:val="0"/>
            <w:vAlign w:val="center"/>
          </w:tcPr>
          <w:p w14:paraId="1CB8214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54</w:t>
            </w:r>
          </w:p>
        </w:tc>
        <w:tc>
          <w:tcPr>
            <w:tcW w:w="1319" w:type="dxa"/>
            <w:noWrap w:val="0"/>
            <w:vAlign w:val="center"/>
          </w:tcPr>
          <w:p w14:paraId="05E7A7C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7FFC0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4456644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9</w:t>
            </w:r>
          </w:p>
        </w:tc>
        <w:tc>
          <w:tcPr>
            <w:tcW w:w="2051" w:type="dxa"/>
            <w:noWrap w:val="0"/>
            <w:vAlign w:val="center"/>
          </w:tcPr>
          <w:p w14:paraId="1FE8C73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二氯甲烷</w:t>
            </w:r>
          </w:p>
        </w:tc>
        <w:tc>
          <w:tcPr>
            <w:tcW w:w="2345" w:type="dxa"/>
            <w:noWrap w:val="0"/>
            <w:vAlign w:val="center"/>
          </w:tcPr>
          <w:p w14:paraId="1ED9E68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0.0015</w:t>
            </w:r>
          </w:p>
        </w:tc>
        <w:tc>
          <w:tcPr>
            <w:tcW w:w="1494" w:type="dxa"/>
            <w:noWrap w:val="0"/>
            <w:vAlign w:val="center"/>
          </w:tcPr>
          <w:p w14:paraId="5802C40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616</w:t>
            </w:r>
          </w:p>
        </w:tc>
        <w:tc>
          <w:tcPr>
            <w:tcW w:w="1319" w:type="dxa"/>
            <w:noWrap w:val="0"/>
            <w:vAlign w:val="center"/>
          </w:tcPr>
          <w:p w14:paraId="25546E6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6937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3A2A1C91">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w:t>
            </w:r>
            <w:r>
              <w:rPr>
                <w:rFonts w:hint="eastAsia" w:ascii="Times New Roman" w:hAnsi="Times New Roman" w:eastAsia="宋体" w:cs="Times New Roman"/>
                <w:b w:val="0"/>
                <w:bCs w:val="0"/>
                <w:sz w:val="21"/>
                <w:szCs w:val="21"/>
                <w:vertAlign w:val="baseline"/>
                <w:lang w:val="en-US" w:eastAsia="zh-CN" w:bidi="ar-SA"/>
              </w:rPr>
              <w:t>0</w:t>
            </w:r>
          </w:p>
        </w:tc>
        <w:tc>
          <w:tcPr>
            <w:tcW w:w="2051" w:type="dxa"/>
            <w:noWrap w:val="0"/>
            <w:vAlign w:val="center"/>
          </w:tcPr>
          <w:p w14:paraId="0113421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1,2-二氯丙烷</w:t>
            </w:r>
          </w:p>
        </w:tc>
        <w:tc>
          <w:tcPr>
            <w:tcW w:w="2345" w:type="dxa"/>
            <w:noWrap w:val="0"/>
            <w:vAlign w:val="center"/>
          </w:tcPr>
          <w:p w14:paraId="0E05765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0.0011</w:t>
            </w:r>
          </w:p>
        </w:tc>
        <w:tc>
          <w:tcPr>
            <w:tcW w:w="1494" w:type="dxa"/>
            <w:noWrap w:val="0"/>
            <w:vAlign w:val="center"/>
          </w:tcPr>
          <w:p w14:paraId="384827B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w:t>
            </w:r>
          </w:p>
        </w:tc>
        <w:tc>
          <w:tcPr>
            <w:tcW w:w="1319" w:type="dxa"/>
            <w:noWrap w:val="0"/>
            <w:vAlign w:val="center"/>
          </w:tcPr>
          <w:p w14:paraId="296A168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2A07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0" w:hRule="atLeast"/>
        </w:trPr>
        <w:tc>
          <w:tcPr>
            <w:tcW w:w="1067" w:type="dxa"/>
            <w:noWrap w:val="0"/>
            <w:vAlign w:val="center"/>
          </w:tcPr>
          <w:p w14:paraId="2794EA9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w:t>
            </w:r>
            <w:r>
              <w:rPr>
                <w:rFonts w:hint="eastAsia" w:ascii="Times New Roman" w:hAnsi="Times New Roman" w:eastAsia="宋体" w:cs="Times New Roman"/>
                <w:b w:val="0"/>
                <w:bCs w:val="0"/>
                <w:sz w:val="21"/>
                <w:szCs w:val="21"/>
                <w:vertAlign w:val="baseline"/>
                <w:lang w:val="en-US" w:eastAsia="zh-CN" w:bidi="ar-SA"/>
              </w:rPr>
              <w:t>1</w:t>
            </w:r>
          </w:p>
        </w:tc>
        <w:tc>
          <w:tcPr>
            <w:tcW w:w="2051" w:type="dxa"/>
            <w:noWrap w:val="0"/>
            <w:vAlign w:val="center"/>
          </w:tcPr>
          <w:p w14:paraId="1B7704F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1,1,1,2-四氯乙烷</w:t>
            </w:r>
          </w:p>
        </w:tc>
        <w:tc>
          <w:tcPr>
            <w:tcW w:w="2345" w:type="dxa"/>
            <w:noWrap w:val="0"/>
            <w:vAlign w:val="center"/>
          </w:tcPr>
          <w:p w14:paraId="64ECCA0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1CF61E9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10</w:t>
            </w:r>
          </w:p>
        </w:tc>
        <w:tc>
          <w:tcPr>
            <w:tcW w:w="1319" w:type="dxa"/>
            <w:noWrap w:val="0"/>
            <w:vAlign w:val="center"/>
          </w:tcPr>
          <w:p w14:paraId="68457FD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420FB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85" w:hRule="atLeast"/>
        </w:trPr>
        <w:tc>
          <w:tcPr>
            <w:tcW w:w="1067" w:type="dxa"/>
            <w:noWrap w:val="0"/>
            <w:vAlign w:val="center"/>
          </w:tcPr>
          <w:p w14:paraId="5BE71F8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w:t>
            </w:r>
            <w:r>
              <w:rPr>
                <w:rFonts w:hint="eastAsia" w:ascii="Times New Roman" w:hAnsi="Times New Roman" w:eastAsia="宋体" w:cs="Times New Roman"/>
                <w:b w:val="0"/>
                <w:bCs w:val="0"/>
                <w:sz w:val="21"/>
                <w:szCs w:val="21"/>
                <w:vertAlign w:val="baseline"/>
                <w:lang w:val="en-US" w:eastAsia="zh-CN" w:bidi="ar-SA"/>
              </w:rPr>
              <w:t>2</w:t>
            </w:r>
          </w:p>
        </w:tc>
        <w:tc>
          <w:tcPr>
            <w:tcW w:w="2051" w:type="dxa"/>
            <w:noWrap w:val="0"/>
            <w:vAlign w:val="center"/>
          </w:tcPr>
          <w:p w14:paraId="61A4C9B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1,1,2,2-四氯乙烷</w:t>
            </w:r>
          </w:p>
        </w:tc>
        <w:tc>
          <w:tcPr>
            <w:tcW w:w="2345" w:type="dxa"/>
            <w:noWrap w:val="0"/>
            <w:vAlign w:val="center"/>
          </w:tcPr>
          <w:p w14:paraId="3E94906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542BDAB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6.8</w:t>
            </w:r>
          </w:p>
        </w:tc>
        <w:tc>
          <w:tcPr>
            <w:tcW w:w="1319" w:type="dxa"/>
            <w:noWrap w:val="0"/>
            <w:vAlign w:val="center"/>
          </w:tcPr>
          <w:p w14:paraId="02AD5EC1">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2AF3B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6B63D5A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13</w:t>
            </w:r>
          </w:p>
        </w:tc>
        <w:tc>
          <w:tcPr>
            <w:tcW w:w="2051" w:type="dxa"/>
            <w:noWrap w:val="0"/>
            <w:vAlign w:val="center"/>
          </w:tcPr>
          <w:p w14:paraId="0FA5A8A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四氯乙烯</w:t>
            </w:r>
          </w:p>
        </w:tc>
        <w:tc>
          <w:tcPr>
            <w:tcW w:w="2345" w:type="dxa"/>
            <w:noWrap w:val="0"/>
            <w:vAlign w:val="center"/>
          </w:tcPr>
          <w:p w14:paraId="61E8552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0.0014</w:t>
            </w:r>
          </w:p>
        </w:tc>
        <w:tc>
          <w:tcPr>
            <w:tcW w:w="1494" w:type="dxa"/>
            <w:noWrap w:val="0"/>
            <w:vAlign w:val="center"/>
          </w:tcPr>
          <w:p w14:paraId="0C05263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53</w:t>
            </w:r>
          </w:p>
        </w:tc>
        <w:tc>
          <w:tcPr>
            <w:tcW w:w="1319" w:type="dxa"/>
            <w:noWrap w:val="0"/>
            <w:vAlign w:val="center"/>
          </w:tcPr>
          <w:p w14:paraId="061BE94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7E1DE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90" w:hRule="atLeast"/>
        </w:trPr>
        <w:tc>
          <w:tcPr>
            <w:tcW w:w="1067" w:type="dxa"/>
            <w:noWrap w:val="0"/>
            <w:vAlign w:val="center"/>
          </w:tcPr>
          <w:p w14:paraId="608FF5D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14</w:t>
            </w:r>
          </w:p>
        </w:tc>
        <w:tc>
          <w:tcPr>
            <w:tcW w:w="2051" w:type="dxa"/>
            <w:noWrap w:val="0"/>
            <w:vAlign w:val="center"/>
          </w:tcPr>
          <w:p w14:paraId="2A1EDC8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1,1,1-三氯乙烷</w:t>
            </w:r>
          </w:p>
        </w:tc>
        <w:tc>
          <w:tcPr>
            <w:tcW w:w="2345" w:type="dxa"/>
            <w:noWrap w:val="0"/>
            <w:vAlign w:val="center"/>
          </w:tcPr>
          <w:p w14:paraId="0D8726D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0.0013</w:t>
            </w:r>
          </w:p>
        </w:tc>
        <w:tc>
          <w:tcPr>
            <w:tcW w:w="1494" w:type="dxa"/>
            <w:noWrap w:val="0"/>
            <w:vAlign w:val="center"/>
          </w:tcPr>
          <w:p w14:paraId="2DF4530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840</w:t>
            </w:r>
          </w:p>
        </w:tc>
        <w:tc>
          <w:tcPr>
            <w:tcW w:w="1319" w:type="dxa"/>
            <w:noWrap w:val="0"/>
            <w:vAlign w:val="center"/>
          </w:tcPr>
          <w:p w14:paraId="2579187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6676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09" w:hRule="atLeast"/>
        </w:trPr>
        <w:tc>
          <w:tcPr>
            <w:tcW w:w="1067" w:type="dxa"/>
            <w:noWrap w:val="0"/>
            <w:vAlign w:val="center"/>
          </w:tcPr>
          <w:p w14:paraId="4B15DAB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15</w:t>
            </w:r>
          </w:p>
        </w:tc>
        <w:tc>
          <w:tcPr>
            <w:tcW w:w="2051" w:type="dxa"/>
            <w:noWrap w:val="0"/>
            <w:vAlign w:val="center"/>
          </w:tcPr>
          <w:p w14:paraId="4E7E24C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1,1,2-三氯乙烷</w:t>
            </w:r>
          </w:p>
        </w:tc>
        <w:tc>
          <w:tcPr>
            <w:tcW w:w="2345" w:type="dxa"/>
            <w:noWrap w:val="0"/>
            <w:vAlign w:val="center"/>
          </w:tcPr>
          <w:p w14:paraId="0F4038D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2478AA0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c>
          <w:tcPr>
            <w:tcW w:w="1319" w:type="dxa"/>
            <w:noWrap w:val="0"/>
            <w:vAlign w:val="center"/>
          </w:tcPr>
          <w:p w14:paraId="4DC8A0E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0C5AD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09" w:hRule="atLeast"/>
        </w:trPr>
        <w:tc>
          <w:tcPr>
            <w:tcW w:w="1067" w:type="dxa"/>
            <w:noWrap w:val="0"/>
            <w:vAlign w:val="center"/>
          </w:tcPr>
          <w:p w14:paraId="0241B6F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16</w:t>
            </w:r>
          </w:p>
        </w:tc>
        <w:tc>
          <w:tcPr>
            <w:tcW w:w="2051" w:type="dxa"/>
            <w:noWrap w:val="0"/>
            <w:vAlign w:val="center"/>
          </w:tcPr>
          <w:p w14:paraId="56F0A52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三氯乙烯</w:t>
            </w:r>
          </w:p>
        </w:tc>
        <w:tc>
          <w:tcPr>
            <w:tcW w:w="2345" w:type="dxa"/>
            <w:noWrap w:val="0"/>
            <w:vAlign w:val="center"/>
          </w:tcPr>
          <w:p w14:paraId="6874F1D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5FD4BAB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c>
          <w:tcPr>
            <w:tcW w:w="1319" w:type="dxa"/>
            <w:noWrap w:val="0"/>
            <w:vAlign w:val="center"/>
          </w:tcPr>
          <w:p w14:paraId="50F2BCD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3C655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85" w:hRule="atLeast"/>
        </w:trPr>
        <w:tc>
          <w:tcPr>
            <w:tcW w:w="1067" w:type="dxa"/>
            <w:noWrap w:val="0"/>
            <w:vAlign w:val="center"/>
          </w:tcPr>
          <w:p w14:paraId="4943E5F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17</w:t>
            </w:r>
          </w:p>
        </w:tc>
        <w:tc>
          <w:tcPr>
            <w:tcW w:w="2051" w:type="dxa"/>
            <w:noWrap w:val="0"/>
            <w:vAlign w:val="center"/>
          </w:tcPr>
          <w:p w14:paraId="69C4DF0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1,2,3-三氯丙烷</w:t>
            </w:r>
          </w:p>
        </w:tc>
        <w:tc>
          <w:tcPr>
            <w:tcW w:w="2345" w:type="dxa"/>
            <w:noWrap w:val="0"/>
            <w:vAlign w:val="center"/>
          </w:tcPr>
          <w:p w14:paraId="414C279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73C907F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0.5</w:t>
            </w:r>
          </w:p>
        </w:tc>
        <w:tc>
          <w:tcPr>
            <w:tcW w:w="1319" w:type="dxa"/>
            <w:noWrap w:val="0"/>
            <w:vAlign w:val="center"/>
          </w:tcPr>
          <w:p w14:paraId="0B5914B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6FB2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5" w:hRule="atLeast"/>
        </w:trPr>
        <w:tc>
          <w:tcPr>
            <w:tcW w:w="1067" w:type="dxa"/>
            <w:noWrap w:val="0"/>
            <w:vAlign w:val="center"/>
          </w:tcPr>
          <w:p w14:paraId="23A46F2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18</w:t>
            </w:r>
          </w:p>
        </w:tc>
        <w:tc>
          <w:tcPr>
            <w:tcW w:w="2051" w:type="dxa"/>
            <w:noWrap w:val="0"/>
            <w:vAlign w:val="center"/>
          </w:tcPr>
          <w:p w14:paraId="10DFA3F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氯乙烯</w:t>
            </w:r>
          </w:p>
        </w:tc>
        <w:tc>
          <w:tcPr>
            <w:tcW w:w="2345" w:type="dxa"/>
            <w:noWrap w:val="0"/>
            <w:vAlign w:val="center"/>
          </w:tcPr>
          <w:p w14:paraId="359EB2D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w:t>
            </w:r>
          </w:p>
        </w:tc>
        <w:tc>
          <w:tcPr>
            <w:tcW w:w="1494" w:type="dxa"/>
            <w:noWrap w:val="0"/>
            <w:vAlign w:val="center"/>
          </w:tcPr>
          <w:p w14:paraId="62DE9EC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0.43</w:t>
            </w:r>
          </w:p>
        </w:tc>
        <w:tc>
          <w:tcPr>
            <w:tcW w:w="1319" w:type="dxa"/>
            <w:noWrap w:val="0"/>
            <w:vAlign w:val="center"/>
          </w:tcPr>
          <w:p w14:paraId="467D45F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1D59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385DFBA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19</w:t>
            </w:r>
          </w:p>
        </w:tc>
        <w:tc>
          <w:tcPr>
            <w:tcW w:w="2051" w:type="dxa"/>
            <w:noWrap w:val="0"/>
            <w:vAlign w:val="center"/>
          </w:tcPr>
          <w:p w14:paraId="5DC0AF9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w:t>
            </w:r>
          </w:p>
        </w:tc>
        <w:tc>
          <w:tcPr>
            <w:tcW w:w="2345" w:type="dxa"/>
            <w:noWrap w:val="0"/>
            <w:vAlign w:val="center"/>
          </w:tcPr>
          <w:p w14:paraId="05AF2511">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0.0019</w:t>
            </w:r>
          </w:p>
        </w:tc>
        <w:tc>
          <w:tcPr>
            <w:tcW w:w="1494" w:type="dxa"/>
            <w:noWrap w:val="0"/>
            <w:vAlign w:val="center"/>
          </w:tcPr>
          <w:p w14:paraId="4191094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4</w:t>
            </w:r>
          </w:p>
        </w:tc>
        <w:tc>
          <w:tcPr>
            <w:tcW w:w="1319" w:type="dxa"/>
            <w:noWrap w:val="0"/>
            <w:vAlign w:val="center"/>
          </w:tcPr>
          <w:p w14:paraId="1D4F191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1E1E1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3DBB9E6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20</w:t>
            </w:r>
          </w:p>
        </w:tc>
        <w:tc>
          <w:tcPr>
            <w:tcW w:w="2051" w:type="dxa"/>
            <w:noWrap w:val="0"/>
            <w:vAlign w:val="center"/>
          </w:tcPr>
          <w:p w14:paraId="77CF881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氯苯</w:t>
            </w:r>
          </w:p>
        </w:tc>
        <w:tc>
          <w:tcPr>
            <w:tcW w:w="2345" w:type="dxa"/>
            <w:noWrap w:val="0"/>
            <w:vAlign w:val="center"/>
          </w:tcPr>
          <w:p w14:paraId="0565FC0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04D8384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270</w:t>
            </w:r>
          </w:p>
        </w:tc>
        <w:tc>
          <w:tcPr>
            <w:tcW w:w="1319" w:type="dxa"/>
            <w:noWrap w:val="0"/>
            <w:vAlign w:val="center"/>
          </w:tcPr>
          <w:p w14:paraId="0FD86EA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373E3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459CC8F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21</w:t>
            </w:r>
          </w:p>
        </w:tc>
        <w:tc>
          <w:tcPr>
            <w:tcW w:w="2051" w:type="dxa"/>
            <w:noWrap w:val="0"/>
            <w:vAlign w:val="center"/>
          </w:tcPr>
          <w:p w14:paraId="62A73D0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1,2-二氯苯</w:t>
            </w:r>
          </w:p>
        </w:tc>
        <w:tc>
          <w:tcPr>
            <w:tcW w:w="2345" w:type="dxa"/>
            <w:noWrap w:val="0"/>
            <w:vAlign w:val="center"/>
          </w:tcPr>
          <w:p w14:paraId="73BDB5A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0.0015</w:t>
            </w:r>
          </w:p>
        </w:tc>
        <w:tc>
          <w:tcPr>
            <w:tcW w:w="1494" w:type="dxa"/>
            <w:noWrap w:val="0"/>
            <w:vAlign w:val="center"/>
          </w:tcPr>
          <w:p w14:paraId="7D575DF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560</w:t>
            </w:r>
          </w:p>
        </w:tc>
        <w:tc>
          <w:tcPr>
            <w:tcW w:w="1319" w:type="dxa"/>
            <w:noWrap w:val="0"/>
            <w:vAlign w:val="center"/>
          </w:tcPr>
          <w:p w14:paraId="7BA08BD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35CD8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7F84642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22</w:t>
            </w:r>
          </w:p>
        </w:tc>
        <w:tc>
          <w:tcPr>
            <w:tcW w:w="2051" w:type="dxa"/>
            <w:noWrap w:val="0"/>
            <w:vAlign w:val="center"/>
          </w:tcPr>
          <w:p w14:paraId="22206E66">
            <w:pPr>
              <w:pStyle w:val="421"/>
              <w:spacing w:before="33"/>
              <w:ind w:left="136" w:right="129" w:firstLine="42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sz w:val="21"/>
                <w:szCs w:val="21"/>
              </w:rPr>
              <w:t>1,4-二氯苯</w:t>
            </w:r>
          </w:p>
        </w:tc>
        <w:tc>
          <w:tcPr>
            <w:tcW w:w="2345" w:type="dxa"/>
            <w:noWrap w:val="0"/>
            <w:vAlign w:val="center"/>
          </w:tcPr>
          <w:p w14:paraId="67DD644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0.0015</w:t>
            </w:r>
          </w:p>
        </w:tc>
        <w:tc>
          <w:tcPr>
            <w:tcW w:w="1494" w:type="dxa"/>
            <w:noWrap w:val="0"/>
            <w:vAlign w:val="center"/>
          </w:tcPr>
          <w:p w14:paraId="1661E0C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20</w:t>
            </w:r>
          </w:p>
        </w:tc>
        <w:tc>
          <w:tcPr>
            <w:tcW w:w="1319" w:type="dxa"/>
            <w:noWrap w:val="0"/>
            <w:vAlign w:val="center"/>
          </w:tcPr>
          <w:p w14:paraId="7FF32FA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1979A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141D923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w:t>
            </w:r>
            <w:r>
              <w:rPr>
                <w:rFonts w:ascii="Times New Roman" w:hAnsi="Times New Roman" w:eastAsia="宋体" w:cs="Times New Roman"/>
                <w:b w:val="0"/>
                <w:bCs w:val="0"/>
                <w:sz w:val="21"/>
                <w:szCs w:val="21"/>
                <w:vertAlign w:val="baseline"/>
                <w:lang w:val="en-US" w:eastAsia="zh-CN" w:bidi="ar-SA"/>
              </w:rPr>
              <w:t>3</w:t>
            </w:r>
          </w:p>
        </w:tc>
        <w:tc>
          <w:tcPr>
            <w:tcW w:w="2051" w:type="dxa"/>
            <w:noWrap w:val="0"/>
            <w:vAlign w:val="center"/>
          </w:tcPr>
          <w:p w14:paraId="013920FF">
            <w:pPr>
              <w:pStyle w:val="421"/>
              <w:spacing w:before="34"/>
              <w:ind w:left="136" w:right="131" w:firstLine="420"/>
              <w:jc w:val="center"/>
              <w:rPr>
                <w:rFonts w:ascii="Times New Roman" w:hAnsi="Times New Roman" w:eastAsia="宋体" w:cs="Times New Roman"/>
                <w:b w:val="0"/>
                <w:bCs w:val="0"/>
                <w:sz w:val="21"/>
                <w:szCs w:val="21"/>
                <w:vertAlign w:val="baseline"/>
                <w:lang w:val="en-US" w:eastAsia="zh-CN"/>
              </w:rPr>
            </w:pPr>
            <w:r>
              <w:rPr>
                <w:rFonts w:ascii="Times New Roman" w:hAnsi="Times New Roman" w:eastAsia="宋体" w:cs="Times New Roman"/>
                <w:sz w:val="21"/>
                <w:szCs w:val="21"/>
              </w:rPr>
              <w:t>乙苯</w:t>
            </w:r>
          </w:p>
        </w:tc>
        <w:tc>
          <w:tcPr>
            <w:tcW w:w="2345" w:type="dxa"/>
            <w:noWrap w:val="0"/>
            <w:vAlign w:val="center"/>
          </w:tcPr>
          <w:p w14:paraId="735C667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535259C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28</w:t>
            </w:r>
          </w:p>
        </w:tc>
        <w:tc>
          <w:tcPr>
            <w:tcW w:w="1319" w:type="dxa"/>
            <w:noWrap w:val="0"/>
            <w:vAlign w:val="center"/>
          </w:tcPr>
          <w:p w14:paraId="5A8E3EE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5CC27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0539BC3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24</w:t>
            </w:r>
          </w:p>
        </w:tc>
        <w:tc>
          <w:tcPr>
            <w:tcW w:w="2051" w:type="dxa"/>
            <w:noWrap w:val="0"/>
            <w:vAlign w:val="center"/>
          </w:tcPr>
          <w:p w14:paraId="5CA340EF">
            <w:pPr>
              <w:pStyle w:val="421"/>
              <w:spacing w:before="34"/>
              <w:ind w:left="136" w:right="126"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t>苯乙烯</w:t>
            </w:r>
          </w:p>
        </w:tc>
        <w:tc>
          <w:tcPr>
            <w:tcW w:w="2345" w:type="dxa"/>
            <w:noWrap w:val="0"/>
            <w:vAlign w:val="center"/>
          </w:tcPr>
          <w:p w14:paraId="130D93D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0.0011</w:t>
            </w:r>
          </w:p>
        </w:tc>
        <w:tc>
          <w:tcPr>
            <w:tcW w:w="1494" w:type="dxa"/>
            <w:noWrap w:val="0"/>
            <w:vAlign w:val="center"/>
          </w:tcPr>
          <w:p w14:paraId="226F82D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1290</w:t>
            </w:r>
          </w:p>
        </w:tc>
        <w:tc>
          <w:tcPr>
            <w:tcW w:w="1319" w:type="dxa"/>
            <w:noWrap w:val="0"/>
            <w:vAlign w:val="center"/>
          </w:tcPr>
          <w:p w14:paraId="1659AA81">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7B1F6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7D3BE19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25</w:t>
            </w:r>
          </w:p>
        </w:tc>
        <w:tc>
          <w:tcPr>
            <w:tcW w:w="2051" w:type="dxa"/>
            <w:noWrap w:val="0"/>
            <w:vAlign w:val="center"/>
          </w:tcPr>
          <w:p w14:paraId="38282F19">
            <w:pPr>
              <w:pStyle w:val="421"/>
              <w:spacing w:before="34"/>
              <w:ind w:left="136" w:right="131"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t>甲苯</w:t>
            </w:r>
          </w:p>
        </w:tc>
        <w:tc>
          <w:tcPr>
            <w:tcW w:w="2345" w:type="dxa"/>
            <w:noWrap w:val="0"/>
            <w:vAlign w:val="center"/>
          </w:tcPr>
          <w:p w14:paraId="43441E6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0.0013</w:t>
            </w:r>
          </w:p>
        </w:tc>
        <w:tc>
          <w:tcPr>
            <w:tcW w:w="1494" w:type="dxa"/>
            <w:noWrap w:val="0"/>
            <w:vAlign w:val="center"/>
          </w:tcPr>
          <w:p w14:paraId="72789E2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1200</w:t>
            </w:r>
          </w:p>
        </w:tc>
        <w:tc>
          <w:tcPr>
            <w:tcW w:w="1319" w:type="dxa"/>
            <w:noWrap w:val="0"/>
            <w:vAlign w:val="center"/>
          </w:tcPr>
          <w:p w14:paraId="66CA0F4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713D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57BAC46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26</w:t>
            </w:r>
          </w:p>
        </w:tc>
        <w:tc>
          <w:tcPr>
            <w:tcW w:w="2051" w:type="dxa"/>
            <w:noWrap w:val="0"/>
            <w:vAlign w:val="center"/>
          </w:tcPr>
          <w:p w14:paraId="1F59B0EB">
            <w:pPr>
              <w:pStyle w:val="421"/>
              <w:spacing w:before="35"/>
              <w:ind w:left="0" w:right="131"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间二甲苯+对二甲苯</w:t>
            </w:r>
          </w:p>
        </w:tc>
        <w:tc>
          <w:tcPr>
            <w:tcW w:w="2345" w:type="dxa"/>
            <w:noWrap w:val="0"/>
            <w:vAlign w:val="center"/>
          </w:tcPr>
          <w:p w14:paraId="46C3BF5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5B8C431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570</w:t>
            </w:r>
          </w:p>
        </w:tc>
        <w:tc>
          <w:tcPr>
            <w:tcW w:w="1319" w:type="dxa"/>
            <w:noWrap w:val="0"/>
            <w:vAlign w:val="center"/>
          </w:tcPr>
          <w:p w14:paraId="1D62EA3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1EBC6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45C4CFB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27</w:t>
            </w:r>
          </w:p>
        </w:tc>
        <w:tc>
          <w:tcPr>
            <w:tcW w:w="2051" w:type="dxa"/>
            <w:noWrap w:val="0"/>
            <w:vAlign w:val="center"/>
          </w:tcPr>
          <w:p w14:paraId="740FF32A">
            <w:pPr>
              <w:pStyle w:val="421"/>
              <w:spacing w:before="35"/>
              <w:ind w:left="136" w:right="131"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t>邻二甲苯</w:t>
            </w:r>
          </w:p>
        </w:tc>
        <w:tc>
          <w:tcPr>
            <w:tcW w:w="2345" w:type="dxa"/>
            <w:noWrap w:val="0"/>
            <w:vAlign w:val="center"/>
          </w:tcPr>
          <w:p w14:paraId="24311A7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0.0012</w:t>
            </w:r>
          </w:p>
        </w:tc>
        <w:tc>
          <w:tcPr>
            <w:tcW w:w="1494" w:type="dxa"/>
            <w:noWrap w:val="0"/>
            <w:vAlign w:val="center"/>
          </w:tcPr>
          <w:p w14:paraId="3291B43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640</w:t>
            </w:r>
          </w:p>
        </w:tc>
        <w:tc>
          <w:tcPr>
            <w:tcW w:w="1319" w:type="dxa"/>
            <w:noWrap w:val="0"/>
            <w:vAlign w:val="center"/>
          </w:tcPr>
          <w:p w14:paraId="719BFF5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08278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7DFCE5A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28</w:t>
            </w:r>
          </w:p>
        </w:tc>
        <w:tc>
          <w:tcPr>
            <w:tcW w:w="2051" w:type="dxa"/>
            <w:noWrap w:val="0"/>
            <w:vAlign w:val="center"/>
          </w:tcPr>
          <w:p w14:paraId="43DC756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硝基苯</w:t>
            </w:r>
          </w:p>
        </w:tc>
        <w:tc>
          <w:tcPr>
            <w:tcW w:w="2345" w:type="dxa"/>
            <w:noWrap w:val="0"/>
            <w:vAlign w:val="center"/>
          </w:tcPr>
          <w:p w14:paraId="660C5A8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0.09</w:t>
            </w:r>
          </w:p>
        </w:tc>
        <w:tc>
          <w:tcPr>
            <w:tcW w:w="1494" w:type="dxa"/>
            <w:noWrap w:val="0"/>
            <w:vAlign w:val="center"/>
          </w:tcPr>
          <w:p w14:paraId="7D8E76B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76</w:t>
            </w:r>
          </w:p>
        </w:tc>
        <w:tc>
          <w:tcPr>
            <w:tcW w:w="1319" w:type="dxa"/>
            <w:noWrap w:val="0"/>
            <w:vAlign w:val="center"/>
          </w:tcPr>
          <w:p w14:paraId="704EF431">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5F36E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3B1B786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29</w:t>
            </w:r>
          </w:p>
        </w:tc>
        <w:tc>
          <w:tcPr>
            <w:tcW w:w="2051" w:type="dxa"/>
            <w:noWrap w:val="0"/>
            <w:vAlign w:val="center"/>
          </w:tcPr>
          <w:p w14:paraId="2C1BAAC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苯胺</w:t>
            </w:r>
          </w:p>
        </w:tc>
        <w:tc>
          <w:tcPr>
            <w:tcW w:w="2345" w:type="dxa"/>
            <w:noWrap w:val="0"/>
            <w:vAlign w:val="center"/>
          </w:tcPr>
          <w:p w14:paraId="7D75E9FE">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0.2</w:t>
            </w:r>
          </w:p>
        </w:tc>
        <w:tc>
          <w:tcPr>
            <w:tcW w:w="1494" w:type="dxa"/>
            <w:noWrap w:val="0"/>
            <w:vAlign w:val="center"/>
          </w:tcPr>
          <w:p w14:paraId="2E9332E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260</w:t>
            </w:r>
          </w:p>
        </w:tc>
        <w:tc>
          <w:tcPr>
            <w:tcW w:w="1319" w:type="dxa"/>
            <w:noWrap w:val="0"/>
            <w:vAlign w:val="center"/>
          </w:tcPr>
          <w:p w14:paraId="3F46BD6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2B4BA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085C8AF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w:t>
            </w:r>
            <w:r>
              <w:rPr>
                <w:rFonts w:hint="eastAsia" w:ascii="Times New Roman" w:hAnsi="Times New Roman" w:eastAsia="宋体" w:cs="Times New Roman"/>
                <w:b w:val="0"/>
                <w:bCs w:val="0"/>
                <w:sz w:val="21"/>
                <w:szCs w:val="21"/>
                <w:vertAlign w:val="baseline"/>
                <w:lang w:val="en-US" w:eastAsia="zh-CN" w:bidi="ar-SA"/>
              </w:rPr>
              <w:t>0</w:t>
            </w:r>
          </w:p>
        </w:tc>
        <w:tc>
          <w:tcPr>
            <w:tcW w:w="2051" w:type="dxa"/>
            <w:noWrap w:val="0"/>
            <w:vAlign w:val="center"/>
          </w:tcPr>
          <w:p w14:paraId="1E4B312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2-氯酚</w:t>
            </w:r>
          </w:p>
        </w:tc>
        <w:tc>
          <w:tcPr>
            <w:tcW w:w="2345" w:type="dxa"/>
            <w:noWrap w:val="0"/>
            <w:vAlign w:val="center"/>
          </w:tcPr>
          <w:p w14:paraId="224EA73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0.06</w:t>
            </w:r>
          </w:p>
        </w:tc>
        <w:tc>
          <w:tcPr>
            <w:tcW w:w="1494" w:type="dxa"/>
            <w:noWrap w:val="0"/>
            <w:vAlign w:val="center"/>
          </w:tcPr>
          <w:p w14:paraId="7C23D08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2256</w:t>
            </w:r>
          </w:p>
        </w:tc>
        <w:tc>
          <w:tcPr>
            <w:tcW w:w="1319" w:type="dxa"/>
            <w:noWrap w:val="0"/>
            <w:vAlign w:val="center"/>
          </w:tcPr>
          <w:p w14:paraId="519DAE0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5E9A7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75592B2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3</w:t>
            </w:r>
            <w:r>
              <w:rPr>
                <w:rFonts w:hint="eastAsia" w:ascii="Times New Roman" w:hAnsi="Times New Roman" w:eastAsia="宋体" w:cs="Times New Roman"/>
                <w:b w:val="0"/>
                <w:bCs w:val="0"/>
                <w:sz w:val="21"/>
                <w:szCs w:val="21"/>
                <w:vertAlign w:val="baseline"/>
                <w:lang w:val="en-US" w:eastAsia="zh-CN" w:bidi="ar-SA"/>
              </w:rPr>
              <w:t>1</w:t>
            </w:r>
          </w:p>
        </w:tc>
        <w:tc>
          <w:tcPr>
            <w:tcW w:w="2051" w:type="dxa"/>
            <w:noWrap w:val="0"/>
            <w:vAlign w:val="center"/>
          </w:tcPr>
          <w:p w14:paraId="103D0C86">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苯并[a]蒽</w:t>
            </w:r>
          </w:p>
        </w:tc>
        <w:tc>
          <w:tcPr>
            <w:tcW w:w="2345" w:type="dxa"/>
            <w:noWrap w:val="0"/>
            <w:vAlign w:val="center"/>
          </w:tcPr>
          <w:p w14:paraId="760D83C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0.1</w:t>
            </w:r>
          </w:p>
        </w:tc>
        <w:tc>
          <w:tcPr>
            <w:tcW w:w="1494" w:type="dxa"/>
            <w:noWrap w:val="0"/>
            <w:vAlign w:val="center"/>
          </w:tcPr>
          <w:p w14:paraId="2068DB1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c>
          <w:tcPr>
            <w:tcW w:w="1319" w:type="dxa"/>
            <w:noWrap w:val="0"/>
            <w:vAlign w:val="center"/>
          </w:tcPr>
          <w:p w14:paraId="2E0C57D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1A7F0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6662C20F">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32</w:t>
            </w:r>
          </w:p>
        </w:tc>
        <w:tc>
          <w:tcPr>
            <w:tcW w:w="2051" w:type="dxa"/>
            <w:noWrap w:val="0"/>
            <w:vAlign w:val="center"/>
          </w:tcPr>
          <w:p w14:paraId="7AAC0D8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苯并[a]芘</w:t>
            </w:r>
          </w:p>
        </w:tc>
        <w:tc>
          <w:tcPr>
            <w:tcW w:w="2345" w:type="dxa"/>
            <w:noWrap w:val="0"/>
            <w:vAlign w:val="center"/>
          </w:tcPr>
          <w:p w14:paraId="18289DF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0.1</w:t>
            </w:r>
          </w:p>
        </w:tc>
        <w:tc>
          <w:tcPr>
            <w:tcW w:w="1494" w:type="dxa"/>
            <w:noWrap w:val="0"/>
            <w:vAlign w:val="center"/>
          </w:tcPr>
          <w:p w14:paraId="17A6A687">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c>
          <w:tcPr>
            <w:tcW w:w="1319" w:type="dxa"/>
            <w:noWrap w:val="0"/>
            <w:vAlign w:val="center"/>
          </w:tcPr>
          <w:p w14:paraId="5B4CC65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7FEC5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6FC4321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33</w:t>
            </w:r>
          </w:p>
        </w:tc>
        <w:tc>
          <w:tcPr>
            <w:tcW w:w="2051" w:type="dxa"/>
            <w:noWrap w:val="0"/>
            <w:vAlign w:val="center"/>
          </w:tcPr>
          <w:p w14:paraId="460D51E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苯并[b]荧蒽</w:t>
            </w:r>
          </w:p>
        </w:tc>
        <w:tc>
          <w:tcPr>
            <w:tcW w:w="2345" w:type="dxa"/>
            <w:noWrap w:val="0"/>
            <w:vAlign w:val="center"/>
          </w:tcPr>
          <w:p w14:paraId="382F032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0.2</w:t>
            </w:r>
          </w:p>
        </w:tc>
        <w:tc>
          <w:tcPr>
            <w:tcW w:w="1494" w:type="dxa"/>
            <w:noWrap w:val="0"/>
            <w:vAlign w:val="center"/>
          </w:tcPr>
          <w:p w14:paraId="7F711C6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c>
          <w:tcPr>
            <w:tcW w:w="1319" w:type="dxa"/>
            <w:noWrap w:val="0"/>
            <w:vAlign w:val="center"/>
          </w:tcPr>
          <w:p w14:paraId="30297D3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0232F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173E671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34</w:t>
            </w:r>
          </w:p>
        </w:tc>
        <w:tc>
          <w:tcPr>
            <w:tcW w:w="2051" w:type="dxa"/>
            <w:noWrap w:val="0"/>
            <w:vAlign w:val="center"/>
          </w:tcPr>
          <w:p w14:paraId="7AFEAA5D">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苯并[k]荧蒽</w:t>
            </w:r>
          </w:p>
        </w:tc>
        <w:tc>
          <w:tcPr>
            <w:tcW w:w="2345" w:type="dxa"/>
            <w:noWrap w:val="0"/>
            <w:vAlign w:val="center"/>
          </w:tcPr>
          <w:p w14:paraId="725676C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0.1</w:t>
            </w:r>
          </w:p>
        </w:tc>
        <w:tc>
          <w:tcPr>
            <w:tcW w:w="1494" w:type="dxa"/>
            <w:noWrap w:val="0"/>
            <w:vAlign w:val="center"/>
          </w:tcPr>
          <w:p w14:paraId="63CB03D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151</w:t>
            </w:r>
          </w:p>
        </w:tc>
        <w:tc>
          <w:tcPr>
            <w:tcW w:w="1319" w:type="dxa"/>
            <w:noWrap w:val="0"/>
            <w:vAlign w:val="center"/>
          </w:tcPr>
          <w:p w14:paraId="03D09CD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6BD0A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241769A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35</w:t>
            </w:r>
          </w:p>
        </w:tc>
        <w:tc>
          <w:tcPr>
            <w:tcW w:w="2051" w:type="dxa"/>
            <w:noWrap w:val="0"/>
            <w:vAlign w:val="center"/>
          </w:tcPr>
          <w:p w14:paraId="772CEB2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䓛</w:t>
            </w:r>
          </w:p>
        </w:tc>
        <w:tc>
          <w:tcPr>
            <w:tcW w:w="2345" w:type="dxa"/>
            <w:noWrap w:val="0"/>
            <w:vAlign w:val="center"/>
          </w:tcPr>
          <w:p w14:paraId="3212B835">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0.1</w:t>
            </w:r>
          </w:p>
        </w:tc>
        <w:tc>
          <w:tcPr>
            <w:tcW w:w="1494" w:type="dxa"/>
            <w:noWrap w:val="0"/>
            <w:vAlign w:val="center"/>
          </w:tcPr>
          <w:p w14:paraId="4DA1B8B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1293</w:t>
            </w:r>
          </w:p>
        </w:tc>
        <w:tc>
          <w:tcPr>
            <w:tcW w:w="1319" w:type="dxa"/>
            <w:noWrap w:val="0"/>
            <w:vAlign w:val="center"/>
          </w:tcPr>
          <w:p w14:paraId="5B2A657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7B02C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74AED582">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36</w:t>
            </w:r>
          </w:p>
        </w:tc>
        <w:tc>
          <w:tcPr>
            <w:tcW w:w="2051" w:type="dxa"/>
            <w:noWrap w:val="0"/>
            <w:vAlign w:val="center"/>
          </w:tcPr>
          <w:p w14:paraId="346EAC2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二苯并[a，h]蒽</w:t>
            </w:r>
          </w:p>
        </w:tc>
        <w:tc>
          <w:tcPr>
            <w:tcW w:w="2345" w:type="dxa"/>
            <w:noWrap w:val="0"/>
            <w:vAlign w:val="center"/>
          </w:tcPr>
          <w:p w14:paraId="4B3B8108">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0.1</w:t>
            </w:r>
          </w:p>
        </w:tc>
        <w:tc>
          <w:tcPr>
            <w:tcW w:w="1494" w:type="dxa"/>
            <w:noWrap w:val="0"/>
            <w:vAlign w:val="center"/>
          </w:tcPr>
          <w:p w14:paraId="3DA7D55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c>
          <w:tcPr>
            <w:tcW w:w="1319" w:type="dxa"/>
            <w:noWrap w:val="0"/>
            <w:vAlign w:val="center"/>
          </w:tcPr>
          <w:p w14:paraId="5C0C2EE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4E153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3C99BA8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37</w:t>
            </w:r>
          </w:p>
        </w:tc>
        <w:tc>
          <w:tcPr>
            <w:tcW w:w="2051" w:type="dxa"/>
            <w:noWrap w:val="0"/>
            <w:vAlign w:val="center"/>
          </w:tcPr>
          <w:p w14:paraId="1091EA7A">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茚并[1,2,3-cd]芘</w:t>
            </w:r>
          </w:p>
        </w:tc>
        <w:tc>
          <w:tcPr>
            <w:tcW w:w="2345" w:type="dxa"/>
            <w:noWrap w:val="0"/>
            <w:vAlign w:val="center"/>
          </w:tcPr>
          <w:p w14:paraId="43747BFC">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0.1</w:t>
            </w:r>
          </w:p>
        </w:tc>
        <w:tc>
          <w:tcPr>
            <w:tcW w:w="1494" w:type="dxa"/>
            <w:noWrap w:val="0"/>
            <w:vAlign w:val="center"/>
          </w:tcPr>
          <w:p w14:paraId="6099FE3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15</w:t>
            </w:r>
          </w:p>
        </w:tc>
        <w:tc>
          <w:tcPr>
            <w:tcW w:w="1319" w:type="dxa"/>
            <w:noWrap w:val="0"/>
            <w:vAlign w:val="center"/>
          </w:tcPr>
          <w:p w14:paraId="3DA9DBD4">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r w14:paraId="448B4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8" w:hRule="atLeast"/>
        </w:trPr>
        <w:tc>
          <w:tcPr>
            <w:tcW w:w="1067" w:type="dxa"/>
            <w:noWrap w:val="0"/>
            <w:vAlign w:val="center"/>
          </w:tcPr>
          <w:p w14:paraId="0F8AFE13">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38</w:t>
            </w:r>
          </w:p>
        </w:tc>
        <w:tc>
          <w:tcPr>
            <w:tcW w:w="2051" w:type="dxa"/>
            <w:noWrap w:val="0"/>
            <w:vAlign w:val="center"/>
          </w:tcPr>
          <w:p w14:paraId="29BBED20">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萘</w:t>
            </w:r>
          </w:p>
        </w:tc>
        <w:tc>
          <w:tcPr>
            <w:tcW w:w="2345" w:type="dxa"/>
            <w:noWrap w:val="0"/>
            <w:vAlign w:val="center"/>
          </w:tcPr>
          <w:p w14:paraId="096DCA9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0.09</w:t>
            </w:r>
          </w:p>
        </w:tc>
        <w:tc>
          <w:tcPr>
            <w:tcW w:w="1494" w:type="dxa"/>
            <w:noWrap w:val="0"/>
            <w:vAlign w:val="center"/>
          </w:tcPr>
          <w:p w14:paraId="5BBCEF6B">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ascii="Times New Roman" w:hAnsi="Times New Roman" w:eastAsia="宋体" w:cs="Times New Roman"/>
                <w:b w:val="0"/>
                <w:bCs w:val="0"/>
                <w:sz w:val="21"/>
                <w:szCs w:val="21"/>
                <w:vertAlign w:val="baseline"/>
                <w:lang w:val="en-US" w:eastAsia="zh-CN" w:bidi="ar-SA"/>
              </w:rPr>
              <w:t>70</w:t>
            </w:r>
          </w:p>
        </w:tc>
        <w:tc>
          <w:tcPr>
            <w:tcW w:w="1319" w:type="dxa"/>
            <w:noWrap w:val="0"/>
            <w:vAlign w:val="center"/>
          </w:tcPr>
          <w:p w14:paraId="16FC9F09">
            <w:pPr>
              <w:spacing w:line="360" w:lineRule="auto"/>
              <w:ind w:left="0" w:firstLine="0"/>
              <w:jc w:val="center"/>
              <w:rPr>
                <w:rFonts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达标</w:t>
            </w:r>
          </w:p>
        </w:tc>
      </w:tr>
    </w:tbl>
    <w:p w14:paraId="670622B6">
      <w:pPr>
        <w:pStyle w:val="2"/>
      </w:pPr>
    </w:p>
    <w:p w14:paraId="03AA150A">
      <w:pPr>
        <w:pStyle w:val="2"/>
      </w:pPr>
    </w:p>
    <w:p w14:paraId="3D892C81">
      <w:pPr>
        <w:pStyle w:val="2"/>
        <w:sectPr>
          <w:headerReference r:id="rId15" w:type="default"/>
          <w:footerReference r:id="rId16" w:type="default"/>
          <w:pgSz w:w="11906" w:h="16838" w:orient="landscape"/>
          <w:pgMar w:top="1440" w:right="1797" w:bottom="1440" w:left="1797" w:header="850" w:footer="992" w:gutter="0"/>
          <w:pgNumType w:start="1"/>
          <w:cols w:space="1701" w:num="1"/>
        </w:sectPr>
      </w:pPr>
    </w:p>
    <w:p w14:paraId="22F11454">
      <w:pPr>
        <w:pStyle w:val="219"/>
        <w:spacing w:before="4"/>
        <w:jc w:val="center"/>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t>表5.4-</w:t>
      </w:r>
      <w:r>
        <w:rPr>
          <w:rFonts w:hint="eastAsia" w:ascii="Times New Roman" w:hAnsi="Times New Roman" w:cs="Times New Roman"/>
          <w:b/>
          <w:bCs/>
          <w:sz w:val="24"/>
          <w:szCs w:val="24"/>
          <w:lang w:val="en-US" w:eastAsia="zh-CN"/>
        </w:rPr>
        <w:t>7</w:t>
      </w:r>
      <w:r>
        <w:rPr>
          <w:rFonts w:ascii="Times New Roman" w:hAnsi="Times New Roman" w:cs="Times New Roman"/>
          <w:b/>
          <w:bCs/>
          <w:sz w:val="24"/>
          <w:szCs w:val="24"/>
          <w:lang w:val="en-US" w:eastAsia="zh-CN"/>
        </w:rPr>
        <w:t>土壤样品监测结果分析</w:t>
      </w:r>
      <w:r>
        <w:rPr>
          <w:rFonts w:hint="eastAsia" w:ascii="Times New Roman" w:hAnsi="Times New Roman" w:cs="Times New Roman"/>
          <w:b/>
          <w:bCs/>
          <w:sz w:val="24"/>
          <w:szCs w:val="24"/>
          <w:lang w:val="en-US" w:eastAsia="zh-CN"/>
        </w:rPr>
        <w:t xml:space="preserve">  </w:t>
      </w:r>
      <w:r>
        <w:rPr>
          <w:rFonts w:hint="eastAsia" w:eastAsia="宋体"/>
          <w:b/>
          <w:sz w:val="24"/>
          <w:lang w:val="en-US" w:eastAsia="zh-CN"/>
        </w:rPr>
        <w:t>单位：mg/kg</w:t>
      </w:r>
    </w:p>
    <w:tbl>
      <w:tblPr>
        <w:tblStyle w:val="258"/>
        <w:tblW w:w="143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758"/>
        <w:gridCol w:w="830"/>
        <w:gridCol w:w="866"/>
        <w:gridCol w:w="790"/>
        <w:gridCol w:w="770"/>
        <w:gridCol w:w="880"/>
        <w:gridCol w:w="860"/>
        <w:gridCol w:w="850"/>
        <w:gridCol w:w="860"/>
        <w:gridCol w:w="810"/>
        <w:gridCol w:w="910"/>
        <w:gridCol w:w="830"/>
        <w:gridCol w:w="853"/>
        <w:gridCol w:w="727"/>
        <w:gridCol w:w="710"/>
        <w:gridCol w:w="700"/>
        <w:gridCol w:w="720"/>
      </w:tblGrid>
      <w:tr w14:paraId="08911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vMerge w:val="restart"/>
            <w:noWrap w:val="0"/>
            <w:vAlign w:val="center"/>
          </w:tcPr>
          <w:p w14:paraId="1D9BF3E0">
            <w:pPr>
              <w:widowControl w:val="0"/>
              <w:spacing w:line="360" w:lineRule="auto"/>
              <w:ind w:left="0" w:firstLine="0"/>
              <w:jc w:val="center"/>
              <w:rPr>
                <w:rFonts w:ascii="Times New Roman" w:hAnsi="Times New Roman" w:eastAsia="宋体" w:cs="Times New Roman"/>
                <w:b/>
                <w:bCs/>
                <w:sz w:val="15"/>
                <w:szCs w:val="15"/>
                <w:vertAlign w:val="baseline"/>
                <w:lang w:val="en-US" w:eastAsia="zh-CN" w:bidi="ar-SA"/>
              </w:rPr>
            </w:pPr>
          </w:p>
          <w:p w14:paraId="478867EB">
            <w:pPr>
              <w:widowControl w:val="0"/>
              <w:spacing w:line="360" w:lineRule="auto"/>
              <w:ind w:left="0" w:firstLine="0"/>
              <w:jc w:val="center"/>
              <w:rPr>
                <w:rFonts w:ascii="Times New Roman" w:hAnsi="Times New Roman" w:cs="Times New Roman"/>
                <w:b/>
                <w:bCs/>
                <w:sz w:val="15"/>
                <w:szCs w:val="15"/>
                <w:vertAlign w:val="baseline"/>
                <w:lang w:val="en-US" w:eastAsia="zh-CN"/>
              </w:rPr>
            </w:pPr>
            <w:r>
              <w:rPr>
                <w:rFonts w:ascii="Times New Roman" w:hAnsi="Times New Roman" w:eastAsia="宋体" w:cs="Times New Roman"/>
                <w:b/>
                <w:bCs/>
                <w:sz w:val="15"/>
                <w:szCs w:val="15"/>
                <w:vertAlign w:val="baseline"/>
                <w:lang w:val="en-US" w:eastAsia="zh-CN" w:bidi="ar-SA"/>
              </w:rPr>
              <w:t>序号</w:t>
            </w:r>
          </w:p>
        </w:tc>
        <w:tc>
          <w:tcPr>
            <w:tcW w:w="758" w:type="dxa"/>
            <w:vMerge w:val="restart"/>
            <w:noWrap w:val="0"/>
            <w:vAlign w:val="center"/>
          </w:tcPr>
          <w:p w14:paraId="6958B476">
            <w:pPr>
              <w:widowControl w:val="0"/>
              <w:spacing w:line="360" w:lineRule="auto"/>
              <w:ind w:left="0" w:firstLine="0"/>
              <w:jc w:val="center"/>
              <w:rPr>
                <w:rFonts w:ascii="Times New Roman" w:hAnsi="Times New Roman" w:eastAsia="宋体" w:cs="Times New Roman"/>
                <w:b/>
                <w:bCs/>
                <w:sz w:val="15"/>
                <w:szCs w:val="15"/>
                <w:vertAlign w:val="baseline"/>
                <w:lang w:val="en-US" w:eastAsia="zh-CN" w:bidi="ar-SA"/>
              </w:rPr>
            </w:pPr>
          </w:p>
          <w:p w14:paraId="2701C0AA">
            <w:pPr>
              <w:widowControl w:val="0"/>
              <w:spacing w:line="360" w:lineRule="auto"/>
              <w:ind w:left="0" w:firstLine="0"/>
              <w:jc w:val="center"/>
              <w:rPr>
                <w:rFonts w:ascii="Times New Roman" w:hAnsi="Times New Roman" w:cs="Times New Roman"/>
                <w:b/>
                <w:bCs/>
                <w:sz w:val="15"/>
                <w:szCs w:val="15"/>
                <w:vertAlign w:val="baseline"/>
                <w:lang w:val="en-US" w:eastAsia="zh-CN"/>
              </w:rPr>
            </w:pPr>
            <w:r>
              <w:rPr>
                <w:rFonts w:ascii="Times New Roman" w:hAnsi="Times New Roman" w:eastAsia="宋体" w:cs="Times New Roman"/>
                <w:b/>
                <w:bCs/>
                <w:sz w:val="15"/>
                <w:szCs w:val="15"/>
                <w:vertAlign w:val="baseline"/>
                <w:lang w:val="en-US" w:eastAsia="zh-CN" w:bidi="ar-SA"/>
              </w:rPr>
              <w:t>污染物项目</w:t>
            </w:r>
          </w:p>
        </w:tc>
        <w:tc>
          <w:tcPr>
            <w:tcW w:w="11546" w:type="dxa"/>
            <w:gridSpan w:val="14"/>
            <w:noWrap w:val="0"/>
            <w:vAlign w:val="center"/>
          </w:tcPr>
          <w:p w14:paraId="0E09B332">
            <w:pPr>
              <w:pStyle w:val="2"/>
              <w:widowControl w:val="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监测点位</w:t>
            </w:r>
          </w:p>
        </w:tc>
        <w:tc>
          <w:tcPr>
            <w:tcW w:w="700" w:type="dxa"/>
            <w:vMerge w:val="restart"/>
            <w:noWrap w:val="0"/>
            <w:vAlign w:val="center"/>
          </w:tcPr>
          <w:p w14:paraId="0232B1FD">
            <w:pPr>
              <w:pStyle w:val="2"/>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标准值</w:t>
            </w:r>
          </w:p>
        </w:tc>
        <w:tc>
          <w:tcPr>
            <w:tcW w:w="720" w:type="dxa"/>
            <w:vMerge w:val="restart"/>
            <w:noWrap w:val="0"/>
            <w:vAlign w:val="center"/>
          </w:tcPr>
          <w:p w14:paraId="026C0E44">
            <w:pPr>
              <w:pStyle w:val="2"/>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达标情况</w:t>
            </w:r>
          </w:p>
        </w:tc>
      </w:tr>
      <w:tr w14:paraId="09253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 w:hRule="atLeast"/>
        </w:trPr>
        <w:tc>
          <w:tcPr>
            <w:tcW w:w="652" w:type="dxa"/>
            <w:vMerge w:val="continue"/>
            <w:noWrap w:val="0"/>
            <w:vAlign w:val="top"/>
          </w:tcPr>
          <w:p w14:paraId="059C271F">
            <w:pPr>
              <w:pStyle w:val="2"/>
              <w:widowControl w:val="0"/>
              <w:rPr>
                <w:rFonts w:ascii="Times New Roman" w:hAnsi="Times New Roman" w:cs="Times New Roman"/>
                <w:b/>
                <w:bCs/>
                <w:sz w:val="15"/>
                <w:szCs w:val="15"/>
                <w:vertAlign w:val="baseline"/>
                <w:lang w:val="en-US" w:eastAsia="zh-CN"/>
              </w:rPr>
            </w:pPr>
          </w:p>
        </w:tc>
        <w:tc>
          <w:tcPr>
            <w:tcW w:w="758" w:type="dxa"/>
            <w:vMerge w:val="continue"/>
            <w:noWrap w:val="0"/>
            <w:vAlign w:val="top"/>
          </w:tcPr>
          <w:p w14:paraId="096F5340">
            <w:pPr>
              <w:pStyle w:val="2"/>
              <w:widowControl w:val="0"/>
              <w:rPr>
                <w:rFonts w:ascii="Times New Roman" w:hAnsi="Times New Roman" w:cs="Times New Roman"/>
                <w:b/>
                <w:bCs/>
                <w:sz w:val="15"/>
                <w:szCs w:val="15"/>
                <w:vertAlign w:val="baseline"/>
                <w:lang w:val="en-US" w:eastAsia="zh-CN"/>
              </w:rPr>
            </w:pPr>
          </w:p>
        </w:tc>
        <w:tc>
          <w:tcPr>
            <w:tcW w:w="830" w:type="dxa"/>
            <w:vMerge w:val="restart"/>
            <w:noWrap w:val="0"/>
            <w:vAlign w:val="top"/>
          </w:tcPr>
          <w:p w14:paraId="7C11ACC7">
            <w:pPr>
              <w:pStyle w:val="2"/>
              <w:widowControl w:val="0"/>
              <w:ind w:left="0" w:firstLine="0"/>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厂区内1#表层样（TR01)</w:t>
            </w:r>
          </w:p>
        </w:tc>
        <w:tc>
          <w:tcPr>
            <w:tcW w:w="866" w:type="dxa"/>
            <w:vMerge w:val="restart"/>
            <w:noWrap w:val="0"/>
            <w:vAlign w:val="top"/>
          </w:tcPr>
          <w:p w14:paraId="0FFAE1E9">
            <w:pPr>
              <w:widowControl w:val="0"/>
              <w:ind w:left="0" w:firstLine="0"/>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厂区内2#表层样（TR02)</w:t>
            </w:r>
          </w:p>
        </w:tc>
        <w:tc>
          <w:tcPr>
            <w:tcW w:w="2440" w:type="dxa"/>
            <w:gridSpan w:val="3"/>
            <w:noWrap w:val="0"/>
            <w:vAlign w:val="center"/>
          </w:tcPr>
          <w:p w14:paraId="3F9DFF0B">
            <w:pPr>
              <w:widowControl w:val="0"/>
              <w:ind w:firstLine="301"/>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厂区内1#柱状样（TR03)</w:t>
            </w:r>
          </w:p>
        </w:tc>
        <w:tc>
          <w:tcPr>
            <w:tcW w:w="2570" w:type="dxa"/>
            <w:gridSpan w:val="3"/>
            <w:noWrap w:val="0"/>
            <w:vAlign w:val="center"/>
          </w:tcPr>
          <w:p w14:paraId="1E3AE0D4">
            <w:pPr>
              <w:widowControl w:val="0"/>
              <w:ind w:firstLine="301"/>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厂区内2#柱状样（TR04)</w:t>
            </w:r>
          </w:p>
        </w:tc>
        <w:tc>
          <w:tcPr>
            <w:tcW w:w="2550" w:type="dxa"/>
            <w:gridSpan w:val="3"/>
            <w:noWrap w:val="0"/>
            <w:vAlign w:val="center"/>
          </w:tcPr>
          <w:p w14:paraId="5621EBC2">
            <w:pPr>
              <w:widowControl w:val="0"/>
              <w:ind w:firstLine="301"/>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厂区内3#柱状样（TR05)</w:t>
            </w:r>
          </w:p>
        </w:tc>
        <w:tc>
          <w:tcPr>
            <w:tcW w:w="2290" w:type="dxa"/>
            <w:gridSpan w:val="3"/>
            <w:noWrap w:val="0"/>
            <w:vAlign w:val="center"/>
          </w:tcPr>
          <w:p w14:paraId="30D5A203">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厂区内4#柱状样（TR05)</w:t>
            </w:r>
          </w:p>
        </w:tc>
        <w:tc>
          <w:tcPr>
            <w:tcW w:w="700" w:type="dxa"/>
            <w:vMerge w:val="continue"/>
            <w:noWrap w:val="0"/>
            <w:vAlign w:val="center"/>
          </w:tcPr>
          <w:p w14:paraId="66E0BC21">
            <w:pPr>
              <w:pStyle w:val="2"/>
              <w:widowControl w:val="0"/>
              <w:jc w:val="center"/>
              <w:rPr>
                <w:rFonts w:ascii="Times New Roman" w:hAnsi="Times New Roman" w:cs="Times New Roman"/>
                <w:b/>
                <w:bCs/>
                <w:sz w:val="18"/>
                <w:szCs w:val="18"/>
                <w:vertAlign w:val="baseline"/>
                <w:lang w:val="en-US" w:eastAsia="zh-CN"/>
              </w:rPr>
            </w:pPr>
          </w:p>
        </w:tc>
        <w:tc>
          <w:tcPr>
            <w:tcW w:w="720" w:type="dxa"/>
            <w:vMerge w:val="continue"/>
            <w:noWrap w:val="0"/>
            <w:vAlign w:val="center"/>
          </w:tcPr>
          <w:p w14:paraId="4B15881B">
            <w:pPr>
              <w:pStyle w:val="2"/>
              <w:widowControl w:val="0"/>
              <w:jc w:val="center"/>
              <w:rPr>
                <w:rFonts w:ascii="Times New Roman" w:hAnsi="Times New Roman" w:cs="Times New Roman"/>
                <w:b/>
                <w:bCs/>
                <w:sz w:val="18"/>
                <w:szCs w:val="18"/>
                <w:vertAlign w:val="baseline"/>
                <w:lang w:val="en-US" w:eastAsia="zh-CN"/>
              </w:rPr>
            </w:pPr>
          </w:p>
        </w:tc>
      </w:tr>
      <w:tr w14:paraId="776B5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vMerge w:val="continue"/>
            <w:noWrap w:val="0"/>
            <w:vAlign w:val="top"/>
          </w:tcPr>
          <w:p w14:paraId="30D7D6E7">
            <w:pPr>
              <w:pStyle w:val="2"/>
              <w:widowControl w:val="0"/>
              <w:rPr>
                <w:rFonts w:ascii="Times New Roman" w:hAnsi="Times New Roman" w:cs="Times New Roman"/>
                <w:b/>
                <w:bCs/>
                <w:sz w:val="15"/>
                <w:szCs w:val="15"/>
                <w:vertAlign w:val="baseline"/>
                <w:lang w:val="en-US" w:eastAsia="zh-CN"/>
              </w:rPr>
            </w:pPr>
          </w:p>
        </w:tc>
        <w:tc>
          <w:tcPr>
            <w:tcW w:w="758" w:type="dxa"/>
            <w:vMerge w:val="continue"/>
            <w:noWrap w:val="0"/>
            <w:vAlign w:val="top"/>
          </w:tcPr>
          <w:p w14:paraId="5993A12A">
            <w:pPr>
              <w:pStyle w:val="2"/>
              <w:widowControl w:val="0"/>
              <w:rPr>
                <w:rFonts w:ascii="Times New Roman" w:hAnsi="Times New Roman" w:cs="Times New Roman"/>
                <w:b/>
                <w:bCs/>
                <w:sz w:val="15"/>
                <w:szCs w:val="15"/>
                <w:vertAlign w:val="baseline"/>
                <w:lang w:val="en-US" w:eastAsia="zh-CN"/>
              </w:rPr>
            </w:pPr>
          </w:p>
        </w:tc>
        <w:tc>
          <w:tcPr>
            <w:tcW w:w="830" w:type="dxa"/>
            <w:vMerge w:val="continue"/>
            <w:noWrap w:val="0"/>
            <w:vAlign w:val="top"/>
          </w:tcPr>
          <w:p w14:paraId="4D894053">
            <w:pPr>
              <w:pStyle w:val="2"/>
              <w:widowControl w:val="0"/>
              <w:ind w:left="0" w:firstLine="0"/>
              <w:rPr>
                <w:rFonts w:hint="eastAsia" w:ascii="Times New Roman" w:hAnsi="Times New Roman" w:cs="Times New Roman"/>
                <w:b/>
                <w:bCs/>
                <w:sz w:val="15"/>
                <w:szCs w:val="15"/>
                <w:vertAlign w:val="baseline"/>
                <w:lang w:val="en-US" w:eastAsia="zh-CN"/>
              </w:rPr>
            </w:pPr>
          </w:p>
        </w:tc>
        <w:tc>
          <w:tcPr>
            <w:tcW w:w="866" w:type="dxa"/>
            <w:vMerge w:val="continue"/>
            <w:noWrap w:val="0"/>
            <w:vAlign w:val="top"/>
          </w:tcPr>
          <w:p w14:paraId="2CDF2BD4">
            <w:pPr>
              <w:widowControl w:val="0"/>
              <w:ind w:firstLine="301"/>
              <w:rPr>
                <w:rFonts w:hint="eastAsia" w:ascii="Times New Roman" w:hAnsi="Times New Roman" w:cs="Times New Roman"/>
                <w:b/>
                <w:bCs/>
                <w:sz w:val="15"/>
                <w:szCs w:val="15"/>
                <w:vertAlign w:val="baseline"/>
                <w:lang w:val="en-US" w:eastAsia="zh-CN"/>
              </w:rPr>
            </w:pPr>
          </w:p>
        </w:tc>
        <w:tc>
          <w:tcPr>
            <w:tcW w:w="790" w:type="dxa"/>
            <w:noWrap w:val="0"/>
            <w:vAlign w:val="center"/>
          </w:tcPr>
          <w:p w14:paraId="116DC951">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TR03-1</w:t>
            </w:r>
          </w:p>
        </w:tc>
        <w:tc>
          <w:tcPr>
            <w:tcW w:w="770" w:type="dxa"/>
            <w:noWrap w:val="0"/>
            <w:vAlign w:val="center"/>
          </w:tcPr>
          <w:p w14:paraId="4762CDFC">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TR03-2</w:t>
            </w:r>
          </w:p>
        </w:tc>
        <w:tc>
          <w:tcPr>
            <w:tcW w:w="880" w:type="dxa"/>
            <w:noWrap w:val="0"/>
            <w:vAlign w:val="center"/>
          </w:tcPr>
          <w:p w14:paraId="69D00EE4">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TR03-3</w:t>
            </w:r>
          </w:p>
        </w:tc>
        <w:tc>
          <w:tcPr>
            <w:tcW w:w="860" w:type="dxa"/>
            <w:noWrap w:val="0"/>
            <w:vAlign w:val="center"/>
          </w:tcPr>
          <w:p w14:paraId="038E9F53">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TR04-1</w:t>
            </w:r>
          </w:p>
        </w:tc>
        <w:tc>
          <w:tcPr>
            <w:tcW w:w="850" w:type="dxa"/>
            <w:noWrap w:val="0"/>
            <w:vAlign w:val="center"/>
          </w:tcPr>
          <w:p w14:paraId="15721D6F">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TR04-2</w:t>
            </w:r>
          </w:p>
        </w:tc>
        <w:tc>
          <w:tcPr>
            <w:tcW w:w="860" w:type="dxa"/>
            <w:noWrap w:val="0"/>
            <w:vAlign w:val="center"/>
          </w:tcPr>
          <w:p w14:paraId="16638817">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TR04-3</w:t>
            </w:r>
          </w:p>
        </w:tc>
        <w:tc>
          <w:tcPr>
            <w:tcW w:w="810" w:type="dxa"/>
            <w:noWrap w:val="0"/>
            <w:vAlign w:val="center"/>
          </w:tcPr>
          <w:p w14:paraId="2DEC5EEF">
            <w:pPr>
              <w:widowControl w:val="0"/>
              <w:ind w:left="0" w:firstLine="0"/>
              <w:jc w:val="center"/>
              <w:rPr>
                <w:rFonts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TR05-1</w:t>
            </w:r>
          </w:p>
        </w:tc>
        <w:tc>
          <w:tcPr>
            <w:tcW w:w="910" w:type="dxa"/>
            <w:noWrap w:val="0"/>
            <w:vAlign w:val="center"/>
          </w:tcPr>
          <w:p w14:paraId="279A78BE">
            <w:pPr>
              <w:widowControl w:val="0"/>
              <w:ind w:left="0" w:firstLine="0"/>
              <w:jc w:val="center"/>
              <w:rPr>
                <w:rFonts w:hint="eastAsia"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TR05-2</w:t>
            </w:r>
          </w:p>
        </w:tc>
        <w:tc>
          <w:tcPr>
            <w:tcW w:w="830" w:type="dxa"/>
            <w:noWrap w:val="0"/>
            <w:vAlign w:val="center"/>
          </w:tcPr>
          <w:p w14:paraId="42FCA6B7">
            <w:pPr>
              <w:widowControl w:val="0"/>
              <w:ind w:left="0" w:firstLine="0"/>
              <w:jc w:val="center"/>
              <w:rPr>
                <w:rFonts w:hint="eastAsia"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TR05-3</w:t>
            </w:r>
          </w:p>
        </w:tc>
        <w:tc>
          <w:tcPr>
            <w:tcW w:w="853" w:type="dxa"/>
            <w:noWrap w:val="0"/>
            <w:vAlign w:val="center"/>
          </w:tcPr>
          <w:p w14:paraId="5798DC0D">
            <w:pPr>
              <w:widowControl w:val="0"/>
              <w:ind w:left="0" w:firstLine="0"/>
              <w:jc w:val="center"/>
              <w:rPr>
                <w:rFonts w:hint="eastAsia"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TR06-1</w:t>
            </w:r>
          </w:p>
        </w:tc>
        <w:tc>
          <w:tcPr>
            <w:tcW w:w="727" w:type="dxa"/>
            <w:noWrap w:val="0"/>
            <w:vAlign w:val="center"/>
          </w:tcPr>
          <w:p w14:paraId="0B20103F">
            <w:pPr>
              <w:widowControl w:val="0"/>
              <w:ind w:left="0" w:firstLine="0"/>
              <w:jc w:val="center"/>
              <w:rPr>
                <w:rFonts w:hint="eastAsia"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TR06-2</w:t>
            </w:r>
          </w:p>
        </w:tc>
        <w:tc>
          <w:tcPr>
            <w:tcW w:w="710" w:type="dxa"/>
            <w:noWrap w:val="0"/>
            <w:vAlign w:val="center"/>
          </w:tcPr>
          <w:p w14:paraId="50514CD7">
            <w:pPr>
              <w:widowControl w:val="0"/>
              <w:ind w:left="0" w:firstLine="0"/>
              <w:jc w:val="center"/>
              <w:rPr>
                <w:rFonts w:hint="eastAsia" w:ascii="Times New Roman" w:hAnsi="Times New Roman" w:cs="Times New Roman"/>
                <w:b/>
                <w:bCs/>
                <w:sz w:val="15"/>
                <w:szCs w:val="15"/>
                <w:vertAlign w:val="baseline"/>
                <w:lang w:val="en-US" w:eastAsia="zh-CN"/>
              </w:rPr>
            </w:pPr>
            <w:r>
              <w:rPr>
                <w:rFonts w:hint="eastAsia" w:ascii="Times New Roman" w:hAnsi="Times New Roman" w:cs="Times New Roman"/>
                <w:b/>
                <w:bCs/>
                <w:sz w:val="15"/>
                <w:szCs w:val="15"/>
                <w:vertAlign w:val="baseline"/>
                <w:lang w:val="en-US" w:eastAsia="zh-CN"/>
              </w:rPr>
              <w:t>TR06-3</w:t>
            </w:r>
          </w:p>
        </w:tc>
        <w:tc>
          <w:tcPr>
            <w:tcW w:w="700" w:type="dxa"/>
            <w:vMerge w:val="continue"/>
            <w:noWrap w:val="0"/>
            <w:vAlign w:val="center"/>
          </w:tcPr>
          <w:p w14:paraId="177ABB6D">
            <w:pPr>
              <w:pStyle w:val="2"/>
              <w:widowControl w:val="0"/>
              <w:jc w:val="center"/>
              <w:rPr>
                <w:rFonts w:ascii="Times New Roman" w:hAnsi="Times New Roman" w:cs="Times New Roman"/>
                <w:b/>
                <w:bCs/>
                <w:sz w:val="18"/>
                <w:szCs w:val="18"/>
                <w:vertAlign w:val="baseline"/>
                <w:lang w:val="en-US" w:eastAsia="zh-CN"/>
              </w:rPr>
            </w:pPr>
          </w:p>
        </w:tc>
        <w:tc>
          <w:tcPr>
            <w:tcW w:w="720" w:type="dxa"/>
            <w:vMerge w:val="continue"/>
            <w:noWrap w:val="0"/>
            <w:vAlign w:val="center"/>
          </w:tcPr>
          <w:p w14:paraId="24BBE136">
            <w:pPr>
              <w:pStyle w:val="2"/>
              <w:widowControl w:val="0"/>
              <w:jc w:val="center"/>
              <w:rPr>
                <w:rFonts w:ascii="Times New Roman" w:hAnsi="Times New Roman" w:cs="Times New Roman"/>
                <w:b/>
                <w:bCs/>
                <w:sz w:val="18"/>
                <w:szCs w:val="18"/>
                <w:vertAlign w:val="baseline"/>
                <w:lang w:val="en-US" w:eastAsia="zh-CN"/>
              </w:rPr>
            </w:pPr>
          </w:p>
        </w:tc>
      </w:tr>
      <w:tr w14:paraId="1438C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top"/>
          </w:tcPr>
          <w:p w14:paraId="5D5B95E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w:t>
            </w:r>
          </w:p>
        </w:tc>
        <w:tc>
          <w:tcPr>
            <w:tcW w:w="758" w:type="dxa"/>
            <w:noWrap w:val="0"/>
            <w:vAlign w:val="top"/>
          </w:tcPr>
          <w:p w14:paraId="59028A3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pH</w:t>
            </w:r>
          </w:p>
        </w:tc>
        <w:tc>
          <w:tcPr>
            <w:tcW w:w="830" w:type="dxa"/>
            <w:noWrap w:val="0"/>
            <w:vAlign w:val="top"/>
          </w:tcPr>
          <w:p w14:paraId="2D691F7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7.92</w:t>
            </w:r>
          </w:p>
        </w:tc>
        <w:tc>
          <w:tcPr>
            <w:tcW w:w="866" w:type="dxa"/>
            <w:noWrap w:val="0"/>
            <w:vAlign w:val="top"/>
          </w:tcPr>
          <w:p w14:paraId="2065785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8.17</w:t>
            </w:r>
          </w:p>
        </w:tc>
        <w:tc>
          <w:tcPr>
            <w:tcW w:w="790" w:type="dxa"/>
            <w:noWrap w:val="0"/>
            <w:vAlign w:val="center"/>
          </w:tcPr>
          <w:p w14:paraId="1F9BFB2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8.18</w:t>
            </w:r>
          </w:p>
        </w:tc>
        <w:tc>
          <w:tcPr>
            <w:tcW w:w="770" w:type="dxa"/>
            <w:noWrap w:val="0"/>
            <w:vAlign w:val="center"/>
          </w:tcPr>
          <w:p w14:paraId="3EF9CF8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8.21</w:t>
            </w:r>
          </w:p>
        </w:tc>
        <w:tc>
          <w:tcPr>
            <w:tcW w:w="880" w:type="dxa"/>
            <w:noWrap w:val="0"/>
            <w:vAlign w:val="center"/>
          </w:tcPr>
          <w:p w14:paraId="0C9771F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8.15</w:t>
            </w:r>
          </w:p>
        </w:tc>
        <w:tc>
          <w:tcPr>
            <w:tcW w:w="860" w:type="dxa"/>
            <w:noWrap w:val="0"/>
            <w:vAlign w:val="center"/>
          </w:tcPr>
          <w:p w14:paraId="3D32C6F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5.9</w:t>
            </w:r>
          </w:p>
        </w:tc>
        <w:tc>
          <w:tcPr>
            <w:tcW w:w="850" w:type="dxa"/>
            <w:noWrap w:val="0"/>
            <w:vAlign w:val="center"/>
          </w:tcPr>
          <w:p w14:paraId="480E3E9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7.16</w:t>
            </w:r>
          </w:p>
        </w:tc>
        <w:tc>
          <w:tcPr>
            <w:tcW w:w="860" w:type="dxa"/>
            <w:noWrap w:val="0"/>
            <w:vAlign w:val="center"/>
          </w:tcPr>
          <w:p w14:paraId="6BFB132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7.96</w:t>
            </w:r>
          </w:p>
        </w:tc>
        <w:tc>
          <w:tcPr>
            <w:tcW w:w="810" w:type="dxa"/>
            <w:noWrap w:val="0"/>
            <w:vAlign w:val="center"/>
          </w:tcPr>
          <w:p w14:paraId="63ED2D3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6.35</w:t>
            </w:r>
          </w:p>
        </w:tc>
        <w:tc>
          <w:tcPr>
            <w:tcW w:w="910" w:type="dxa"/>
            <w:noWrap w:val="0"/>
            <w:vAlign w:val="center"/>
          </w:tcPr>
          <w:p w14:paraId="34EBD5C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7.15</w:t>
            </w:r>
          </w:p>
        </w:tc>
        <w:tc>
          <w:tcPr>
            <w:tcW w:w="830" w:type="dxa"/>
            <w:noWrap w:val="0"/>
            <w:vAlign w:val="center"/>
          </w:tcPr>
          <w:p w14:paraId="1652AAC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7.78</w:t>
            </w:r>
          </w:p>
        </w:tc>
        <w:tc>
          <w:tcPr>
            <w:tcW w:w="853" w:type="dxa"/>
            <w:noWrap w:val="0"/>
            <w:vAlign w:val="center"/>
          </w:tcPr>
          <w:p w14:paraId="0BC811B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6.53</w:t>
            </w:r>
          </w:p>
        </w:tc>
        <w:tc>
          <w:tcPr>
            <w:tcW w:w="727" w:type="dxa"/>
            <w:noWrap w:val="0"/>
            <w:vAlign w:val="center"/>
          </w:tcPr>
          <w:p w14:paraId="7CDB3DA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7.18</w:t>
            </w:r>
          </w:p>
        </w:tc>
        <w:tc>
          <w:tcPr>
            <w:tcW w:w="710" w:type="dxa"/>
            <w:noWrap w:val="0"/>
            <w:vAlign w:val="center"/>
          </w:tcPr>
          <w:p w14:paraId="7A91DEC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7.88</w:t>
            </w:r>
          </w:p>
        </w:tc>
        <w:tc>
          <w:tcPr>
            <w:tcW w:w="700" w:type="dxa"/>
            <w:noWrap w:val="0"/>
            <w:vAlign w:val="center"/>
          </w:tcPr>
          <w:p w14:paraId="655A0B93">
            <w:pPr>
              <w:pStyle w:val="2"/>
              <w:widowControl w:val="0"/>
              <w:ind w:left="0" w:firstLine="0"/>
              <w:jc w:val="center"/>
              <w:rPr>
                <w:rFonts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w:t>
            </w:r>
          </w:p>
        </w:tc>
        <w:tc>
          <w:tcPr>
            <w:tcW w:w="720" w:type="dxa"/>
            <w:noWrap w:val="0"/>
            <w:vAlign w:val="center"/>
          </w:tcPr>
          <w:p w14:paraId="74F3639B">
            <w:pPr>
              <w:pStyle w:val="2"/>
              <w:widowControl w:val="0"/>
              <w:ind w:left="0" w:firstLine="0"/>
              <w:jc w:val="center"/>
              <w:rPr>
                <w:rFonts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w:t>
            </w:r>
          </w:p>
        </w:tc>
      </w:tr>
      <w:tr w14:paraId="53C55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center"/>
          </w:tcPr>
          <w:p w14:paraId="30109F9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758" w:type="dxa"/>
            <w:noWrap w:val="0"/>
            <w:vAlign w:val="center"/>
          </w:tcPr>
          <w:p w14:paraId="750FD0F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砷</w:t>
            </w:r>
          </w:p>
        </w:tc>
        <w:tc>
          <w:tcPr>
            <w:tcW w:w="830" w:type="dxa"/>
            <w:noWrap w:val="0"/>
            <w:vAlign w:val="top"/>
          </w:tcPr>
          <w:p w14:paraId="106D8C8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22.5</w:t>
            </w:r>
          </w:p>
        </w:tc>
        <w:tc>
          <w:tcPr>
            <w:tcW w:w="866" w:type="dxa"/>
            <w:noWrap w:val="0"/>
            <w:vAlign w:val="top"/>
          </w:tcPr>
          <w:p w14:paraId="4113F7A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20.4</w:t>
            </w:r>
          </w:p>
        </w:tc>
        <w:tc>
          <w:tcPr>
            <w:tcW w:w="790" w:type="dxa"/>
            <w:noWrap w:val="0"/>
            <w:vAlign w:val="top"/>
          </w:tcPr>
          <w:p w14:paraId="045BE1A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32.6</w:t>
            </w:r>
          </w:p>
        </w:tc>
        <w:tc>
          <w:tcPr>
            <w:tcW w:w="770" w:type="dxa"/>
            <w:noWrap w:val="0"/>
            <w:vAlign w:val="top"/>
          </w:tcPr>
          <w:p w14:paraId="341B2DD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21.0</w:t>
            </w:r>
          </w:p>
        </w:tc>
        <w:tc>
          <w:tcPr>
            <w:tcW w:w="880" w:type="dxa"/>
            <w:noWrap w:val="0"/>
            <w:vAlign w:val="top"/>
          </w:tcPr>
          <w:p w14:paraId="4AAD6E4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19.5</w:t>
            </w:r>
          </w:p>
        </w:tc>
        <w:tc>
          <w:tcPr>
            <w:tcW w:w="860" w:type="dxa"/>
            <w:noWrap w:val="0"/>
            <w:vAlign w:val="top"/>
          </w:tcPr>
          <w:p w14:paraId="09351E3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27.6</w:t>
            </w:r>
          </w:p>
        </w:tc>
        <w:tc>
          <w:tcPr>
            <w:tcW w:w="850" w:type="dxa"/>
            <w:noWrap w:val="0"/>
            <w:vAlign w:val="top"/>
          </w:tcPr>
          <w:p w14:paraId="499A39D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24.1</w:t>
            </w:r>
          </w:p>
        </w:tc>
        <w:tc>
          <w:tcPr>
            <w:tcW w:w="860" w:type="dxa"/>
            <w:noWrap w:val="0"/>
            <w:vAlign w:val="top"/>
          </w:tcPr>
          <w:p w14:paraId="1E7359E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23.5</w:t>
            </w:r>
          </w:p>
        </w:tc>
        <w:tc>
          <w:tcPr>
            <w:tcW w:w="810" w:type="dxa"/>
            <w:noWrap w:val="0"/>
            <w:vAlign w:val="top"/>
          </w:tcPr>
          <w:p w14:paraId="05EBBA9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27.6</w:t>
            </w:r>
          </w:p>
        </w:tc>
        <w:tc>
          <w:tcPr>
            <w:tcW w:w="910" w:type="dxa"/>
            <w:noWrap w:val="0"/>
            <w:vAlign w:val="top"/>
          </w:tcPr>
          <w:p w14:paraId="5D8DE34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24.6</w:t>
            </w:r>
          </w:p>
        </w:tc>
        <w:tc>
          <w:tcPr>
            <w:tcW w:w="830" w:type="dxa"/>
            <w:noWrap w:val="0"/>
            <w:vAlign w:val="top"/>
          </w:tcPr>
          <w:p w14:paraId="610E8A2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22.7</w:t>
            </w:r>
          </w:p>
        </w:tc>
        <w:tc>
          <w:tcPr>
            <w:tcW w:w="853" w:type="dxa"/>
            <w:noWrap w:val="0"/>
            <w:vAlign w:val="top"/>
          </w:tcPr>
          <w:p w14:paraId="575BC6C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30.7</w:t>
            </w:r>
          </w:p>
        </w:tc>
        <w:tc>
          <w:tcPr>
            <w:tcW w:w="727" w:type="dxa"/>
            <w:noWrap w:val="0"/>
            <w:vAlign w:val="top"/>
          </w:tcPr>
          <w:p w14:paraId="093AE05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24.9</w:t>
            </w:r>
          </w:p>
        </w:tc>
        <w:tc>
          <w:tcPr>
            <w:tcW w:w="710" w:type="dxa"/>
            <w:noWrap w:val="0"/>
            <w:vAlign w:val="top"/>
          </w:tcPr>
          <w:p w14:paraId="42872F0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19.0</w:t>
            </w:r>
          </w:p>
        </w:tc>
        <w:tc>
          <w:tcPr>
            <w:tcW w:w="700" w:type="dxa"/>
            <w:noWrap w:val="0"/>
            <w:vAlign w:val="center"/>
          </w:tcPr>
          <w:p w14:paraId="03E410F4">
            <w:pPr>
              <w:widowControl w:val="0"/>
              <w:spacing w:line="360" w:lineRule="auto"/>
              <w:ind w:left="0" w:firstLine="0"/>
              <w:jc w:val="center"/>
              <w:rPr>
                <w:rFonts w:ascii="Times New Roman" w:hAnsi="Times New Roman"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60</w:t>
            </w:r>
          </w:p>
        </w:tc>
        <w:tc>
          <w:tcPr>
            <w:tcW w:w="720" w:type="dxa"/>
            <w:noWrap w:val="0"/>
            <w:vAlign w:val="center"/>
          </w:tcPr>
          <w:p w14:paraId="4D5F36E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7C7E5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center"/>
          </w:tcPr>
          <w:p w14:paraId="0FA027E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w:t>
            </w:r>
          </w:p>
        </w:tc>
        <w:tc>
          <w:tcPr>
            <w:tcW w:w="758" w:type="dxa"/>
            <w:noWrap w:val="0"/>
            <w:vAlign w:val="center"/>
          </w:tcPr>
          <w:p w14:paraId="3CA90A6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镉</w:t>
            </w:r>
          </w:p>
        </w:tc>
        <w:tc>
          <w:tcPr>
            <w:tcW w:w="830" w:type="dxa"/>
            <w:noWrap w:val="0"/>
            <w:vAlign w:val="top"/>
          </w:tcPr>
          <w:p w14:paraId="7A7BA7E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0.19</w:t>
            </w:r>
          </w:p>
        </w:tc>
        <w:tc>
          <w:tcPr>
            <w:tcW w:w="866" w:type="dxa"/>
            <w:noWrap w:val="0"/>
            <w:vAlign w:val="top"/>
          </w:tcPr>
          <w:p w14:paraId="269C5BD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0.12</w:t>
            </w:r>
          </w:p>
        </w:tc>
        <w:tc>
          <w:tcPr>
            <w:tcW w:w="790" w:type="dxa"/>
            <w:noWrap w:val="0"/>
            <w:vAlign w:val="top"/>
          </w:tcPr>
          <w:p w14:paraId="1328014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0.17</w:t>
            </w:r>
          </w:p>
        </w:tc>
        <w:tc>
          <w:tcPr>
            <w:tcW w:w="770" w:type="dxa"/>
            <w:noWrap w:val="0"/>
            <w:vAlign w:val="top"/>
          </w:tcPr>
          <w:p w14:paraId="3AAA094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0.17</w:t>
            </w:r>
          </w:p>
        </w:tc>
        <w:tc>
          <w:tcPr>
            <w:tcW w:w="880" w:type="dxa"/>
            <w:noWrap w:val="0"/>
            <w:vAlign w:val="top"/>
          </w:tcPr>
          <w:p w14:paraId="7AA6726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0.17</w:t>
            </w:r>
          </w:p>
        </w:tc>
        <w:tc>
          <w:tcPr>
            <w:tcW w:w="860" w:type="dxa"/>
            <w:noWrap w:val="0"/>
            <w:vAlign w:val="top"/>
          </w:tcPr>
          <w:p w14:paraId="7789A4C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0.17</w:t>
            </w:r>
          </w:p>
        </w:tc>
        <w:tc>
          <w:tcPr>
            <w:tcW w:w="850" w:type="dxa"/>
            <w:noWrap w:val="0"/>
            <w:vAlign w:val="top"/>
          </w:tcPr>
          <w:p w14:paraId="74DC094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0.15</w:t>
            </w:r>
          </w:p>
        </w:tc>
        <w:tc>
          <w:tcPr>
            <w:tcW w:w="860" w:type="dxa"/>
            <w:noWrap w:val="0"/>
            <w:vAlign w:val="top"/>
          </w:tcPr>
          <w:p w14:paraId="6520B68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0.22</w:t>
            </w:r>
          </w:p>
        </w:tc>
        <w:tc>
          <w:tcPr>
            <w:tcW w:w="810" w:type="dxa"/>
            <w:noWrap w:val="0"/>
            <w:vAlign w:val="top"/>
          </w:tcPr>
          <w:p w14:paraId="39E668D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0.18</w:t>
            </w:r>
          </w:p>
        </w:tc>
        <w:tc>
          <w:tcPr>
            <w:tcW w:w="910" w:type="dxa"/>
            <w:noWrap w:val="0"/>
            <w:vAlign w:val="top"/>
          </w:tcPr>
          <w:p w14:paraId="135E6E8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0.14</w:t>
            </w:r>
          </w:p>
        </w:tc>
        <w:tc>
          <w:tcPr>
            <w:tcW w:w="830" w:type="dxa"/>
            <w:noWrap w:val="0"/>
            <w:vAlign w:val="top"/>
          </w:tcPr>
          <w:p w14:paraId="3C08FA9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0.19</w:t>
            </w:r>
          </w:p>
        </w:tc>
        <w:tc>
          <w:tcPr>
            <w:tcW w:w="853" w:type="dxa"/>
            <w:noWrap w:val="0"/>
            <w:vAlign w:val="top"/>
          </w:tcPr>
          <w:p w14:paraId="52E38A8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0.19</w:t>
            </w:r>
          </w:p>
        </w:tc>
        <w:tc>
          <w:tcPr>
            <w:tcW w:w="727" w:type="dxa"/>
            <w:noWrap w:val="0"/>
            <w:vAlign w:val="top"/>
          </w:tcPr>
          <w:p w14:paraId="25E3715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0.19</w:t>
            </w:r>
          </w:p>
        </w:tc>
        <w:tc>
          <w:tcPr>
            <w:tcW w:w="710" w:type="dxa"/>
            <w:noWrap w:val="0"/>
            <w:vAlign w:val="top"/>
          </w:tcPr>
          <w:p w14:paraId="2795BB2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0.24</w:t>
            </w:r>
          </w:p>
        </w:tc>
        <w:tc>
          <w:tcPr>
            <w:tcW w:w="700" w:type="dxa"/>
            <w:noWrap w:val="0"/>
            <w:vAlign w:val="center"/>
          </w:tcPr>
          <w:p w14:paraId="6290FF7A">
            <w:pPr>
              <w:widowControl w:val="0"/>
              <w:spacing w:line="360" w:lineRule="auto"/>
              <w:ind w:left="0" w:firstLine="0"/>
              <w:jc w:val="center"/>
              <w:rPr>
                <w:rFonts w:ascii="Times New Roman" w:hAnsi="Times New Roman"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65</w:t>
            </w:r>
          </w:p>
        </w:tc>
        <w:tc>
          <w:tcPr>
            <w:tcW w:w="720" w:type="dxa"/>
            <w:noWrap w:val="0"/>
            <w:vAlign w:val="center"/>
          </w:tcPr>
          <w:p w14:paraId="4F6F079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19C09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center"/>
          </w:tcPr>
          <w:p w14:paraId="3BD4F5F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w:t>
            </w:r>
          </w:p>
        </w:tc>
        <w:tc>
          <w:tcPr>
            <w:tcW w:w="758" w:type="dxa"/>
            <w:noWrap w:val="0"/>
            <w:vAlign w:val="center"/>
          </w:tcPr>
          <w:p w14:paraId="5FF9E4E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铬（六价）</w:t>
            </w:r>
          </w:p>
        </w:tc>
        <w:tc>
          <w:tcPr>
            <w:tcW w:w="830" w:type="dxa"/>
            <w:noWrap w:val="0"/>
            <w:vAlign w:val="center"/>
          </w:tcPr>
          <w:p w14:paraId="0725FB8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66" w:type="dxa"/>
            <w:noWrap w:val="0"/>
            <w:vAlign w:val="center"/>
          </w:tcPr>
          <w:p w14:paraId="49CB61D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790" w:type="dxa"/>
            <w:noWrap w:val="0"/>
            <w:vAlign w:val="center"/>
          </w:tcPr>
          <w:p w14:paraId="2A72AF2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770" w:type="dxa"/>
            <w:noWrap w:val="0"/>
            <w:vAlign w:val="center"/>
          </w:tcPr>
          <w:p w14:paraId="19F8900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80" w:type="dxa"/>
            <w:noWrap w:val="0"/>
            <w:vAlign w:val="center"/>
          </w:tcPr>
          <w:p w14:paraId="54A6252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60" w:type="dxa"/>
            <w:noWrap w:val="0"/>
            <w:vAlign w:val="center"/>
          </w:tcPr>
          <w:p w14:paraId="3C2AAAD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50" w:type="dxa"/>
            <w:noWrap w:val="0"/>
            <w:vAlign w:val="center"/>
          </w:tcPr>
          <w:p w14:paraId="5AB72C2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60" w:type="dxa"/>
            <w:noWrap w:val="0"/>
            <w:vAlign w:val="center"/>
          </w:tcPr>
          <w:p w14:paraId="31CFFCD6">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10" w:type="dxa"/>
            <w:noWrap w:val="0"/>
            <w:vAlign w:val="center"/>
          </w:tcPr>
          <w:p w14:paraId="4F61B16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910" w:type="dxa"/>
            <w:noWrap w:val="0"/>
            <w:vAlign w:val="center"/>
          </w:tcPr>
          <w:p w14:paraId="6FDFC8A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30" w:type="dxa"/>
            <w:noWrap w:val="0"/>
            <w:vAlign w:val="center"/>
          </w:tcPr>
          <w:p w14:paraId="3091D8A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53" w:type="dxa"/>
            <w:noWrap w:val="0"/>
            <w:vAlign w:val="center"/>
          </w:tcPr>
          <w:p w14:paraId="2022BE8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727" w:type="dxa"/>
            <w:noWrap w:val="0"/>
            <w:vAlign w:val="center"/>
          </w:tcPr>
          <w:p w14:paraId="468DF81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710" w:type="dxa"/>
            <w:noWrap w:val="0"/>
            <w:vAlign w:val="center"/>
          </w:tcPr>
          <w:p w14:paraId="1F65E58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700" w:type="dxa"/>
            <w:noWrap w:val="0"/>
            <w:vAlign w:val="center"/>
          </w:tcPr>
          <w:p w14:paraId="6A8799FA">
            <w:pPr>
              <w:widowControl w:val="0"/>
              <w:spacing w:line="360" w:lineRule="auto"/>
              <w:ind w:left="0" w:firstLine="0"/>
              <w:jc w:val="center"/>
              <w:rPr>
                <w:rFonts w:ascii="Times New Roman" w:hAnsi="Times New Roman"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5.7</w:t>
            </w:r>
          </w:p>
        </w:tc>
        <w:tc>
          <w:tcPr>
            <w:tcW w:w="720" w:type="dxa"/>
            <w:noWrap w:val="0"/>
            <w:vAlign w:val="center"/>
          </w:tcPr>
          <w:p w14:paraId="7EFDEEC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66147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center"/>
          </w:tcPr>
          <w:p w14:paraId="07BEFB7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w:t>
            </w:r>
          </w:p>
        </w:tc>
        <w:tc>
          <w:tcPr>
            <w:tcW w:w="758" w:type="dxa"/>
            <w:noWrap w:val="0"/>
            <w:vAlign w:val="center"/>
          </w:tcPr>
          <w:p w14:paraId="08DA96B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铜</w:t>
            </w:r>
          </w:p>
        </w:tc>
        <w:tc>
          <w:tcPr>
            <w:tcW w:w="830" w:type="dxa"/>
            <w:noWrap w:val="0"/>
            <w:vAlign w:val="center"/>
          </w:tcPr>
          <w:p w14:paraId="1014CAB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123</w:t>
            </w:r>
          </w:p>
        </w:tc>
        <w:tc>
          <w:tcPr>
            <w:tcW w:w="866" w:type="dxa"/>
            <w:noWrap w:val="0"/>
            <w:vAlign w:val="center"/>
          </w:tcPr>
          <w:p w14:paraId="76AAF74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96</w:t>
            </w:r>
          </w:p>
        </w:tc>
        <w:tc>
          <w:tcPr>
            <w:tcW w:w="790" w:type="dxa"/>
            <w:noWrap w:val="0"/>
            <w:vAlign w:val="center"/>
          </w:tcPr>
          <w:p w14:paraId="4DF66A2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107</w:t>
            </w:r>
          </w:p>
        </w:tc>
        <w:tc>
          <w:tcPr>
            <w:tcW w:w="770" w:type="dxa"/>
            <w:noWrap w:val="0"/>
            <w:vAlign w:val="center"/>
          </w:tcPr>
          <w:p w14:paraId="0B78438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100</w:t>
            </w:r>
          </w:p>
        </w:tc>
        <w:tc>
          <w:tcPr>
            <w:tcW w:w="880" w:type="dxa"/>
            <w:noWrap w:val="0"/>
            <w:vAlign w:val="center"/>
          </w:tcPr>
          <w:p w14:paraId="486B8E8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86</w:t>
            </w:r>
          </w:p>
        </w:tc>
        <w:tc>
          <w:tcPr>
            <w:tcW w:w="860" w:type="dxa"/>
            <w:noWrap w:val="0"/>
            <w:vAlign w:val="center"/>
          </w:tcPr>
          <w:p w14:paraId="3FAA9DE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107</w:t>
            </w:r>
          </w:p>
        </w:tc>
        <w:tc>
          <w:tcPr>
            <w:tcW w:w="850" w:type="dxa"/>
            <w:noWrap w:val="0"/>
            <w:vAlign w:val="center"/>
          </w:tcPr>
          <w:p w14:paraId="17EC5FA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103</w:t>
            </w:r>
          </w:p>
        </w:tc>
        <w:tc>
          <w:tcPr>
            <w:tcW w:w="860" w:type="dxa"/>
            <w:noWrap w:val="0"/>
            <w:vAlign w:val="center"/>
          </w:tcPr>
          <w:p w14:paraId="3C32E6A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86</w:t>
            </w:r>
          </w:p>
        </w:tc>
        <w:tc>
          <w:tcPr>
            <w:tcW w:w="810" w:type="dxa"/>
            <w:noWrap w:val="0"/>
            <w:vAlign w:val="center"/>
          </w:tcPr>
          <w:p w14:paraId="22EAA82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107</w:t>
            </w:r>
          </w:p>
        </w:tc>
        <w:tc>
          <w:tcPr>
            <w:tcW w:w="910" w:type="dxa"/>
            <w:noWrap w:val="0"/>
            <w:vAlign w:val="center"/>
          </w:tcPr>
          <w:p w14:paraId="370CBB8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73</w:t>
            </w:r>
          </w:p>
        </w:tc>
        <w:tc>
          <w:tcPr>
            <w:tcW w:w="830" w:type="dxa"/>
            <w:noWrap w:val="0"/>
            <w:vAlign w:val="center"/>
          </w:tcPr>
          <w:p w14:paraId="14E8E23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78</w:t>
            </w:r>
          </w:p>
        </w:tc>
        <w:tc>
          <w:tcPr>
            <w:tcW w:w="853" w:type="dxa"/>
            <w:noWrap w:val="0"/>
            <w:vAlign w:val="center"/>
          </w:tcPr>
          <w:p w14:paraId="054FD2D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109</w:t>
            </w:r>
          </w:p>
        </w:tc>
        <w:tc>
          <w:tcPr>
            <w:tcW w:w="727" w:type="dxa"/>
            <w:noWrap w:val="0"/>
            <w:vAlign w:val="center"/>
          </w:tcPr>
          <w:p w14:paraId="60EB749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96</w:t>
            </w:r>
          </w:p>
        </w:tc>
        <w:tc>
          <w:tcPr>
            <w:tcW w:w="710" w:type="dxa"/>
            <w:noWrap w:val="0"/>
            <w:vAlign w:val="center"/>
          </w:tcPr>
          <w:p w14:paraId="53F9CDF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84</w:t>
            </w:r>
          </w:p>
        </w:tc>
        <w:tc>
          <w:tcPr>
            <w:tcW w:w="700" w:type="dxa"/>
            <w:noWrap w:val="0"/>
            <w:vAlign w:val="center"/>
          </w:tcPr>
          <w:p w14:paraId="445A2E89">
            <w:pPr>
              <w:widowControl w:val="0"/>
              <w:spacing w:line="360" w:lineRule="auto"/>
              <w:ind w:left="0" w:firstLine="0"/>
              <w:jc w:val="center"/>
              <w:rPr>
                <w:rFonts w:ascii="Times New Roman" w:hAnsi="Times New Roman"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18000</w:t>
            </w:r>
          </w:p>
        </w:tc>
        <w:tc>
          <w:tcPr>
            <w:tcW w:w="720" w:type="dxa"/>
            <w:noWrap w:val="0"/>
            <w:vAlign w:val="center"/>
          </w:tcPr>
          <w:p w14:paraId="21AF11C6">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3D32E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center"/>
          </w:tcPr>
          <w:p w14:paraId="78F03B8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w:t>
            </w:r>
          </w:p>
        </w:tc>
        <w:tc>
          <w:tcPr>
            <w:tcW w:w="758" w:type="dxa"/>
            <w:noWrap w:val="0"/>
            <w:vAlign w:val="center"/>
          </w:tcPr>
          <w:p w14:paraId="0AFCC67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铅</w:t>
            </w:r>
          </w:p>
        </w:tc>
        <w:tc>
          <w:tcPr>
            <w:tcW w:w="830" w:type="dxa"/>
            <w:noWrap w:val="0"/>
            <w:vAlign w:val="center"/>
          </w:tcPr>
          <w:p w14:paraId="1D4F1F4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33.4</w:t>
            </w:r>
          </w:p>
        </w:tc>
        <w:tc>
          <w:tcPr>
            <w:tcW w:w="866" w:type="dxa"/>
            <w:noWrap w:val="0"/>
            <w:vAlign w:val="center"/>
          </w:tcPr>
          <w:p w14:paraId="6445EE1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19.3</w:t>
            </w:r>
          </w:p>
        </w:tc>
        <w:tc>
          <w:tcPr>
            <w:tcW w:w="790" w:type="dxa"/>
            <w:noWrap w:val="0"/>
            <w:vAlign w:val="center"/>
          </w:tcPr>
          <w:p w14:paraId="15BBCD2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13.7</w:t>
            </w:r>
          </w:p>
        </w:tc>
        <w:tc>
          <w:tcPr>
            <w:tcW w:w="770" w:type="dxa"/>
            <w:noWrap w:val="0"/>
            <w:vAlign w:val="center"/>
          </w:tcPr>
          <w:p w14:paraId="51EB19C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13.4</w:t>
            </w:r>
          </w:p>
        </w:tc>
        <w:tc>
          <w:tcPr>
            <w:tcW w:w="880" w:type="dxa"/>
            <w:noWrap w:val="0"/>
            <w:vAlign w:val="center"/>
          </w:tcPr>
          <w:p w14:paraId="032AAD7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19.4</w:t>
            </w:r>
          </w:p>
        </w:tc>
        <w:tc>
          <w:tcPr>
            <w:tcW w:w="860" w:type="dxa"/>
            <w:noWrap w:val="0"/>
            <w:vAlign w:val="center"/>
          </w:tcPr>
          <w:p w14:paraId="538676F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10.7</w:t>
            </w:r>
          </w:p>
        </w:tc>
        <w:tc>
          <w:tcPr>
            <w:tcW w:w="850" w:type="dxa"/>
            <w:noWrap w:val="0"/>
            <w:vAlign w:val="center"/>
          </w:tcPr>
          <w:p w14:paraId="1CFFE1F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30.7</w:t>
            </w:r>
          </w:p>
        </w:tc>
        <w:tc>
          <w:tcPr>
            <w:tcW w:w="860" w:type="dxa"/>
            <w:noWrap w:val="0"/>
            <w:vAlign w:val="center"/>
          </w:tcPr>
          <w:p w14:paraId="064DDB96">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18.0</w:t>
            </w:r>
          </w:p>
        </w:tc>
        <w:tc>
          <w:tcPr>
            <w:tcW w:w="810" w:type="dxa"/>
            <w:noWrap w:val="0"/>
            <w:vAlign w:val="center"/>
          </w:tcPr>
          <w:p w14:paraId="5E9DD52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15.4</w:t>
            </w:r>
          </w:p>
        </w:tc>
        <w:tc>
          <w:tcPr>
            <w:tcW w:w="910" w:type="dxa"/>
            <w:noWrap w:val="0"/>
            <w:vAlign w:val="center"/>
          </w:tcPr>
          <w:p w14:paraId="2975CF5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14.4</w:t>
            </w:r>
          </w:p>
        </w:tc>
        <w:tc>
          <w:tcPr>
            <w:tcW w:w="830" w:type="dxa"/>
            <w:noWrap w:val="0"/>
            <w:vAlign w:val="center"/>
          </w:tcPr>
          <w:p w14:paraId="5BBBBDD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9.8</w:t>
            </w:r>
          </w:p>
        </w:tc>
        <w:tc>
          <w:tcPr>
            <w:tcW w:w="853" w:type="dxa"/>
            <w:noWrap w:val="0"/>
            <w:vAlign w:val="center"/>
          </w:tcPr>
          <w:p w14:paraId="25BD4AE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28.2</w:t>
            </w:r>
          </w:p>
        </w:tc>
        <w:tc>
          <w:tcPr>
            <w:tcW w:w="727" w:type="dxa"/>
            <w:noWrap w:val="0"/>
            <w:vAlign w:val="center"/>
          </w:tcPr>
          <w:p w14:paraId="45D3F87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28.7</w:t>
            </w:r>
          </w:p>
        </w:tc>
        <w:tc>
          <w:tcPr>
            <w:tcW w:w="710" w:type="dxa"/>
            <w:noWrap w:val="0"/>
            <w:vAlign w:val="center"/>
          </w:tcPr>
          <w:p w14:paraId="756AE5A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28.6</w:t>
            </w:r>
          </w:p>
        </w:tc>
        <w:tc>
          <w:tcPr>
            <w:tcW w:w="700" w:type="dxa"/>
            <w:noWrap w:val="0"/>
            <w:vAlign w:val="center"/>
          </w:tcPr>
          <w:p w14:paraId="57609D8C">
            <w:pPr>
              <w:widowControl w:val="0"/>
              <w:spacing w:line="360" w:lineRule="auto"/>
              <w:ind w:left="0" w:firstLine="0"/>
              <w:jc w:val="center"/>
              <w:rPr>
                <w:rFonts w:ascii="Times New Roman" w:hAnsi="Times New Roman"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800</w:t>
            </w:r>
          </w:p>
        </w:tc>
        <w:tc>
          <w:tcPr>
            <w:tcW w:w="720" w:type="dxa"/>
            <w:noWrap w:val="0"/>
            <w:vAlign w:val="center"/>
          </w:tcPr>
          <w:p w14:paraId="737202A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485D4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center"/>
          </w:tcPr>
          <w:p w14:paraId="4CBE040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w:t>
            </w:r>
          </w:p>
        </w:tc>
        <w:tc>
          <w:tcPr>
            <w:tcW w:w="758" w:type="dxa"/>
            <w:noWrap w:val="0"/>
            <w:vAlign w:val="center"/>
          </w:tcPr>
          <w:p w14:paraId="502A502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汞</w:t>
            </w:r>
          </w:p>
        </w:tc>
        <w:tc>
          <w:tcPr>
            <w:tcW w:w="830" w:type="dxa"/>
            <w:noWrap w:val="0"/>
            <w:vAlign w:val="center"/>
          </w:tcPr>
          <w:p w14:paraId="0318760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0.143</w:t>
            </w:r>
          </w:p>
        </w:tc>
        <w:tc>
          <w:tcPr>
            <w:tcW w:w="866" w:type="dxa"/>
            <w:noWrap w:val="0"/>
            <w:vAlign w:val="center"/>
          </w:tcPr>
          <w:p w14:paraId="11FDDCD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0.122</w:t>
            </w:r>
          </w:p>
        </w:tc>
        <w:tc>
          <w:tcPr>
            <w:tcW w:w="790" w:type="dxa"/>
            <w:noWrap w:val="0"/>
            <w:vAlign w:val="center"/>
          </w:tcPr>
          <w:p w14:paraId="6D0B559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0.145</w:t>
            </w:r>
          </w:p>
        </w:tc>
        <w:tc>
          <w:tcPr>
            <w:tcW w:w="770" w:type="dxa"/>
            <w:noWrap w:val="0"/>
            <w:vAlign w:val="center"/>
          </w:tcPr>
          <w:p w14:paraId="6AD39B2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0.132</w:t>
            </w:r>
          </w:p>
        </w:tc>
        <w:tc>
          <w:tcPr>
            <w:tcW w:w="880" w:type="dxa"/>
            <w:noWrap w:val="0"/>
            <w:vAlign w:val="center"/>
          </w:tcPr>
          <w:p w14:paraId="12011A3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0.127</w:t>
            </w:r>
          </w:p>
        </w:tc>
        <w:tc>
          <w:tcPr>
            <w:tcW w:w="860" w:type="dxa"/>
            <w:noWrap w:val="0"/>
            <w:vAlign w:val="center"/>
          </w:tcPr>
          <w:p w14:paraId="26D6CA9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0.250</w:t>
            </w:r>
          </w:p>
        </w:tc>
        <w:tc>
          <w:tcPr>
            <w:tcW w:w="850" w:type="dxa"/>
            <w:noWrap w:val="0"/>
            <w:vAlign w:val="center"/>
          </w:tcPr>
          <w:p w14:paraId="47EE208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0.206</w:t>
            </w:r>
          </w:p>
        </w:tc>
        <w:tc>
          <w:tcPr>
            <w:tcW w:w="860" w:type="dxa"/>
            <w:noWrap w:val="0"/>
            <w:vAlign w:val="center"/>
          </w:tcPr>
          <w:p w14:paraId="4CBD25B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0.147</w:t>
            </w:r>
          </w:p>
        </w:tc>
        <w:tc>
          <w:tcPr>
            <w:tcW w:w="810" w:type="dxa"/>
            <w:noWrap w:val="0"/>
            <w:vAlign w:val="center"/>
          </w:tcPr>
          <w:p w14:paraId="24C4156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0.226</w:t>
            </w:r>
          </w:p>
        </w:tc>
        <w:tc>
          <w:tcPr>
            <w:tcW w:w="910" w:type="dxa"/>
            <w:noWrap w:val="0"/>
            <w:vAlign w:val="center"/>
          </w:tcPr>
          <w:p w14:paraId="414169D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0.177</w:t>
            </w:r>
          </w:p>
        </w:tc>
        <w:tc>
          <w:tcPr>
            <w:tcW w:w="830" w:type="dxa"/>
            <w:noWrap w:val="0"/>
            <w:vAlign w:val="center"/>
          </w:tcPr>
          <w:p w14:paraId="48A7089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0.160</w:t>
            </w:r>
          </w:p>
        </w:tc>
        <w:tc>
          <w:tcPr>
            <w:tcW w:w="853" w:type="dxa"/>
            <w:noWrap w:val="0"/>
            <w:vAlign w:val="center"/>
          </w:tcPr>
          <w:p w14:paraId="1D40014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0.180</w:t>
            </w:r>
          </w:p>
        </w:tc>
        <w:tc>
          <w:tcPr>
            <w:tcW w:w="727" w:type="dxa"/>
            <w:noWrap w:val="0"/>
            <w:vAlign w:val="center"/>
          </w:tcPr>
          <w:p w14:paraId="558D6A3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0.146</w:t>
            </w:r>
          </w:p>
        </w:tc>
        <w:tc>
          <w:tcPr>
            <w:tcW w:w="710" w:type="dxa"/>
            <w:noWrap w:val="0"/>
            <w:vAlign w:val="center"/>
          </w:tcPr>
          <w:p w14:paraId="7E88F48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0.139</w:t>
            </w:r>
          </w:p>
        </w:tc>
        <w:tc>
          <w:tcPr>
            <w:tcW w:w="700" w:type="dxa"/>
            <w:noWrap w:val="0"/>
            <w:vAlign w:val="center"/>
          </w:tcPr>
          <w:p w14:paraId="737FF62F">
            <w:pPr>
              <w:widowControl w:val="0"/>
              <w:spacing w:line="360" w:lineRule="auto"/>
              <w:ind w:left="0" w:firstLine="0"/>
              <w:jc w:val="center"/>
              <w:rPr>
                <w:rFonts w:ascii="Times New Roman" w:hAnsi="Times New Roman"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38</w:t>
            </w:r>
          </w:p>
        </w:tc>
        <w:tc>
          <w:tcPr>
            <w:tcW w:w="720" w:type="dxa"/>
            <w:noWrap w:val="0"/>
            <w:vAlign w:val="center"/>
          </w:tcPr>
          <w:p w14:paraId="639E332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64668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 w:type="dxa"/>
            <w:noWrap w:val="0"/>
            <w:vAlign w:val="center"/>
          </w:tcPr>
          <w:p w14:paraId="50C60AB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w:t>
            </w:r>
          </w:p>
        </w:tc>
        <w:tc>
          <w:tcPr>
            <w:tcW w:w="758" w:type="dxa"/>
            <w:noWrap w:val="0"/>
            <w:vAlign w:val="center"/>
          </w:tcPr>
          <w:p w14:paraId="282DB81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镍</w:t>
            </w:r>
          </w:p>
        </w:tc>
        <w:tc>
          <w:tcPr>
            <w:tcW w:w="830" w:type="dxa"/>
            <w:noWrap w:val="0"/>
            <w:vAlign w:val="center"/>
          </w:tcPr>
          <w:p w14:paraId="037A185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61</w:t>
            </w:r>
          </w:p>
        </w:tc>
        <w:tc>
          <w:tcPr>
            <w:tcW w:w="866" w:type="dxa"/>
            <w:noWrap w:val="0"/>
            <w:vAlign w:val="center"/>
          </w:tcPr>
          <w:p w14:paraId="42E58C0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45</w:t>
            </w:r>
          </w:p>
        </w:tc>
        <w:tc>
          <w:tcPr>
            <w:tcW w:w="790" w:type="dxa"/>
            <w:noWrap w:val="0"/>
            <w:vAlign w:val="center"/>
          </w:tcPr>
          <w:p w14:paraId="2334392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49</w:t>
            </w:r>
          </w:p>
        </w:tc>
        <w:tc>
          <w:tcPr>
            <w:tcW w:w="770" w:type="dxa"/>
            <w:noWrap w:val="0"/>
            <w:vAlign w:val="center"/>
          </w:tcPr>
          <w:p w14:paraId="79F66AF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45</w:t>
            </w:r>
          </w:p>
        </w:tc>
        <w:tc>
          <w:tcPr>
            <w:tcW w:w="880" w:type="dxa"/>
            <w:noWrap w:val="0"/>
            <w:vAlign w:val="center"/>
          </w:tcPr>
          <w:p w14:paraId="465DF73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32</w:t>
            </w:r>
          </w:p>
        </w:tc>
        <w:tc>
          <w:tcPr>
            <w:tcW w:w="860" w:type="dxa"/>
            <w:noWrap w:val="0"/>
            <w:vAlign w:val="center"/>
          </w:tcPr>
          <w:p w14:paraId="71D1E21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70</w:t>
            </w:r>
          </w:p>
        </w:tc>
        <w:tc>
          <w:tcPr>
            <w:tcW w:w="850" w:type="dxa"/>
            <w:noWrap w:val="0"/>
            <w:vAlign w:val="center"/>
          </w:tcPr>
          <w:p w14:paraId="611B5F4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69</w:t>
            </w:r>
          </w:p>
        </w:tc>
        <w:tc>
          <w:tcPr>
            <w:tcW w:w="860" w:type="dxa"/>
            <w:noWrap w:val="0"/>
            <w:vAlign w:val="center"/>
          </w:tcPr>
          <w:p w14:paraId="32DCB7E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37</w:t>
            </w:r>
          </w:p>
        </w:tc>
        <w:tc>
          <w:tcPr>
            <w:tcW w:w="810" w:type="dxa"/>
            <w:noWrap w:val="0"/>
            <w:vAlign w:val="center"/>
          </w:tcPr>
          <w:p w14:paraId="14226B8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51</w:t>
            </w:r>
          </w:p>
        </w:tc>
        <w:tc>
          <w:tcPr>
            <w:tcW w:w="910" w:type="dxa"/>
            <w:noWrap w:val="0"/>
            <w:vAlign w:val="center"/>
          </w:tcPr>
          <w:p w14:paraId="0748E07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57</w:t>
            </w:r>
          </w:p>
        </w:tc>
        <w:tc>
          <w:tcPr>
            <w:tcW w:w="830" w:type="dxa"/>
            <w:noWrap w:val="0"/>
            <w:vAlign w:val="center"/>
          </w:tcPr>
          <w:p w14:paraId="78C0E59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40</w:t>
            </w:r>
          </w:p>
        </w:tc>
        <w:tc>
          <w:tcPr>
            <w:tcW w:w="853" w:type="dxa"/>
            <w:noWrap w:val="0"/>
            <w:vAlign w:val="center"/>
          </w:tcPr>
          <w:p w14:paraId="297D40D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77</w:t>
            </w:r>
          </w:p>
        </w:tc>
        <w:tc>
          <w:tcPr>
            <w:tcW w:w="727" w:type="dxa"/>
            <w:noWrap w:val="0"/>
            <w:vAlign w:val="center"/>
          </w:tcPr>
          <w:p w14:paraId="0B29C2F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59</w:t>
            </w:r>
          </w:p>
        </w:tc>
        <w:tc>
          <w:tcPr>
            <w:tcW w:w="710" w:type="dxa"/>
            <w:noWrap w:val="0"/>
            <w:vAlign w:val="center"/>
          </w:tcPr>
          <w:p w14:paraId="66344FE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44</w:t>
            </w:r>
          </w:p>
        </w:tc>
        <w:tc>
          <w:tcPr>
            <w:tcW w:w="700" w:type="dxa"/>
            <w:noWrap w:val="0"/>
            <w:vAlign w:val="center"/>
          </w:tcPr>
          <w:p w14:paraId="643379BD">
            <w:pPr>
              <w:widowControl w:val="0"/>
              <w:spacing w:line="360" w:lineRule="auto"/>
              <w:ind w:left="0" w:firstLine="0"/>
              <w:jc w:val="center"/>
              <w:rPr>
                <w:rFonts w:ascii="Times New Roman" w:hAnsi="Times New Roman"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900</w:t>
            </w:r>
          </w:p>
        </w:tc>
        <w:tc>
          <w:tcPr>
            <w:tcW w:w="720" w:type="dxa"/>
            <w:noWrap w:val="0"/>
            <w:vAlign w:val="center"/>
          </w:tcPr>
          <w:p w14:paraId="786A1AC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bl>
    <w:p w14:paraId="7816CDB3">
      <w:pPr>
        <w:pStyle w:val="219"/>
        <w:spacing w:before="4"/>
        <w:jc w:val="center"/>
        <w:rPr>
          <w:rFonts w:ascii="Times New Roman" w:hAnsi="Times New Roman" w:eastAsia="宋体" w:cs="Times New Roman"/>
          <w:b/>
          <w:bCs/>
          <w:sz w:val="24"/>
          <w:szCs w:val="24"/>
          <w:lang w:val="en-US" w:eastAsia="zh-CN"/>
        </w:rPr>
      </w:pPr>
    </w:p>
    <w:p w14:paraId="3B7ACA53">
      <w:pPr>
        <w:pStyle w:val="219"/>
        <w:spacing w:before="4"/>
        <w:jc w:val="center"/>
        <w:rPr>
          <w:rFonts w:ascii="Times New Roman" w:hAnsi="Times New Roman" w:eastAsia="宋体" w:cs="Times New Roman"/>
          <w:b/>
          <w:bCs/>
          <w:sz w:val="24"/>
          <w:szCs w:val="24"/>
          <w:lang w:val="en-US" w:eastAsia="zh-CN"/>
        </w:rPr>
      </w:pPr>
    </w:p>
    <w:p w14:paraId="343AD02D">
      <w:pPr>
        <w:pStyle w:val="219"/>
        <w:spacing w:before="4"/>
        <w:jc w:val="center"/>
        <w:rPr>
          <w:rFonts w:ascii="Times New Roman" w:hAnsi="Times New Roman" w:eastAsia="宋体" w:cs="Times New Roman"/>
          <w:b/>
          <w:bCs/>
          <w:sz w:val="24"/>
          <w:szCs w:val="24"/>
          <w:lang w:val="en-US" w:eastAsia="zh-CN"/>
        </w:rPr>
      </w:pPr>
    </w:p>
    <w:p w14:paraId="24C341C6">
      <w:pPr>
        <w:pStyle w:val="219"/>
        <w:spacing w:before="4"/>
        <w:jc w:val="center"/>
        <w:rPr>
          <w:rFonts w:ascii="Times New Roman" w:hAnsi="Times New Roman" w:eastAsia="宋体" w:cs="Times New Roman"/>
          <w:b/>
          <w:bCs/>
          <w:sz w:val="24"/>
          <w:szCs w:val="24"/>
          <w:lang w:val="en-US" w:eastAsia="zh-CN"/>
        </w:rPr>
      </w:pPr>
    </w:p>
    <w:p w14:paraId="48BDE817">
      <w:pPr>
        <w:pStyle w:val="219"/>
        <w:spacing w:before="4"/>
        <w:jc w:val="center"/>
        <w:rPr>
          <w:rFonts w:ascii="Times New Roman" w:hAnsi="Times New Roman" w:eastAsia="宋体" w:cs="Times New Roman"/>
          <w:b/>
          <w:bCs/>
          <w:sz w:val="24"/>
          <w:szCs w:val="24"/>
          <w:lang w:val="en-US" w:eastAsia="zh-CN"/>
        </w:rPr>
      </w:pPr>
    </w:p>
    <w:p w14:paraId="52BCF4A2">
      <w:pPr>
        <w:pStyle w:val="219"/>
        <w:spacing w:before="4"/>
        <w:jc w:val="center"/>
        <w:rPr>
          <w:rFonts w:ascii="Times New Roman" w:hAnsi="Times New Roman" w:eastAsia="宋体" w:cs="Times New Roman"/>
          <w:b/>
          <w:bCs/>
          <w:sz w:val="24"/>
          <w:szCs w:val="24"/>
          <w:lang w:val="en-US" w:eastAsia="zh-CN"/>
        </w:rPr>
      </w:pPr>
    </w:p>
    <w:p w14:paraId="544D6D86">
      <w:pPr>
        <w:pStyle w:val="219"/>
        <w:spacing w:before="4"/>
        <w:jc w:val="center"/>
        <w:rPr>
          <w:rFonts w:ascii="Times New Roman" w:hAnsi="Times New Roman" w:eastAsia="宋体" w:cs="Times New Roman"/>
          <w:b/>
          <w:bCs/>
          <w:sz w:val="24"/>
          <w:szCs w:val="24"/>
          <w:lang w:val="en-US" w:eastAsia="zh-CN"/>
        </w:rPr>
      </w:pPr>
      <w:r>
        <w:rPr>
          <w:rFonts w:ascii="Times New Roman" w:hAnsi="Times New Roman" w:eastAsia="宋体" w:cs="Times New Roman"/>
          <w:b/>
          <w:bCs/>
          <w:sz w:val="24"/>
          <w:szCs w:val="24"/>
          <w:lang w:val="en-US" w:eastAsia="zh-CN"/>
        </w:rPr>
        <w:t>表5.4-</w:t>
      </w:r>
      <w:r>
        <w:rPr>
          <w:rFonts w:hint="eastAsia" w:ascii="Times New Roman" w:hAnsi="Times New Roman" w:eastAsia="宋体" w:cs="Times New Roman"/>
          <w:b/>
          <w:bCs/>
          <w:sz w:val="24"/>
          <w:szCs w:val="24"/>
          <w:lang w:val="en-US" w:eastAsia="zh-CN"/>
        </w:rPr>
        <w:t>7</w:t>
      </w:r>
      <w:r>
        <w:rPr>
          <w:rFonts w:ascii="Times New Roman" w:hAnsi="Times New Roman" w:eastAsia="宋体" w:cs="Times New Roman"/>
          <w:b/>
          <w:bCs/>
          <w:sz w:val="24"/>
          <w:szCs w:val="24"/>
          <w:lang w:val="en-US" w:eastAsia="zh-CN"/>
        </w:rPr>
        <w:t>土壤样品监测结果分析</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sz w:val="24"/>
          <w:lang w:val="en-US" w:eastAsia="zh-CN"/>
        </w:rPr>
        <w:t>单位：mg/kg</w:t>
      </w:r>
    </w:p>
    <w:tbl>
      <w:tblPr>
        <w:tblStyle w:val="258"/>
        <w:tblW w:w="123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1071"/>
        <w:gridCol w:w="1135"/>
        <w:gridCol w:w="1088"/>
        <w:gridCol w:w="1245"/>
        <w:gridCol w:w="1216"/>
        <w:gridCol w:w="1202"/>
        <w:gridCol w:w="1417"/>
        <w:gridCol w:w="1170"/>
        <w:gridCol w:w="845"/>
        <w:gridCol w:w="1085"/>
      </w:tblGrid>
      <w:tr w14:paraId="43D3A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922" w:type="dxa"/>
            <w:vMerge w:val="restart"/>
            <w:noWrap w:val="0"/>
            <w:vAlign w:val="center"/>
          </w:tcPr>
          <w:p w14:paraId="01E4244D">
            <w:pPr>
              <w:widowControl w:val="0"/>
              <w:spacing w:line="360" w:lineRule="auto"/>
              <w:ind w:left="0" w:firstLine="0"/>
              <w:jc w:val="center"/>
              <w:rPr>
                <w:rFonts w:ascii="Times New Roman" w:hAnsi="Times New Roman" w:eastAsia="宋体" w:cs="Times New Roman"/>
                <w:b/>
                <w:bCs/>
                <w:sz w:val="15"/>
                <w:szCs w:val="15"/>
                <w:vertAlign w:val="baseline"/>
                <w:lang w:val="en-US" w:eastAsia="zh-CN" w:bidi="ar-SA"/>
              </w:rPr>
            </w:pPr>
          </w:p>
          <w:p w14:paraId="291AB753">
            <w:pPr>
              <w:widowControl w:val="0"/>
              <w:spacing w:line="360" w:lineRule="auto"/>
              <w:ind w:left="0" w:firstLine="0"/>
              <w:jc w:val="center"/>
              <w:rPr>
                <w:rFonts w:ascii="Times New Roman" w:hAnsi="Times New Roman" w:eastAsia="宋体" w:cs="Times New Roman"/>
                <w:b/>
                <w:bCs/>
                <w:sz w:val="15"/>
                <w:szCs w:val="15"/>
                <w:vertAlign w:val="baseline"/>
                <w:lang w:val="en-US" w:eastAsia="zh-CN"/>
              </w:rPr>
            </w:pPr>
            <w:r>
              <w:rPr>
                <w:rFonts w:ascii="Times New Roman" w:hAnsi="Times New Roman" w:eastAsia="宋体" w:cs="Times New Roman"/>
                <w:b/>
                <w:bCs/>
                <w:sz w:val="15"/>
                <w:szCs w:val="15"/>
                <w:vertAlign w:val="baseline"/>
                <w:lang w:val="en-US" w:eastAsia="zh-CN" w:bidi="ar-SA"/>
              </w:rPr>
              <w:t>序号</w:t>
            </w:r>
          </w:p>
        </w:tc>
        <w:tc>
          <w:tcPr>
            <w:tcW w:w="1071" w:type="dxa"/>
            <w:vMerge w:val="restart"/>
            <w:noWrap w:val="0"/>
            <w:vAlign w:val="center"/>
          </w:tcPr>
          <w:p w14:paraId="5DE18A19">
            <w:pPr>
              <w:widowControl w:val="0"/>
              <w:spacing w:line="360" w:lineRule="auto"/>
              <w:ind w:left="0" w:firstLine="0"/>
              <w:jc w:val="center"/>
              <w:rPr>
                <w:rFonts w:ascii="Times New Roman" w:hAnsi="Times New Roman" w:eastAsia="宋体" w:cs="Times New Roman"/>
                <w:b/>
                <w:bCs/>
                <w:sz w:val="15"/>
                <w:szCs w:val="15"/>
                <w:vertAlign w:val="baseline"/>
                <w:lang w:val="en-US" w:eastAsia="zh-CN" w:bidi="ar-SA"/>
              </w:rPr>
            </w:pPr>
          </w:p>
          <w:p w14:paraId="115C170C">
            <w:pPr>
              <w:widowControl w:val="0"/>
              <w:spacing w:line="360" w:lineRule="auto"/>
              <w:ind w:left="0" w:firstLine="0"/>
              <w:jc w:val="center"/>
              <w:rPr>
                <w:rFonts w:ascii="Times New Roman" w:hAnsi="Times New Roman" w:eastAsia="宋体" w:cs="Times New Roman"/>
                <w:b/>
                <w:bCs/>
                <w:sz w:val="15"/>
                <w:szCs w:val="15"/>
                <w:vertAlign w:val="baseline"/>
                <w:lang w:val="en-US" w:eastAsia="zh-CN"/>
              </w:rPr>
            </w:pPr>
            <w:r>
              <w:rPr>
                <w:rFonts w:ascii="Times New Roman" w:hAnsi="Times New Roman" w:eastAsia="宋体" w:cs="Times New Roman"/>
                <w:b/>
                <w:bCs/>
                <w:sz w:val="15"/>
                <w:szCs w:val="15"/>
                <w:vertAlign w:val="baseline"/>
                <w:lang w:val="en-US" w:eastAsia="zh-CN" w:bidi="ar-SA"/>
              </w:rPr>
              <w:t>污染物项目</w:t>
            </w:r>
          </w:p>
        </w:tc>
        <w:tc>
          <w:tcPr>
            <w:tcW w:w="8473" w:type="dxa"/>
            <w:gridSpan w:val="7"/>
            <w:noWrap w:val="0"/>
            <w:vAlign w:val="center"/>
          </w:tcPr>
          <w:p w14:paraId="3CE21BCF">
            <w:pPr>
              <w:widowControl w:val="0"/>
              <w:spacing w:line="360" w:lineRule="auto"/>
              <w:ind w:firstLine="301"/>
              <w:jc w:val="center"/>
              <w:rPr>
                <w:rFonts w:hint="eastAsia" w:ascii="Times New Roman" w:hAnsi="Times New Roman" w:eastAsia="宋体" w:cs="Times New Roman"/>
                <w:b/>
                <w:bCs/>
                <w:sz w:val="15"/>
                <w:szCs w:val="15"/>
                <w:vertAlign w:val="baseline"/>
                <w:lang w:val="en-US" w:eastAsia="zh-CN" w:bidi="ar-SA"/>
              </w:rPr>
            </w:pPr>
            <w:r>
              <w:rPr>
                <w:rFonts w:hint="eastAsia" w:ascii="Times New Roman" w:hAnsi="Times New Roman" w:eastAsia="宋体" w:cs="Times New Roman"/>
                <w:b/>
                <w:bCs/>
                <w:sz w:val="15"/>
                <w:szCs w:val="15"/>
                <w:vertAlign w:val="baseline"/>
                <w:lang w:val="en-US" w:eastAsia="zh-CN" w:bidi="ar-SA"/>
              </w:rPr>
              <w:t>监测点位</w:t>
            </w:r>
          </w:p>
        </w:tc>
        <w:tc>
          <w:tcPr>
            <w:tcW w:w="845" w:type="dxa"/>
            <w:vMerge w:val="restart"/>
            <w:noWrap w:val="0"/>
            <w:vAlign w:val="center"/>
          </w:tcPr>
          <w:p w14:paraId="235CD322">
            <w:pPr>
              <w:widowControl w:val="0"/>
              <w:spacing w:line="360" w:lineRule="auto"/>
              <w:ind w:left="0" w:firstLine="0"/>
              <w:jc w:val="center"/>
              <w:rPr>
                <w:rFonts w:ascii="Times New Roman" w:hAnsi="Times New Roman" w:eastAsia="宋体" w:cs="Times New Roman"/>
                <w:b/>
                <w:bCs/>
                <w:sz w:val="15"/>
                <w:szCs w:val="15"/>
                <w:vertAlign w:val="baseline"/>
                <w:lang w:val="en-US" w:eastAsia="zh-CN" w:bidi="ar-SA"/>
              </w:rPr>
            </w:pPr>
            <w:r>
              <w:rPr>
                <w:rFonts w:hint="eastAsia" w:ascii="Times New Roman" w:hAnsi="Times New Roman" w:eastAsia="宋体" w:cs="Times New Roman"/>
                <w:b/>
                <w:bCs/>
                <w:sz w:val="15"/>
                <w:szCs w:val="15"/>
                <w:vertAlign w:val="baseline"/>
                <w:lang w:val="en-US" w:eastAsia="zh-CN" w:bidi="ar-SA"/>
              </w:rPr>
              <w:t>标准值</w:t>
            </w:r>
          </w:p>
        </w:tc>
        <w:tc>
          <w:tcPr>
            <w:tcW w:w="1085" w:type="dxa"/>
            <w:vMerge w:val="restart"/>
            <w:noWrap w:val="0"/>
            <w:vAlign w:val="center"/>
          </w:tcPr>
          <w:p w14:paraId="1358701F">
            <w:pPr>
              <w:widowControl w:val="0"/>
              <w:spacing w:line="360" w:lineRule="auto"/>
              <w:ind w:left="0" w:firstLine="0"/>
              <w:jc w:val="center"/>
              <w:rPr>
                <w:rFonts w:ascii="Times New Roman" w:hAnsi="Times New Roman" w:eastAsia="宋体" w:cs="Times New Roman"/>
                <w:b/>
                <w:bCs/>
                <w:sz w:val="15"/>
                <w:szCs w:val="15"/>
                <w:vertAlign w:val="baseline"/>
                <w:lang w:val="en-US" w:eastAsia="zh-CN" w:bidi="ar-SA"/>
              </w:rPr>
            </w:pPr>
            <w:r>
              <w:rPr>
                <w:rFonts w:hint="eastAsia" w:ascii="Times New Roman" w:hAnsi="Times New Roman" w:eastAsia="宋体" w:cs="Times New Roman"/>
                <w:b/>
                <w:bCs/>
                <w:sz w:val="15"/>
                <w:szCs w:val="15"/>
                <w:vertAlign w:val="baseline"/>
                <w:lang w:val="en-US" w:eastAsia="zh-CN" w:bidi="ar-SA"/>
              </w:rPr>
              <w:t>达标情况</w:t>
            </w:r>
          </w:p>
        </w:tc>
      </w:tr>
      <w:tr w14:paraId="715E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922" w:type="dxa"/>
            <w:vMerge w:val="continue"/>
            <w:noWrap w:val="0"/>
            <w:vAlign w:val="top"/>
          </w:tcPr>
          <w:p w14:paraId="4B1958E4">
            <w:pPr>
              <w:widowControl w:val="0"/>
              <w:spacing w:line="360" w:lineRule="auto"/>
              <w:ind w:firstLine="301"/>
              <w:jc w:val="both"/>
              <w:rPr>
                <w:rFonts w:ascii="Times New Roman" w:hAnsi="Times New Roman" w:eastAsia="宋体" w:cs="Times New Roman"/>
                <w:b/>
                <w:bCs/>
                <w:sz w:val="15"/>
                <w:szCs w:val="15"/>
                <w:vertAlign w:val="baseline"/>
                <w:lang w:val="en-US" w:eastAsia="zh-CN" w:bidi="ar-SA"/>
              </w:rPr>
            </w:pPr>
          </w:p>
        </w:tc>
        <w:tc>
          <w:tcPr>
            <w:tcW w:w="1071" w:type="dxa"/>
            <w:vMerge w:val="continue"/>
            <w:noWrap w:val="0"/>
            <w:vAlign w:val="top"/>
          </w:tcPr>
          <w:p w14:paraId="67429834">
            <w:pPr>
              <w:widowControl w:val="0"/>
              <w:spacing w:line="360" w:lineRule="auto"/>
              <w:ind w:firstLine="301"/>
              <w:jc w:val="both"/>
              <w:rPr>
                <w:rFonts w:ascii="Times New Roman" w:hAnsi="Times New Roman" w:eastAsia="宋体" w:cs="Times New Roman"/>
                <w:b/>
                <w:bCs/>
                <w:sz w:val="15"/>
                <w:szCs w:val="15"/>
                <w:vertAlign w:val="baseline"/>
                <w:lang w:val="en-US" w:eastAsia="zh-CN" w:bidi="ar-SA"/>
              </w:rPr>
            </w:pPr>
          </w:p>
        </w:tc>
        <w:tc>
          <w:tcPr>
            <w:tcW w:w="3468" w:type="dxa"/>
            <w:gridSpan w:val="3"/>
            <w:noWrap w:val="0"/>
            <w:vAlign w:val="center"/>
          </w:tcPr>
          <w:p w14:paraId="3667C0A3">
            <w:pPr>
              <w:widowControl w:val="0"/>
              <w:ind w:firstLine="301"/>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厂区内5#柱状样（TR07)</w:t>
            </w:r>
          </w:p>
        </w:tc>
        <w:tc>
          <w:tcPr>
            <w:tcW w:w="1216" w:type="dxa"/>
            <w:vMerge w:val="restart"/>
            <w:noWrap w:val="0"/>
            <w:vAlign w:val="center"/>
          </w:tcPr>
          <w:p w14:paraId="55DCBB0D">
            <w:pPr>
              <w:widowControl w:val="0"/>
              <w:ind w:left="0" w:firstLine="0"/>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厂区东侧表层样（TR08）</w:t>
            </w:r>
          </w:p>
        </w:tc>
        <w:tc>
          <w:tcPr>
            <w:tcW w:w="1202" w:type="dxa"/>
            <w:vMerge w:val="restart"/>
            <w:noWrap w:val="0"/>
            <w:vAlign w:val="center"/>
          </w:tcPr>
          <w:p w14:paraId="2D39001E">
            <w:pPr>
              <w:widowControl w:val="0"/>
              <w:ind w:left="0" w:firstLine="0"/>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厂区西侧表层样（TR09）</w:t>
            </w:r>
          </w:p>
        </w:tc>
        <w:tc>
          <w:tcPr>
            <w:tcW w:w="1417" w:type="dxa"/>
            <w:vMerge w:val="restart"/>
            <w:noWrap w:val="0"/>
            <w:vAlign w:val="center"/>
          </w:tcPr>
          <w:p w14:paraId="08C7ABFB">
            <w:pPr>
              <w:widowControl w:val="0"/>
              <w:ind w:left="0" w:firstLine="0"/>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厂区南侧表层样（TR010）</w:t>
            </w:r>
          </w:p>
        </w:tc>
        <w:tc>
          <w:tcPr>
            <w:tcW w:w="1170" w:type="dxa"/>
            <w:vMerge w:val="restart"/>
            <w:noWrap w:val="0"/>
            <w:vAlign w:val="center"/>
          </w:tcPr>
          <w:p w14:paraId="6FB4BBE9">
            <w:pPr>
              <w:widowControl w:val="0"/>
              <w:ind w:left="0" w:firstLine="0"/>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厂区北侧表层样（TR11)</w:t>
            </w:r>
          </w:p>
        </w:tc>
        <w:tc>
          <w:tcPr>
            <w:tcW w:w="845" w:type="dxa"/>
            <w:vMerge w:val="continue"/>
            <w:noWrap w:val="0"/>
            <w:vAlign w:val="center"/>
          </w:tcPr>
          <w:p w14:paraId="4F971811">
            <w:pPr>
              <w:widowControl w:val="0"/>
              <w:spacing w:line="360" w:lineRule="auto"/>
              <w:ind w:firstLine="361"/>
              <w:jc w:val="center"/>
              <w:rPr>
                <w:rFonts w:ascii="Times New Roman" w:hAnsi="Times New Roman" w:eastAsia="宋体" w:cs="Times New Roman"/>
                <w:b/>
                <w:bCs/>
                <w:sz w:val="18"/>
                <w:szCs w:val="18"/>
                <w:vertAlign w:val="baseline"/>
                <w:lang w:val="en-US" w:eastAsia="zh-CN" w:bidi="ar-SA"/>
              </w:rPr>
            </w:pPr>
          </w:p>
        </w:tc>
        <w:tc>
          <w:tcPr>
            <w:tcW w:w="1085" w:type="dxa"/>
            <w:vMerge w:val="continue"/>
            <w:noWrap w:val="0"/>
            <w:vAlign w:val="center"/>
          </w:tcPr>
          <w:p w14:paraId="4D6AA270">
            <w:pPr>
              <w:widowControl w:val="0"/>
              <w:spacing w:line="360" w:lineRule="auto"/>
              <w:ind w:firstLine="361"/>
              <w:jc w:val="center"/>
              <w:rPr>
                <w:rFonts w:ascii="Times New Roman" w:hAnsi="Times New Roman" w:eastAsia="宋体" w:cs="Times New Roman"/>
                <w:b/>
                <w:bCs/>
                <w:sz w:val="18"/>
                <w:szCs w:val="18"/>
                <w:vertAlign w:val="baseline"/>
                <w:lang w:val="en-US" w:eastAsia="zh-CN" w:bidi="ar-SA"/>
              </w:rPr>
            </w:pPr>
          </w:p>
        </w:tc>
      </w:tr>
      <w:tr w14:paraId="7295D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922" w:type="dxa"/>
            <w:vMerge w:val="continue"/>
            <w:noWrap w:val="0"/>
            <w:vAlign w:val="top"/>
          </w:tcPr>
          <w:p w14:paraId="008431AF">
            <w:pPr>
              <w:widowControl w:val="0"/>
              <w:spacing w:line="360" w:lineRule="auto"/>
              <w:ind w:firstLine="301"/>
              <w:jc w:val="both"/>
              <w:rPr>
                <w:rFonts w:ascii="Times New Roman" w:hAnsi="Times New Roman" w:eastAsia="宋体" w:cs="Times New Roman"/>
                <w:b/>
                <w:bCs/>
                <w:sz w:val="15"/>
                <w:szCs w:val="15"/>
                <w:vertAlign w:val="baseline"/>
                <w:lang w:val="en-US" w:eastAsia="zh-CN" w:bidi="ar-SA"/>
              </w:rPr>
            </w:pPr>
          </w:p>
        </w:tc>
        <w:tc>
          <w:tcPr>
            <w:tcW w:w="1071" w:type="dxa"/>
            <w:vMerge w:val="continue"/>
            <w:noWrap w:val="0"/>
            <w:vAlign w:val="top"/>
          </w:tcPr>
          <w:p w14:paraId="3543F73C">
            <w:pPr>
              <w:widowControl w:val="0"/>
              <w:spacing w:line="360" w:lineRule="auto"/>
              <w:ind w:firstLine="301"/>
              <w:jc w:val="both"/>
              <w:rPr>
                <w:rFonts w:ascii="Times New Roman" w:hAnsi="Times New Roman" w:eastAsia="宋体" w:cs="Times New Roman"/>
                <w:b/>
                <w:bCs/>
                <w:sz w:val="15"/>
                <w:szCs w:val="15"/>
                <w:vertAlign w:val="baseline"/>
                <w:lang w:val="en-US" w:eastAsia="zh-CN" w:bidi="ar-SA"/>
              </w:rPr>
            </w:pPr>
          </w:p>
        </w:tc>
        <w:tc>
          <w:tcPr>
            <w:tcW w:w="1135" w:type="dxa"/>
            <w:noWrap w:val="0"/>
            <w:vAlign w:val="center"/>
          </w:tcPr>
          <w:p w14:paraId="6CB8E240">
            <w:pPr>
              <w:widowControl w:val="0"/>
              <w:ind w:left="0" w:firstLine="0"/>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TR07-1</w:t>
            </w:r>
          </w:p>
        </w:tc>
        <w:tc>
          <w:tcPr>
            <w:tcW w:w="1088" w:type="dxa"/>
            <w:noWrap w:val="0"/>
            <w:vAlign w:val="center"/>
          </w:tcPr>
          <w:p w14:paraId="1F20522E">
            <w:pPr>
              <w:widowControl w:val="0"/>
              <w:ind w:left="0" w:firstLine="0"/>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TR07-2</w:t>
            </w:r>
          </w:p>
        </w:tc>
        <w:tc>
          <w:tcPr>
            <w:tcW w:w="1245" w:type="dxa"/>
            <w:noWrap w:val="0"/>
            <w:vAlign w:val="center"/>
          </w:tcPr>
          <w:p w14:paraId="0B5AC8B2">
            <w:pPr>
              <w:widowControl w:val="0"/>
              <w:ind w:left="0" w:firstLine="0"/>
              <w:jc w:val="center"/>
              <w:rPr>
                <w:rFonts w:ascii="Times New Roman" w:hAnsi="Times New Roman" w:eastAsia="宋体" w:cs="Times New Roman"/>
                <w:b/>
                <w:bCs/>
                <w:sz w:val="15"/>
                <w:szCs w:val="15"/>
                <w:vertAlign w:val="baseline"/>
                <w:lang w:val="en-US" w:eastAsia="zh-CN"/>
              </w:rPr>
            </w:pPr>
            <w:r>
              <w:rPr>
                <w:rFonts w:hint="eastAsia" w:ascii="Times New Roman" w:hAnsi="Times New Roman" w:eastAsia="宋体" w:cs="Times New Roman"/>
                <w:b/>
                <w:bCs/>
                <w:sz w:val="15"/>
                <w:szCs w:val="15"/>
                <w:vertAlign w:val="baseline"/>
                <w:lang w:val="en-US" w:eastAsia="zh-CN"/>
              </w:rPr>
              <w:t>TR07-3</w:t>
            </w:r>
          </w:p>
        </w:tc>
        <w:tc>
          <w:tcPr>
            <w:tcW w:w="1216" w:type="dxa"/>
            <w:vMerge w:val="continue"/>
            <w:noWrap w:val="0"/>
            <w:vAlign w:val="center"/>
          </w:tcPr>
          <w:p w14:paraId="13DBA22F">
            <w:pPr>
              <w:widowControl w:val="0"/>
              <w:ind w:left="0" w:firstLine="0"/>
              <w:jc w:val="center"/>
              <w:rPr>
                <w:rFonts w:ascii="Times New Roman" w:hAnsi="Times New Roman" w:eastAsia="宋体" w:cs="Times New Roman"/>
                <w:b/>
                <w:bCs/>
                <w:sz w:val="15"/>
                <w:szCs w:val="15"/>
                <w:vertAlign w:val="baseline"/>
                <w:lang w:val="en-US" w:eastAsia="zh-CN"/>
              </w:rPr>
            </w:pPr>
          </w:p>
        </w:tc>
        <w:tc>
          <w:tcPr>
            <w:tcW w:w="1202" w:type="dxa"/>
            <w:vMerge w:val="continue"/>
            <w:noWrap w:val="0"/>
            <w:vAlign w:val="center"/>
          </w:tcPr>
          <w:p w14:paraId="1AD22A7D">
            <w:pPr>
              <w:widowControl w:val="0"/>
              <w:ind w:left="0" w:firstLine="0"/>
              <w:jc w:val="center"/>
              <w:rPr>
                <w:rFonts w:ascii="Times New Roman" w:hAnsi="Times New Roman" w:eastAsia="宋体" w:cs="Times New Roman"/>
                <w:b/>
                <w:bCs/>
                <w:sz w:val="15"/>
                <w:szCs w:val="15"/>
                <w:vertAlign w:val="baseline"/>
                <w:lang w:val="en-US" w:eastAsia="zh-CN"/>
              </w:rPr>
            </w:pPr>
          </w:p>
        </w:tc>
        <w:tc>
          <w:tcPr>
            <w:tcW w:w="1417" w:type="dxa"/>
            <w:vMerge w:val="continue"/>
            <w:noWrap w:val="0"/>
            <w:vAlign w:val="center"/>
          </w:tcPr>
          <w:p w14:paraId="22857D1B">
            <w:pPr>
              <w:widowControl w:val="0"/>
              <w:ind w:left="0" w:firstLine="0"/>
              <w:jc w:val="center"/>
              <w:rPr>
                <w:rFonts w:ascii="Times New Roman" w:hAnsi="Times New Roman" w:eastAsia="宋体" w:cs="Times New Roman"/>
                <w:b/>
                <w:bCs/>
                <w:sz w:val="15"/>
                <w:szCs w:val="15"/>
                <w:vertAlign w:val="baseline"/>
                <w:lang w:val="en-US" w:eastAsia="zh-CN"/>
              </w:rPr>
            </w:pPr>
          </w:p>
        </w:tc>
        <w:tc>
          <w:tcPr>
            <w:tcW w:w="1170" w:type="dxa"/>
            <w:vMerge w:val="continue"/>
            <w:noWrap w:val="0"/>
            <w:vAlign w:val="center"/>
          </w:tcPr>
          <w:p w14:paraId="690E9C51">
            <w:pPr>
              <w:widowControl w:val="0"/>
              <w:ind w:left="0" w:firstLine="0"/>
              <w:jc w:val="center"/>
              <w:rPr>
                <w:rFonts w:ascii="Times New Roman" w:hAnsi="Times New Roman" w:eastAsia="宋体" w:cs="Times New Roman"/>
                <w:b/>
                <w:bCs/>
                <w:sz w:val="15"/>
                <w:szCs w:val="15"/>
                <w:vertAlign w:val="baseline"/>
                <w:lang w:val="en-US" w:eastAsia="zh-CN"/>
              </w:rPr>
            </w:pPr>
          </w:p>
        </w:tc>
        <w:tc>
          <w:tcPr>
            <w:tcW w:w="845" w:type="dxa"/>
            <w:vMerge w:val="continue"/>
            <w:noWrap w:val="0"/>
            <w:vAlign w:val="center"/>
          </w:tcPr>
          <w:p w14:paraId="3A74DED8">
            <w:pPr>
              <w:widowControl w:val="0"/>
              <w:spacing w:line="360" w:lineRule="auto"/>
              <w:ind w:firstLine="361"/>
              <w:jc w:val="center"/>
              <w:rPr>
                <w:rFonts w:ascii="Times New Roman" w:hAnsi="Times New Roman" w:eastAsia="宋体" w:cs="Times New Roman"/>
                <w:b/>
                <w:bCs/>
                <w:sz w:val="18"/>
                <w:szCs w:val="18"/>
                <w:vertAlign w:val="baseline"/>
                <w:lang w:val="en-US" w:eastAsia="zh-CN" w:bidi="ar-SA"/>
              </w:rPr>
            </w:pPr>
          </w:p>
        </w:tc>
        <w:tc>
          <w:tcPr>
            <w:tcW w:w="1085" w:type="dxa"/>
            <w:vMerge w:val="continue"/>
            <w:noWrap w:val="0"/>
            <w:vAlign w:val="center"/>
          </w:tcPr>
          <w:p w14:paraId="32F9FE59">
            <w:pPr>
              <w:widowControl w:val="0"/>
              <w:spacing w:line="360" w:lineRule="auto"/>
              <w:ind w:firstLine="361"/>
              <w:jc w:val="center"/>
              <w:rPr>
                <w:rFonts w:ascii="Times New Roman" w:hAnsi="Times New Roman" w:eastAsia="宋体" w:cs="Times New Roman"/>
                <w:b/>
                <w:bCs/>
                <w:sz w:val="18"/>
                <w:szCs w:val="18"/>
                <w:vertAlign w:val="baseline"/>
                <w:lang w:val="en-US" w:eastAsia="zh-CN" w:bidi="ar-SA"/>
              </w:rPr>
            </w:pPr>
          </w:p>
        </w:tc>
      </w:tr>
      <w:tr w14:paraId="2D932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922" w:type="dxa"/>
            <w:noWrap w:val="0"/>
            <w:vAlign w:val="top"/>
          </w:tcPr>
          <w:p w14:paraId="17A9AF6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w:t>
            </w:r>
          </w:p>
        </w:tc>
        <w:tc>
          <w:tcPr>
            <w:tcW w:w="1071" w:type="dxa"/>
            <w:noWrap w:val="0"/>
            <w:vAlign w:val="top"/>
          </w:tcPr>
          <w:p w14:paraId="4E8D69D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pH</w:t>
            </w:r>
          </w:p>
        </w:tc>
        <w:tc>
          <w:tcPr>
            <w:tcW w:w="1135" w:type="dxa"/>
            <w:noWrap w:val="0"/>
            <w:vAlign w:val="center"/>
          </w:tcPr>
          <w:p w14:paraId="7B86CEA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6.23</w:t>
            </w:r>
          </w:p>
        </w:tc>
        <w:tc>
          <w:tcPr>
            <w:tcW w:w="1088" w:type="dxa"/>
            <w:noWrap w:val="0"/>
            <w:vAlign w:val="center"/>
          </w:tcPr>
          <w:p w14:paraId="462E367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7.12</w:t>
            </w:r>
          </w:p>
        </w:tc>
        <w:tc>
          <w:tcPr>
            <w:tcW w:w="1245" w:type="dxa"/>
            <w:noWrap w:val="0"/>
            <w:vAlign w:val="center"/>
          </w:tcPr>
          <w:p w14:paraId="5548EDF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7.76</w:t>
            </w:r>
          </w:p>
        </w:tc>
        <w:tc>
          <w:tcPr>
            <w:tcW w:w="1216" w:type="dxa"/>
            <w:noWrap w:val="0"/>
            <w:vAlign w:val="center"/>
          </w:tcPr>
          <w:p w14:paraId="39E0A2E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7.78</w:t>
            </w:r>
          </w:p>
        </w:tc>
        <w:tc>
          <w:tcPr>
            <w:tcW w:w="1202" w:type="dxa"/>
            <w:noWrap w:val="0"/>
            <w:vAlign w:val="center"/>
          </w:tcPr>
          <w:p w14:paraId="141918F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7.55</w:t>
            </w:r>
          </w:p>
        </w:tc>
        <w:tc>
          <w:tcPr>
            <w:tcW w:w="1417" w:type="dxa"/>
            <w:noWrap w:val="0"/>
            <w:vAlign w:val="center"/>
          </w:tcPr>
          <w:p w14:paraId="1A3089A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7.41</w:t>
            </w:r>
          </w:p>
        </w:tc>
        <w:tc>
          <w:tcPr>
            <w:tcW w:w="1170" w:type="dxa"/>
            <w:noWrap w:val="0"/>
            <w:vAlign w:val="center"/>
          </w:tcPr>
          <w:p w14:paraId="09CE50D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7.03</w:t>
            </w:r>
          </w:p>
        </w:tc>
        <w:tc>
          <w:tcPr>
            <w:tcW w:w="845" w:type="dxa"/>
            <w:noWrap w:val="0"/>
            <w:vAlign w:val="center"/>
          </w:tcPr>
          <w:p w14:paraId="23C3BB8A">
            <w:pPr>
              <w:widowControl w:val="0"/>
              <w:spacing w:line="360" w:lineRule="auto"/>
              <w:ind w:left="0" w:firstLine="0"/>
              <w:jc w:val="center"/>
              <w:rPr>
                <w:rFonts w:ascii="Times New Roman" w:hAnsi="Times New Roman" w:eastAsia="宋体" w:cs="Times New Roman"/>
                <w:b/>
                <w:bCs/>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bidi="ar-SA"/>
              </w:rPr>
              <w:t>/</w:t>
            </w:r>
          </w:p>
        </w:tc>
        <w:tc>
          <w:tcPr>
            <w:tcW w:w="1085" w:type="dxa"/>
            <w:noWrap w:val="0"/>
            <w:vAlign w:val="center"/>
          </w:tcPr>
          <w:p w14:paraId="4EF00359">
            <w:pPr>
              <w:widowControl w:val="0"/>
              <w:spacing w:line="360" w:lineRule="auto"/>
              <w:ind w:left="0" w:firstLine="0"/>
              <w:jc w:val="center"/>
              <w:rPr>
                <w:rFonts w:ascii="Times New Roman" w:hAnsi="Times New Roman" w:eastAsia="宋体" w:cs="Times New Roman"/>
                <w:b/>
                <w:bCs/>
                <w:sz w:val="18"/>
                <w:szCs w:val="18"/>
                <w:vertAlign w:val="baseline"/>
                <w:lang w:val="en-US" w:eastAsia="zh-CN" w:bidi="ar-SA"/>
              </w:rPr>
            </w:pPr>
            <w:r>
              <w:rPr>
                <w:rFonts w:hint="eastAsia" w:ascii="Times New Roman" w:hAnsi="Times New Roman" w:eastAsia="宋体" w:cs="Times New Roman"/>
                <w:b/>
                <w:bCs/>
                <w:sz w:val="18"/>
                <w:szCs w:val="18"/>
                <w:vertAlign w:val="baseline"/>
                <w:lang w:val="en-US" w:eastAsia="zh-CN" w:bidi="ar-SA"/>
              </w:rPr>
              <w:t>/</w:t>
            </w:r>
          </w:p>
        </w:tc>
      </w:tr>
      <w:tr w14:paraId="72730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22" w:type="dxa"/>
            <w:noWrap w:val="0"/>
            <w:vAlign w:val="center"/>
          </w:tcPr>
          <w:p w14:paraId="4FB85B9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1071" w:type="dxa"/>
            <w:noWrap w:val="0"/>
            <w:vAlign w:val="center"/>
          </w:tcPr>
          <w:p w14:paraId="647A413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砷</w:t>
            </w:r>
          </w:p>
        </w:tc>
        <w:tc>
          <w:tcPr>
            <w:tcW w:w="1135" w:type="dxa"/>
            <w:noWrap w:val="0"/>
            <w:vAlign w:val="top"/>
          </w:tcPr>
          <w:p w14:paraId="64367D3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34.1</w:t>
            </w:r>
          </w:p>
        </w:tc>
        <w:tc>
          <w:tcPr>
            <w:tcW w:w="1088" w:type="dxa"/>
            <w:noWrap w:val="0"/>
            <w:vAlign w:val="top"/>
          </w:tcPr>
          <w:p w14:paraId="4F8FC66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25.8</w:t>
            </w:r>
          </w:p>
        </w:tc>
        <w:tc>
          <w:tcPr>
            <w:tcW w:w="1245" w:type="dxa"/>
            <w:noWrap w:val="0"/>
            <w:vAlign w:val="top"/>
          </w:tcPr>
          <w:p w14:paraId="35BD8AE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22.8</w:t>
            </w:r>
          </w:p>
        </w:tc>
        <w:tc>
          <w:tcPr>
            <w:tcW w:w="1216" w:type="dxa"/>
            <w:noWrap w:val="0"/>
            <w:vAlign w:val="top"/>
          </w:tcPr>
          <w:p w14:paraId="7FBC124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17.8</w:t>
            </w:r>
          </w:p>
        </w:tc>
        <w:tc>
          <w:tcPr>
            <w:tcW w:w="1202" w:type="dxa"/>
            <w:noWrap w:val="0"/>
            <w:vAlign w:val="top"/>
          </w:tcPr>
          <w:p w14:paraId="4802398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15.6</w:t>
            </w:r>
          </w:p>
        </w:tc>
        <w:tc>
          <w:tcPr>
            <w:tcW w:w="1417" w:type="dxa"/>
            <w:noWrap w:val="0"/>
            <w:vAlign w:val="top"/>
          </w:tcPr>
          <w:p w14:paraId="6DEF664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21.2</w:t>
            </w:r>
          </w:p>
        </w:tc>
        <w:tc>
          <w:tcPr>
            <w:tcW w:w="1170" w:type="dxa"/>
            <w:noWrap w:val="0"/>
            <w:vAlign w:val="top"/>
          </w:tcPr>
          <w:p w14:paraId="6C61FB5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16.0</w:t>
            </w:r>
          </w:p>
        </w:tc>
        <w:tc>
          <w:tcPr>
            <w:tcW w:w="845" w:type="dxa"/>
            <w:noWrap w:val="0"/>
            <w:vAlign w:val="center"/>
          </w:tcPr>
          <w:p w14:paraId="384A7C8C">
            <w:pPr>
              <w:widowControl w:val="0"/>
              <w:spacing w:line="360" w:lineRule="auto"/>
              <w:ind w:left="0" w:firstLine="0"/>
              <w:jc w:val="center"/>
              <w:rPr>
                <w:rFonts w:ascii="Times New Roman" w:hAnsi="Times New Roman" w:eastAsia="宋体"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60</w:t>
            </w:r>
          </w:p>
        </w:tc>
        <w:tc>
          <w:tcPr>
            <w:tcW w:w="1085" w:type="dxa"/>
            <w:noWrap w:val="0"/>
            <w:vAlign w:val="center"/>
          </w:tcPr>
          <w:p w14:paraId="6D19735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2AAE3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22" w:type="dxa"/>
            <w:noWrap w:val="0"/>
            <w:vAlign w:val="center"/>
          </w:tcPr>
          <w:p w14:paraId="6F783F6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w:t>
            </w:r>
          </w:p>
        </w:tc>
        <w:tc>
          <w:tcPr>
            <w:tcW w:w="1071" w:type="dxa"/>
            <w:noWrap w:val="0"/>
            <w:vAlign w:val="center"/>
          </w:tcPr>
          <w:p w14:paraId="1484F20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镉</w:t>
            </w:r>
          </w:p>
        </w:tc>
        <w:tc>
          <w:tcPr>
            <w:tcW w:w="1135" w:type="dxa"/>
            <w:noWrap w:val="0"/>
            <w:vAlign w:val="top"/>
          </w:tcPr>
          <w:p w14:paraId="1D510F7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0.16</w:t>
            </w:r>
          </w:p>
        </w:tc>
        <w:tc>
          <w:tcPr>
            <w:tcW w:w="1088" w:type="dxa"/>
            <w:noWrap w:val="0"/>
            <w:vAlign w:val="top"/>
          </w:tcPr>
          <w:p w14:paraId="0513B1E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0.15</w:t>
            </w:r>
          </w:p>
        </w:tc>
        <w:tc>
          <w:tcPr>
            <w:tcW w:w="1245" w:type="dxa"/>
            <w:noWrap w:val="0"/>
            <w:vAlign w:val="top"/>
          </w:tcPr>
          <w:p w14:paraId="20E574D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0.19</w:t>
            </w:r>
          </w:p>
        </w:tc>
        <w:tc>
          <w:tcPr>
            <w:tcW w:w="1216" w:type="dxa"/>
            <w:noWrap w:val="0"/>
            <w:vAlign w:val="top"/>
          </w:tcPr>
          <w:p w14:paraId="582A87F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0.20</w:t>
            </w:r>
          </w:p>
        </w:tc>
        <w:tc>
          <w:tcPr>
            <w:tcW w:w="1202" w:type="dxa"/>
            <w:noWrap w:val="0"/>
            <w:vAlign w:val="top"/>
          </w:tcPr>
          <w:p w14:paraId="4FCB7BD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0.21</w:t>
            </w:r>
          </w:p>
        </w:tc>
        <w:tc>
          <w:tcPr>
            <w:tcW w:w="1417" w:type="dxa"/>
            <w:noWrap w:val="0"/>
            <w:vAlign w:val="top"/>
          </w:tcPr>
          <w:p w14:paraId="2C26F71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0.33</w:t>
            </w:r>
          </w:p>
        </w:tc>
        <w:tc>
          <w:tcPr>
            <w:tcW w:w="1170" w:type="dxa"/>
            <w:noWrap w:val="0"/>
            <w:vAlign w:val="top"/>
          </w:tcPr>
          <w:p w14:paraId="58FEFD1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0.29</w:t>
            </w:r>
          </w:p>
        </w:tc>
        <w:tc>
          <w:tcPr>
            <w:tcW w:w="845" w:type="dxa"/>
            <w:noWrap w:val="0"/>
            <w:vAlign w:val="center"/>
          </w:tcPr>
          <w:p w14:paraId="3CF28058">
            <w:pPr>
              <w:widowControl w:val="0"/>
              <w:spacing w:line="360" w:lineRule="auto"/>
              <w:ind w:left="0" w:firstLine="0"/>
              <w:jc w:val="center"/>
              <w:rPr>
                <w:rFonts w:ascii="Times New Roman" w:hAnsi="Times New Roman" w:eastAsia="宋体"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65</w:t>
            </w:r>
          </w:p>
        </w:tc>
        <w:tc>
          <w:tcPr>
            <w:tcW w:w="1085" w:type="dxa"/>
            <w:noWrap w:val="0"/>
            <w:vAlign w:val="center"/>
          </w:tcPr>
          <w:p w14:paraId="6A5F5896">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0F819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jc w:val="center"/>
        </w:trPr>
        <w:tc>
          <w:tcPr>
            <w:tcW w:w="922" w:type="dxa"/>
            <w:noWrap w:val="0"/>
            <w:vAlign w:val="center"/>
          </w:tcPr>
          <w:p w14:paraId="0638C81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w:t>
            </w:r>
          </w:p>
        </w:tc>
        <w:tc>
          <w:tcPr>
            <w:tcW w:w="1071" w:type="dxa"/>
            <w:noWrap w:val="0"/>
            <w:vAlign w:val="center"/>
          </w:tcPr>
          <w:p w14:paraId="499994F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铬（六价）</w:t>
            </w:r>
          </w:p>
        </w:tc>
        <w:tc>
          <w:tcPr>
            <w:tcW w:w="1135" w:type="dxa"/>
            <w:noWrap w:val="0"/>
            <w:vAlign w:val="center"/>
          </w:tcPr>
          <w:p w14:paraId="54E1031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1088" w:type="dxa"/>
            <w:noWrap w:val="0"/>
            <w:vAlign w:val="center"/>
          </w:tcPr>
          <w:p w14:paraId="4A4C8346">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1245" w:type="dxa"/>
            <w:noWrap w:val="0"/>
            <w:vAlign w:val="center"/>
          </w:tcPr>
          <w:p w14:paraId="5D91571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1216" w:type="dxa"/>
            <w:noWrap w:val="0"/>
            <w:vAlign w:val="center"/>
          </w:tcPr>
          <w:p w14:paraId="6DB6922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1202" w:type="dxa"/>
            <w:noWrap w:val="0"/>
            <w:vAlign w:val="center"/>
          </w:tcPr>
          <w:p w14:paraId="6F50C4C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1417" w:type="dxa"/>
            <w:noWrap w:val="0"/>
            <w:vAlign w:val="center"/>
          </w:tcPr>
          <w:p w14:paraId="4E56ECC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1170" w:type="dxa"/>
            <w:noWrap w:val="0"/>
            <w:vAlign w:val="center"/>
          </w:tcPr>
          <w:p w14:paraId="5F43BEC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2</w:t>
            </w:r>
          </w:p>
        </w:tc>
        <w:tc>
          <w:tcPr>
            <w:tcW w:w="845" w:type="dxa"/>
            <w:noWrap w:val="0"/>
            <w:vAlign w:val="center"/>
          </w:tcPr>
          <w:p w14:paraId="58226250">
            <w:pPr>
              <w:widowControl w:val="0"/>
              <w:spacing w:line="360" w:lineRule="auto"/>
              <w:ind w:left="0" w:firstLine="0"/>
              <w:jc w:val="center"/>
              <w:rPr>
                <w:rFonts w:ascii="Times New Roman" w:hAnsi="Times New Roman" w:eastAsia="宋体"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5.7</w:t>
            </w:r>
          </w:p>
        </w:tc>
        <w:tc>
          <w:tcPr>
            <w:tcW w:w="1085" w:type="dxa"/>
            <w:noWrap w:val="0"/>
            <w:vAlign w:val="center"/>
          </w:tcPr>
          <w:p w14:paraId="0088743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6F588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22" w:type="dxa"/>
            <w:noWrap w:val="0"/>
            <w:vAlign w:val="center"/>
          </w:tcPr>
          <w:p w14:paraId="6518D9B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w:t>
            </w:r>
          </w:p>
        </w:tc>
        <w:tc>
          <w:tcPr>
            <w:tcW w:w="1071" w:type="dxa"/>
            <w:noWrap w:val="0"/>
            <w:vAlign w:val="center"/>
          </w:tcPr>
          <w:p w14:paraId="01C86C2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铜</w:t>
            </w:r>
          </w:p>
        </w:tc>
        <w:tc>
          <w:tcPr>
            <w:tcW w:w="1135" w:type="dxa"/>
            <w:noWrap w:val="0"/>
            <w:vAlign w:val="center"/>
          </w:tcPr>
          <w:p w14:paraId="3C253DD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108</w:t>
            </w:r>
          </w:p>
        </w:tc>
        <w:tc>
          <w:tcPr>
            <w:tcW w:w="1088" w:type="dxa"/>
            <w:noWrap w:val="0"/>
            <w:vAlign w:val="center"/>
          </w:tcPr>
          <w:p w14:paraId="1249E32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109</w:t>
            </w:r>
          </w:p>
        </w:tc>
        <w:tc>
          <w:tcPr>
            <w:tcW w:w="1245" w:type="dxa"/>
            <w:noWrap w:val="0"/>
            <w:vAlign w:val="center"/>
          </w:tcPr>
          <w:p w14:paraId="46A6CFC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103</w:t>
            </w:r>
          </w:p>
        </w:tc>
        <w:tc>
          <w:tcPr>
            <w:tcW w:w="1216" w:type="dxa"/>
            <w:noWrap w:val="0"/>
            <w:vAlign w:val="center"/>
          </w:tcPr>
          <w:p w14:paraId="3595ED3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84</w:t>
            </w:r>
          </w:p>
        </w:tc>
        <w:tc>
          <w:tcPr>
            <w:tcW w:w="1202" w:type="dxa"/>
            <w:noWrap w:val="0"/>
            <w:vAlign w:val="center"/>
          </w:tcPr>
          <w:p w14:paraId="454983C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85</w:t>
            </w:r>
          </w:p>
        </w:tc>
        <w:tc>
          <w:tcPr>
            <w:tcW w:w="1417" w:type="dxa"/>
            <w:noWrap w:val="0"/>
            <w:vAlign w:val="center"/>
          </w:tcPr>
          <w:p w14:paraId="496F2DD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110</w:t>
            </w:r>
          </w:p>
        </w:tc>
        <w:tc>
          <w:tcPr>
            <w:tcW w:w="1170" w:type="dxa"/>
            <w:noWrap w:val="0"/>
            <w:vAlign w:val="center"/>
          </w:tcPr>
          <w:p w14:paraId="3D95D0E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82</w:t>
            </w:r>
          </w:p>
        </w:tc>
        <w:tc>
          <w:tcPr>
            <w:tcW w:w="845" w:type="dxa"/>
            <w:noWrap w:val="0"/>
            <w:vAlign w:val="center"/>
          </w:tcPr>
          <w:p w14:paraId="379048B7">
            <w:pPr>
              <w:widowControl w:val="0"/>
              <w:spacing w:line="360" w:lineRule="auto"/>
              <w:ind w:left="0" w:firstLine="0"/>
              <w:jc w:val="center"/>
              <w:rPr>
                <w:rFonts w:ascii="Times New Roman" w:hAnsi="Times New Roman" w:eastAsia="宋体"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18000</w:t>
            </w:r>
          </w:p>
        </w:tc>
        <w:tc>
          <w:tcPr>
            <w:tcW w:w="1085" w:type="dxa"/>
            <w:noWrap w:val="0"/>
            <w:vAlign w:val="center"/>
          </w:tcPr>
          <w:p w14:paraId="7ADD399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3066E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22" w:type="dxa"/>
            <w:noWrap w:val="0"/>
            <w:vAlign w:val="center"/>
          </w:tcPr>
          <w:p w14:paraId="7EC1E50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w:t>
            </w:r>
          </w:p>
        </w:tc>
        <w:tc>
          <w:tcPr>
            <w:tcW w:w="1071" w:type="dxa"/>
            <w:noWrap w:val="0"/>
            <w:vAlign w:val="center"/>
          </w:tcPr>
          <w:p w14:paraId="0E99A7D6">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铅</w:t>
            </w:r>
          </w:p>
        </w:tc>
        <w:tc>
          <w:tcPr>
            <w:tcW w:w="1135" w:type="dxa"/>
            <w:noWrap w:val="0"/>
            <w:vAlign w:val="center"/>
          </w:tcPr>
          <w:p w14:paraId="09B0641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13.7</w:t>
            </w:r>
          </w:p>
        </w:tc>
        <w:tc>
          <w:tcPr>
            <w:tcW w:w="1088" w:type="dxa"/>
            <w:noWrap w:val="0"/>
            <w:vAlign w:val="center"/>
          </w:tcPr>
          <w:p w14:paraId="3E2E1A7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13.5</w:t>
            </w:r>
          </w:p>
        </w:tc>
        <w:tc>
          <w:tcPr>
            <w:tcW w:w="1245" w:type="dxa"/>
            <w:noWrap w:val="0"/>
            <w:vAlign w:val="center"/>
          </w:tcPr>
          <w:p w14:paraId="74C6147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11.8</w:t>
            </w:r>
          </w:p>
        </w:tc>
        <w:tc>
          <w:tcPr>
            <w:tcW w:w="1216" w:type="dxa"/>
            <w:noWrap w:val="0"/>
            <w:vAlign w:val="center"/>
          </w:tcPr>
          <w:p w14:paraId="2960C55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13.7</w:t>
            </w:r>
          </w:p>
        </w:tc>
        <w:tc>
          <w:tcPr>
            <w:tcW w:w="1202" w:type="dxa"/>
            <w:noWrap w:val="0"/>
            <w:vAlign w:val="center"/>
          </w:tcPr>
          <w:p w14:paraId="26F2560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13.9</w:t>
            </w:r>
          </w:p>
        </w:tc>
        <w:tc>
          <w:tcPr>
            <w:tcW w:w="1417" w:type="dxa"/>
            <w:noWrap w:val="0"/>
            <w:vAlign w:val="center"/>
          </w:tcPr>
          <w:p w14:paraId="64FDBF7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9.8</w:t>
            </w:r>
          </w:p>
        </w:tc>
        <w:tc>
          <w:tcPr>
            <w:tcW w:w="1170" w:type="dxa"/>
            <w:noWrap w:val="0"/>
            <w:vAlign w:val="center"/>
          </w:tcPr>
          <w:p w14:paraId="5360ADE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18.4</w:t>
            </w:r>
          </w:p>
        </w:tc>
        <w:tc>
          <w:tcPr>
            <w:tcW w:w="845" w:type="dxa"/>
            <w:noWrap w:val="0"/>
            <w:vAlign w:val="center"/>
          </w:tcPr>
          <w:p w14:paraId="49E6F1FD">
            <w:pPr>
              <w:widowControl w:val="0"/>
              <w:spacing w:line="360" w:lineRule="auto"/>
              <w:ind w:left="0" w:firstLine="0"/>
              <w:jc w:val="center"/>
              <w:rPr>
                <w:rFonts w:ascii="Times New Roman" w:hAnsi="Times New Roman" w:eastAsia="宋体"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800</w:t>
            </w:r>
          </w:p>
        </w:tc>
        <w:tc>
          <w:tcPr>
            <w:tcW w:w="1085" w:type="dxa"/>
            <w:noWrap w:val="0"/>
            <w:vAlign w:val="center"/>
          </w:tcPr>
          <w:p w14:paraId="35C6EBD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117D5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22" w:type="dxa"/>
            <w:noWrap w:val="0"/>
            <w:vAlign w:val="center"/>
          </w:tcPr>
          <w:p w14:paraId="339ECFC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7</w:t>
            </w:r>
          </w:p>
        </w:tc>
        <w:tc>
          <w:tcPr>
            <w:tcW w:w="1071" w:type="dxa"/>
            <w:noWrap w:val="0"/>
            <w:vAlign w:val="center"/>
          </w:tcPr>
          <w:p w14:paraId="21F06076">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汞</w:t>
            </w:r>
          </w:p>
        </w:tc>
        <w:tc>
          <w:tcPr>
            <w:tcW w:w="1135" w:type="dxa"/>
            <w:noWrap w:val="0"/>
            <w:vAlign w:val="center"/>
          </w:tcPr>
          <w:p w14:paraId="3ECB8FA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0.210</w:t>
            </w:r>
          </w:p>
        </w:tc>
        <w:tc>
          <w:tcPr>
            <w:tcW w:w="1088" w:type="dxa"/>
            <w:noWrap w:val="0"/>
            <w:vAlign w:val="center"/>
          </w:tcPr>
          <w:p w14:paraId="725B483D">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0.195</w:t>
            </w:r>
          </w:p>
        </w:tc>
        <w:tc>
          <w:tcPr>
            <w:tcW w:w="1245" w:type="dxa"/>
            <w:noWrap w:val="0"/>
            <w:vAlign w:val="center"/>
          </w:tcPr>
          <w:p w14:paraId="31E1EC7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0.180</w:t>
            </w:r>
          </w:p>
        </w:tc>
        <w:tc>
          <w:tcPr>
            <w:tcW w:w="1216" w:type="dxa"/>
            <w:noWrap w:val="0"/>
            <w:vAlign w:val="center"/>
          </w:tcPr>
          <w:p w14:paraId="36E1447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0.136</w:t>
            </w:r>
          </w:p>
        </w:tc>
        <w:tc>
          <w:tcPr>
            <w:tcW w:w="1202" w:type="dxa"/>
            <w:noWrap w:val="0"/>
            <w:vAlign w:val="center"/>
          </w:tcPr>
          <w:p w14:paraId="1D92F7E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0.082</w:t>
            </w:r>
          </w:p>
        </w:tc>
        <w:tc>
          <w:tcPr>
            <w:tcW w:w="1417" w:type="dxa"/>
            <w:noWrap w:val="0"/>
            <w:vAlign w:val="center"/>
          </w:tcPr>
          <w:p w14:paraId="6485B87C">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0.290</w:t>
            </w:r>
          </w:p>
        </w:tc>
        <w:tc>
          <w:tcPr>
            <w:tcW w:w="1170" w:type="dxa"/>
            <w:noWrap w:val="0"/>
            <w:vAlign w:val="center"/>
          </w:tcPr>
          <w:p w14:paraId="2AE0EA47">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0.092</w:t>
            </w:r>
          </w:p>
        </w:tc>
        <w:tc>
          <w:tcPr>
            <w:tcW w:w="845" w:type="dxa"/>
            <w:noWrap w:val="0"/>
            <w:vAlign w:val="center"/>
          </w:tcPr>
          <w:p w14:paraId="18B57FBF">
            <w:pPr>
              <w:widowControl w:val="0"/>
              <w:spacing w:line="360" w:lineRule="auto"/>
              <w:ind w:left="0" w:firstLine="0"/>
              <w:jc w:val="center"/>
              <w:rPr>
                <w:rFonts w:ascii="Times New Roman" w:hAnsi="Times New Roman" w:eastAsia="宋体"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38</w:t>
            </w:r>
          </w:p>
        </w:tc>
        <w:tc>
          <w:tcPr>
            <w:tcW w:w="1085" w:type="dxa"/>
            <w:noWrap w:val="0"/>
            <w:vAlign w:val="center"/>
          </w:tcPr>
          <w:p w14:paraId="19F2B225">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727BD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22" w:type="dxa"/>
            <w:noWrap w:val="0"/>
            <w:vAlign w:val="center"/>
          </w:tcPr>
          <w:p w14:paraId="7419262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w:t>
            </w:r>
          </w:p>
        </w:tc>
        <w:tc>
          <w:tcPr>
            <w:tcW w:w="1071" w:type="dxa"/>
            <w:noWrap w:val="0"/>
            <w:vAlign w:val="center"/>
          </w:tcPr>
          <w:p w14:paraId="5B7CCE4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ascii="Times New Roman" w:hAnsi="Times New Roman" w:eastAsia="宋体" w:cs="Times New Roman"/>
                <w:b w:val="0"/>
                <w:bCs w:val="0"/>
                <w:sz w:val="18"/>
                <w:szCs w:val="18"/>
                <w:vertAlign w:val="baseline"/>
                <w:lang w:val="en-US" w:eastAsia="zh-CN" w:bidi="ar-SA"/>
              </w:rPr>
              <w:t>镍</w:t>
            </w:r>
          </w:p>
        </w:tc>
        <w:tc>
          <w:tcPr>
            <w:tcW w:w="1135" w:type="dxa"/>
            <w:noWrap w:val="0"/>
            <w:vAlign w:val="center"/>
          </w:tcPr>
          <w:p w14:paraId="74FF8B2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67</w:t>
            </w:r>
          </w:p>
        </w:tc>
        <w:tc>
          <w:tcPr>
            <w:tcW w:w="1088" w:type="dxa"/>
            <w:noWrap w:val="0"/>
            <w:vAlign w:val="center"/>
          </w:tcPr>
          <w:p w14:paraId="3AEAD7B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54</w:t>
            </w:r>
          </w:p>
        </w:tc>
        <w:tc>
          <w:tcPr>
            <w:tcW w:w="1245" w:type="dxa"/>
            <w:noWrap w:val="0"/>
            <w:vAlign w:val="center"/>
          </w:tcPr>
          <w:p w14:paraId="487ACC2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45</w:t>
            </w:r>
          </w:p>
        </w:tc>
        <w:tc>
          <w:tcPr>
            <w:tcW w:w="1216" w:type="dxa"/>
            <w:noWrap w:val="0"/>
            <w:vAlign w:val="center"/>
          </w:tcPr>
          <w:p w14:paraId="5864C70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35</w:t>
            </w:r>
          </w:p>
        </w:tc>
        <w:tc>
          <w:tcPr>
            <w:tcW w:w="1202" w:type="dxa"/>
            <w:noWrap w:val="0"/>
            <w:vAlign w:val="center"/>
          </w:tcPr>
          <w:p w14:paraId="34496CA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35</w:t>
            </w:r>
          </w:p>
        </w:tc>
        <w:tc>
          <w:tcPr>
            <w:tcW w:w="1417" w:type="dxa"/>
            <w:noWrap w:val="0"/>
            <w:vAlign w:val="center"/>
          </w:tcPr>
          <w:p w14:paraId="45BF581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58</w:t>
            </w:r>
          </w:p>
        </w:tc>
        <w:tc>
          <w:tcPr>
            <w:tcW w:w="1170" w:type="dxa"/>
            <w:noWrap w:val="0"/>
            <w:vAlign w:val="center"/>
          </w:tcPr>
          <w:p w14:paraId="4B0B6F5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33</w:t>
            </w:r>
          </w:p>
        </w:tc>
        <w:tc>
          <w:tcPr>
            <w:tcW w:w="845" w:type="dxa"/>
            <w:noWrap w:val="0"/>
            <w:vAlign w:val="center"/>
          </w:tcPr>
          <w:p w14:paraId="738EF4B0">
            <w:pPr>
              <w:widowControl w:val="0"/>
              <w:spacing w:line="360" w:lineRule="auto"/>
              <w:ind w:left="0" w:firstLine="0"/>
              <w:jc w:val="center"/>
              <w:rPr>
                <w:rFonts w:ascii="Times New Roman" w:hAnsi="Times New Roman" w:eastAsia="宋体" w:cs="Times New Roman"/>
                <w:b/>
                <w:bCs/>
                <w:sz w:val="18"/>
                <w:szCs w:val="18"/>
                <w:vertAlign w:val="baseline"/>
                <w:lang w:val="en-US" w:eastAsia="zh-CN"/>
              </w:rPr>
            </w:pPr>
            <w:r>
              <w:rPr>
                <w:rFonts w:ascii="Times New Roman" w:hAnsi="Times New Roman" w:eastAsia="宋体" w:cs="Times New Roman"/>
                <w:b w:val="0"/>
                <w:bCs w:val="0"/>
                <w:sz w:val="18"/>
                <w:szCs w:val="18"/>
                <w:vertAlign w:val="baseline"/>
                <w:lang w:val="en-US" w:eastAsia="zh-CN" w:bidi="ar-SA"/>
              </w:rPr>
              <w:t>900</w:t>
            </w:r>
          </w:p>
        </w:tc>
        <w:tc>
          <w:tcPr>
            <w:tcW w:w="1085" w:type="dxa"/>
            <w:noWrap w:val="0"/>
            <w:vAlign w:val="center"/>
          </w:tcPr>
          <w:p w14:paraId="0D5B6C64">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达标</w:t>
            </w:r>
          </w:p>
        </w:tc>
      </w:tr>
      <w:tr w14:paraId="3CFFD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22" w:type="dxa"/>
            <w:noWrap w:val="0"/>
            <w:vAlign w:val="center"/>
          </w:tcPr>
          <w:p w14:paraId="0481C13B">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9</w:t>
            </w:r>
          </w:p>
        </w:tc>
        <w:tc>
          <w:tcPr>
            <w:tcW w:w="1071" w:type="dxa"/>
            <w:noWrap w:val="0"/>
            <w:vAlign w:val="center"/>
          </w:tcPr>
          <w:p w14:paraId="6699B1C2">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锌</w:t>
            </w:r>
          </w:p>
        </w:tc>
        <w:tc>
          <w:tcPr>
            <w:tcW w:w="1135" w:type="dxa"/>
            <w:noWrap w:val="0"/>
            <w:vAlign w:val="center"/>
          </w:tcPr>
          <w:p w14:paraId="2A270459">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w:t>
            </w:r>
          </w:p>
        </w:tc>
        <w:tc>
          <w:tcPr>
            <w:tcW w:w="1088" w:type="dxa"/>
            <w:noWrap w:val="0"/>
            <w:vAlign w:val="center"/>
          </w:tcPr>
          <w:p w14:paraId="5CF593EE">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w:t>
            </w:r>
          </w:p>
        </w:tc>
        <w:tc>
          <w:tcPr>
            <w:tcW w:w="1245" w:type="dxa"/>
            <w:noWrap w:val="0"/>
            <w:vAlign w:val="center"/>
          </w:tcPr>
          <w:p w14:paraId="7F5DAE18">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w:t>
            </w:r>
          </w:p>
        </w:tc>
        <w:tc>
          <w:tcPr>
            <w:tcW w:w="1216" w:type="dxa"/>
            <w:noWrap w:val="0"/>
            <w:vAlign w:val="center"/>
          </w:tcPr>
          <w:p w14:paraId="4EB4534F">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82.8</w:t>
            </w:r>
          </w:p>
        </w:tc>
        <w:tc>
          <w:tcPr>
            <w:tcW w:w="1202" w:type="dxa"/>
            <w:noWrap w:val="0"/>
            <w:vAlign w:val="center"/>
          </w:tcPr>
          <w:p w14:paraId="0C713D1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69.6</w:t>
            </w:r>
          </w:p>
        </w:tc>
        <w:tc>
          <w:tcPr>
            <w:tcW w:w="1417" w:type="dxa"/>
            <w:noWrap w:val="0"/>
            <w:vAlign w:val="center"/>
          </w:tcPr>
          <w:p w14:paraId="402097F3">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68.7</w:t>
            </w:r>
          </w:p>
        </w:tc>
        <w:tc>
          <w:tcPr>
            <w:tcW w:w="1170" w:type="dxa"/>
            <w:noWrap w:val="0"/>
            <w:vAlign w:val="center"/>
          </w:tcPr>
          <w:p w14:paraId="4DFAB081">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48.6</w:t>
            </w:r>
          </w:p>
        </w:tc>
        <w:tc>
          <w:tcPr>
            <w:tcW w:w="845" w:type="dxa"/>
            <w:noWrap w:val="0"/>
            <w:vAlign w:val="center"/>
          </w:tcPr>
          <w:p w14:paraId="7458C68A">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w:t>
            </w:r>
          </w:p>
        </w:tc>
        <w:tc>
          <w:tcPr>
            <w:tcW w:w="1085" w:type="dxa"/>
            <w:noWrap w:val="0"/>
            <w:vAlign w:val="center"/>
          </w:tcPr>
          <w:p w14:paraId="2ACC14A0">
            <w:pPr>
              <w:widowControl w:val="0"/>
              <w:spacing w:line="360" w:lineRule="auto"/>
              <w:ind w:left="0" w:firstLine="0"/>
              <w:jc w:val="center"/>
              <w:rPr>
                <w:rFonts w:ascii="Times New Roman" w:hAnsi="Times New Roman" w:eastAsia="宋体" w:cs="Times New Roman"/>
                <w:b w:val="0"/>
                <w:bCs w:val="0"/>
                <w:sz w:val="18"/>
                <w:szCs w:val="18"/>
                <w:vertAlign w:val="baseline"/>
                <w:lang w:val="en-US" w:eastAsia="zh-CN" w:bidi="ar-SA"/>
              </w:rPr>
            </w:pPr>
            <w:r>
              <w:rPr>
                <w:rFonts w:hint="eastAsia" w:ascii="Times New Roman" w:hAnsi="Times New Roman" w:eastAsia="宋体" w:cs="Times New Roman"/>
                <w:b w:val="0"/>
                <w:bCs w:val="0"/>
                <w:sz w:val="18"/>
                <w:szCs w:val="18"/>
                <w:vertAlign w:val="baseline"/>
                <w:lang w:val="en-US" w:eastAsia="zh-CN" w:bidi="ar-SA"/>
              </w:rPr>
              <w:t>/</w:t>
            </w:r>
          </w:p>
        </w:tc>
      </w:tr>
    </w:tbl>
    <w:p w14:paraId="35001307">
      <w:pPr>
        <w:pStyle w:val="2"/>
        <w:ind w:firstLine="4578"/>
        <w:rPr>
          <w:rFonts w:ascii="Times New Roman" w:hAnsi="Times New Roman" w:cs="Times New Roman"/>
          <w:b/>
          <w:bCs/>
          <w:sz w:val="24"/>
          <w:szCs w:val="24"/>
          <w:lang w:val="en-US" w:eastAsia="zh-CN"/>
        </w:rPr>
      </w:pPr>
    </w:p>
    <w:p w14:paraId="4D10FD17">
      <w:pPr>
        <w:pStyle w:val="2"/>
        <w:rPr>
          <w:lang w:val="en-US"/>
        </w:rPr>
      </w:pPr>
      <w:r>
        <w:rPr>
          <w:rFonts w:hint="eastAsia" w:ascii="Times New Roman" w:hAnsi="Times New Roman" w:eastAsia="宋体" w:cs="Times New Roman"/>
          <w:color w:val="000000"/>
          <w:sz w:val="24"/>
          <w:szCs w:val="24"/>
          <w:lang w:val="en-US" w:eastAsia="zh-CN" w:bidi="ar"/>
        </w:rPr>
        <w:t>根据以上监测结果，厂区内土壤各监测点中各监测因子均能满足</w:t>
      </w:r>
      <w:r>
        <w:rPr>
          <w:rFonts w:ascii="Times New Roman" w:hAnsi="Times New Roman" w:eastAsia="宋体" w:cs="Times New Roman"/>
          <w:color w:val="000000"/>
          <w:sz w:val="24"/>
          <w:szCs w:val="24"/>
          <w:lang w:val="en-US" w:eastAsia="zh-CN" w:bidi="ar"/>
        </w:rPr>
        <w:t>《土壤环境质量 建设用地土壤污染风险管控标准（试行）》</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GB36600-2018</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 </w:t>
      </w:r>
      <w:r>
        <w:rPr>
          <w:rFonts w:hint="eastAsia" w:ascii="Times New Roman" w:hAnsi="Times New Roman" w:eastAsia="宋体" w:cs="Times New Roman"/>
          <w:color w:val="000000"/>
          <w:sz w:val="24"/>
          <w:szCs w:val="24"/>
          <w:lang w:val="en-US" w:eastAsia="zh-CN" w:bidi="ar"/>
        </w:rPr>
        <w:t>中“第二类用地筛选值”相关要求，该区域土壤质量良好。</w:t>
      </w:r>
    </w:p>
    <w:p w14:paraId="7AA1B455">
      <w:pPr>
        <w:pStyle w:val="2"/>
      </w:pPr>
    </w:p>
    <w:p w14:paraId="7CD0DDB1">
      <w:pPr>
        <w:pStyle w:val="2"/>
      </w:pPr>
    </w:p>
    <w:p w14:paraId="334455F0">
      <w:pPr>
        <w:pStyle w:val="2"/>
      </w:pPr>
    </w:p>
    <w:p w14:paraId="12A8A702">
      <w:pPr>
        <w:pStyle w:val="2"/>
        <w:sectPr>
          <w:pgSz w:w="16838" w:h="11906"/>
          <w:pgMar w:top="1797" w:right="1440" w:bottom="1797" w:left="1440" w:header="850" w:footer="992" w:gutter="0"/>
          <w:pgNumType w:start="1"/>
          <w:cols w:space="1701" w:num="1"/>
        </w:sectPr>
      </w:pPr>
    </w:p>
    <w:bookmarkEnd w:id="141"/>
    <w:bookmarkEnd w:id="142"/>
    <w:p w14:paraId="03E66045">
      <w:pPr>
        <w:pStyle w:val="188"/>
        <w:rPr>
          <w:rFonts w:hint="eastAsia"/>
        </w:rPr>
      </w:pPr>
      <w:bookmarkStart w:id="143" w:name="_Toc335320864"/>
      <w:r>
        <w:rPr>
          <w:rFonts w:hint="eastAsia"/>
          <w:lang w:val="en-US" w:eastAsia="zh-CN"/>
        </w:rPr>
        <w:t>5</w:t>
      </w:r>
      <w:r>
        <w:rPr>
          <w:rFonts w:hint="eastAsia"/>
        </w:rPr>
        <w:t>.</w:t>
      </w:r>
      <w:r>
        <w:rPr>
          <w:rFonts w:hint="eastAsia"/>
          <w:lang w:val="en-US" w:eastAsia="zh-CN"/>
        </w:rPr>
        <w:t>4</w:t>
      </w:r>
      <w:r>
        <w:rPr>
          <w:rFonts w:hint="eastAsia"/>
        </w:rPr>
        <w:t>.</w:t>
      </w:r>
      <w:r>
        <w:rPr>
          <w:rFonts w:hint="eastAsia"/>
          <w:lang w:val="en-US" w:eastAsia="zh-CN"/>
        </w:rPr>
        <w:t>6</w:t>
      </w:r>
      <w:r>
        <w:t xml:space="preserve"> </w:t>
      </w:r>
      <w:r>
        <w:rPr>
          <w:rFonts w:hint="eastAsia"/>
        </w:rPr>
        <w:t>项目所在地土地利用现状及生态环境现状</w:t>
      </w:r>
    </w:p>
    <w:p w14:paraId="7D7837D1">
      <w:pPr>
        <w:widowControl w:val="0"/>
        <w:ind w:firstLine="436"/>
        <w:rPr>
          <w:rFonts w:hint="eastAsia"/>
        </w:rPr>
      </w:pPr>
      <w:r>
        <w:rPr>
          <w:rFonts w:hint="eastAsia"/>
        </w:rPr>
        <w:t>本项目用地属于</w:t>
      </w:r>
      <w:r>
        <w:rPr>
          <w:rFonts w:hint="eastAsia"/>
          <w:bCs/>
          <w:spacing w:val="4"/>
          <w:szCs w:val="24"/>
        </w:rPr>
        <w:t>德宏州芒市镇大湾村委会街坡村民小组（奥环水泥厂西面）</w:t>
      </w:r>
      <w:r>
        <w:rPr>
          <w:rFonts w:hint="eastAsia"/>
        </w:rPr>
        <w:t>，</w:t>
      </w:r>
      <w:r>
        <w:rPr>
          <w:bCs/>
          <w:spacing w:val="4"/>
          <w:szCs w:val="24"/>
        </w:rPr>
        <w:t>项目总用地面积77042.6m</w:t>
      </w:r>
      <w:r>
        <w:rPr>
          <w:bCs/>
          <w:spacing w:val="4"/>
          <w:szCs w:val="24"/>
          <w:vertAlign w:val="superscript"/>
        </w:rPr>
        <w:t>2</w:t>
      </w:r>
      <w:r>
        <w:rPr>
          <w:bCs/>
          <w:spacing w:val="4"/>
          <w:szCs w:val="24"/>
        </w:rPr>
        <w:t>，建设方已经取</w:t>
      </w:r>
      <w:r>
        <w:rPr>
          <w:rFonts w:hint="eastAsia"/>
          <w:bCs/>
          <w:spacing w:val="4"/>
          <w:szCs w:val="24"/>
        </w:rPr>
        <w:t>办理了</w:t>
      </w:r>
      <w:r>
        <w:rPr>
          <w:bCs/>
          <w:spacing w:val="4"/>
          <w:szCs w:val="24"/>
        </w:rPr>
        <w:t>不动产权证书，项目用地性质为工业用地，</w:t>
      </w:r>
      <w:r>
        <w:rPr>
          <w:rFonts w:hint="eastAsia"/>
        </w:rPr>
        <w:t>不涉及基本农田。</w:t>
      </w:r>
    </w:p>
    <w:p w14:paraId="014948B9">
      <w:pPr>
        <w:widowControl w:val="0"/>
        <w:ind w:firstLine="436"/>
        <w:rPr>
          <w:rFonts w:hint="eastAsia"/>
        </w:rPr>
      </w:pPr>
      <w:r>
        <w:rPr>
          <w:rFonts w:hint="eastAsia"/>
        </w:rPr>
        <w:t>由于人类活动影响，</w:t>
      </w:r>
      <w:r>
        <w:rPr>
          <w:rFonts w:hint="eastAsia"/>
          <w:lang w:val="en-US" w:eastAsia="zh-CN"/>
        </w:rPr>
        <w:t>评价</w:t>
      </w:r>
      <w:r>
        <w:rPr>
          <w:rFonts w:hint="eastAsia"/>
        </w:rPr>
        <w:t>区域内植被主要为农田植被为主。由于受前期人类活动的影响，人为破坏严重，区域内无大面积林地的分布，区内植被主要为杂木树，调查时未发现重点保护的古树名木。调查未发现国家级、云南省需要特殊保护的物种。</w:t>
      </w:r>
    </w:p>
    <w:p w14:paraId="3F53C71F">
      <w:pPr>
        <w:widowControl w:val="0"/>
        <w:ind w:firstLine="436"/>
        <w:rPr>
          <w:rFonts w:hint="eastAsia"/>
        </w:rPr>
      </w:pPr>
      <w:r>
        <w:rPr>
          <w:rFonts w:hint="eastAsia"/>
        </w:rPr>
        <w:t>区域内人类活动痕迹随处可见，受人类活动的干扰，区域内野生动物较少。根据收集的资料以及走访当地居民调查，项目区域内主要野生动物种类如下：①兽类：野兔、田鼠、松鼠、黄鼬、野猫等。②爬行类：蛇、蛙等。③鸟类：麻雀、八哥、布谷鸟、野鸡、啄木鸟、燕子、猫头鹰等。人工饲养的家畜主要有猪、牛、羊、鸡、鸭、兔等。调查未发现野生的珍稀濒危动物种类。</w:t>
      </w:r>
    </w:p>
    <w:p w14:paraId="355E08FE">
      <w:pPr>
        <w:widowControl w:val="0"/>
        <w:ind w:firstLine="436"/>
        <w:rPr>
          <w:rFonts w:hint="eastAsia"/>
        </w:rPr>
      </w:pPr>
      <w:r>
        <w:rPr>
          <w:rFonts w:hint="eastAsia"/>
        </w:rPr>
        <w:t>项目区生态环境质量一般，生物多样性较差。</w:t>
      </w:r>
    </w:p>
    <w:p w14:paraId="06F10286">
      <w:pPr>
        <w:pStyle w:val="188"/>
        <w:rPr>
          <w:rFonts w:hint="eastAsia"/>
        </w:rPr>
      </w:pPr>
      <w:r>
        <w:rPr>
          <w:rFonts w:hint="eastAsia"/>
          <w:lang w:val="en-US" w:eastAsia="zh-CN"/>
        </w:rPr>
        <w:t>5</w:t>
      </w:r>
      <w:r>
        <w:rPr>
          <w:rFonts w:hint="eastAsia"/>
        </w:rPr>
        <w:t>.4.</w:t>
      </w:r>
      <w:r>
        <w:rPr>
          <w:rFonts w:hint="eastAsia"/>
          <w:lang w:val="en-US" w:eastAsia="zh-CN"/>
        </w:rPr>
        <w:t>7</w:t>
      </w:r>
      <w:r>
        <w:rPr>
          <w:rFonts w:hint="eastAsia"/>
        </w:rPr>
        <w:t>环境质量现状评价结论</w:t>
      </w:r>
    </w:p>
    <w:p w14:paraId="1E958BE7">
      <w:pPr>
        <w:widowControl w:val="0"/>
        <w:ind w:firstLine="436"/>
      </w:pPr>
      <w:r>
        <w:rPr>
          <w:rFonts w:hint="eastAsia"/>
        </w:rPr>
        <w:t>（</w:t>
      </w:r>
      <w:r>
        <w:t>1</w:t>
      </w:r>
      <w:r>
        <w:rPr>
          <w:rFonts w:hint="eastAsia"/>
        </w:rPr>
        <w:t>）项目沿线区域基本属于人工生态系统，评价范围内没有政府批准建立的自然保护区，以及珍稀、濒危和国家重点保护的动植物。</w:t>
      </w:r>
    </w:p>
    <w:p w14:paraId="55BDB9E7">
      <w:pPr>
        <w:widowControl w:val="0"/>
        <w:ind w:firstLine="436"/>
      </w:pPr>
      <w:r>
        <w:rPr>
          <w:rFonts w:hint="eastAsia"/>
        </w:rPr>
        <w:t>（</w:t>
      </w:r>
      <w:r>
        <w:t>2</w:t>
      </w:r>
      <w:r>
        <w:rPr>
          <w:rFonts w:hint="eastAsia"/>
        </w:rPr>
        <w:t>）根据现场监测，项目所设监测点位的昼、夜间噪声值均能满足《声环境质量标准》（</w:t>
      </w:r>
      <w:r>
        <w:t>GB3096-2008</w:t>
      </w:r>
      <w:r>
        <w:rPr>
          <w:rFonts w:hint="eastAsia"/>
        </w:rPr>
        <w:t>）</w:t>
      </w:r>
      <w:r>
        <w:t>2</w:t>
      </w:r>
      <w:r>
        <w:rPr>
          <w:rFonts w:hint="eastAsia"/>
        </w:rPr>
        <w:t>类标准要求。</w:t>
      </w:r>
    </w:p>
    <w:p w14:paraId="578724AB">
      <w:pPr>
        <w:widowControl w:val="0"/>
        <w:ind w:firstLine="436"/>
      </w:pPr>
      <w:r>
        <w:rPr>
          <w:rFonts w:hint="eastAsia"/>
        </w:rPr>
        <w:t>（</w:t>
      </w:r>
      <w:r>
        <w:t>3</w:t>
      </w:r>
      <w:r>
        <w:rPr>
          <w:rFonts w:hint="eastAsia"/>
        </w:rPr>
        <w:t>）项目区域环境空气质量能够满足《环境空气质量标准》（</w:t>
      </w:r>
      <w:r>
        <w:t>GB3095-2012</w:t>
      </w:r>
      <w:r>
        <w:rPr>
          <w:rFonts w:hint="eastAsia"/>
        </w:rPr>
        <w:t>）二级标准要求，项目区域环境空气质量良好。</w:t>
      </w:r>
    </w:p>
    <w:p w14:paraId="39BAB495">
      <w:pPr>
        <w:widowControl w:val="0"/>
        <w:ind w:firstLine="436"/>
        <w:rPr>
          <w:rFonts w:hint="eastAsia"/>
          <w:lang w:eastAsia="zh-CN"/>
        </w:rPr>
      </w:pPr>
      <w:r>
        <w:rPr>
          <w:rFonts w:hint="eastAsia"/>
        </w:rPr>
        <w:t>（</w:t>
      </w:r>
      <w:r>
        <w:t>4</w:t>
      </w:r>
      <w:r>
        <w:rPr>
          <w:rFonts w:hint="eastAsia"/>
        </w:rPr>
        <w:t>）</w:t>
      </w:r>
      <w:bookmarkStart w:id="144" w:name="_Hlk1400353"/>
      <w:r>
        <w:rPr>
          <w:rFonts w:hint="eastAsia"/>
          <w:lang w:val="en-US" w:eastAsia="zh-CN"/>
        </w:rPr>
        <w:t>芒市大河</w:t>
      </w:r>
      <w:r>
        <w:rPr>
          <w:rFonts w:hint="eastAsia"/>
        </w:rPr>
        <w:t>断面水质现状满足</w:t>
      </w:r>
      <w:r>
        <w:t>《地表水环境质量标准》（GB3838-2002）Ⅲ类标准要求</w:t>
      </w:r>
      <w:r>
        <w:rPr>
          <w:rFonts w:hint="eastAsia"/>
          <w:lang w:eastAsia="zh-CN"/>
        </w:rPr>
        <w:t>。</w:t>
      </w:r>
    </w:p>
    <w:p w14:paraId="66A9A2C4">
      <w:pPr>
        <w:widowControl w:val="0"/>
        <w:ind w:firstLine="436"/>
        <w:rPr>
          <w:szCs w:val="22"/>
        </w:rPr>
      </w:pPr>
      <w:r>
        <w:rPr>
          <w:rFonts w:hint="eastAsia"/>
          <w:szCs w:val="22"/>
        </w:rPr>
        <w:t>（5）</w:t>
      </w:r>
      <w:r>
        <w:rPr>
          <w:szCs w:val="22"/>
        </w:rPr>
        <w:t>项目区地下水水质能够满足《地下水质量标准》（GB/T14848-2017）Ⅲ类标准。</w:t>
      </w:r>
    </w:p>
    <w:p w14:paraId="2050BE9C">
      <w:pPr>
        <w:pStyle w:val="2"/>
        <w:rPr>
          <w:lang w:val="en-US"/>
        </w:rPr>
      </w:pPr>
      <w:r>
        <w:rPr>
          <w:rFonts w:hint="eastAsia" w:ascii="Times New Roman" w:hAnsi="Times New Roman" w:eastAsia="宋体" w:cs="Times New Roman"/>
          <w:color w:val="000000"/>
          <w:sz w:val="24"/>
          <w:szCs w:val="24"/>
          <w:lang w:val="en-US" w:eastAsia="zh-CN" w:bidi="ar"/>
        </w:rPr>
        <w:t>（6）土壤各监测点中各监测因子均能满足</w:t>
      </w:r>
      <w:r>
        <w:rPr>
          <w:rFonts w:ascii="Times New Roman" w:hAnsi="Times New Roman" w:eastAsia="宋体" w:cs="Times New Roman"/>
          <w:color w:val="000000"/>
          <w:sz w:val="24"/>
          <w:szCs w:val="24"/>
          <w:lang w:val="en-US" w:eastAsia="zh-CN" w:bidi="ar"/>
        </w:rPr>
        <w:t>《土壤环境质量 建设用地土壤污染风险管控标准（试行）》</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GB36600-2018</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 </w:t>
      </w:r>
      <w:r>
        <w:rPr>
          <w:rFonts w:hint="eastAsia" w:ascii="Times New Roman" w:hAnsi="Times New Roman" w:eastAsia="宋体" w:cs="Times New Roman"/>
          <w:color w:val="000000"/>
          <w:sz w:val="24"/>
          <w:szCs w:val="24"/>
          <w:lang w:val="en-US" w:eastAsia="zh-CN" w:bidi="ar"/>
        </w:rPr>
        <w:t>中“第二类用地筛选值”相关要求。</w:t>
      </w:r>
    </w:p>
    <w:bookmarkEnd w:id="143"/>
    <w:p w14:paraId="064ECA16">
      <w:pPr>
        <w:pStyle w:val="187"/>
        <w:spacing w:before="120" w:after="120"/>
        <w:rPr>
          <w:rFonts w:hint="eastAsia"/>
        </w:rPr>
      </w:pPr>
      <w:bookmarkStart w:id="145" w:name="_Toc29322"/>
      <w:bookmarkStart w:id="146" w:name="_Toc12013"/>
      <w:r>
        <w:rPr>
          <w:rFonts w:hint="eastAsia"/>
          <w:lang w:val="en-US" w:eastAsia="zh-CN"/>
        </w:rPr>
        <w:t>5</w:t>
      </w:r>
      <w:r>
        <w:rPr>
          <w:rFonts w:hint="eastAsia"/>
        </w:rPr>
        <w:t>.5</w:t>
      </w:r>
      <w:r>
        <w:t>区域污染源调查</w:t>
      </w:r>
      <w:bookmarkEnd w:id="144"/>
      <w:bookmarkEnd w:id="145"/>
    </w:p>
    <w:p w14:paraId="65D4A12F">
      <w:pPr>
        <w:pStyle w:val="2"/>
        <w:ind w:firstLine="480"/>
        <w:rPr>
          <w:rFonts w:hint="eastAsia" w:ascii="Times New Roman" w:hAnsi="Times New Roman" w:cs="Times New Roman"/>
          <w:sz w:val="24"/>
          <w:szCs w:val="20"/>
        </w:rPr>
      </w:pPr>
      <w:r>
        <w:rPr>
          <w:rFonts w:hint="eastAsia" w:ascii="Times New Roman" w:hAnsi="Times New Roman" w:cs="Times New Roman"/>
          <w:sz w:val="24"/>
          <w:szCs w:val="20"/>
        </w:rPr>
        <w:t>根据现场调查，项目</w:t>
      </w:r>
      <w:r>
        <w:rPr>
          <w:rFonts w:hint="eastAsia" w:ascii="Times New Roman" w:hAnsi="Times New Roman" w:cs="Times New Roman"/>
          <w:sz w:val="24"/>
          <w:szCs w:val="20"/>
          <w:lang w:val="en-US" w:eastAsia="zh-CN"/>
        </w:rPr>
        <w:t>西侧为奥环水泥厂，目前已经停产；</w:t>
      </w:r>
      <w:r>
        <w:rPr>
          <w:rFonts w:hint="eastAsia" w:ascii="Times New Roman" w:hAnsi="Times New Roman" w:cs="Times New Roman"/>
          <w:sz w:val="24"/>
          <w:szCs w:val="20"/>
        </w:rPr>
        <w:t>周围</w:t>
      </w:r>
      <w:r>
        <w:rPr>
          <w:rFonts w:hint="eastAsia" w:ascii="Times New Roman" w:hAnsi="Times New Roman" w:cs="Times New Roman"/>
          <w:sz w:val="24"/>
          <w:szCs w:val="20"/>
          <w:lang w:val="en-US" w:eastAsia="zh-CN"/>
        </w:rPr>
        <w:t>仅有一些小型的汽车修理厂及饭庄，</w:t>
      </w:r>
      <w:r>
        <w:rPr>
          <w:rFonts w:hint="eastAsia" w:ascii="Times New Roman" w:hAnsi="Times New Roman" w:cs="Times New Roman"/>
          <w:sz w:val="24"/>
          <w:szCs w:val="20"/>
        </w:rPr>
        <w:t>无</w:t>
      </w:r>
      <w:r>
        <w:rPr>
          <w:rFonts w:hint="eastAsia" w:ascii="Times New Roman" w:hAnsi="Times New Roman" w:cs="Times New Roman"/>
          <w:sz w:val="24"/>
          <w:szCs w:val="20"/>
          <w:lang w:val="en-US" w:eastAsia="zh-CN"/>
        </w:rPr>
        <w:t>其他</w:t>
      </w:r>
      <w:r>
        <w:rPr>
          <w:rFonts w:hint="eastAsia" w:ascii="Times New Roman" w:hAnsi="Times New Roman" w:cs="Times New Roman"/>
          <w:sz w:val="24"/>
          <w:szCs w:val="20"/>
        </w:rPr>
        <w:t>大型工业企业，受污染程度较小，现有污染源主要为当地居民生产生活过程中产生的生活污水和生活垃圾。环境现状良好。</w:t>
      </w:r>
    </w:p>
    <w:p w14:paraId="1492BFE8">
      <w:pPr>
        <w:pStyle w:val="2"/>
        <w:ind w:firstLine="420"/>
        <w:rPr>
          <w:rFonts w:hint="eastAsia"/>
          <w:highlight w:val="yellow"/>
        </w:rPr>
        <w:sectPr>
          <w:pgSz w:w="11906" w:h="16838" w:orient="landscape"/>
          <w:pgMar w:top="1440" w:right="1797" w:bottom="1440" w:left="1797" w:header="850" w:footer="992" w:gutter="0"/>
          <w:pgNumType w:start="1"/>
          <w:cols w:space="1701" w:num="1"/>
        </w:sectPr>
      </w:pPr>
    </w:p>
    <w:p w14:paraId="774833A8">
      <w:pPr>
        <w:pStyle w:val="186"/>
        <w:numPr>
          <w:ilvl w:val="0"/>
          <w:numId w:val="3"/>
        </w:numPr>
        <w:ind w:firstLine="640"/>
        <w:rPr>
          <w:rFonts w:hint="eastAsia"/>
          <w:bCs/>
          <w:lang w:val="en-US" w:eastAsia="zh-CN"/>
        </w:rPr>
      </w:pPr>
      <w:bookmarkStart w:id="147" w:name="_Toc418954614"/>
      <w:r>
        <w:rPr>
          <w:rFonts w:hint="eastAsia"/>
          <w:bCs/>
          <w:lang w:val="en-US" w:eastAsia="zh-CN"/>
        </w:rPr>
        <w:t xml:space="preserve"> </w:t>
      </w:r>
      <w:bookmarkStart w:id="148" w:name="_Toc3030"/>
      <w:r>
        <w:rPr>
          <w:rFonts w:hint="eastAsia"/>
          <w:bCs/>
          <w:lang w:val="en-US" w:eastAsia="zh-CN"/>
        </w:rPr>
        <w:t>环境影响预测与评价</w:t>
      </w:r>
      <w:bookmarkEnd w:id="146"/>
      <w:bookmarkEnd w:id="147"/>
      <w:bookmarkEnd w:id="148"/>
    </w:p>
    <w:p w14:paraId="7CBE36FC">
      <w:pPr>
        <w:pStyle w:val="187"/>
        <w:rPr>
          <w:rFonts w:hint="eastAsia" w:ascii="Times New Roman" w:hAnsi="Times New Roman"/>
        </w:rPr>
      </w:pPr>
      <w:bookmarkStart w:id="149" w:name="_Toc335320865"/>
      <w:bookmarkStart w:id="150" w:name="_Toc17780"/>
      <w:bookmarkStart w:id="151" w:name="_Toc418954615"/>
      <w:bookmarkStart w:id="152" w:name="_Toc361753217"/>
      <w:r>
        <w:rPr>
          <w:rFonts w:hint="eastAsia" w:ascii="Times New Roman" w:hAnsi="Times New Roman"/>
          <w:lang w:val="en-US" w:eastAsia="zh-CN"/>
        </w:rPr>
        <w:t>6</w:t>
      </w:r>
      <w:r>
        <w:rPr>
          <w:rFonts w:hint="eastAsia" w:ascii="Times New Roman" w:hAnsi="Times New Roman"/>
        </w:rPr>
        <w:t>.1 施工期环境影响与评价</w:t>
      </w:r>
      <w:bookmarkEnd w:id="149"/>
      <w:bookmarkEnd w:id="150"/>
      <w:bookmarkEnd w:id="151"/>
      <w:bookmarkEnd w:id="152"/>
    </w:p>
    <w:p w14:paraId="489776CB">
      <w:pPr>
        <w:pStyle w:val="221"/>
        <w:ind w:left="0" w:firstLine="480"/>
        <w:rPr>
          <w:sz w:val="24"/>
          <w:szCs w:val="24"/>
          <w:lang w:val="en-US" w:eastAsia="zh-CN"/>
        </w:rPr>
      </w:pPr>
      <w:r>
        <w:rPr>
          <w:rFonts w:hint="eastAsia"/>
          <w:sz w:val="24"/>
          <w:szCs w:val="24"/>
          <w:lang w:val="en-US" w:eastAsia="zh-CN"/>
        </w:rPr>
        <w:t>本项目仅需要整改工程进行施工建设，因此</w:t>
      </w:r>
      <w:r>
        <w:rPr>
          <w:sz w:val="24"/>
          <w:szCs w:val="24"/>
          <w:lang w:val="en-US" w:eastAsia="zh-CN"/>
        </w:rPr>
        <w:t>本次评价对项目整改工程施工</w:t>
      </w:r>
      <w:r>
        <w:rPr>
          <w:rFonts w:hint="eastAsia"/>
          <w:sz w:val="24"/>
          <w:szCs w:val="24"/>
          <w:lang w:val="en-US" w:eastAsia="zh-CN"/>
        </w:rPr>
        <w:t>污染</w:t>
      </w:r>
      <w:r>
        <w:rPr>
          <w:sz w:val="24"/>
          <w:szCs w:val="24"/>
          <w:lang w:val="en-US" w:eastAsia="zh-CN"/>
        </w:rPr>
        <w:t>进行分析。</w:t>
      </w:r>
    </w:p>
    <w:p w14:paraId="674C05A4">
      <w:pPr>
        <w:pStyle w:val="188"/>
        <w:rPr>
          <w:rFonts w:hint="eastAsia"/>
        </w:rPr>
      </w:pPr>
      <w:r>
        <w:rPr>
          <w:rFonts w:hint="eastAsia"/>
          <w:lang w:val="en-US" w:eastAsia="zh-CN"/>
        </w:rPr>
        <w:t>6.1.1施工期环境空气</w:t>
      </w:r>
      <w:r>
        <w:rPr>
          <w:rFonts w:hint="eastAsia"/>
        </w:rPr>
        <w:t>影响分析</w:t>
      </w:r>
    </w:p>
    <w:p w14:paraId="62CDBECB">
      <w:pPr>
        <w:spacing w:line="360" w:lineRule="auto"/>
        <w:ind w:left="-4" w:firstLine="456"/>
        <w:rPr>
          <w:color w:val="262626"/>
          <w:sz w:val="24"/>
          <w:szCs w:val="24"/>
        </w:rPr>
      </w:pPr>
      <w:r>
        <w:rPr>
          <w:color w:val="262626"/>
          <w:sz w:val="24"/>
          <w:szCs w:val="24"/>
        </w:rPr>
        <w:t>项目整改</w:t>
      </w:r>
      <w:r>
        <w:rPr>
          <w:rFonts w:hint="eastAsia"/>
          <w:color w:val="262626"/>
          <w:sz w:val="24"/>
          <w:szCs w:val="24"/>
        </w:rPr>
        <w:t>工程</w:t>
      </w:r>
      <w:r>
        <w:rPr>
          <w:color w:val="262626"/>
          <w:sz w:val="24"/>
          <w:szCs w:val="24"/>
        </w:rPr>
        <w:t>施工期产生的大气污染物主要是</w:t>
      </w:r>
      <w:r>
        <w:rPr>
          <w:rFonts w:hint="eastAsia"/>
          <w:color w:val="262626"/>
          <w:sz w:val="24"/>
          <w:szCs w:val="24"/>
        </w:rPr>
        <w:t>扬尘。扬尘</w:t>
      </w:r>
      <w:r>
        <w:rPr>
          <w:color w:val="262626"/>
          <w:sz w:val="24"/>
          <w:szCs w:val="24"/>
        </w:rPr>
        <w:t>产生节点为</w:t>
      </w:r>
      <w:r>
        <w:rPr>
          <w:rFonts w:hint="eastAsia"/>
          <w:color w:val="262626"/>
          <w:sz w:val="24"/>
          <w:szCs w:val="24"/>
        </w:rPr>
        <w:t>雨污分流沟渠</w:t>
      </w:r>
      <w:r>
        <w:rPr>
          <w:color w:val="262626"/>
          <w:sz w:val="24"/>
          <w:szCs w:val="24"/>
        </w:rPr>
        <w:t>开挖及施工材料</w:t>
      </w:r>
      <w:r>
        <w:rPr>
          <w:rFonts w:hint="eastAsia"/>
          <w:color w:val="262626"/>
          <w:sz w:val="24"/>
          <w:szCs w:val="24"/>
        </w:rPr>
        <w:t>临时</w:t>
      </w:r>
      <w:r>
        <w:rPr>
          <w:color w:val="262626"/>
          <w:sz w:val="24"/>
          <w:szCs w:val="24"/>
        </w:rPr>
        <w:t>堆放</w:t>
      </w:r>
      <w:r>
        <w:rPr>
          <w:rFonts w:hint="eastAsia"/>
          <w:color w:val="262626"/>
          <w:sz w:val="24"/>
          <w:szCs w:val="24"/>
        </w:rPr>
        <w:t>、颗粒料、粉料（沙、水泥）卸装、</w:t>
      </w:r>
      <w:r>
        <w:rPr>
          <w:color w:val="262626"/>
          <w:sz w:val="24"/>
          <w:szCs w:val="24"/>
        </w:rPr>
        <w:t>运输</w:t>
      </w:r>
      <w:r>
        <w:rPr>
          <w:rFonts w:hint="eastAsia"/>
          <w:color w:val="262626"/>
          <w:sz w:val="24"/>
          <w:szCs w:val="24"/>
        </w:rPr>
        <w:t>，</w:t>
      </w:r>
      <w:r>
        <w:rPr>
          <w:color w:val="262626"/>
          <w:sz w:val="24"/>
          <w:szCs w:val="24"/>
        </w:rPr>
        <w:t>污染因子为总悬浮颗粒物（TSP），扬尘以无组织排放的形式，借助风力在施工现场引起空气环境TSP指标升高。</w:t>
      </w:r>
    </w:p>
    <w:p w14:paraId="596C517E">
      <w:pPr>
        <w:spacing w:line="360" w:lineRule="auto"/>
        <w:ind w:left="-4" w:firstLine="456"/>
        <w:rPr>
          <w:color w:val="262626"/>
          <w:sz w:val="24"/>
          <w:szCs w:val="24"/>
        </w:rPr>
      </w:pPr>
      <w:r>
        <w:rPr>
          <w:color w:val="262626"/>
          <w:sz w:val="24"/>
          <w:szCs w:val="24"/>
        </w:rPr>
        <w:t>因整改工程量较小，工程施工粉尘产生量较小。</w:t>
      </w:r>
      <w:r>
        <w:rPr>
          <w:rFonts w:hint="eastAsia"/>
          <w:color w:val="262626"/>
          <w:sz w:val="24"/>
          <w:szCs w:val="24"/>
        </w:rPr>
        <w:t>此外</w:t>
      </w:r>
      <w:r>
        <w:rPr>
          <w:color w:val="262626"/>
          <w:sz w:val="24"/>
          <w:szCs w:val="24"/>
        </w:rPr>
        <w:t>，项目整改工程开挖面积较小，产尘量很小</w:t>
      </w:r>
      <w:r>
        <w:rPr>
          <w:rFonts w:hint="eastAsia"/>
          <w:color w:val="262626"/>
          <w:sz w:val="24"/>
          <w:szCs w:val="24"/>
        </w:rPr>
        <w:t>（</w:t>
      </w:r>
      <w:r>
        <w:rPr>
          <w:color w:val="262626"/>
          <w:sz w:val="24"/>
          <w:szCs w:val="24"/>
        </w:rPr>
        <w:t>TSP），</w:t>
      </w:r>
      <w:r>
        <w:rPr>
          <w:rFonts w:hint="eastAsia"/>
          <w:color w:val="262626"/>
          <w:sz w:val="24"/>
          <w:szCs w:val="24"/>
        </w:rPr>
        <w:t>且</w:t>
      </w:r>
      <w:r>
        <w:rPr>
          <w:color w:val="262626"/>
          <w:sz w:val="24"/>
          <w:szCs w:val="24"/>
        </w:rPr>
        <w:t>不含有毒有害的特殊污染物。因此，按照《防治城市扬尘污染技术规范》（HJ/T 393-2007）中的相关规定，建设单位在运输或作业中扬尘大时要洒水降尘，运输车辆必须采取遮盖措施，物料堆放要规整</w:t>
      </w:r>
      <w:r>
        <w:rPr>
          <w:rFonts w:hint="eastAsia"/>
          <w:color w:val="262626"/>
          <w:sz w:val="24"/>
          <w:szCs w:val="24"/>
        </w:rPr>
        <w:t>，</w:t>
      </w:r>
      <w:r>
        <w:rPr>
          <w:color w:val="262626"/>
          <w:sz w:val="24"/>
          <w:szCs w:val="24"/>
        </w:rPr>
        <w:t>土石方</w:t>
      </w:r>
      <w:r>
        <w:rPr>
          <w:rFonts w:hint="eastAsia"/>
          <w:color w:val="262626"/>
          <w:sz w:val="24"/>
          <w:szCs w:val="24"/>
        </w:rPr>
        <w:t>、</w:t>
      </w:r>
      <w:r>
        <w:rPr>
          <w:color w:val="262626"/>
          <w:sz w:val="24"/>
          <w:szCs w:val="24"/>
        </w:rPr>
        <w:t>建筑垃圾及时清运出场，使施工期扬尘污染降低到最低限度，满足《大气污染物综合排放标准》（GB16297-1996）中的无组织排放要求</w:t>
      </w:r>
      <w:r>
        <w:rPr>
          <w:rFonts w:hint="eastAsia"/>
          <w:color w:val="262626"/>
          <w:sz w:val="24"/>
          <w:szCs w:val="24"/>
        </w:rPr>
        <w:t>，</w:t>
      </w:r>
      <w:r>
        <w:rPr>
          <w:color w:val="262626"/>
          <w:sz w:val="24"/>
          <w:szCs w:val="24"/>
        </w:rPr>
        <w:t>对周边敏感点影响较小。</w:t>
      </w:r>
    </w:p>
    <w:p w14:paraId="44D43AF6">
      <w:pPr>
        <w:pStyle w:val="188"/>
        <w:rPr>
          <w:rFonts w:hint="eastAsia"/>
          <w:lang w:val="en-US" w:eastAsia="zh-CN"/>
        </w:rPr>
      </w:pPr>
      <w:r>
        <w:rPr>
          <w:rFonts w:hint="eastAsia"/>
          <w:lang w:val="en-US" w:eastAsia="zh-CN"/>
        </w:rPr>
        <w:t>6.1.2施工期水环境影响分析</w:t>
      </w:r>
    </w:p>
    <w:p w14:paraId="5DBE7663">
      <w:pPr>
        <w:spacing w:line="360" w:lineRule="auto"/>
        <w:ind w:firstLine="480"/>
        <w:rPr>
          <w:color w:val="262626"/>
          <w:sz w:val="24"/>
          <w:szCs w:val="24"/>
        </w:rPr>
      </w:pPr>
      <w:r>
        <w:rPr>
          <w:color w:val="262626"/>
          <w:sz w:val="24"/>
          <w:szCs w:val="24"/>
        </w:rPr>
        <w:t>项目外购的建筑材料砂、石均已清洗加工，项目内不进行砂石清洗。</w:t>
      </w:r>
      <w:r>
        <w:rPr>
          <w:rFonts w:hint="eastAsia"/>
          <w:color w:val="262626"/>
          <w:sz w:val="24"/>
          <w:szCs w:val="24"/>
        </w:rPr>
        <w:t>项目</w:t>
      </w:r>
      <w:r>
        <w:rPr>
          <w:color w:val="262626"/>
          <w:sz w:val="24"/>
          <w:szCs w:val="24"/>
        </w:rPr>
        <w:t>周边配套设施完善</w:t>
      </w:r>
      <w:r>
        <w:rPr>
          <w:rFonts w:hint="eastAsia"/>
          <w:color w:val="262626"/>
          <w:sz w:val="24"/>
          <w:szCs w:val="24"/>
        </w:rPr>
        <w:t>，故</w:t>
      </w:r>
      <w:r>
        <w:rPr>
          <w:color w:val="262626"/>
          <w:sz w:val="24"/>
          <w:szCs w:val="24"/>
        </w:rPr>
        <w:t>施工机械清洗不在施工场地内进行，定期委托相关</w:t>
      </w:r>
      <w:r>
        <w:rPr>
          <w:rFonts w:hint="eastAsia"/>
          <w:color w:val="262626"/>
          <w:sz w:val="24"/>
          <w:szCs w:val="24"/>
        </w:rPr>
        <w:t>单位</w:t>
      </w:r>
      <w:r>
        <w:rPr>
          <w:color w:val="262626"/>
          <w:sz w:val="24"/>
          <w:szCs w:val="24"/>
        </w:rPr>
        <w:t>对本项目施工机械进行定期清洗，因此，本项目</w:t>
      </w:r>
      <w:r>
        <w:rPr>
          <w:rFonts w:hint="eastAsia"/>
          <w:color w:val="262626"/>
          <w:sz w:val="24"/>
          <w:szCs w:val="24"/>
        </w:rPr>
        <w:t>无施工机械清洗废水</w:t>
      </w:r>
      <w:r>
        <w:rPr>
          <w:color w:val="262626"/>
          <w:sz w:val="24"/>
          <w:szCs w:val="24"/>
        </w:rPr>
        <w:t>产生。</w:t>
      </w:r>
    </w:p>
    <w:p w14:paraId="084BA6C6">
      <w:pPr>
        <w:spacing w:line="360" w:lineRule="auto"/>
        <w:ind w:firstLine="480"/>
        <w:rPr>
          <w:rFonts w:hint="eastAsia"/>
          <w:color w:val="262626"/>
          <w:sz w:val="24"/>
          <w:szCs w:val="24"/>
        </w:rPr>
      </w:pPr>
      <w:r>
        <w:rPr>
          <w:rFonts w:hint="eastAsia"/>
          <w:color w:val="262626"/>
          <w:sz w:val="24"/>
          <w:szCs w:val="24"/>
        </w:rPr>
        <w:t>项目</w:t>
      </w:r>
      <w:r>
        <w:rPr>
          <w:color w:val="262626"/>
          <w:sz w:val="24"/>
          <w:szCs w:val="24"/>
        </w:rPr>
        <w:t>施工</w:t>
      </w:r>
      <w:r>
        <w:rPr>
          <w:rFonts w:hint="eastAsia"/>
          <w:color w:val="262626"/>
          <w:sz w:val="24"/>
          <w:szCs w:val="24"/>
        </w:rPr>
        <w:t>过程中</w:t>
      </w:r>
      <w:r>
        <w:rPr>
          <w:color w:val="262626"/>
          <w:sz w:val="24"/>
          <w:szCs w:val="24"/>
        </w:rPr>
        <w:t>会</w:t>
      </w:r>
      <w:r>
        <w:rPr>
          <w:rFonts w:hint="eastAsia"/>
          <w:color w:val="262626"/>
          <w:sz w:val="24"/>
          <w:szCs w:val="24"/>
        </w:rPr>
        <w:t>在</w:t>
      </w:r>
      <w:r>
        <w:rPr>
          <w:color w:val="262626"/>
          <w:sz w:val="24"/>
          <w:szCs w:val="24"/>
        </w:rPr>
        <w:t>作业面</w:t>
      </w:r>
      <w:r>
        <w:rPr>
          <w:rFonts w:hint="eastAsia"/>
          <w:color w:val="262626"/>
          <w:sz w:val="24"/>
          <w:szCs w:val="24"/>
        </w:rPr>
        <w:t>进行</w:t>
      </w:r>
      <w:r>
        <w:rPr>
          <w:color w:val="262626"/>
          <w:sz w:val="24"/>
          <w:szCs w:val="24"/>
        </w:rPr>
        <w:t>洒水，</w:t>
      </w:r>
      <w:r>
        <w:rPr>
          <w:rFonts w:hint="eastAsia"/>
          <w:color w:val="262626"/>
          <w:sz w:val="24"/>
          <w:szCs w:val="24"/>
        </w:rPr>
        <w:t>洒水量</w:t>
      </w:r>
      <w:r>
        <w:rPr>
          <w:color w:val="262626"/>
          <w:sz w:val="24"/>
          <w:szCs w:val="24"/>
        </w:rPr>
        <w:t>约为</w:t>
      </w:r>
      <w:r>
        <w:rPr>
          <w:rFonts w:hint="eastAsia"/>
          <w:color w:val="262626"/>
          <w:sz w:val="24"/>
          <w:szCs w:val="24"/>
        </w:rPr>
        <w:t>1L/</w:t>
      </w:r>
      <w:r>
        <w:rPr>
          <w:color w:val="262626"/>
          <w:sz w:val="24"/>
          <w:szCs w:val="24"/>
        </w:rPr>
        <w:t>m</w:t>
      </w:r>
      <w:r>
        <w:rPr>
          <w:color w:val="262626"/>
          <w:sz w:val="24"/>
          <w:szCs w:val="24"/>
          <w:vertAlign w:val="superscript"/>
        </w:rPr>
        <w:t>2</w:t>
      </w:r>
      <w:r>
        <w:rPr>
          <w:rFonts w:hint="eastAsia"/>
          <w:color w:val="262626"/>
          <w:sz w:val="24"/>
          <w:szCs w:val="24"/>
        </w:rPr>
        <w:t>，</w:t>
      </w:r>
      <w:r>
        <w:rPr>
          <w:color w:val="262626"/>
          <w:sz w:val="24"/>
          <w:szCs w:val="24"/>
        </w:rPr>
        <w:t>该部分水量较少，经渗透、蒸发后无废水</w:t>
      </w:r>
      <w:r>
        <w:rPr>
          <w:rFonts w:hint="eastAsia"/>
          <w:color w:val="262626"/>
          <w:sz w:val="24"/>
          <w:szCs w:val="24"/>
        </w:rPr>
        <w:t>产生</w:t>
      </w:r>
      <w:r>
        <w:rPr>
          <w:color w:val="262626"/>
          <w:sz w:val="24"/>
          <w:szCs w:val="24"/>
        </w:rPr>
        <w:t>。</w:t>
      </w:r>
    </w:p>
    <w:p w14:paraId="50728765">
      <w:pPr>
        <w:spacing w:line="360" w:lineRule="auto"/>
        <w:ind w:firstLine="480"/>
        <w:rPr>
          <w:rFonts w:hint="eastAsia"/>
          <w:color w:val="262626"/>
          <w:sz w:val="24"/>
          <w:szCs w:val="24"/>
        </w:rPr>
      </w:pPr>
      <w:r>
        <w:rPr>
          <w:rFonts w:hint="eastAsia"/>
          <w:color w:val="262626"/>
          <w:sz w:val="24"/>
          <w:szCs w:val="24"/>
        </w:rPr>
        <w:t>项目</w:t>
      </w:r>
      <w:r>
        <w:rPr>
          <w:color w:val="262626"/>
          <w:sz w:val="24"/>
          <w:szCs w:val="24"/>
        </w:rPr>
        <w:t>整改</w:t>
      </w:r>
      <w:r>
        <w:rPr>
          <w:rFonts w:hint="eastAsia"/>
          <w:color w:val="262626"/>
          <w:sz w:val="24"/>
          <w:szCs w:val="24"/>
        </w:rPr>
        <w:t>工程</w:t>
      </w:r>
      <w:r>
        <w:rPr>
          <w:color w:val="262626"/>
          <w:sz w:val="24"/>
          <w:szCs w:val="24"/>
        </w:rPr>
        <w:t>施工施工</w:t>
      </w:r>
      <w:r>
        <w:rPr>
          <w:rFonts w:hint="eastAsia"/>
          <w:color w:val="262626"/>
          <w:sz w:val="24"/>
          <w:szCs w:val="24"/>
        </w:rPr>
        <w:t>人员约为</w:t>
      </w:r>
      <w:r>
        <w:rPr>
          <w:color w:val="262626"/>
          <w:sz w:val="24"/>
          <w:szCs w:val="24"/>
        </w:rPr>
        <w:t>10</w:t>
      </w:r>
      <w:r>
        <w:rPr>
          <w:rFonts w:hint="eastAsia"/>
          <w:color w:val="262626"/>
          <w:sz w:val="24"/>
          <w:szCs w:val="24"/>
        </w:rPr>
        <w:t>人</w:t>
      </w:r>
      <w:r>
        <w:rPr>
          <w:color w:val="262626"/>
          <w:sz w:val="24"/>
          <w:szCs w:val="24"/>
        </w:rPr>
        <w:t>，</w:t>
      </w:r>
      <w:r>
        <w:rPr>
          <w:rFonts w:hint="eastAsia"/>
          <w:color w:val="262626"/>
          <w:sz w:val="24"/>
          <w:szCs w:val="24"/>
        </w:rPr>
        <w:t>均</w:t>
      </w:r>
      <w:r>
        <w:rPr>
          <w:color w:val="262626"/>
          <w:sz w:val="24"/>
          <w:szCs w:val="24"/>
        </w:rPr>
        <w:t>不在</w:t>
      </w:r>
      <w:r>
        <w:rPr>
          <w:rFonts w:hint="eastAsia"/>
          <w:color w:val="262626"/>
          <w:sz w:val="24"/>
          <w:szCs w:val="24"/>
        </w:rPr>
        <w:t>站内食宿，施工人员产生</w:t>
      </w:r>
      <w:r>
        <w:rPr>
          <w:color w:val="262626"/>
          <w:sz w:val="24"/>
          <w:szCs w:val="24"/>
        </w:rPr>
        <w:t>的</w:t>
      </w:r>
      <w:r>
        <w:rPr>
          <w:rFonts w:hint="eastAsia"/>
          <w:color w:val="262626"/>
          <w:sz w:val="24"/>
          <w:szCs w:val="24"/>
        </w:rPr>
        <w:t>废水</w:t>
      </w:r>
      <w:r>
        <w:rPr>
          <w:color w:val="262626"/>
          <w:sz w:val="24"/>
          <w:szCs w:val="24"/>
        </w:rPr>
        <w:t>主要为洗手等清洁废水</w:t>
      </w:r>
      <w:r>
        <w:rPr>
          <w:rFonts w:hint="eastAsia"/>
          <w:color w:val="262626"/>
          <w:sz w:val="24"/>
          <w:szCs w:val="24"/>
        </w:rPr>
        <w:t>，由于废水量较少，水质清洁，可排入</w:t>
      </w:r>
      <w:r>
        <w:rPr>
          <w:rFonts w:hint="eastAsia"/>
          <w:color w:val="262626"/>
          <w:sz w:val="24"/>
          <w:szCs w:val="24"/>
          <w:lang w:val="en-US" w:eastAsia="zh-CN"/>
        </w:rPr>
        <w:t>厂区</w:t>
      </w:r>
      <w:r>
        <w:rPr>
          <w:rFonts w:hint="eastAsia"/>
          <w:color w:val="262626"/>
          <w:sz w:val="24"/>
          <w:szCs w:val="24"/>
        </w:rPr>
        <w:t>现有的</w:t>
      </w:r>
      <w:r>
        <w:rPr>
          <w:rFonts w:hint="eastAsia"/>
          <w:color w:val="262626"/>
          <w:sz w:val="24"/>
          <w:szCs w:val="24"/>
          <w:lang w:val="en-US" w:eastAsia="zh-CN"/>
        </w:rPr>
        <w:t>化粪池处理后达标外排</w:t>
      </w:r>
      <w:r>
        <w:rPr>
          <w:rFonts w:hint="eastAsia"/>
          <w:color w:val="262626"/>
          <w:sz w:val="24"/>
          <w:szCs w:val="24"/>
        </w:rPr>
        <w:t>。</w:t>
      </w:r>
    </w:p>
    <w:p w14:paraId="1FDD598B">
      <w:pPr>
        <w:spacing w:line="360" w:lineRule="auto"/>
        <w:ind w:firstLine="480"/>
        <w:rPr>
          <w:rFonts w:hint="eastAsia"/>
          <w:color w:val="262626"/>
          <w:sz w:val="24"/>
          <w:szCs w:val="24"/>
        </w:rPr>
      </w:pPr>
      <w:r>
        <w:rPr>
          <w:rFonts w:hint="eastAsia"/>
          <w:color w:val="262626"/>
          <w:sz w:val="24"/>
          <w:szCs w:val="24"/>
        </w:rPr>
        <w:t>由于项目施工开挖</w:t>
      </w:r>
      <w:r>
        <w:rPr>
          <w:color w:val="262626"/>
          <w:sz w:val="24"/>
          <w:szCs w:val="24"/>
        </w:rPr>
        <w:t>区域较小，</w:t>
      </w:r>
      <w:r>
        <w:rPr>
          <w:rFonts w:hint="eastAsia"/>
          <w:color w:val="262626"/>
          <w:sz w:val="24"/>
          <w:szCs w:val="24"/>
        </w:rPr>
        <w:t>故</w:t>
      </w:r>
      <w:r>
        <w:rPr>
          <w:color w:val="262626"/>
          <w:sz w:val="24"/>
          <w:szCs w:val="24"/>
        </w:rPr>
        <w:t>暴雨径流量极少，</w:t>
      </w:r>
      <w:r>
        <w:rPr>
          <w:rFonts w:hint="eastAsia"/>
          <w:color w:val="262626"/>
          <w:sz w:val="24"/>
          <w:szCs w:val="24"/>
        </w:rPr>
        <w:t>经场地现有的沉淀池收集后回用于施工场地洒水降尘。</w:t>
      </w:r>
    </w:p>
    <w:p w14:paraId="52B22CC7">
      <w:pPr>
        <w:rPr>
          <w:rFonts w:hint="eastAsia"/>
          <w:lang w:val="en-US" w:eastAsia="zh-CN"/>
        </w:rPr>
      </w:pPr>
      <w:r>
        <w:rPr>
          <w:rFonts w:hint="eastAsia"/>
          <w:lang w:val="en-US" w:eastAsia="zh-CN"/>
        </w:rPr>
        <w:t>由于施工工程量较小，施工期短，施工影响为短期影响，施工结束后即可终止，因此，在采取了防治措施后，施工期废水不会对地表水体产生大的影响。</w:t>
      </w:r>
    </w:p>
    <w:p w14:paraId="13B3083F">
      <w:pPr>
        <w:pStyle w:val="188"/>
        <w:rPr>
          <w:rFonts w:hint="eastAsia"/>
          <w:lang w:val="en-US" w:eastAsia="zh-CN"/>
        </w:rPr>
      </w:pPr>
      <w:r>
        <w:rPr>
          <w:rFonts w:hint="eastAsia"/>
          <w:lang w:val="en-US" w:eastAsia="zh-CN"/>
        </w:rPr>
        <w:t>6.1.3施工期声环境影响分析</w:t>
      </w:r>
    </w:p>
    <w:p w14:paraId="172D28D9">
      <w:pPr>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（1）噪声源分析</w:t>
      </w:r>
    </w:p>
    <w:p w14:paraId="5038A289">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本项目施工期的噪声主要可分为施工作业噪声和施工车辆噪声。施工作业噪声主要指一些零星的敲打声、装卸车辆的撞击声、拆装模板的撞击声等，多为瞬间噪声；施工车辆的噪声属于交通噪声。噪声源强值80～100dB(A)</w:t>
      </w:r>
    </w:p>
    <w:p w14:paraId="2A977909">
      <w:pPr>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（2）噪声影响分析</w:t>
      </w:r>
    </w:p>
    <w:p w14:paraId="1B3AC4AB">
      <w:pPr>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1）</w:t>
      </w:r>
      <w:r>
        <w:rPr>
          <w:rFonts w:ascii="Times New Roman" w:hAnsi="Times New Roman" w:eastAsia="宋体" w:cs="Times New Roman"/>
          <w:color w:val="262626"/>
          <w:sz w:val="24"/>
          <w:szCs w:val="24"/>
        </w:rPr>
        <w:t>预测模式</w:t>
      </w:r>
    </w:p>
    <w:p w14:paraId="776CF426">
      <w:pPr>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整改</w:t>
      </w:r>
      <w:r>
        <w:rPr>
          <w:rFonts w:ascii="Times New Roman" w:hAnsi="Times New Roman" w:eastAsia="宋体" w:cs="Times New Roman"/>
          <w:color w:val="262626"/>
          <w:sz w:val="24"/>
          <w:szCs w:val="24"/>
        </w:rPr>
        <w:t>施工机械设备类型、数量以及位置均在变化，要准确预测时的超标范围，施工场地各厂界噪声值比较困难，因此在环评中只预测各施工机械单独运行时的噪声超标范围，本预测采用点声源衰减模式，仅考虑距离衰减值、场界围墙屏障等因素，其噪声预测公式为：</w:t>
      </w:r>
    </w:p>
    <w:p w14:paraId="58CFDD37">
      <w:pPr>
        <w:widowControl w:val="0"/>
        <w:spacing w:line="360" w:lineRule="auto"/>
        <w:ind w:firstLine="16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L2＝L1－20lgr2/r1－△L</w:t>
      </w:r>
    </w:p>
    <w:p w14:paraId="2133DB7E">
      <w:pPr>
        <w:widowControl w:val="0"/>
        <w:spacing w:line="360" w:lineRule="auto"/>
        <w:ind w:firstLine="144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式中：L2——距声源r2处声源值[dB(A)]；</w:t>
      </w:r>
    </w:p>
    <w:p w14:paraId="446734F1">
      <w:pPr>
        <w:widowControl w:val="0"/>
        <w:spacing w:line="360" w:lineRule="auto"/>
        <w:ind w:firstLine="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 xml:space="preserve">                  L1 ——距声源r1处声源值[dB(A)]；</w:t>
      </w:r>
    </w:p>
    <w:p w14:paraId="039BCC62">
      <w:pPr>
        <w:widowControl w:val="0"/>
        <w:spacing w:line="360" w:lineRule="auto"/>
        <w:ind w:firstLine="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 xml:space="preserve">                  r2、r1——与声源的距离(m)；</w:t>
      </w:r>
    </w:p>
    <w:p w14:paraId="420FD3A7">
      <w:pPr>
        <w:widowControl w:val="0"/>
        <w:spacing w:line="360" w:lineRule="auto"/>
        <w:ind w:firstLine="216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△L——场界围墙引起的衰减量。</w:t>
      </w:r>
    </w:p>
    <w:p w14:paraId="4E0B6C49">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由上式预测单个噪声源在评价点的贡献值，再将不同声源在该点的贡献值用对数法叠加，得出多个噪声源对该点噪声的贡献值，采用的模式如下：</w:t>
      </w:r>
    </w:p>
    <w:p w14:paraId="70DCE5E0">
      <w:pPr>
        <w:widowControl w:val="0"/>
        <w:spacing w:line="360" w:lineRule="auto"/>
        <w:ind w:firstLine="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 xml:space="preserve">                    </w:t>
      </w:r>
      <w:r>
        <w:rPr>
          <w:rFonts w:ascii="Times New Roman" w:hAnsi="Times New Roman" w:eastAsia="宋体" w:cs="Times New Roman"/>
          <w:color w:val="262626"/>
          <w:sz w:val="24"/>
          <w:szCs w:val="24"/>
        </w:rPr>
        <w:drawing>
          <wp:inline distT="0" distB="0" distL="0" distR="0">
            <wp:extent cx="1168400" cy="431165"/>
            <wp:effectExtent l="0" t="0" r="0" b="0"/>
            <wp:docPr id="37" name="_x0000_i3118"/>
            <wp:cNvGraphicFramePr/>
            <a:graphic xmlns:a="http://schemas.openxmlformats.org/drawingml/2006/main">
              <a:graphicData uri="http://schemas.openxmlformats.org/drawingml/2006/picture">
                <pic:pic xmlns:pic="http://schemas.openxmlformats.org/drawingml/2006/picture">
                  <pic:nvPicPr>
                    <pic:cNvPr id="37" name="_x0000_i3118"/>
                    <pic:cNvPicPr/>
                  </pic:nvPicPr>
                  <pic:blipFill>
                    <a:blip r:embed="rId51"/>
                    <a:stretch>
                      <a:fillRect/>
                    </a:stretch>
                  </pic:blipFill>
                  <pic:spPr>
                    <a:xfrm>
                      <a:off x="0" y="0"/>
                      <a:ext cx="1168400" cy="431597"/>
                    </a:xfrm>
                    <a:prstGeom prst="rect">
                      <a:avLst/>
                    </a:prstGeom>
                    <a:noFill/>
                    <a:ln>
                      <a:noFill/>
                    </a:ln>
                  </pic:spPr>
                </pic:pic>
              </a:graphicData>
            </a:graphic>
          </wp:inline>
        </w:drawing>
      </w:r>
    </w:p>
    <w:p w14:paraId="55B94F9A">
      <w:pPr>
        <w:widowControl w:val="0"/>
        <w:spacing w:line="360" w:lineRule="auto"/>
        <w:ind w:firstLine="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 xml:space="preserve">            式中：L——叠加后总声压级[dB(A)]；</w:t>
      </w:r>
    </w:p>
    <w:p w14:paraId="21BA8EFB">
      <w:pPr>
        <w:widowControl w:val="0"/>
        <w:spacing w:line="360" w:lineRule="auto"/>
        <w:ind w:firstLine="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 xml:space="preserve">                    Li——各声源的噪声值[dB(A)]；</w:t>
      </w:r>
    </w:p>
    <w:p w14:paraId="7CFDC360">
      <w:pPr>
        <w:widowControl/>
        <w:spacing w:line="360" w:lineRule="auto"/>
        <w:ind w:firstLine="470"/>
        <w:jc w:val="left"/>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 xml:space="preserve">                    n——声源个数。</w:t>
      </w:r>
    </w:p>
    <w:p w14:paraId="636BA45E">
      <w:pPr>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2）</w:t>
      </w:r>
      <w:r>
        <w:rPr>
          <w:rFonts w:ascii="Times New Roman" w:hAnsi="Times New Roman" w:eastAsia="宋体" w:cs="Times New Roman"/>
          <w:color w:val="262626"/>
          <w:sz w:val="24"/>
          <w:szCs w:val="24"/>
        </w:rPr>
        <w:t>预测结果</w:t>
      </w:r>
    </w:p>
    <w:p w14:paraId="3BB33DA2">
      <w:pPr>
        <w:widowControl w:val="0"/>
        <w:spacing w:line="360" w:lineRule="auto"/>
        <w:ind w:firstLine="480"/>
        <w:rPr>
          <w:rFonts w:hint="eastAsia" w:ascii="Times New Roman" w:hAnsi="Times New Roman" w:eastAsia="宋体" w:cs="Times New Roman"/>
          <w:color w:val="262626"/>
          <w:sz w:val="24"/>
          <w:szCs w:val="24"/>
        </w:rPr>
      </w:pPr>
      <w:r>
        <w:rPr>
          <w:rFonts w:ascii="Times New Roman" w:hAnsi="Times New Roman" w:eastAsia="宋体" w:cs="Times New Roman"/>
          <w:color w:val="262626"/>
          <w:sz w:val="24"/>
          <w:szCs w:val="24"/>
        </w:rPr>
        <w:t>评价</w:t>
      </w:r>
      <w:r>
        <w:rPr>
          <w:rFonts w:hint="eastAsia" w:ascii="Times New Roman" w:hAnsi="Times New Roman" w:eastAsia="宋体" w:cs="Times New Roman"/>
          <w:color w:val="262626"/>
          <w:sz w:val="24"/>
          <w:szCs w:val="24"/>
        </w:rPr>
        <w:t>区域</w:t>
      </w:r>
      <w:r>
        <w:rPr>
          <w:rFonts w:ascii="Times New Roman" w:hAnsi="Times New Roman" w:eastAsia="宋体" w:cs="Times New Roman"/>
          <w:color w:val="262626"/>
          <w:sz w:val="24"/>
          <w:szCs w:val="24"/>
        </w:rPr>
        <w:t>声环境执行《建筑施工场界环境噪声排放标准》（GB12523-2011）。通过计算，可得出</w:t>
      </w:r>
      <w:r>
        <w:rPr>
          <w:rFonts w:hint="eastAsia" w:ascii="Times New Roman" w:hAnsi="Times New Roman" w:eastAsia="宋体" w:cs="Times New Roman"/>
          <w:color w:val="262626"/>
          <w:sz w:val="24"/>
          <w:szCs w:val="24"/>
        </w:rPr>
        <w:t>项目主要</w:t>
      </w:r>
      <w:r>
        <w:rPr>
          <w:rFonts w:ascii="Times New Roman" w:hAnsi="Times New Roman" w:eastAsia="宋体" w:cs="Times New Roman"/>
          <w:color w:val="262626"/>
          <w:sz w:val="24"/>
          <w:szCs w:val="24"/>
        </w:rPr>
        <w:t>施工机械达到施工场界噪声限值所需的衰减距离，见表</w:t>
      </w:r>
      <w:r>
        <w:rPr>
          <w:rFonts w:hint="eastAsia" w:ascii="Times New Roman" w:hAnsi="Times New Roman" w:eastAsia="宋体" w:cs="Times New Roman"/>
          <w:color w:val="262626"/>
          <w:sz w:val="24"/>
          <w:szCs w:val="24"/>
          <w:lang w:val="en-US" w:eastAsia="zh-CN"/>
        </w:rPr>
        <w:t>6.1</w:t>
      </w:r>
      <w:r>
        <w:rPr>
          <w:rFonts w:ascii="Times New Roman" w:hAnsi="Times New Roman" w:eastAsia="宋体" w:cs="Times New Roman"/>
          <w:color w:val="262626"/>
          <w:sz w:val="24"/>
          <w:szCs w:val="24"/>
        </w:rPr>
        <w:t>-</w:t>
      </w:r>
      <w:r>
        <w:rPr>
          <w:rFonts w:hint="eastAsia" w:ascii="Times New Roman" w:hAnsi="Times New Roman" w:eastAsia="宋体" w:cs="Times New Roman"/>
          <w:color w:val="262626"/>
          <w:sz w:val="24"/>
          <w:szCs w:val="24"/>
        </w:rPr>
        <w:t>1</w:t>
      </w:r>
      <w:r>
        <w:rPr>
          <w:rFonts w:ascii="Times New Roman" w:hAnsi="Times New Roman" w:eastAsia="宋体" w:cs="Times New Roman"/>
          <w:color w:val="262626"/>
          <w:sz w:val="24"/>
          <w:szCs w:val="24"/>
        </w:rPr>
        <w:t>。</w:t>
      </w:r>
    </w:p>
    <w:p w14:paraId="3550B421">
      <w:pPr>
        <w:widowControl w:val="0"/>
        <w:spacing w:line="500" w:lineRule="exact"/>
        <w:ind w:firstLine="0"/>
        <w:jc w:val="center"/>
        <w:rPr>
          <w:rFonts w:ascii="Times New Roman" w:hAnsi="Times New Roman" w:eastAsia="宋体" w:cs="Times New Roman"/>
          <w:b/>
          <w:bCs/>
          <w:color w:val="262626"/>
          <w:sz w:val="24"/>
          <w:szCs w:val="24"/>
        </w:rPr>
      </w:pPr>
      <w:r>
        <w:rPr>
          <w:rFonts w:ascii="Times New Roman" w:hAnsi="Times New Roman" w:eastAsia="宋体" w:cs="Times New Roman"/>
          <w:b/>
          <w:bCs/>
          <w:color w:val="262626"/>
          <w:sz w:val="24"/>
          <w:szCs w:val="24"/>
        </w:rPr>
        <w:t>表</w:t>
      </w:r>
      <w:r>
        <w:rPr>
          <w:rFonts w:hint="eastAsia" w:ascii="Times New Roman" w:hAnsi="Times New Roman" w:eastAsia="宋体" w:cs="Times New Roman"/>
          <w:b/>
          <w:bCs/>
          <w:color w:val="262626"/>
          <w:sz w:val="24"/>
          <w:szCs w:val="24"/>
          <w:lang w:val="en-US" w:eastAsia="zh-CN"/>
        </w:rPr>
        <w:t>6.1</w:t>
      </w:r>
      <w:r>
        <w:rPr>
          <w:rFonts w:ascii="Times New Roman" w:hAnsi="Times New Roman" w:eastAsia="宋体" w:cs="Times New Roman"/>
          <w:b/>
          <w:bCs/>
          <w:color w:val="262626"/>
          <w:sz w:val="24"/>
          <w:szCs w:val="24"/>
        </w:rPr>
        <w:t>-1  各种施工机械的施工场界噪声达标的衰减距离</w:t>
      </w:r>
    </w:p>
    <w:tbl>
      <w:tblPr>
        <w:tblStyle w:val="32"/>
        <w:tblW w:w="0" w:type="auto"/>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521"/>
        <w:gridCol w:w="572"/>
        <w:gridCol w:w="709"/>
        <w:gridCol w:w="708"/>
        <w:gridCol w:w="709"/>
        <w:gridCol w:w="709"/>
        <w:gridCol w:w="709"/>
        <w:gridCol w:w="708"/>
        <w:gridCol w:w="817"/>
        <w:gridCol w:w="1360"/>
      </w:tblGrid>
      <w:tr w14:paraId="3670FA2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093" w:type="dxa"/>
            <w:gridSpan w:val="2"/>
            <w:vMerge w:val="restart"/>
            <w:noWrap w:val="0"/>
            <w:vAlign w:val="center"/>
          </w:tcPr>
          <w:p w14:paraId="2407B90F">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mc:AlternateContent>
                <mc:Choice Requires="wps">
                  <w:drawing>
                    <wp:anchor distT="0" distB="0" distL="114300" distR="114300" simplePos="0" relativeHeight="251660288" behindDoc="0" locked="0" layoutInCell="1" allowOverlap="1">
                      <wp:simplePos x="0" y="0"/>
                      <wp:positionH relativeFrom="column">
                        <wp:posOffset>-48895</wp:posOffset>
                      </wp:positionH>
                      <wp:positionV relativeFrom="paragraph">
                        <wp:posOffset>19050</wp:posOffset>
                      </wp:positionV>
                      <wp:extent cx="1261110" cy="329565"/>
                      <wp:effectExtent l="0" t="0" r="0" b="0"/>
                      <wp:wrapNone/>
                      <wp:docPr id="38" name="_x0000_s2060"/>
                      <wp:cNvGraphicFramePr/>
                      <a:graphic xmlns:a="http://schemas.openxmlformats.org/drawingml/2006/main">
                        <a:graphicData uri="http://schemas.microsoft.com/office/word/2010/wordprocessingShape">
                          <wps:wsp>
                            <wps:cNvSpPr/>
                            <wps:spPr bwMode="auto">
                              <a:xfrm>
                                <a:off x="0" y="0"/>
                                <a:ext cx="1261110" cy="329565"/>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0000"/>
                                </a:solidFill>
                              </a:ln>
                            </wps:spPr>
                            <wps:bodyPr rot="0">
                              <a:noAutofit/>
                            </wps:bodyPr>
                          </wps:wsp>
                        </a:graphicData>
                      </a:graphic>
                    </wp:anchor>
                  </w:drawing>
                </mc:Choice>
                <mc:Fallback>
                  <w:pict>
                    <v:shape id="_x0000_s2060" o:spid="_x0000_s1026" o:spt="100" style="position:absolute;left:0pt;margin-left:-3.85pt;margin-top:1.5pt;height:25.95pt;width:99.3pt;z-index:251660288;mso-width-relative:page;mso-height-relative:page;" filled="f" stroked="t" coordsize="21600,21600" o:gfxdata="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w484XYAAAABwEAAA8AAAAAAAAAAQAgAAAA&#10;IgAAAGRycy9kb3ducmV2LnhtbFBLAQIUABQAAAAIAIdO4kA/6tqxfQIAAPAFAAAOAAAAAAAAAAEA&#10;IAAAACcBAABkcnMvZTJvRG9jLnhtbFBLBQYAAAAABgAGAFkBAAAWBgAAAAA=&#10;" path="m0,0l0,21600,21600,21600,21600,0xe">
                      <v:fill on="f" focussize="0,0"/>
                      <v:stroke color="#000000" joinstyle="round"/>
                      <v:imagedata o:title=""/>
                      <o:lock v:ext="edit" aspectratio="f"/>
                    </v:shape>
                  </w:pict>
                </mc:Fallback>
              </mc:AlternateContent>
            </w:r>
            <w:r>
              <w:rPr>
                <w:rFonts w:ascii="Times New Roman" w:hAnsi="Times New Roman" w:eastAsia="宋体" w:cs="Times New Roman"/>
                <w:color w:val="262626"/>
                <w:sz w:val="21"/>
                <w:szCs w:val="21"/>
              </w:rPr>
              <w:t xml:space="preserve">      预测值dB(A)</w:t>
            </w:r>
          </w:p>
          <w:p w14:paraId="650518B5">
            <w:pPr>
              <w:widowControl w:val="0"/>
              <w:spacing w:line="240" w:lineRule="auto"/>
              <w:ind w:firstLine="0"/>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噪声源强值</w:t>
            </w:r>
          </w:p>
        </w:tc>
        <w:tc>
          <w:tcPr>
            <w:tcW w:w="5069" w:type="dxa"/>
            <w:gridSpan w:val="7"/>
            <w:noWrap w:val="0"/>
            <w:vAlign w:val="center"/>
          </w:tcPr>
          <w:p w14:paraId="355F702B">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预测距离</w:t>
            </w:r>
          </w:p>
        </w:tc>
        <w:tc>
          <w:tcPr>
            <w:tcW w:w="1360" w:type="dxa"/>
            <w:vMerge w:val="restart"/>
            <w:noWrap w:val="0"/>
            <w:vAlign w:val="center"/>
          </w:tcPr>
          <w:p w14:paraId="1262CCAA">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备注</w:t>
            </w:r>
          </w:p>
        </w:tc>
      </w:tr>
      <w:tr w14:paraId="432A9FB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093" w:type="dxa"/>
            <w:gridSpan w:val="2"/>
            <w:vMerge w:val="continue"/>
            <w:noWrap w:val="0"/>
            <w:vAlign w:val="center"/>
          </w:tcPr>
          <w:p w14:paraId="03768F10">
            <w:pPr>
              <w:widowControl w:val="0"/>
              <w:spacing w:line="240" w:lineRule="auto"/>
              <w:ind w:firstLine="0"/>
              <w:jc w:val="center"/>
              <w:rPr>
                <w:rFonts w:ascii="Times New Roman" w:hAnsi="Times New Roman" w:eastAsia="宋体" w:cs="Times New Roman"/>
                <w:color w:val="262626"/>
                <w:sz w:val="21"/>
                <w:szCs w:val="21"/>
              </w:rPr>
            </w:pPr>
          </w:p>
        </w:tc>
        <w:tc>
          <w:tcPr>
            <w:tcW w:w="709" w:type="dxa"/>
            <w:noWrap w:val="0"/>
            <w:vAlign w:val="center"/>
          </w:tcPr>
          <w:p w14:paraId="4928CB00">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10m</w:t>
            </w:r>
          </w:p>
        </w:tc>
        <w:tc>
          <w:tcPr>
            <w:tcW w:w="708" w:type="dxa"/>
            <w:noWrap w:val="0"/>
            <w:vAlign w:val="center"/>
          </w:tcPr>
          <w:p w14:paraId="4C23D24D">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20m</w:t>
            </w:r>
          </w:p>
        </w:tc>
        <w:tc>
          <w:tcPr>
            <w:tcW w:w="709" w:type="dxa"/>
            <w:noWrap w:val="0"/>
            <w:vAlign w:val="top"/>
          </w:tcPr>
          <w:p w14:paraId="781A5325">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30m</w:t>
            </w:r>
          </w:p>
        </w:tc>
        <w:tc>
          <w:tcPr>
            <w:tcW w:w="709" w:type="dxa"/>
            <w:noWrap w:val="0"/>
            <w:vAlign w:val="top"/>
          </w:tcPr>
          <w:p w14:paraId="562FA5E8">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50m</w:t>
            </w:r>
          </w:p>
        </w:tc>
        <w:tc>
          <w:tcPr>
            <w:tcW w:w="709" w:type="dxa"/>
            <w:noWrap w:val="0"/>
            <w:vAlign w:val="center"/>
          </w:tcPr>
          <w:p w14:paraId="7764C97D">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100m</w:t>
            </w:r>
          </w:p>
        </w:tc>
        <w:tc>
          <w:tcPr>
            <w:tcW w:w="708" w:type="dxa"/>
            <w:noWrap w:val="0"/>
            <w:vAlign w:val="center"/>
          </w:tcPr>
          <w:p w14:paraId="3AB65E98">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150m</w:t>
            </w:r>
          </w:p>
        </w:tc>
        <w:tc>
          <w:tcPr>
            <w:tcW w:w="817" w:type="dxa"/>
            <w:noWrap w:val="0"/>
            <w:vAlign w:val="center"/>
          </w:tcPr>
          <w:p w14:paraId="643335F3">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200m</w:t>
            </w:r>
          </w:p>
        </w:tc>
        <w:tc>
          <w:tcPr>
            <w:tcW w:w="1360" w:type="dxa"/>
            <w:vMerge w:val="continue"/>
            <w:noWrap w:val="0"/>
            <w:vAlign w:val="top"/>
          </w:tcPr>
          <w:p w14:paraId="3255CF7C">
            <w:pPr>
              <w:widowControl w:val="0"/>
              <w:spacing w:line="240" w:lineRule="auto"/>
              <w:ind w:firstLine="0"/>
              <w:jc w:val="center"/>
              <w:rPr>
                <w:rFonts w:ascii="Times New Roman" w:hAnsi="Times New Roman" w:eastAsia="宋体" w:cs="Times New Roman"/>
                <w:color w:val="262626"/>
                <w:sz w:val="21"/>
                <w:szCs w:val="21"/>
              </w:rPr>
            </w:pPr>
          </w:p>
        </w:tc>
      </w:tr>
      <w:tr w14:paraId="1E27211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21" w:type="dxa"/>
            <w:noWrap w:val="0"/>
            <w:vAlign w:val="center"/>
          </w:tcPr>
          <w:p w14:paraId="2CCD8F3A">
            <w:pPr>
              <w:widowControl w:val="0"/>
              <w:spacing w:line="240" w:lineRule="auto"/>
              <w:ind w:firstLine="0"/>
              <w:rPr>
                <w:rFonts w:ascii="Times New Roman" w:hAnsi="Times New Roman" w:eastAsia="宋体" w:cs="Times New Roman"/>
                <w:color w:val="262626"/>
                <w:sz w:val="21"/>
                <w:szCs w:val="21"/>
              </w:rPr>
            </w:pPr>
            <w:r>
              <w:rPr>
                <w:rFonts w:hint="eastAsia" w:ascii="Times New Roman" w:hAnsi="Times New Roman" w:eastAsia="宋体" w:cs="Times New Roman"/>
                <w:color w:val="262626"/>
                <w:sz w:val="21"/>
                <w:szCs w:val="21"/>
              </w:rPr>
              <w:t>设备基础</w:t>
            </w:r>
            <w:r>
              <w:rPr>
                <w:rFonts w:ascii="Times New Roman" w:hAnsi="Times New Roman" w:eastAsia="宋体" w:cs="Times New Roman"/>
                <w:color w:val="262626"/>
                <w:sz w:val="21"/>
                <w:szCs w:val="21"/>
              </w:rPr>
              <w:t>开挖</w:t>
            </w:r>
          </w:p>
        </w:tc>
        <w:tc>
          <w:tcPr>
            <w:tcW w:w="572" w:type="dxa"/>
            <w:noWrap w:val="0"/>
            <w:vAlign w:val="center"/>
          </w:tcPr>
          <w:p w14:paraId="2E1D2B66">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95</w:t>
            </w:r>
          </w:p>
        </w:tc>
        <w:tc>
          <w:tcPr>
            <w:tcW w:w="709" w:type="dxa"/>
            <w:noWrap w:val="0"/>
            <w:vAlign w:val="center"/>
          </w:tcPr>
          <w:p w14:paraId="3A3444EC">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75</w:t>
            </w:r>
          </w:p>
        </w:tc>
        <w:tc>
          <w:tcPr>
            <w:tcW w:w="708" w:type="dxa"/>
            <w:noWrap w:val="0"/>
            <w:vAlign w:val="center"/>
          </w:tcPr>
          <w:p w14:paraId="1BDEB173">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69</w:t>
            </w:r>
          </w:p>
        </w:tc>
        <w:tc>
          <w:tcPr>
            <w:tcW w:w="709" w:type="dxa"/>
            <w:noWrap w:val="0"/>
            <w:vAlign w:val="center"/>
          </w:tcPr>
          <w:p w14:paraId="37685692">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65.5</w:t>
            </w:r>
          </w:p>
        </w:tc>
        <w:tc>
          <w:tcPr>
            <w:tcW w:w="709" w:type="dxa"/>
            <w:noWrap w:val="0"/>
            <w:vAlign w:val="center"/>
          </w:tcPr>
          <w:p w14:paraId="4952BF11">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61</w:t>
            </w:r>
          </w:p>
        </w:tc>
        <w:tc>
          <w:tcPr>
            <w:tcW w:w="709" w:type="dxa"/>
            <w:noWrap w:val="0"/>
            <w:vAlign w:val="center"/>
          </w:tcPr>
          <w:p w14:paraId="278FECFA">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55</w:t>
            </w:r>
          </w:p>
        </w:tc>
        <w:tc>
          <w:tcPr>
            <w:tcW w:w="708" w:type="dxa"/>
            <w:noWrap w:val="0"/>
            <w:vAlign w:val="center"/>
          </w:tcPr>
          <w:p w14:paraId="2FBB8711">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51.5</w:t>
            </w:r>
          </w:p>
        </w:tc>
        <w:tc>
          <w:tcPr>
            <w:tcW w:w="817" w:type="dxa"/>
            <w:noWrap w:val="0"/>
            <w:vAlign w:val="center"/>
          </w:tcPr>
          <w:p w14:paraId="0E5116C4">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49</w:t>
            </w:r>
          </w:p>
        </w:tc>
        <w:tc>
          <w:tcPr>
            <w:tcW w:w="1360" w:type="dxa"/>
            <w:vMerge w:val="restart"/>
            <w:noWrap w:val="0"/>
            <w:vAlign w:val="center"/>
          </w:tcPr>
          <w:p w14:paraId="48CD763E">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以施工期最强噪声级值预测</w:t>
            </w:r>
          </w:p>
        </w:tc>
      </w:tr>
      <w:tr w14:paraId="385007C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57" w:hRule="atLeast"/>
          <w:jc w:val="center"/>
        </w:trPr>
        <w:tc>
          <w:tcPr>
            <w:tcW w:w="1521" w:type="dxa"/>
            <w:noWrap w:val="0"/>
            <w:vAlign w:val="center"/>
          </w:tcPr>
          <w:p w14:paraId="245B6284">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设备安装</w:t>
            </w:r>
          </w:p>
        </w:tc>
        <w:tc>
          <w:tcPr>
            <w:tcW w:w="572" w:type="dxa"/>
            <w:noWrap w:val="0"/>
            <w:vAlign w:val="center"/>
          </w:tcPr>
          <w:p w14:paraId="01C35388">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100</w:t>
            </w:r>
          </w:p>
        </w:tc>
        <w:tc>
          <w:tcPr>
            <w:tcW w:w="709" w:type="dxa"/>
            <w:noWrap w:val="0"/>
            <w:vAlign w:val="center"/>
          </w:tcPr>
          <w:p w14:paraId="157FDC2B">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80</w:t>
            </w:r>
          </w:p>
        </w:tc>
        <w:tc>
          <w:tcPr>
            <w:tcW w:w="708" w:type="dxa"/>
            <w:noWrap w:val="0"/>
            <w:vAlign w:val="center"/>
          </w:tcPr>
          <w:p w14:paraId="70FC977E">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74</w:t>
            </w:r>
          </w:p>
        </w:tc>
        <w:tc>
          <w:tcPr>
            <w:tcW w:w="709" w:type="dxa"/>
            <w:noWrap w:val="0"/>
            <w:vAlign w:val="center"/>
          </w:tcPr>
          <w:p w14:paraId="51C7716C">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70</w:t>
            </w:r>
          </w:p>
        </w:tc>
        <w:tc>
          <w:tcPr>
            <w:tcW w:w="709" w:type="dxa"/>
            <w:noWrap w:val="0"/>
            <w:vAlign w:val="center"/>
          </w:tcPr>
          <w:p w14:paraId="55440A8E">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66</w:t>
            </w:r>
          </w:p>
        </w:tc>
        <w:tc>
          <w:tcPr>
            <w:tcW w:w="709" w:type="dxa"/>
            <w:noWrap w:val="0"/>
            <w:vAlign w:val="center"/>
          </w:tcPr>
          <w:p w14:paraId="32FD1DF8">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60</w:t>
            </w:r>
          </w:p>
        </w:tc>
        <w:tc>
          <w:tcPr>
            <w:tcW w:w="708" w:type="dxa"/>
            <w:noWrap w:val="0"/>
            <w:vAlign w:val="center"/>
          </w:tcPr>
          <w:p w14:paraId="0DE93AE4">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56.5</w:t>
            </w:r>
          </w:p>
        </w:tc>
        <w:tc>
          <w:tcPr>
            <w:tcW w:w="817" w:type="dxa"/>
            <w:noWrap w:val="0"/>
            <w:vAlign w:val="center"/>
          </w:tcPr>
          <w:p w14:paraId="1B273CAB">
            <w:pPr>
              <w:widowControl w:val="0"/>
              <w:spacing w:line="240" w:lineRule="auto"/>
              <w:ind w:firstLine="0"/>
              <w:jc w:val="center"/>
              <w:rPr>
                <w:rFonts w:ascii="Times New Roman" w:hAnsi="Times New Roman" w:eastAsia="宋体" w:cs="Times New Roman"/>
                <w:color w:val="262626"/>
                <w:sz w:val="21"/>
                <w:szCs w:val="21"/>
              </w:rPr>
            </w:pPr>
            <w:r>
              <w:rPr>
                <w:rFonts w:ascii="Times New Roman" w:hAnsi="Times New Roman" w:eastAsia="宋体" w:cs="Times New Roman"/>
                <w:color w:val="262626"/>
                <w:sz w:val="21"/>
                <w:szCs w:val="21"/>
              </w:rPr>
              <w:t>54</w:t>
            </w:r>
          </w:p>
        </w:tc>
        <w:tc>
          <w:tcPr>
            <w:tcW w:w="1360" w:type="dxa"/>
            <w:vMerge w:val="continue"/>
            <w:noWrap w:val="0"/>
            <w:vAlign w:val="top"/>
          </w:tcPr>
          <w:p w14:paraId="2BADCA7D">
            <w:pPr>
              <w:widowControl w:val="0"/>
              <w:spacing w:line="240" w:lineRule="auto"/>
              <w:ind w:firstLine="0"/>
              <w:jc w:val="center"/>
              <w:rPr>
                <w:rFonts w:ascii="Times New Roman" w:hAnsi="Times New Roman" w:eastAsia="宋体" w:cs="Times New Roman"/>
                <w:color w:val="262626"/>
                <w:sz w:val="24"/>
                <w:szCs w:val="24"/>
              </w:rPr>
            </w:pPr>
          </w:p>
        </w:tc>
      </w:tr>
    </w:tbl>
    <w:p w14:paraId="3AB468D3">
      <w:pPr>
        <w:widowControl w:val="0"/>
        <w:spacing w:line="360" w:lineRule="auto"/>
        <w:ind w:firstLine="480"/>
        <w:rPr>
          <w:rFonts w:ascii="Times New Roman" w:hAnsi="Times New Roman" w:eastAsia="宋体" w:cs="Times New Roman"/>
          <w:color w:val="262626"/>
          <w:sz w:val="24"/>
          <w:szCs w:val="24"/>
        </w:rPr>
      </w:pPr>
      <w:r>
        <w:rPr>
          <w:rFonts w:ascii="Times New Roman" w:hAnsi="Times New Roman" w:eastAsia="宋体" w:cs="Times New Roman"/>
          <w:color w:val="262626"/>
          <w:sz w:val="24"/>
          <w:szCs w:val="24"/>
        </w:rPr>
        <w:t>从</w:t>
      </w:r>
      <w:r>
        <w:rPr>
          <w:rFonts w:hint="eastAsia" w:ascii="Times New Roman" w:hAnsi="Times New Roman" w:eastAsia="宋体" w:cs="Times New Roman"/>
          <w:color w:val="262626"/>
          <w:sz w:val="24"/>
          <w:szCs w:val="24"/>
        </w:rPr>
        <w:t>上表</w:t>
      </w:r>
      <w:r>
        <w:rPr>
          <w:rFonts w:ascii="Times New Roman" w:hAnsi="Times New Roman" w:eastAsia="宋体" w:cs="Times New Roman"/>
          <w:color w:val="262626"/>
          <w:sz w:val="24"/>
          <w:szCs w:val="24"/>
        </w:rPr>
        <w:t>可以看出，在没有采取防治措施时，项目施工噪声达到《建筑施工场界环境噪声排放标准》（GB12523-2011）所需的衰减距离昼间最大为</w:t>
      </w:r>
      <w:r>
        <w:rPr>
          <w:rFonts w:hint="eastAsia" w:ascii="Times New Roman" w:hAnsi="Times New Roman" w:eastAsia="宋体" w:cs="Times New Roman"/>
          <w:color w:val="262626"/>
          <w:sz w:val="24"/>
          <w:szCs w:val="24"/>
        </w:rPr>
        <w:t>30</w:t>
      </w:r>
      <w:r>
        <w:rPr>
          <w:rFonts w:ascii="Times New Roman" w:hAnsi="Times New Roman" w:eastAsia="宋体" w:cs="Times New Roman"/>
          <w:color w:val="262626"/>
          <w:sz w:val="24"/>
          <w:szCs w:val="24"/>
        </w:rPr>
        <w:t>m，夜间最大为</w:t>
      </w:r>
      <w:r>
        <w:rPr>
          <w:rFonts w:hint="eastAsia" w:ascii="Times New Roman" w:hAnsi="Times New Roman" w:eastAsia="宋体" w:cs="Times New Roman"/>
          <w:color w:val="262626"/>
          <w:sz w:val="24"/>
          <w:szCs w:val="24"/>
        </w:rPr>
        <w:t>20</w:t>
      </w:r>
      <w:r>
        <w:rPr>
          <w:rFonts w:ascii="Times New Roman" w:hAnsi="Times New Roman" w:eastAsia="宋体" w:cs="Times New Roman"/>
          <w:color w:val="262626"/>
          <w:sz w:val="24"/>
          <w:szCs w:val="24"/>
        </w:rPr>
        <w:t>0m。</w:t>
      </w:r>
    </w:p>
    <w:p w14:paraId="06FEB036">
      <w:pPr>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3）</w:t>
      </w:r>
      <w:r>
        <w:rPr>
          <w:rFonts w:ascii="Times New Roman" w:hAnsi="Times New Roman" w:eastAsia="宋体" w:cs="Times New Roman"/>
          <w:color w:val="262626"/>
          <w:sz w:val="24"/>
          <w:szCs w:val="24"/>
        </w:rPr>
        <w:t>施工噪声对周边敏感点的影响</w:t>
      </w:r>
    </w:p>
    <w:p w14:paraId="655C9845">
      <w:pPr>
        <w:widowControl w:val="0"/>
        <w:spacing w:line="360" w:lineRule="auto"/>
        <w:ind w:firstLine="480"/>
        <w:jc w:val="both"/>
        <w:rPr>
          <w:rFonts w:ascii="Times New Roman" w:hAnsi="Times New Roman" w:eastAsia="宋体" w:cs="Times New Roman"/>
          <w:color w:val="000000"/>
          <w:sz w:val="24"/>
          <w:lang w:val="en-US" w:eastAsia="zh-CN" w:bidi="ar-SA"/>
        </w:rPr>
      </w:pPr>
      <w:r>
        <w:rPr>
          <w:rFonts w:ascii="Times New Roman" w:hAnsi="Times New Roman" w:eastAsia="宋体" w:cs="Times New Roman"/>
          <w:color w:val="262626"/>
          <w:sz w:val="24"/>
          <w:szCs w:val="24"/>
          <w:lang w:val="en-US" w:eastAsia="zh-CN" w:bidi="ar-SA"/>
        </w:rPr>
        <w:t>综合上述预测结果，施工期间产生的施工噪声昼间将对</w:t>
      </w:r>
      <w:r>
        <w:rPr>
          <w:rFonts w:hint="eastAsia" w:ascii="Times New Roman" w:hAnsi="Times New Roman" w:eastAsia="宋体" w:cs="Times New Roman"/>
          <w:color w:val="262626"/>
          <w:sz w:val="24"/>
          <w:szCs w:val="24"/>
          <w:lang w:val="en-US" w:eastAsia="zh-CN" w:bidi="ar-SA"/>
        </w:rPr>
        <w:t>30</w:t>
      </w:r>
      <w:r>
        <w:rPr>
          <w:rFonts w:ascii="Times New Roman" w:hAnsi="Times New Roman" w:eastAsia="宋体" w:cs="Times New Roman"/>
          <w:color w:val="262626"/>
          <w:sz w:val="24"/>
          <w:szCs w:val="24"/>
          <w:lang w:val="en-US" w:eastAsia="zh-CN" w:bidi="ar-SA"/>
        </w:rPr>
        <w:t>米范围内，夜间将对</w:t>
      </w:r>
      <w:r>
        <w:rPr>
          <w:rFonts w:hint="eastAsia" w:ascii="Times New Roman" w:hAnsi="Times New Roman" w:eastAsia="宋体" w:cs="Times New Roman"/>
          <w:color w:val="262626"/>
          <w:sz w:val="24"/>
          <w:szCs w:val="24"/>
          <w:lang w:val="en-US" w:eastAsia="zh-CN" w:bidi="ar-SA"/>
        </w:rPr>
        <w:t>200</w:t>
      </w:r>
      <w:r>
        <w:rPr>
          <w:rFonts w:ascii="Times New Roman" w:hAnsi="Times New Roman" w:eastAsia="宋体" w:cs="Times New Roman"/>
          <w:color w:val="262626"/>
          <w:sz w:val="24"/>
          <w:szCs w:val="24"/>
          <w:lang w:val="en-US" w:eastAsia="zh-CN" w:bidi="ar-SA"/>
        </w:rPr>
        <w:t>米范</w:t>
      </w:r>
      <w:r>
        <w:rPr>
          <w:rFonts w:hint="eastAsia" w:ascii="Times New Roman" w:hAnsi="Times New Roman" w:eastAsia="宋体" w:cs="Times New Roman"/>
          <w:color w:val="000000"/>
          <w:sz w:val="24"/>
          <w:szCs w:val="24"/>
          <w:lang w:val="en-US" w:eastAsia="zh-CN" w:bidi="ar-SA"/>
        </w:rPr>
        <w:t>围内造成噪声污染。根据现场勘查，本项目厂界外南侧、西侧紧邻双红新村的居民，与本项目相距较近，禁止夜间施工作业，</w:t>
      </w:r>
      <w:r>
        <w:rPr>
          <w:rFonts w:ascii="Times New Roman" w:hAnsi="Times New Roman" w:eastAsia="宋体" w:cs="Times New Roman"/>
          <w:color w:val="000000"/>
          <w:sz w:val="24"/>
          <w:lang w:val="en-US" w:eastAsia="zh-CN" w:bidi="ar-SA"/>
        </w:rPr>
        <w:t>为了进一步降低施工期施工噪声，采取以下噪声控制措施：</w:t>
      </w:r>
    </w:p>
    <w:p w14:paraId="6DC569F7">
      <w:pPr>
        <w:widowControl w:val="0"/>
        <w:spacing w:line="360" w:lineRule="auto"/>
        <w:ind w:firstLine="480"/>
        <w:jc w:val="both"/>
        <w:rPr>
          <w:rFonts w:ascii="Times New Roman" w:hAnsi="Times New Roman" w:eastAsia="宋体" w:cs="Times New Roman"/>
          <w:sz w:val="24"/>
          <w:lang w:val="en-US" w:eastAsia="zh-CN" w:bidi="ar-SA"/>
        </w:rPr>
      </w:pPr>
      <w:r>
        <w:rPr>
          <w:rFonts w:ascii="Times New Roman" w:hAnsi="Times New Roman" w:eastAsia="宋体" w:cs="Times New Roman"/>
          <w:sz w:val="24"/>
          <w:lang w:val="en-US" w:eastAsia="zh-CN" w:bidi="ar-SA"/>
        </w:rPr>
        <w:t>①从规范施工秩序着手，合理安排施工时间，对高噪声设备的施工，应避免在人群休息时进行，与敏感点工作时间错开进行，以减少噪声的影响，严禁在</w:t>
      </w:r>
      <w:r>
        <w:rPr>
          <w:rFonts w:ascii="Times New Roman" w:hAnsi="Times New Roman" w:eastAsia="宋体" w:cs="Times New Roman"/>
          <w:sz w:val="24"/>
          <w:szCs w:val="24"/>
          <w:lang w:val="en-US" w:eastAsia="zh-CN" w:bidi="ar-SA"/>
        </w:rPr>
        <w:t>夜间22时至次日6时、中午12:00至14:00</w:t>
      </w:r>
      <w:r>
        <w:rPr>
          <w:rFonts w:ascii="Times New Roman" w:hAnsi="Times New Roman" w:eastAsia="宋体" w:cs="Times New Roman"/>
          <w:sz w:val="24"/>
          <w:lang w:val="en-US" w:eastAsia="zh-CN" w:bidi="ar-SA"/>
        </w:rPr>
        <w:t>；</w:t>
      </w:r>
    </w:p>
    <w:p w14:paraId="12C89F11">
      <w:pPr>
        <w:widowControl w:val="0"/>
        <w:spacing w:line="360" w:lineRule="auto"/>
        <w:ind w:firstLine="480"/>
        <w:jc w:val="both"/>
        <w:rPr>
          <w:rFonts w:ascii="Times New Roman" w:hAnsi="Times New Roman" w:eastAsia="宋体" w:cs="Times New Roman"/>
          <w:sz w:val="24"/>
          <w:lang w:val="en-US" w:eastAsia="zh-CN" w:bidi="ar-SA"/>
        </w:rPr>
      </w:pPr>
      <w:r>
        <w:rPr>
          <w:rFonts w:ascii="Times New Roman" w:hAnsi="Times New Roman" w:eastAsia="宋体" w:cs="Times New Roman"/>
          <w:sz w:val="24"/>
          <w:lang w:val="en-US" w:eastAsia="zh-CN" w:bidi="ar-SA"/>
        </w:rPr>
        <w:t>②从声源上控制，施工时使用的主要设备为低噪声机械设备，同时在施工过程中施工单位应设专人对设备定期维护和维修，严格按照操作规范使用各类机械；</w:t>
      </w:r>
    </w:p>
    <w:p w14:paraId="4AA0B5C7">
      <w:pPr>
        <w:widowControl w:val="0"/>
        <w:spacing w:line="360" w:lineRule="auto"/>
        <w:ind w:firstLine="480"/>
        <w:jc w:val="both"/>
        <w:rPr>
          <w:rFonts w:ascii="Times New Roman" w:hAnsi="Times New Roman" w:eastAsia="宋体" w:cs="Times New Roman"/>
          <w:sz w:val="24"/>
          <w:lang w:val="en-US" w:eastAsia="zh-CN" w:bidi="ar-SA"/>
        </w:rPr>
      </w:pPr>
      <w:r>
        <w:rPr>
          <w:rFonts w:ascii="Times New Roman" w:hAnsi="Times New Roman" w:eastAsia="宋体" w:cs="Times New Roman"/>
          <w:sz w:val="24"/>
          <w:lang w:val="en-US" w:eastAsia="zh-CN" w:bidi="ar-SA"/>
        </w:rPr>
        <w:t>③采用距离衰减防护措施，在不影响施工的情况下将高噪声设备设置在距居民区较远的一侧；</w:t>
      </w:r>
    </w:p>
    <w:p w14:paraId="2BE9AF62">
      <w:pPr>
        <w:widowControl w:val="0"/>
        <w:spacing w:line="360" w:lineRule="auto"/>
        <w:ind w:firstLine="480"/>
        <w:jc w:val="both"/>
        <w:rPr>
          <w:rFonts w:ascii="Times New Roman" w:hAnsi="Times New Roman" w:eastAsia="宋体" w:cs="Times New Roman"/>
          <w:sz w:val="24"/>
          <w:lang w:val="en-US" w:eastAsia="zh-CN" w:bidi="ar-SA"/>
        </w:rPr>
      </w:pPr>
      <w:r>
        <w:rPr>
          <w:rFonts w:ascii="Times New Roman" w:hAnsi="Times New Roman" w:eastAsia="宋体" w:cs="Times New Roman"/>
          <w:sz w:val="24"/>
          <w:lang w:val="en-US" w:eastAsia="zh-CN" w:bidi="ar-SA"/>
        </w:rPr>
        <w:t>④合理布局施工场地，选用良好的施工设备，以降低设备噪声，加强管理，以降低人为噪声，从而达到降噪效果；</w:t>
      </w:r>
    </w:p>
    <w:p w14:paraId="4AAE4B2A">
      <w:pPr>
        <w:widowControl w:val="0"/>
        <w:spacing w:line="360" w:lineRule="auto"/>
        <w:ind w:firstLine="480"/>
        <w:jc w:val="both"/>
        <w:rPr>
          <w:rFonts w:ascii="Times New Roman" w:hAnsi="Times New Roman" w:eastAsia="宋体" w:cs="Times New Roman"/>
          <w:sz w:val="24"/>
          <w:lang w:val="en-US" w:eastAsia="zh-CN" w:bidi="ar-SA"/>
        </w:rPr>
      </w:pPr>
      <w:r>
        <w:rPr>
          <w:rFonts w:ascii="Times New Roman" w:hAnsi="Times New Roman" w:eastAsia="宋体" w:cs="Times New Roman"/>
          <w:sz w:val="24"/>
          <w:lang w:val="en-US" w:eastAsia="zh-CN" w:bidi="ar-SA"/>
        </w:rPr>
        <w:t>⑤汽车运输尽量低速，禁鸣喇叭。</w:t>
      </w:r>
    </w:p>
    <w:p w14:paraId="17D9C72E">
      <w:pPr>
        <w:widowControl w:val="0"/>
        <w:spacing w:line="360" w:lineRule="auto"/>
        <w:ind w:firstLine="480"/>
        <w:jc w:val="both"/>
        <w:rPr>
          <w:rFonts w:ascii="Times New Roman" w:hAnsi="Times New Roman" w:eastAsia="宋体" w:cs="Times New Roman"/>
          <w:color w:val="FF0000"/>
          <w:sz w:val="24"/>
          <w:szCs w:val="24"/>
          <w:lang w:val="en-US" w:eastAsia="zh-CN" w:bidi="ar-SA"/>
        </w:rPr>
      </w:pPr>
      <w:r>
        <w:rPr>
          <w:rFonts w:ascii="Times New Roman" w:hAnsi="Times New Roman" w:eastAsia="宋体" w:cs="Times New Roman"/>
          <w:sz w:val="24"/>
          <w:lang w:val="en-US" w:eastAsia="zh-CN" w:bidi="ar-SA"/>
        </w:rPr>
        <w:t>采取以上措施后，施工场界噪声满足标准要求，同时减小对周围居民的影响，若发生噪声扰民事件，建设单位应及时处理，协调解决。</w:t>
      </w:r>
    </w:p>
    <w:p w14:paraId="50F3C58C">
      <w:pPr>
        <w:pStyle w:val="188"/>
        <w:rPr>
          <w:rFonts w:hint="eastAsia"/>
          <w:lang w:val="en-US" w:eastAsia="zh-CN"/>
        </w:rPr>
      </w:pPr>
      <w:r>
        <w:rPr>
          <w:rFonts w:hint="eastAsia"/>
          <w:lang w:val="en-US" w:eastAsia="zh-CN"/>
        </w:rPr>
        <w:t>6.1.4施工期固体废物影响分析</w:t>
      </w:r>
    </w:p>
    <w:p w14:paraId="2B9B54C7">
      <w:pPr>
        <w:keepNext/>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（1</w:t>
      </w:r>
      <w:r>
        <w:rPr>
          <w:rFonts w:ascii="Times New Roman" w:hAnsi="Times New Roman" w:eastAsia="宋体" w:cs="Times New Roman"/>
          <w:color w:val="262626"/>
          <w:sz w:val="24"/>
          <w:szCs w:val="24"/>
        </w:rPr>
        <w:t>）</w:t>
      </w:r>
      <w:r>
        <w:rPr>
          <w:rFonts w:hint="eastAsia" w:ascii="Times New Roman" w:hAnsi="Times New Roman" w:eastAsia="宋体" w:cs="Times New Roman"/>
          <w:color w:val="262626"/>
          <w:sz w:val="24"/>
          <w:szCs w:val="24"/>
        </w:rPr>
        <w:t>建筑垃圾：施工期建筑垃圾产生量不大，可进行分类处理，分别捡出具有回收价值的废钢筋、废木材、废塑料、废包装材料等，送废品收购站回收利用；无回收价值的由施工方负责清运至城建部门指定的地点堆放处置，禁止与生活垃圾混合处置，禁止随意丢弃。</w:t>
      </w:r>
    </w:p>
    <w:p w14:paraId="412E8724">
      <w:pPr>
        <w:keepNext/>
        <w:keepLines w:val="0"/>
        <w:pageBreakBefore w:val="0"/>
        <w:widowControl w:val="0"/>
        <w:spacing w:line="360" w:lineRule="auto"/>
        <w:ind w:firstLine="480"/>
        <w:rPr>
          <w:rFonts w:hint="eastAsia"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（2</w:t>
      </w:r>
      <w:r>
        <w:rPr>
          <w:rFonts w:ascii="Times New Roman" w:hAnsi="Times New Roman" w:eastAsia="宋体" w:cs="Times New Roman"/>
          <w:color w:val="262626"/>
          <w:sz w:val="24"/>
          <w:szCs w:val="24"/>
        </w:rPr>
        <w:t>）土石方</w:t>
      </w:r>
      <w:r>
        <w:rPr>
          <w:rFonts w:hint="eastAsia" w:ascii="Times New Roman" w:hAnsi="Times New Roman" w:eastAsia="宋体" w:cs="Times New Roman"/>
          <w:color w:val="262626"/>
          <w:sz w:val="24"/>
          <w:szCs w:val="24"/>
        </w:rPr>
        <w:t>：本工程建设区域地势平坦，土石方开挖量不大，可以做到挖填平衡，无废弃的土石方产生。</w:t>
      </w:r>
    </w:p>
    <w:p w14:paraId="564933C7">
      <w:pPr>
        <w:keepLines w:val="0"/>
        <w:pageBreakBefore w:val="0"/>
        <w:widowControl w:val="0"/>
        <w:spacing w:line="360" w:lineRule="auto"/>
        <w:ind w:firstLine="480"/>
        <w:rPr>
          <w:rFonts w:ascii="Times New Roman" w:hAnsi="Times New Roman" w:eastAsia="宋体" w:cs="Times New Roman"/>
          <w:color w:val="262626"/>
          <w:sz w:val="24"/>
          <w:szCs w:val="24"/>
        </w:rPr>
      </w:pPr>
      <w:r>
        <w:rPr>
          <w:rFonts w:hint="eastAsia" w:ascii="Times New Roman" w:hAnsi="Times New Roman" w:eastAsia="宋体" w:cs="Times New Roman"/>
          <w:color w:val="262626"/>
          <w:sz w:val="24"/>
          <w:szCs w:val="24"/>
        </w:rPr>
        <w:t>（3</w:t>
      </w:r>
      <w:r>
        <w:rPr>
          <w:rFonts w:ascii="Times New Roman" w:hAnsi="Times New Roman" w:eastAsia="宋体" w:cs="Times New Roman"/>
          <w:color w:val="262626"/>
          <w:sz w:val="24"/>
          <w:szCs w:val="24"/>
        </w:rPr>
        <w:t>）生活垃圾</w:t>
      </w:r>
      <w:r>
        <w:rPr>
          <w:rFonts w:hint="eastAsia" w:ascii="Times New Roman" w:hAnsi="Times New Roman" w:eastAsia="宋体" w:cs="Times New Roman"/>
          <w:color w:val="262626"/>
          <w:sz w:val="24"/>
          <w:szCs w:val="24"/>
        </w:rPr>
        <w:t>：项目整改</w:t>
      </w:r>
      <w:r>
        <w:rPr>
          <w:rFonts w:ascii="Times New Roman" w:hAnsi="Times New Roman" w:eastAsia="宋体" w:cs="Times New Roman"/>
          <w:color w:val="262626"/>
          <w:sz w:val="24"/>
          <w:szCs w:val="24"/>
        </w:rPr>
        <w:t>工程施工</w:t>
      </w:r>
      <w:r>
        <w:rPr>
          <w:rFonts w:hint="eastAsia" w:ascii="Times New Roman" w:hAnsi="Times New Roman" w:eastAsia="宋体" w:cs="Times New Roman"/>
          <w:color w:val="262626"/>
          <w:sz w:val="24"/>
          <w:szCs w:val="24"/>
        </w:rPr>
        <w:t>人员均</w:t>
      </w:r>
      <w:r>
        <w:rPr>
          <w:rFonts w:ascii="Times New Roman" w:hAnsi="Times New Roman" w:eastAsia="宋体" w:cs="Times New Roman"/>
          <w:color w:val="262626"/>
          <w:sz w:val="24"/>
          <w:szCs w:val="24"/>
        </w:rPr>
        <w:t>不在</w:t>
      </w:r>
      <w:r>
        <w:rPr>
          <w:rFonts w:hint="eastAsia" w:ascii="Times New Roman" w:hAnsi="Times New Roman" w:eastAsia="宋体" w:cs="Times New Roman"/>
          <w:color w:val="262626"/>
          <w:sz w:val="24"/>
          <w:szCs w:val="24"/>
        </w:rPr>
        <w:t>施工场地内食宿，</w:t>
      </w:r>
      <w:r>
        <w:rPr>
          <w:rFonts w:ascii="Times New Roman" w:hAnsi="Times New Roman" w:eastAsia="宋体" w:cs="Times New Roman"/>
          <w:color w:val="262626"/>
          <w:sz w:val="24"/>
          <w:szCs w:val="24"/>
        </w:rPr>
        <w:t>不会产生较多的生活垃圾</w:t>
      </w:r>
      <w:r>
        <w:rPr>
          <w:rFonts w:hint="eastAsia" w:ascii="Times New Roman" w:hAnsi="Times New Roman" w:eastAsia="宋体" w:cs="Times New Roman"/>
          <w:color w:val="262626"/>
          <w:sz w:val="24"/>
          <w:szCs w:val="24"/>
        </w:rPr>
        <w:t>，由环卫部门清运处置</w:t>
      </w:r>
      <w:r>
        <w:rPr>
          <w:rFonts w:ascii="Times New Roman" w:hAnsi="Times New Roman" w:eastAsia="宋体" w:cs="Times New Roman"/>
          <w:color w:val="262626"/>
          <w:sz w:val="24"/>
          <w:szCs w:val="24"/>
        </w:rPr>
        <w:t>。</w:t>
      </w:r>
    </w:p>
    <w:p w14:paraId="23280285">
      <w:pPr>
        <w:keepLines w:val="0"/>
        <w:pageBreakBefore w:val="0"/>
        <w:widowControl w:val="0"/>
        <w:spacing w:line="360" w:lineRule="auto"/>
        <w:jc w:val="both"/>
        <w:rPr>
          <w:rFonts w:hint="eastAsia" w:ascii="宋体" w:hAnsi="Courier New" w:eastAsia="宋体" w:cs="Times New Roman"/>
          <w:color w:val="262626"/>
          <w:sz w:val="24"/>
          <w:szCs w:val="24"/>
          <w:lang w:val="en-US" w:eastAsia="zh-CN" w:bidi="ar-SA"/>
        </w:rPr>
      </w:pPr>
      <w:r>
        <w:rPr>
          <w:rFonts w:hint="eastAsia" w:ascii="宋体" w:hAnsi="Courier New" w:eastAsia="宋体" w:cs="Times New Roman"/>
          <w:color w:val="262626"/>
          <w:sz w:val="24"/>
          <w:szCs w:val="24"/>
          <w:lang w:val="en-US" w:eastAsia="zh-CN" w:bidi="ar-SA"/>
        </w:rPr>
        <w:t xml:space="preserve">    </w:t>
      </w:r>
      <w:r>
        <w:rPr>
          <w:rFonts w:ascii="宋体" w:hAnsi="Courier New" w:eastAsia="宋体" w:cs="Times New Roman"/>
          <w:color w:val="262626"/>
          <w:sz w:val="24"/>
          <w:szCs w:val="24"/>
          <w:lang w:val="en-US" w:eastAsia="zh-CN" w:bidi="ar-SA"/>
        </w:rPr>
        <w:t>项目施工产生的固废能够得到妥善去处，不会对外环境造成二次污染。</w:t>
      </w:r>
    </w:p>
    <w:p w14:paraId="29ECD2E5">
      <w:pPr>
        <w:keepLines w:val="0"/>
        <w:pageBreakBefore w:val="0"/>
        <w:widowControl w:val="0"/>
        <w:spacing w:line="360" w:lineRule="auto"/>
        <w:ind w:firstLine="480"/>
        <w:rPr>
          <w:rFonts w:hint="eastAsia" w:ascii="Times New Roman" w:hAnsi="Times New Roman" w:eastAsia="宋体" w:cs="Times New Roman"/>
          <w:color w:val="262626"/>
          <w:sz w:val="24"/>
          <w:szCs w:val="24"/>
        </w:rPr>
      </w:pPr>
      <w:r>
        <w:rPr>
          <w:rFonts w:ascii="Times New Roman" w:hAnsi="Times New Roman" w:eastAsia="宋体" w:cs="Times New Roman"/>
          <w:color w:val="262626"/>
          <w:sz w:val="24"/>
          <w:szCs w:val="24"/>
        </w:rPr>
        <w:t>综上所述：本项目在</w:t>
      </w:r>
      <w:r>
        <w:rPr>
          <w:rFonts w:hint="eastAsia" w:ascii="Times New Roman" w:hAnsi="Times New Roman" w:eastAsia="宋体" w:cs="Times New Roman"/>
          <w:color w:val="262626"/>
          <w:sz w:val="24"/>
          <w:szCs w:val="24"/>
        </w:rPr>
        <w:t>整改</w:t>
      </w:r>
      <w:r>
        <w:rPr>
          <w:rFonts w:ascii="Times New Roman" w:hAnsi="Times New Roman" w:eastAsia="宋体" w:cs="Times New Roman"/>
          <w:color w:val="262626"/>
          <w:sz w:val="24"/>
          <w:szCs w:val="24"/>
        </w:rPr>
        <w:t>施工期间不可避免的会对周围环境造成一定的影响，其污染物主要是施工扬尘、废水、噪声和固体废物，且施工期在遇雨水季节不可避免的会产生一定量的水土流失现象。但施工期间产生的污染因素对环境和周围居民的影响只是暂时的，将随着施工期的结束而消失</w:t>
      </w:r>
      <w:r>
        <w:rPr>
          <w:rFonts w:hint="eastAsia" w:ascii="Times New Roman" w:hAnsi="Times New Roman" w:eastAsia="宋体" w:cs="Times New Roman"/>
          <w:color w:val="262626"/>
          <w:sz w:val="24"/>
          <w:szCs w:val="24"/>
        </w:rPr>
        <w:t>。</w:t>
      </w:r>
    </w:p>
    <w:p w14:paraId="1AF9E948">
      <w:pPr>
        <w:pStyle w:val="187"/>
        <w:rPr>
          <w:rFonts w:ascii="Times New Roman" w:hAnsi="Times New Roman"/>
        </w:rPr>
      </w:pPr>
      <w:bookmarkStart w:id="153" w:name="_Toc24840"/>
      <w:bookmarkStart w:id="154" w:name="_Toc418954616"/>
      <w:bookmarkStart w:id="155" w:name="_Toc361753218"/>
      <w:r>
        <w:rPr>
          <w:rFonts w:hint="eastAsia" w:ascii="Times New Roman" w:hAnsi="Times New Roman"/>
          <w:lang w:val="en-US" w:eastAsia="zh-CN"/>
        </w:rPr>
        <w:t>6</w:t>
      </w:r>
      <w:r>
        <w:rPr>
          <w:rFonts w:hint="eastAsia" w:ascii="Times New Roman" w:hAnsi="Times New Roman"/>
        </w:rPr>
        <w:t>.2 运营期环境影响与评价</w:t>
      </w:r>
      <w:bookmarkEnd w:id="153"/>
      <w:bookmarkEnd w:id="154"/>
      <w:bookmarkEnd w:id="155"/>
    </w:p>
    <w:p w14:paraId="112027EA">
      <w:pPr>
        <w:pStyle w:val="188"/>
      </w:pPr>
      <w:r>
        <w:rPr>
          <w:rFonts w:hint="eastAsia"/>
          <w:lang w:val="en-US" w:eastAsia="zh-CN"/>
        </w:rPr>
        <w:t>6</w:t>
      </w:r>
      <w:r>
        <w:rPr>
          <w:rFonts w:hint="eastAsia"/>
        </w:rPr>
        <w:t>.2.1大气环境影响分析</w:t>
      </w:r>
    </w:p>
    <w:p w14:paraId="74C23E4C">
      <w:pPr>
        <w:pStyle w:val="282"/>
        <w:rPr>
          <w:rFonts w:hint="eastAsia"/>
        </w:rPr>
      </w:pPr>
      <w:r>
        <w:rPr>
          <w:rFonts w:hint="eastAsia"/>
          <w:lang w:val="en-US" w:eastAsia="zh-CN"/>
        </w:rPr>
        <w:t>6</w:t>
      </w:r>
      <w:r>
        <w:rPr>
          <w:rFonts w:hint="eastAsia"/>
        </w:rPr>
        <w:t>.2.1.1评价区气象特征</w:t>
      </w:r>
    </w:p>
    <w:p w14:paraId="40540E4A">
      <w:pPr>
        <w:keepLines w:val="0"/>
        <w:pageBreakBefore w:val="0"/>
        <w:widowControl w:val="0"/>
        <w:spacing w:line="360" w:lineRule="auto"/>
        <w:ind w:left="0" w:firstLine="240"/>
        <w:jc w:val="both"/>
        <w:rPr>
          <w:rFonts w:hint="eastAsia" w:ascii="Times New Roman" w:hAnsi="Times New Roman" w:eastAsia="宋体" w:cs="Times New Roman"/>
          <w:color w:val="262626"/>
          <w:sz w:val="24"/>
          <w:szCs w:val="24"/>
          <w:lang w:val="en-US" w:eastAsia="zh-CN" w:bidi="ar-SA"/>
        </w:rPr>
      </w:pPr>
      <w:r>
        <w:rPr>
          <w:rFonts w:hint="eastAsia" w:ascii="Times New Roman" w:hAnsi="Times New Roman" w:eastAsia="宋体" w:cs="Times New Roman"/>
          <w:color w:val="262626"/>
          <w:sz w:val="24"/>
          <w:szCs w:val="24"/>
          <w:lang w:val="en-US" w:eastAsia="zh-CN" w:bidi="ar-SA"/>
        </w:rPr>
        <w:t>（1）近</w:t>
      </w:r>
      <w:r>
        <w:rPr>
          <w:rFonts w:ascii="Times New Roman" w:hAnsi="Times New Roman" w:eastAsia="宋体" w:cs="Times New Roman"/>
          <w:color w:val="262626"/>
          <w:sz w:val="24"/>
          <w:szCs w:val="24"/>
          <w:lang w:val="en-US" w:eastAsia="zh-CN" w:bidi="ar-SA"/>
        </w:rPr>
        <w:t>20</w:t>
      </w:r>
      <w:r>
        <w:rPr>
          <w:rFonts w:hint="eastAsia" w:ascii="Times New Roman" w:hAnsi="Times New Roman" w:eastAsia="宋体" w:cs="Times New Roman"/>
          <w:color w:val="262626"/>
          <w:sz w:val="24"/>
          <w:szCs w:val="24"/>
          <w:lang w:val="en-US" w:eastAsia="zh-CN" w:bidi="ar-SA"/>
        </w:rPr>
        <w:t xml:space="preserve">年气象资料统计 </w:t>
      </w:r>
    </w:p>
    <w:p w14:paraId="1F77DBD7">
      <w:pPr>
        <w:keepLines w:val="0"/>
        <w:pageBreakBefore w:val="0"/>
        <w:widowControl w:val="0"/>
        <w:spacing w:line="360" w:lineRule="auto"/>
        <w:jc w:val="both"/>
        <w:rPr>
          <w:rFonts w:hint="eastAsia" w:ascii="Times New Roman" w:hAnsi="Times New Roman" w:eastAsia="宋体" w:cs="Times New Roman"/>
          <w:color w:val="262626"/>
          <w:sz w:val="24"/>
          <w:szCs w:val="24"/>
          <w:lang w:val="en-US" w:eastAsia="zh-CN" w:bidi="ar-SA"/>
        </w:rPr>
      </w:pPr>
      <w:r>
        <w:rPr>
          <w:rFonts w:hint="eastAsia" w:ascii="Times New Roman" w:hAnsi="Times New Roman" w:eastAsia="宋体" w:cs="Times New Roman"/>
          <w:color w:val="262626"/>
          <w:sz w:val="24"/>
          <w:szCs w:val="24"/>
          <w:lang w:val="en-US" w:eastAsia="zh-CN" w:bidi="ar-SA"/>
        </w:rPr>
        <w:t xml:space="preserve">根据芒市气象部门收集的资料，项目所在地区多年平均气温 </w:t>
      </w:r>
      <w:r>
        <w:rPr>
          <w:rFonts w:ascii="Times New Roman" w:hAnsi="Times New Roman" w:eastAsia="宋体" w:cs="Times New Roman"/>
          <w:color w:val="262626"/>
          <w:sz w:val="24"/>
          <w:szCs w:val="24"/>
          <w:lang w:val="en-US" w:eastAsia="zh-CN" w:bidi="ar-SA"/>
        </w:rPr>
        <w:t>20.3</w:t>
      </w:r>
      <w:r>
        <w:rPr>
          <w:rFonts w:hint="eastAsia" w:ascii="Times New Roman" w:hAnsi="Times New Roman" w:eastAsia="宋体" w:cs="Times New Roman"/>
          <w:color w:val="262626"/>
          <w:sz w:val="24"/>
          <w:szCs w:val="24"/>
          <w:lang w:val="en-US" w:eastAsia="zh-CN" w:bidi="ar-SA"/>
        </w:rPr>
        <w:t xml:space="preserve">℃，极端最高气温 </w:t>
      </w:r>
      <w:r>
        <w:rPr>
          <w:rFonts w:ascii="Times New Roman" w:hAnsi="Times New Roman" w:eastAsia="宋体" w:cs="Times New Roman"/>
          <w:color w:val="262626"/>
          <w:sz w:val="24"/>
          <w:szCs w:val="24"/>
          <w:lang w:val="en-US" w:eastAsia="zh-CN" w:bidi="ar-SA"/>
        </w:rPr>
        <w:t>36.9</w:t>
      </w:r>
      <w:r>
        <w:rPr>
          <w:rFonts w:hint="eastAsia" w:ascii="Times New Roman" w:hAnsi="Times New Roman" w:eastAsia="宋体" w:cs="Times New Roman"/>
          <w:color w:val="262626"/>
          <w:sz w:val="24"/>
          <w:szCs w:val="24"/>
          <w:lang w:val="en-US" w:eastAsia="zh-CN" w:bidi="ar-SA"/>
        </w:rPr>
        <w:t xml:space="preserve">℃，极端最低气温 </w:t>
      </w:r>
      <w:r>
        <w:rPr>
          <w:rFonts w:ascii="Times New Roman" w:hAnsi="Times New Roman" w:eastAsia="宋体" w:cs="Times New Roman"/>
          <w:color w:val="262626"/>
          <w:sz w:val="24"/>
          <w:szCs w:val="24"/>
          <w:lang w:val="en-US" w:eastAsia="zh-CN" w:bidi="ar-SA"/>
        </w:rPr>
        <w:t>1.0</w:t>
      </w:r>
      <w:r>
        <w:rPr>
          <w:rFonts w:hint="eastAsia" w:ascii="Times New Roman" w:hAnsi="Times New Roman" w:eastAsia="宋体" w:cs="Times New Roman"/>
          <w:color w:val="262626"/>
          <w:sz w:val="24"/>
          <w:szCs w:val="24"/>
          <w:lang w:val="en-US" w:eastAsia="zh-CN" w:bidi="ar-SA"/>
        </w:rPr>
        <w:t xml:space="preserve">℃，多年平均降雨量为 </w:t>
      </w:r>
      <w:r>
        <w:rPr>
          <w:rFonts w:ascii="Times New Roman" w:hAnsi="Times New Roman" w:eastAsia="宋体" w:cs="Times New Roman"/>
          <w:color w:val="262626"/>
          <w:sz w:val="24"/>
          <w:szCs w:val="24"/>
          <w:lang w:val="en-US" w:eastAsia="zh-CN" w:bidi="ar-SA"/>
        </w:rPr>
        <w:t>1609.6mm</w:t>
      </w:r>
      <w:r>
        <w:rPr>
          <w:rFonts w:hint="eastAsia" w:ascii="Times New Roman" w:hAnsi="Times New Roman" w:eastAsia="宋体" w:cs="Times New Roman"/>
          <w:color w:val="262626"/>
          <w:sz w:val="24"/>
          <w:szCs w:val="24"/>
          <w:lang w:val="en-US" w:eastAsia="zh-CN" w:bidi="ar-SA"/>
        </w:rPr>
        <w:t xml:space="preserve">，相对湿度 </w:t>
      </w:r>
      <w:r>
        <w:rPr>
          <w:rFonts w:ascii="Times New Roman" w:hAnsi="Times New Roman" w:eastAsia="宋体" w:cs="Times New Roman"/>
          <w:color w:val="262626"/>
          <w:sz w:val="24"/>
          <w:szCs w:val="24"/>
          <w:lang w:val="en-US" w:eastAsia="zh-CN" w:bidi="ar-SA"/>
        </w:rPr>
        <w:t>77%</w:t>
      </w:r>
      <w:r>
        <w:rPr>
          <w:rFonts w:hint="eastAsia" w:ascii="Times New Roman" w:hAnsi="Times New Roman" w:eastAsia="宋体" w:cs="Times New Roman"/>
          <w:color w:val="262626"/>
          <w:sz w:val="24"/>
          <w:szCs w:val="24"/>
          <w:lang w:val="en-US" w:eastAsia="zh-CN" w:bidi="ar-SA"/>
        </w:rPr>
        <w:t>。 多年平均风速为</w:t>
      </w:r>
      <w:r>
        <w:rPr>
          <w:rFonts w:ascii="Times New Roman" w:hAnsi="Times New Roman" w:eastAsia="宋体" w:cs="Times New Roman"/>
          <w:color w:val="262626"/>
          <w:sz w:val="24"/>
          <w:szCs w:val="24"/>
          <w:lang w:val="en-US" w:eastAsia="zh-CN" w:bidi="ar-SA"/>
        </w:rPr>
        <w:t>0.9m/s</w:t>
      </w:r>
      <w:r>
        <w:rPr>
          <w:rFonts w:hint="eastAsia" w:ascii="Times New Roman" w:hAnsi="Times New Roman" w:eastAsia="宋体" w:cs="Times New Roman"/>
          <w:color w:val="262626"/>
          <w:sz w:val="24"/>
          <w:szCs w:val="24"/>
          <w:lang w:val="en-US" w:eastAsia="zh-CN" w:bidi="ar-SA"/>
        </w:rPr>
        <w:t>，主导风向为西南，</w:t>
      </w:r>
      <w:r>
        <w:rPr>
          <w:rFonts w:ascii="Times New Roman" w:hAnsi="Times New Roman" w:eastAsia="宋体" w:cs="Times New Roman"/>
          <w:color w:val="262626"/>
          <w:sz w:val="24"/>
          <w:szCs w:val="24"/>
          <w:lang w:val="en-US" w:eastAsia="zh-CN" w:bidi="ar-SA"/>
        </w:rPr>
        <w:t xml:space="preserve">20 </w:t>
      </w:r>
      <w:r>
        <w:rPr>
          <w:rFonts w:hint="eastAsia" w:ascii="Times New Roman" w:hAnsi="Times New Roman" w:eastAsia="宋体" w:cs="Times New Roman"/>
          <w:color w:val="262626"/>
          <w:sz w:val="24"/>
          <w:szCs w:val="24"/>
          <w:lang w:val="en-US" w:eastAsia="zh-CN" w:bidi="ar-SA"/>
        </w:rPr>
        <w:t>年统计静风频率为</w:t>
      </w:r>
      <w:r>
        <w:rPr>
          <w:rFonts w:ascii="Times New Roman" w:hAnsi="Times New Roman" w:eastAsia="宋体" w:cs="Times New Roman"/>
          <w:color w:val="262626"/>
          <w:sz w:val="24"/>
          <w:szCs w:val="24"/>
          <w:lang w:val="en-US" w:eastAsia="zh-CN" w:bidi="ar-SA"/>
        </w:rPr>
        <w:t>28%</w:t>
      </w:r>
      <w:r>
        <w:rPr>
          <w:rFonts w:hint="eastAsia" w:ascii="Times New Roman" w:hAnsi="Times New Roman" w:eastAsia="宋体" w:cs="Times New Roman"/>
          <w:color w:val="262626"/>
          <w:sz w:val="24"/>
          <w:szCs w:val="24"/>
          <w:lang w:val="en-US" w:eastAsia="zh-CN" w:bidi="ar-SA"/>
        </w:rPr>
        <w:t>。</w:t>
      </w:r>
    </w:p>
    <w:p w14:paraId="78718172">
      <w:pPr>
        <w:keepNext w:val="0"/>
        <w:keepLines w:val="0"/>
        <w:widowControl/>
        <w:suppressLineNumbers w:val="0"/>
        <w:ind w:firstLine="1446"/>
        <w:jc w:val="left"/>
      </w:pPr>
      <w:r>
        <w:rPr>
          <w:rFonts w:hint="eastAsia" w:ascii="宋体" w:hAnsi="宋体" w:eastAsia="宋体" w:cs="宋体"/>
          <w:b/>
          <w:color w:val="000000"/>
          <w:sz w:val="24"/>
          <w:szCs w:val="24"/>
          <w:lang w:val="en-US" w:eastAsia="zh-CN" w:bidi="ar"/>
        </w:rPr>
        <w:t xml:space="preserve">表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.2-</w:t>
      </w:r>
      <w:r>
        <w:rPr>
          <w:rFonts w:hint="eastAsia" w:ascii="Times New Roman" w:hAnsi="Times New Roman" w:eastAsia="宋体" w:cs="Times New Roman"/>
          <w:b/>
          <w:color w:val="000000"/>
          <w:sz w:val="24"/>
          <w:szCs w:val="24"/>
          <w:lang w:val="en-US" w:eastAsia="zh-CN" w:bidi="ar"/>
        </w:rPr>
        <w:t>1</w:t>
      </w:r>
      <w:r>
        <w:rPr>
          <w:rFonts w:ascii="Times New Roman" w:hAnsi="Times New Roman" w:eastAsia="宋体" w:cs="Times New Roman"/>
          <w:b/>
          <w:color w:val="000000"/>
          <w:sz w:val="24"/>
          <w:szCs w:val="24"/>
          <w:lang w:val="en-US" w:eastAsia="zh-CN" w:bidi="ar"/>
        </w:rPr>
        <w:t xml:space="preserve"> </w:t>
      </w:r>
      <w:r>
        <w:rPr>
          <w:rFonts w:hint="eastAsia" w:ascii="宋体" w:hAnsi="宋体" w:eastAsia="宋体" w:cs="宋体"/>
          <w:b/>
          <w:color w:val="000000"/>
          <w:sz w:val="24"/>
          <w:szCs w:val="24"/>
          <w:lang w:val="en-US" w:eastAsia="zh-CN" w:bidi="ar"/>
        </w:rPr>
        <w:t>芒市气象站常规气象项目统计（</w:t>
      </w:r>
      <w:r>
        <w:rPr>
          <w:rFonts w:ascii="Times New Roman" w:hAnsi="Times New Roman" w:eastAsia="宋体" w:cs="Times New Roman"/>
          <w:b/>
          <w:color w:val="000000"/>
          <w:sz w:val="24"/>
          <w:szCs w:val="24"/>
          <w:lang w:val="en-US" w:eastAsia="zh-CN" w:bidi="ar"/>
        </w:rPr>
        <w:t>1998-2017</w:t>
      </w:r>
      <w:r>
        <w:rPr>
          <w:rFonts w:hint="eastAsia" w:ascii="宋体" w:hAnsi="宋体" w:eastAsia="宋体" w:cs="宋体"/>
          <w:b/>
          <w:color w:val="000000"/>
          <w:sz w:val="24"/>
          <w:szCs w:val="24"/>
          <w:lang w:val="en-US" w:eastAsia="zh-CN" w:bidi="ar"/>
        </w:rPr>
        <w:t>年）</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51"/>
        <w:gridCol w:w="2230"/>
        <w:gridCol w:w="2841"/>
      </w:tblGrid>
      <w:tr w14:paraId="60CF4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15AE2680">
            <w:pPr>
              <w:keepNext w:val="0"/>
              <w:keepLines w:val="0"/>
              <w:widowControl/>
              <w:suppressLineNumbers w:val="0"/>
              <w:ind w:left="0" w:firstLine="0"/>
              <w:jc w:val="center"/>
              <w:rPr>
                <w:rFonts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统计项目</w:t>
            </w:r>
          </w:p>
        </w:tc>
        <w:tc>
          <w:tcPr>
            <w:tcW w:w="2230" w:type="dxa"/>
            <w:noWrap w:val="0"/>
            <w:vAlign w:val="top"/>
          </w:tcPr>
          <w:p w14:paraId="27D49249">
            <w:pPr>
              <w:keepNext w:val="0"/>
              <w:keepLines w:val="0"/>
              <w:widowControl/>
              <w:suppressLineNumbers w:val="0"/>
              <w:ind w:left="0" w:firstLine="0"/>
              <w:jc w:val="center"/>
              <w:rPr>
                <w:rFonts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统计值</w:t>
            </w:r>
          </w:p>
        </w:tc>
        <w:tc>
          <w:tcPr>
            <w:tcW w:w="2841" w:type="dxa"/>
            <w:noWrap w:val="0"/>
            <w:vAlign w:val="top"/>
          </w:tcPr>
          <w:p w14:paraId="5EDD95A7">
            <w:pPr>
              <w:keepNext w:val="0"/>
              <w:keepLines w:val="0"/>
              <w:widowControl/>
              <w:suppressLineNumbers w:val="0"/>
              <w:ind w:left="0" w:firstLine="0"/>
              <w:jc w:val="center"/>
              <w:rPr>
                <w:rFonts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极值出现时间</w:t>
            </w:r>
          </w:p>
        </w:tc>
      </w:tr>
      <w:tr w14:paraId="20E3D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5F7332A2">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多年平均气温（℃）</w:t>
            </w:r>
          </w:p>
        </w:tc>
        <w:tc>
          <w:tcPr>
            <w:tcW w:w="2230" w:type="dxa"/>
            <w:noWrap w:val="0"/>
            <w:vAlign w:val="top"/>
          </w:tcPr>
          <w:p w14:paraId="2489F25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20.3</w:t>
            </w:r>
          </w:p>
        </w:tc>
        <w:tc>
          <w:tcPr>
            <w:tcW w:w="2841" w:type="dxa"/>
            <w:noWrap w:val="0"/>
            <w:vAlign w:val="top"/>
          </w:tcPr>
          <w:p w14:paraId="479AB69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r w14:paraId="68EA9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414EEB66">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极端最高气温（℃）</w:t>
            </w:r>
          </w:p>
        </w:tc>
        <w:tc>
          <w:tcPr>
            <w:tcW w:w="2230" w:type="dxa"/>
            <w:noWrap w:val="0"/>
            <w:vAlign w:val="top"/>
          </w:tcPr>
          <w:p w14:paraId="10FE56A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36.9</w:t>
            </w:r>
          </w:p>
        </w:tc>
        <w:tc>
          <w:tcPr>
            <w:tcW w:w="2841" w:type="dxa"/>
            <w:noWrap w:val="0"/>
            <w:vAlign w:val="top"/>
          </w:tcPr>
          <w:p w14:paraId="596AB623">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2012.5.26</w:t>
            </w:r>
          </w:p>
        </w:tc>
      </w:tr>
      <w:tr w14:paraId="7B462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5412337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极端最低气温（℃）</w:t>
            </w:r>
          </w:p>
        </w:tc>
        <w:tc>
          <w:tcPr>
            <w:tcW w:w="2230" w:type="dxa"/>
            <w:noWrap w:val="0"/>
            <w:vAlign w:val="top"/>
          </w:tcPr>
          <w:p w14:paraId="03F1E90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w:t>
            </w:r>
          </w:p>
        </w:tc>
        <w:tc>
          <w:tcPr>
            <w:tcW w:w="2841" w:type="dxa"/>
            <w:noWrap w:val="0"/>
            <w:vAlign w:val="top"/>
          </w:tcPr>
          <w:p w14:paraId="5358664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1999.12.26</w:t>
            </w:r>
          </w:p>
        </w:tc>
      </w:tr>
      <w:tr w14:paraId="1FED2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78292F4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多年平均气压（hPa）</w:t>
            </w:r>
          </w:p>
        </w:tc>
        <w:tc>
          <w:tcPr>
            <w:tcW w:w="2230" w:type="dxa"/>
            <w:noWrap w:val="0"/>
            <w:vAlign w:val="top"/>
          </w:tcPr>
          <w:p w14:paraId="578EEEE6">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909.7</w:t>
            </w:r>
          </w:p>
        </w:tc>
        <w:tc>
          <w:tcPr>
            <w:tcW w:w="2841" w:type="dxa"/>
            <w:noWrap w:val="0"/>
            <w:vAlign w:val="top"/>
          </w:tcPr>
          <w:p w14:paraId="66025A5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r w14:paraId="62041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2EF18BD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多年平均水气压（hPa）</w:t>
            </w:r>
          </w:p>
        </w:tc>
        <w:tc>
          <w:tcPr>
            <w:tcW w:w="2230" w:type="dxa"/>
            <w:noWrap w:val="0"/>
            <w:vAlign w:val="top"/>
          </w:tcPr>
          <w:p w14:paraId="3CEDA13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18.4</w:t>
            </w:r>
          </w:p>
        </w:tc>
        <w:tc>
          <w:tcPr>
            <w:tcW w:w="2841" w:type="dxa"/>
            <w:noWrap w:val="0"/>
            <w:vAlign w:val="top"/>
          </w:tcPr>
          <w:p w14:paraId="0432477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r w14:paraId="5AAAC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045E253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多年平均相对湿度（%）</w:t>
            </w:r>
          </w:p>
        </w:tc>
        <w:tc>
          <w:tcPr>
            <w:tcW w:w="2230" w:type="dxa"/>
            <w:noWrap w:val="0"/>
            <w:vAlign w:val="top"/>
          </w:tcPr>
          <w:p w14:paraId="4AED62E3">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77</w:t>
            </w:r>
          </w:p>
        </w:tc>
        <w:tc>
          <w:tcPr>
            <w:tcW w:w="2841" w:type="dxa"/>
            <w:noWrap w:val="0"/>
            <w:vAlign w:val="top"/>
          </w:tcPr>
          <w:p w14:paraId="1856A2A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r w14:paraId="0D992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top"/>
          </w:tcPr>
          <w:p w14:paraId="1640149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多年平均降雨量（mm）</w:t>
            </w:r>
          </w:p>
        </w:tc>
        <w:tc>
          <w:tcPr>
            <w:tcW w:w="2230" w:type="dxa"/>
            <w:noWrap w:val="0"/>
            <w:vAlign w:val="top"/>
          </w:tcPr>
          <w:p w14:paraId="445E905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1609.6</w:t>
            </w:r>
          </w:p>
        </w:tc>
        <w:tc>
          <w:tcPr>
            <w:tcW w:w="2841" w:type="dxa"/>
            <w:noWrap w:val="0"/>
            <w:vAlign w:val="top"/>
          </w:tcPr>
          <w:p w14:paraId="20122D12">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r w14:paraId="47793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center"/>
          </w:tcPr>
          <w:p w14:paraId="30BFD292">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多年实测极大风速（m/s）/相应风向</w:t>
            </w:r>
          </w:p>
        </w:tc>
        <w:tc>
          <w:tcPr>
            <w:tcW w:w="2230" w:type="dxa"/>
            <w:noWrap w:val="0"/>
            <w:vAlign w:val="top"/>
          </w:tcPr>
          <w:p w14:paraId="6E53C872">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25.8/SSE</w:t>
            </w:r>
          </w:p>
        </w:tc>
        <w:tc>
          <w:tcPr>
            <w:tcW w:w="2841" w:type="dxa"/>
            <w:noWrap w:val="0"/>
            <w:vAlign w:val="top"/>
          </w:tcPr>
          <w:p w14:paraId="484A062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r w14:paraId="79593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center"/>
          </w:tcPr>
          <w:p w14:paraId="55A242E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多年平均风速（m/s）</w:t>
            </w:r>
          </w:p>
        </w:tc>
        <w:tc>
          <w:tcPr>
            <w:tcW w:w="2230" w:type="dxa"/>
            <w:noWrap w:val="0"/>
            <w:vAlign w:val="top"/>
          </w:tcPr>
          <w:p w14:paraId="5A1287D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0.9</w:t>
            </w:r>
          </w:p>
        </w:tc>
        <w:tc>
          <w:tcPr>
            <w:tcW w:w="2841" w:type="dxa"/>
            <w:noWrap w:val="0"/>
            <w:vAlign w:val="top"/>
          </w:tcPr>
          <w:p w14:paraId="4165BBE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r w14:paraId="374B8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1" w:type="dxa"/>
            <w:noWrap w:val="0"/>
            <w:vAlign w:val="center"/>
          </w:tcPr>
          <w:p w14:paraId="505733E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多年主导风向/ 风险频率</w:t>
            </w:r>
          </w:p>
        </w:tc>
        <w:tc>
          <w:tcPr>
            <w:tcW w:w="2230" w:type="dxa"/>
            <w:noWrap w:val="0"/>
            <w:vAlign w:val="top"/>
          </w:tcPr>
          <w:p w14:paraId="7E37A1C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SW/8.51</w:t>
            </w:r>
          </w:p>
        </w:tc>
        <w:tc>
          <w:tcPr>
            <w:tcW w:w="2841" w:type="dxa"/>
            <w:noWrap w:val="0"/>
            <w:vAlign w:val="top"/>
          </w:tcPr>
          <w:p w14:paraId="76751FB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w:t>
            </w:r>
          </w:p>
        </w:tc>
      </w:tr>
    </w:tbl>
    <w:p w14:paraId="411F9FEF">
      <w:pPr>
        <w:keepLines w:val="0"/>
        <w:pageBreakBefore w:val="0"/>
        <w:widowControl w:val="0"/>
        <w:spacing w:line="360" w:lineRule="auto"/>
        <w:ind w:left="0" w:firstLine="480"/>
        <w:jc w:val="both"/>
        <w:rPr>
          <w:rFonts w:hint="eastAsia" w:ascii="Times New Roman" w:hAnsi="Times New Roman" w:eastAsia="宋体" w:cs="Times New Roman"/>
          <w:color w:val="262626"/>
          <w:sz w:val="24"/>
          <w:szCs w:val="24"/>
          <w:lang w:val="en-US" w:eastAsia="zh-CN" w:bidi="ar-SA"/>
        </w:rPr>
      </w:pPr>
      <w:r>
        <w:rPr>
          <w:rFonts w:hint="eastAsia" w:ascii="Times New Roman" w:hAnsi="Times New Roman" w:eastAsia="宋体" w:cs="Times New Roman"/>
          <w:color w:val="262626"/>
          <w:sz w:val="24"/>
          <w:szCs w:val="24"/>
          <w:lang w:val="en-US" w:eastAsia="zh-CN" w:bidi="ar-SA"/>
        </w:rPr>
        <w:t xml:space="preserve">（2）观测年气象数据 </w:t>
      </w:r>
    </w:p>
    <w:p w14:paraId="6A1DDAC4">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根据芒市气象站</w:t>
      </w:r>
      <w:r>
        <w:rPr>
          <w:rFonts w:ascii="宋体" w:hAnsi="宋体" w:eastAsia="宋体" w:cs="宋体"/>
          <w:color w:val="000000"/>
          <w:sz w:val="24"/>
          <w:szCs w:val="24"/>
          <w:lang w:val="en-US" w:eastAsia="zh-CN" w:bidi="ar"/>
        </w:rPr>
        <w:t xml:space="preserve">(2017-1-1 </w:t>
      </w:r>
      <w:r>
        <w:rPr>
          <w:rFonts w:hint="eastAsia" w:ascii="宋体" w:hAnsi="宋体" w:eastAsia="宋体" w:cs="宋体"/>
          <w:color w:val="000000"/>
          <w:sz w:val="24"/>
          <w:szCs w:val="24"/>
          <w:lang w:val="en-US" w:eastAsia="zh-CN" w:bidi="ar"/>
        </w:rPr>
        <w:t xml:space="preserve">到 </w:t>
      </w:r>
      <w:r>
        <w:rPr>
          <w:rFonts w:ascii="宋体" w:hAnsi="宋体" w:eastAsia="宋体" w:cs="宋体"/>
          <w:color w:val="000000"/>
          <w:sz w:val="24"/>
          <w:szCs w:val="24"/>
          <w:lang w:val="en-US" w:eastAsia="zh-CN" w:bidi="ar"/>
        </w:rPr>
        <w:t>2017-12-31)</w:t>
      </w:r>
      <w:r>
        <w:rPr>
          <w:rFonts w:hint="eastAsia" w:ascii="宋体" w:hAnsi="宋体" w:eastAsia="宋体" w:cs="宋体"/>
          <w:color w:val="000000"/>
          <w:sz w:val="24"/>
          <w:szCs w:val="24"/>
          <w:lang w:val="en-US" w:eastAsia="zh-CN" w:bidi="ar"/>
        </w:rPr>
        <w:t xml:space="preserve">的气象观测，得到该地区近一年的气象数据资料，具体资料如下： </w:t>
      </w:r>
    </w:p>
    <w:p w14:paraId="79CE228B">
      <w:pPr>
        <w:keepNext w:val="0"/>
        <w:keepLines w:val="0"/>
        <w:widowControl/>
        <w:suppressLineNumbers w:val="0"/>
        <w:jc w:val="left"/>
      </w:pPr>
      <w:r>
        <w:rPr>
          <w:rFonts w:hint="eastAsia" w:ascii="华文宋体" w:hAnsi="华文宋体" w:eastAsia="华文宋体" w:cs="华文宋体"/>
          <w:color w:val="000000"/>
          <w:sz w:val="24"/>
          <w:szCs w:val="24"/>
          <w:lang w:val="en-US" w:eastAsia="zh-CN" w:bidi="ar"/>
        </w:rPr>
        <w:t>①</w:t>
      </w:r>
      <w:r>
        <w:rPr>
          <w:rFonts w:hint="eastAsia" w:ascii="宋体" w:hAnsi="宋体" w:eastAsia="宋体" w:cs="宋体"/>
          <w:color w:val="000000"/>
          <w:sz w:val="24"/>
          <w:szCs w:val="24"/>
          <w:lang w:val="en-US" w:eastAsia="zh-CN" w:bidi="ar"/>
        </w:rPr>
        <w:t xml:space="preserve">风向 </w:t>
      </w:r>
    </w:p>
    <w:p w14:paraId="75B8DF71">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静风风速取 </w:t>
      </w:r>
      <w:r>
        <w:rPr>
          <w:rFonts w:ascii="Times New Roman" w:hAnsi="Times New Roman" w:eastAsia="宋体" w:cs="Times New Roman"/>
          <w:color w:val="000000"/>
          <w:sz w:val="24"/>
          <w:szCs w:val="24"/>
          <w:lang w:val="en-US" w:eastAsia="zh-CN" w:bidi="ar"/>
        </w:rPr>
        <w:t>0.5m/s</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年全年最多风向频率为西南风（</w:t>
      </w:r>
      <w:r>
        <w:rPr>
          <w:rFonts w:ascii="Times New Roman" w:hAnsi="Times New Roman" w:eastAsia="宋体" w:cs="Times New Roman"/>
          <w:color w:val="000000"/>
          <w:sz w:val="24"/>
          <w:szCs w:val="24"/>
          <w:lang w:val="en-US" w:eastAsia="zh-CN" w:bidi="ar"/>
        </w:rPr>
        <w:t>SW</w:t>
      </w:r>
      <w:r>
        <w:rPr>
          <w:rFonts w:hint="eastAsia" w:ascii="宋体" w:hAnsi="宋体" w:eastAsia="宋体" w:cs="宋体"/>
          <w:color w:val="000000"/>
          <w:sz w:val="24"/>
          <w:szCs w:val="24"/>
          <w:lang w:val="en-US" w:eastAsia="zh-CN" w:bidi="ar"/>
        </w:rPr>
        <w:t xml:space="preserve">），所占频率为 </w:t>
      </w:r>
      <w:r>
        <w:rPr>
          <w:rFonts w:ascii="Times New Roman" w:hAnsi="Times New Roman" w:eastAsia="宋体" w:cs="Times New Roman"/>
          <w:color w:val="000000"/>
          <w:sz w:val="24"/>
          <w:szCs w:val="24"/>
          <w:lang w:val="en-US" w:eastAsia="zh-CN" w:bidi="ar"/>
        </w:rPr>
        <w:t>13.33%</w:t>
      </w:r>
      <w:r>
        <w:rPr>
          <w:rFonts w:hint="eastAsia" w:ascii="宋体" w:hAnsi="宋体" w:eastAsia="宋体" w:cs="宋体"/>
          <w:color w:val="000000"/>
          <w:sz w:val="24"/>
          <w:szCs w:val="24"/>
          <w:lang w:val="en-US" w:eastAsia="zh-CN" w:bidi="ar"/>
        </w:rPr>
        <w:t xml:space="preserve">，当地 </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 xml:space="preserve">年全年静风频率为 </w:t>
      </w:r>
      <w:r>
        <w:rPr>
          <w:rFonts w:ascii="Times New Roman" w:hAnsi="Times New Roman" w:eastAsia="宋体" w:cs="Times New Roman"/>
          <w:color w:val="000000"/>
          <w:sz w:val="24"/>
          <w:szCs w:val="24"/>
          <w:lang w:val="en-US" w:eastAsia="zh-CN" w:bidi="ar"/>
        </w:rPr>
        <w:t>22.09%</w:t>
      </w:r>
      <w:r>
        <w:rPr>
          <w:rFonts w:hint="eastAsia" w:ascii="宋体" w:hAnsi="宋体" w:eastAsia="宋体" w:cs="宋体"/>
          <w:color w:val="000000"/>
          <w:sz w:val="24"/>
          <w:szCs w:val="24"/>
          <w:lang w:val="en-US" w:eastAsia="zh-CN" w:bidi="ar"/>
        </w:rPr>
        <w:t>。</w:t>
      </w:r>
    </w:p>
    <w:p w14:paraId="59E07813">
      <w:pPr>
        <w:keepNext w:val="0"/>
        <w:keepLines w:val="0"/>
        <w:widowControl/>
        <w:suppressLineNumbers w:val="0"/>
        <w:ind w:firstLine="1205"/>
        <w:jc w:val="left"/>
      </w:pPr>
      <w:r>
        <w:rPr>
          <w:rFonts w:hint="eastAsia" w:ascii="宋体" w:hAnsi="宋体" w:eastAsia="宋体" w:cs="宋体"/>
          <w:b/>
          <w:color w:val="000000"/>
          <w:sz w:val="24"/>
          <w:szCs w:val="24"/>
          <w:lang w:val="en-US" w:eastAsia="zh-CN" w:bidi="ar"/>
        </w:rPr>
        <w:t xml:space="preserve">表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.2-</w:t>
      </w:r>
      <w:r>
        <w:rPr>
          <w:rFonts w:hint="eastAsia" w:ascii="Times New Roman" w:hAnsi="Times New Roman" w:eastAsia="宋体" w:cs="Times New Roman"/>
          <w:b/>
          <w:color w:val="000000"/>
          <w:sz w:val="24"/>
          <w:szCs w:val="24"/>
          <w:lang w:val="en-US" w:eastAsia="zh-CN" w:bidi="ar"/>
        </w:rPr>
        <w:t>2</w:t>
      </w:r>
      <w:r>
        <w:rPr>
          <w:rFonts w:ascii="Times New Roman" w:hAnsi="Times New Roman" w:eastAsia="宋体" w:cs="Times New Roman"/>
          <w:b/>
          <w:color w:val="000000"/>
          <w:sz w:val="24"/>
          <w:szCs w:val="24"/>
          <w:lang w:val="en-US" w:eastAsia="zh-CN" w:bidi="ar"/>
        </w:rPr>
        <w:t xml:space="preserve"> </w:t>
      </w:r>
      <w:r>
        <w:rPr>
          <w:rFonts w:hint="eastAsia" w:ascii="宋体" w:hAnsi="宋体" w:eastAsia="宋体" w:cs="宋体"/>
          <w:b/>
          <w:color w:val="000000"/>
          <w:sz w:val="24"/>
          <w:szCs w:val="24"/>
          <w:lang w:val="en-US" w:eastAsia="zh-CN" w:bidi="ar"/>
        </w:rPr>
        <w:t xml:space="preserve">项目区 </w:t>
      </w:r>
      <w:r>
        <w:rPr>
          <w:rFonts w:ascii="Times New Roman" w:hAnsi="Times New Roman" w:eastAsia="宋体" w:cs="Times New Roman"/>
          <w:b/>
          <w:color w:val="000000"/>
          <w:sz w:val="24"/>
          <w:szCs w:val="24"/>
          <w:lang w:val="en-US" w:eastAsia="zh-CN" w:bidi="ar"/>
        </w:rPr>
        <w:t xml:space="preserve">2017 </w:t>
      </w:r>
      <w:r>
        <w:rPr>
          <w:rFonts w:hint="eastAsia" w:ascii="宋体" w:hAnsi="宋体" w:eastAsia="宋体" w:cs="宋体"/>
          <w:b/>
          <w:color w:val="000000"/>
          <w:sz w:val="24"/>
          <w:szCs w:val="24"/>
          <w:lang w:val="en-US" w:eastAsia="zh-CN" w:bidi="ar"/>
        </w:rPr>
        <w:t>年各月风向频率统计结果（单位：</w:t>
      </w:r>
      <w:r>
        <w:rPr>
          <w:rFonts w:ascii="Times New Roman" w:hAnsi="Times New Roman" w:eastAsia="宋体" w:cs="Times New Roman"/>
          <w:b/>
          <w:color w:val="000000"/>
          <w:sz w:val="24"/>
          <w:szCs w:val="24"/>
          <w:lang w:val="en-US" w:eastAsia="zh-CN" w:bidi="ar"/>
        </w:rPr>
        <w:t>%</w:t>
      </w:r>
      <w:r>
        <w:rPr>
          <w:rFonts w:hint="eastAsia" w:ascii="宋体" w:hAnsi="宋体" w:eastAsia="宋体" w:cs="宋体"/>
          <w:b/>
          <w:color w:val="000000"/>
          <w:sz w:val="24"/>
          <w:szCs w:val="24"/>
          <w:lang w:val="en-US" w:eastAsia="zh-CN" w:bidi="ar"/>
        </w:rPr>
        <w:t>）</w:t>
      </w:r>
    </w:p>
    <w:tbl>
      <w:tblPr>
        <w:tblStyle w:val="258"/>
        <w:tblW w:w="111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2"/>
        <w:gridCol w:w="600"/>
        <w:gridCol w:w="630"/>
        <w:gridCol w:w="705"/>
        <w:gridCol w:w="667"/>
        <w:gridCol w:w="576"/>
        <w:gridCol w:w="576"/>
        <w:gridCol w:w="576"/>
        <w:gridCol w:w="576"/>
        <w:gridCol w:w="576"/>
        <w:gridCol w:w="666"/>
        <w:gridCol w:w="666"/>
        <w:gridCol w:w="611"/>
        <w:gridCol w:w="690"/>
        <w:gridCol w:w="736"/>
        <w:gridCol w:w="525"/>
        <w:gridCol w:w="585"/>
        <w:gridCol w:w="690"/>
      </w:tblGrid>
      <w:tr w14:paraId="58FC8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452" w:type="dxa"/>
            <w:noWrap w:val="0"/>
            <w:vAlign w:val="center"/>
          </w:tcPr>
          <w:p w14:paraId="2E6B094F">
            <w:pPr>
              <w:widowControl w:val="0"/>
              <w:spacing w:line="360" w:lineRule="auto"/>
              <w:ind w:left="0" w:firstLine="0"/>
              <w:jc w:val="center"/>
              <w:rPr>
                <w:rFonts w:hint="eastAsia"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月</w:t>
            </w:r>
          </w:p>
          <w:p w14:paraId="0CD6E87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风频</w:t>
            </w:r>
          </w:p>
        </w:tc>
        <w:tc>
          <w:tcPr>
            <w:tcW w:w="600" w:type="dxa"/>
            <w:noWrap w:val="0"/>
            <w:vAlign w:val="center"/>
          </w:tcPr>
          <w:p w14:paraId="6A53673A">
            <w:pPr>
              <w:widowControl w:val="0"/>
              <w:spacing w:line="360" w:lineRule="auto"/>
              <w:ind w:left="0" w:firstLine="0"/>
              <w:jc w:val="center"/>
              <w:rPr>
                <w:rFonts w:hint="eastAsia"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w:t>
            </w:r>
          </w:p>
        </w:tc>
        <w:tc>
          <w:tcPr>
            <w:tcW w:w="630" w:type="dxa"/>
            <w:noWrap w:val="0"/>
            <w:vAlign w:val="center"/>
          </w:tcPr>
          <w:p w14:paraId="44547B9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NNE</w:t>
            </w:r>
          </w:p>
        </w:tc>
        <w:tc>
          <w:tcPr>
            <w:tcW w:w="705" w:type="dxa"/>
            <w:noWrap w:val="0"/>
            <w:vAlign w:val="center"/>
          </w:tcPr>
          <w:p w14:paraId="059FAF6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NE</w:t>
            </w:r>
          </w:p>
        </w:tc>
        <w:tc>
          <w:tcPr>
            <w:tcW w:w="667" w:type="dxa"/>
            <w:noWrap w:val="0"/>
            <w:vAlign w:val="center"/>
          </w:tcPr>
          <w:p w14:paraId="272E676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ENE</w:t>
            </w:r>
          </w:p>
        </w:tc>
        <w:tc>
          <w:tcPr>
            <w:tcW w:w="576" w:type="dxa"/>
            <w:noWrap w:val="0"/>
            <w:vAlign w:val="center"/>
          </w:tcPr>
          <w:p w14:paraId="20402E0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E</w:t>
            </w:r>
          </w:p>
        </w:tc>
        <w:tc>
          <w:tcPr>
            <w:tcW w:w="576" w:type="dxa"/>
            <w:noWrap w:val="0"/>
            <w:vAlign w:val="center"/>
          </w:tcPr>
          <w:p w14:paraId="06C7788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ESE</w:t>
            </w:r>
          </w:p>
        </w:tc>
        <w:tc>
          <w:tcPr>
            <w:tcW w:w="576" w:type="dxa"/>
            <w:noWrap w:val="0"/>
            <w:vAlign w:val="center"/>
          </w:tcPr>
          <w:p w14:paraId="4F0BFC1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SE</w:t>
            </w:r>
          </w:p>
        </w:tc>
        <w:tc>
          <w:tcPr>
            <w:tcW w:w="576" w:type="dxa"/>
            <w:noWrap w:val="0"/>
            <w:vAlign w:val="center"/>
          </w:tcPr>
          <w:p w14:paraId="29694DB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SSE</w:t>
            </w:r>
          </w:p>
        </w:tc>
        <w:tc>
          <w:tcPr>
            <w:tcW w:w="576" w:type="dxa"/>
            <w:noWrap w:val="0"/>
            <w:vAlign w:val="center"/>
          </w:tcPr>
          <w:p w14:paraId="41C1491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w:t>
            </w:r>
          </w:p>
        </w:tc>
        <w:tc>
          <w:tcPr>
            <w:tcW w:w="666" w:type="dxa"/>
            <w:noWrap w:val="0"/>
            <w:vAlign w:val="center"/>
          </w:tcPr>
          <w:p w14:paraId="1C854C0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SSW</w:t>
            </w:r>
          </w:p>
        </w:tc>
        <w:tc>
          <w:tcPr>
            <w:tcW w:w="666" w:type="dxa"/>
            <w:noWrap w:val="0"/>
            <w:vAlign w:val="center"/>
          </w:tcPr>
          <w:p w14:paraId="1FD1E6E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SW</w:t>
            </w:r>
          </w:p>
        </w:tc>
        <w:tc>
          <w:tcPr>
            <w:tcW w:w="611" w:type="dxa"/>
            <w:noWrap w:val="0"/>
            <w:vAlign w:val="center"/>
          </w:tcPr>
          <w:p w14:paraId="65ED420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WSW</w:t>
            </w:r>
          </w:p>
        </w:tc>
        <w:tc>
          <w:tcPr>
            <w:tcW w:w="690" w:type="dxa"/>
            <w:noWrap w:val="0"/>
            <w:vAlign w:val="center"/>
          </w:tcPr>
          <w:p w14:paraId="0166401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W</w:t>
            </w:r>
          </w:p>
        </w:tc>
        <w:tc>
          <w:tcPr>
            <w:tcW w:w="736" w:type="dxa"/>
            <w:noWrap w:val="0"/>
            <w:vAlign w:val="center"/>
          </w:tcPr>
          <w:p w14:paraId="5953A83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WNW</w:t>
            </w:r>
          </w:p>
        </w:tc>
        <w:tc>
          <w:tcPr>
            <w:tcW w:w="525" w:type="dxa"/>
            <w:noWrap w:val="0"/>
            <w:vAlign w:val="center"/>
          </w:tcPr>
          <w:p w14:paraId="1D817A8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NW</w:t>
            </w:r>
          </w:p>
        </w:tc>
        <w:tc>
          <w:tcPr>
            <w:tcW w:w="585" w:type="dxa"/>
            <w:noWrap w:val="0"/>
            <w:vAlign w:val="center"/>
          </w:tcPr>
          <w:p w14:paraId="260A391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NNW</w:t>
            </w:r>
          </w:p>
        </w:tc>
        <w:tc>
          <w:tcPr>
            <w:tcW w:w="690" w:type="dxa"/>
            <w:noWrap w:val="0"/>
            <w:vAlign w:val="center"/>
          </w:tcPr>
          <w:p w14:paraId="28654BF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静风</w:t>
            </w:r>
          </w:p>
        </w:tc>
      </w:tr>
      <w:tr w14:paraId="68078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204DC43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w:t>
            </w:r>
          </w:p>
        </w:tc>
        <w:tc>
          <w:tcPr>
            <w:tcW w:w="600" w:type="dxa"/>
            <w:noWrap w:val="0"/>
            <w:vAlign w:val="center"/>
          </w:tcPr>
          <w:p w14:paraId="2FF28BD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0.81</w:t>
            </w:r>
          </w:p>
        </w:tc>
        <w:tc>
          <w:tcPr>
            <w:tcW w:w="630" w:type="dxa"/>
            <w:noWrap w:val="0"/>
            <w:vAlign w:val="center"/>
          </w:tcPr>
          <w:p w14:paraId="697A478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1.75</w:t>
            </w:r>
          </w:p>
        </w:tc>
        <w:tc>
          <w:tcPr>
            <w:tcW w:w="705" w:type="dxa"/>
            <w:noWrap w:val="0"/>
            <w:vAlign w:val="center"/>
          </w:tcPr>
          <w:p w14:paraId="37C82A6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1.88</w:t>
            </w:r>
          </w:p>
        </w:tc>
        <w:tc>
          <w:tcPr>
            <w:tcW w:w="667" w:type="dxa"/>
            <w:noWrap w:val="0"/>
            <w:vAlign w:val="center"/>
          </w:tcPr>
          <w:p w14:paraId="0DA5E10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1.61</w:t>
            </w:r>
          </w:p>
        </w:tc>
        <w:tc>
          <w:tcPr>
            <w:tcW w:w="576" w:type="dxa"/>
            <w:noWrap w:val="0"/>
            <w:vAlign w:val="center"/>
          </w:tcPr>
          <w:p w14:paraId="29D213B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2.28</w:t>
            </w:r>
          </w:p>
        </w:tc>
        <w:tc>
          <w:tcPr>
            <w:tcW w:w="576" w:type="dxa"/>
            <w:noWrap w:val="0"/>
            <w:vAlign w:val="center"/>
          </w:tcPr>
          <w:p w14:paraId="5336A7C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0.67</w:t>
            </w:r>
          </w:p>
        </w:tc>
        <w:tc>
          <w:tcPr>
            <w:tcW w:w="576" w:type="dxa"/>
            <w:noWrap w:val="0"/>
            <w:vAlign w:val="center"/>
          </w:tcPr>
          <w:p w14:paraId="3AD21DB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2608A37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c>
          <w:tcPr>
            <w:tcW w:w="576" w:type="dxa"/>
            <w:noWrap w:val="0"/>
            <w:vAlign w:val="center"/>
          </w:tcPr>
          <w:p w14:paraId="55D7252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7.66</w:t>
            </w:r>
          </w:p>
        </w:tc>
        <w:tc>
          <w:tcPr>
            <w:tcW w:w="666" w:type="dxa"/>
            <w:noWrap w:val="0"/>
            <w:vAlign w:val="center"/>
          </w:tcPr>
          <w:p w14:paraId="25CBD9F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14.38</w:t>
            </w:r>
          </w:p>
        </w:tc>
        <w:tc>
          <w:tcPr>
            <w:tcW w:w="666" w:type="dxa"/>
            <w:noWrap w:val="0"/>
            <w:vAlign w:val="center"/>
          </w:tcPr>
          <w:p w14:paraId="56A62AA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15.46</w:t>
            </w:r>
          </w:p>
        </w:tc>
        <w:tc>
          <w:tcPr>
            <w:tcW w:w="611" w:type="dxa"/>
            <w:noWrap w:val="0"/>
            <w:vAlign w:val="center"/>
          </w:tcPr>
          <w:p w14:paraId="115E89A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11.69</w:t>
            </w:r>
          </w:p>
        </w:tc>
        <w:tc>
          <w:tcPr>
            <w:tcW w:w="690" w:type="dxa"/>
            <w:noWrap w:val="0"/>
            <w:vAlign w:val="center"/>
          </w:tcPr>
          <w:p w14:paraId="3744EEC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7.53</w:t>
            </w:r>
          </w:p>
        </w:tc>
        <w:tc>
          <w:tcPr>
            <w:tcW w:w="736" w:type="dxa"/>
            <w:noWrap w:val="0"/>
            <w:vAlign w:val="center"/>
          </w:tcPr>
          <w:p w14:paraId="1D01EA3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2.96</w:t>
            </w:r>
          </w:p>
        </w:tc>
        <w:tc>
          <w:tcPr>
            <w:tcW w:w="525" w:type="dxa"/>
            <w:noWrap w:val="0"/>
            <w:vAlign w:val="center"/>
          </w:tcPr>
          <w:p w14:paraId="3C279D8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3.09</w:t>
            </w:r>
          </w:p>
        </w:tc>
        <w:tc>
          <w:tcPr>
            <w:tcW w:w="585" w:type="dxa"/>
            <w:noWrap w:val="0"/>
            <w:vAlign w:val="center"/>
          </w:tcPr>
          <w:p w14:paraId="3A3EB77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690" w:type="dxa"/>
            <w:noWrap w:val="0"/>
            <w:vAlign w:val="center"/>
          </w:tcPr>
          <w:p w14:paraId="163EFDC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25.13</w:t>
            </w:r>
          </w:p>
        </w:tc>
      </w:tr>
      <w:tr w14:paraId="7631E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1EB8EB4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w:t>
            </w:r>
          </w:p>
        </w:tc>
        <w:tc>
          <w:tcPr>
            <w:tcW w:w="600" w:type="dxa"/>
            <w:noWrap w:val="0"/>
            <w:vAlign w:val="center"/>
          </w:tcPr>
          <w:p w14:paraId="68616DA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2.68</w:t>
            </w:r>
          </w:p>
        </w:tc>
        <w:tc>
          <w:tcPr>
            <w:tcW w:w="630" w:type="dxa"/>
            <w:noWrap w:val="0"/>
            <w:vAlign w:val="center"/>
          </w:tcPr>
          <w:p w14:paraId="6D92A39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2.53</w:t>
            </w:r>
          </w:p>
        </w:tc>
        <w:tc>
          <w:tcPr>
            <w:tcW w:w="705" w:type="dxa"/>
            <w:noWrap w:val="0"/>
            <w:vAlign w:val="center"/>
          </w:tcPr>
          <w:p w14:paraId="5A3CB04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2.08</w:t>
            </w:r>
          </w:p>
        </w:tc>
        <w:tc>
          <w:tcPr>
            <w:tcW w:w="667" w:type="dxa"/>
            <w:noWrap w:val="0"/>
            <w:vAlign w:val="center"/>
          </w:tcPr>
          <w:p w14:paraId="4960DEC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1.64</w:t>
            </w:r>
          </w:p>
        </w:tc>
        <w:tc>
          <w:tcPr>
            <w:tcW w:w="576" w:type="dxa"/>
            <w:noWrap w:val="0"/>
            <w:vAlign w:val="center"/>
          </w:tcPr>
          <w:p w14:paraId="55C4C32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0.74</w:t>
            </w:r>
          </w:p>
        </w:tc>
        <w:tc>
          <w:tcPr>
            <w:tcW w:w="576" w:type="dxa"/>
            <w:noWrap w:val="0"/>
            <w:vAlign w:val="center"/>
          </w:tcPr>
          <w:p w14:paraId="7540EF0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w:t>
            </w:r>
          </w:p>
        </w:tc>
        <w:tc>
          <w:tcPr>
            <w:tcW w:w="576" w:type="dxa"/>
            <w:noWrap w:val="0"/>
            <w:vAlign w:val="center"/>
          </w:tcPr>
          <w:p w14:paraId="2F9EFC6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w:t>
            </w:r>
          </w:p>
        </w:tc>
        <w:tc>
          <w:tcPr>
            <w:tcW w:w="576" w:type="dxa"/>
            <w:noWrap w:val="0"/>
            <w:vAlign w:val="center"/>
          </w:tcPr>
          <w:p w14:paraId="0E32375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1.34</w:t>
            </w:r>
          </w:p>
        </w:tc>
        <w:tc>
          <w:tcPr>
            <w:tcW w:w="576" w:type="dxa"/>
            <w:noWrap w:val="0"/>
            <w:vAlign w:val="center"/>
          </w:tcPr>
          <w:p w14:paraId="3975E90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6.55</w:t>
            </w:r>
          </w:p>
        </w:tc>
        <w:tc>
          <w:tcPr>
            <w:tcW w:w="666" w:type="dxa"/>
            <w:noWrap w:val="0"/>
            <w:vAlign w:val="center"/>
          </w:tcPr>
          <w:p w14:paraId="2552FB9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13.39</w:t>
            </w:r>
          </w:p>
        </w:tc>
        <w:tc>
          <w:tcPr>
            <w:tcW w:w="666" w:type="dxa"/>
            <w:noWrap w:val="0"/>
            <w:vAlign w:val="center"/>
          </w:tcPr>
          <w:p w14:paraId="29F2561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18.30</w:t>
            </w:r>
          </w:p>
        </w:tc>
        <w:tc>
          <w:tcPr>
            <w:tcW w:w="611" w:type="dxa"/>
            <w:noWrap w:val="0"/>
            <w:vAlign w:val="center"/>
          </w:tcPr>
          <w:p w14:paraId="45F84A5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135.54</w:t>
            </w:r>
          </w:p>
        </w:tc>
        <w:tc>
          <w:tcPr>
            <w:tcW w:w="690" w:type="dxa"/>
            <w:noWrap w:val="0"/>
            <w:vAlign w:val="center"/>
          </w:tcPr>
          <w:p w14:paraId="5E4A5F9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8.93</w:t>
            </w:r>
          </w:p>
        </w:tc>
        <w:tc>
          <w:tcPr>
            <w:tcW w:w="736" w:type="dxa"/>
            <w:noWrap w:val="0"/>
            <w:vAlign w:val="center"/>
          </w:tcPr>
          <w:p w14:paraId="6FB318F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1.49</w:t>
            </w:r>
          </w:p>
        </w:tc>
        <w:tc>
          <w:tcPr>
            <w:tcW w:w="525" w:type="dxa"/>
            <w:noWrap w:val="0"/>
            <w:vAlign w:val="center"/>
          </w:tcPr>
          <w:p w14:paraId="4BB9AF7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1.93</w:t>
            </w:r>
          </w:p>
        </w:tc>
        <w:tc>
          <w:tcPr>
            <w:tcW w:w="585" w:type="dxa"/>
            <w:noWrap w:val="0"/>
            <w:vAlign w:val="center"/>
          </w:tcPr>
          <w:p w14:paraId="1B0590C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2.23</w:t>
            </w:r>
          </w:p>
        </w:tc>
        <w:tc>
          <w:tcPr>
            <w:tcW w:w="690" w:type="dxa"/>
            <w:noWrap w:val="0"/>
            <w:vAlign w:val="center"/>
          </w:tcPr>
          <w:p w14:paraId="4BFFB5A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20.54</w:t>
            </w:r>
          </w:p>
        </w:tc>
      </w:tr>
      <w:tr w14:paraId="27EB7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2DFB448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w:t>
            </w:r>
          </w:p>
        </w:tc>
        <w:tc>
          <w:tcPr>
            <w:tcW w:w="600" w:type="dxa"/>
            <w:noWrap w:val="0"/>
            <w:vAlign w:val="center"/>
          </w:tcPr>
          <w:p w14:paraId="27EFFFF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4.03</w:t>
            </w:r>
          </w:p>
        </w:tc>
        <w:tc>
          <w:tcPr>
            <w:tcW w:w="630" w:type="dxa"/>
            <w:noWrap w:val="0"/>
            <w:vAlign w:val="center"/>
          </w:tcPr>
          <w:p w14:paraId="4455D5B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4.30</w:t>
            </w:r>
          </w:p>
        </w:tc>
        <w:tc>
          <w:tcPr>
            <w:tcW w:w="705" w:type="dxa"/>
            <w:noWrap w:val="0"/>
            <w:vAlign w:val="center"/>
          </w:tcPr>
          <w:p w14:paraId="4746356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3.23</w:t>
            </w:r>
          </w:p>
        </w:tc>
        <w:tc>
          <w:tcPr>
            <w:tcW w:w="667" w:type="dxa"/>
            <w:noWrap w:val="0"/>
            <w:vAlign w:val="center"/>
          </w:tcPr>
          <w:p w14:paraId="1AE8709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3.09</w:t>
            </w:r>
          </w:p>
        </w:tc>
        <w:tc>
          <w:tcPr>
            <w:tcW w:w="576" w:type="dxa"/>
            <w:noWrap w:val="0"/>
            <w:vAlign w:val="center"/>
          </w:tcPr>
          <w:p w14:paraId="72638B9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2.02</w:t>
            </w:r>
          </w:p>
        </w:tc>
        <w:tc>
          <w:tcPr>
            <w:tcW w:w="576" w:type="dxa"/>
            <w:noWrap w:val="0"/>
            <w:vAlign w:val="center"/>
          </w:tcPr>
          <w:p w14:paraId="772E296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c>
          <w:tcPr>
            <w:tcW w:w="576" w:type="dxa"/>
            <w:noWrap w:val="0"/>
            <w:vAlign w:val="center"/>
          </w:tcPr>
          <w:p w14:paraId="29D49F6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c>
          <w:tcPr>
            <w:tcW w:w="576" w:type="dxa"/>
            <w:noWrap w:val="0"/>
            <w:vAlign w:val="center"/>
          </w:tcPr>
          <w:p w14:paraId="792F40C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1.61</w:t>
            </w:r>
          </w:p>
        </w:tc>
        <w:tc>
          <w:tcPr>
            <w:tcW w:w="576" w:type="dxa"/>
            <w:noWrap w:val="0"/>
            <w:vAlign w:val="center"/>
          </w:tcPr>
          <w:p w14:paraId="39A40E6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7.53</w:t>
            </w:r>
          </w:p>
        </w:tc>
        <w:tc>
          <w:tcPr>
            <w:tcW w:w="666" w:type="dxa"/>
            <w:noWrap w:val="0"/>
            <w:vAlign w:val="center"/>
          </w:tcPr>
          <w:p w14:paraId="636D03D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12.90</w:t>
            </w:r>
          </w:p>
        </w:tc>
        <w:tc>
          <w:tcPr>
            <w:tcW w:w="666" w:type="dxa"/>
            <w:noWrap w:val="0"/>
            <w:vAlign w:val="center"/>
          </w:tcPr>
          <w:p w14:paraId="0C59F52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12.37</w:t>
            </w:r>
          </w:p>
        </w:tc>
        <w:tc>
          <w:tcPr>
            <w:tcW w:w="611" w:type="dxa"/>
            <w:noWrap w:val="0"/>
            <w:vAlign w:val="center"/>
          </w:tcPr>
          <w:p w14:paraId="0FDEB8C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12.90</w:t>
            </w:r>
          </w:p>
        </w:tc>
        <w:tc>
          <w:tcPr>
            <w:tcW w:w="690" w:type="dxa"/>
            <w:noWrap w:val="0"/>
            <w:vAlign w:val="center"/>
          </w:tcPr>
          <w:p w14:paraId="030A7E5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8.87</w:t>
            </w:r>
          </w:p>
        </w:tc>
        <w:tc>
          <w:tcPr>
            <w:tcW w:w="736" w:type="dxa"/>
            <w:noWrap w:val="0"/>
            <w:vAlign w:val="center"/>
          </w:tcPr>
          <w:p w14:paraId="7989E9D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2.82</w:t>
            </w:r>
          </w:p>
        </w:tc>
        <w:tc>
          <w:tcPr>
            <w:tcW w:w="525" w:type="dxa"/>
            <w:noWrap w:val="0"/>
            <w:vAlign w:val="center"/>
          </w:tcPr>
          <w:p w14:paraId="154BCFF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2.02</w:t>
            </w:r>
          </w:p>
        </w:tc>
        <w:tc>
          <w:tcPr>
            <w:tcW w:w="585" w:type="dxa"/>
            <w:noWrap w:val="0"/>
            <w:vAlign w:val="center"/>
          </w:tcPr>
          <w:p w14:paraId="3389105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1.88</w:t>
            </w:r>
          </w:p>
        </w:tc>
        <w:tc>
          <w:tcPr>
            <w:tcW w:w="690" w:type="dxa"/>
            <w:noWrap w:val="0"/>
            <w:vAlign w:val="center"/>
          </w:tcPr>
          <w:p w14:paraId="145D2F6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18.15</w:t>
            </w:r>
          </w:p>
        </w:tc>
      </w:tr>
      <w:tr w14:paraId="3EFDC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71CA5F8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w:t>
            </w:r>
          </w:p>
        </w:tc>
        <w:tc>
          <w:tcPr>
            <w:tcW w:w="600" w:type="dxa"/>
            <w:noWrap w:val="0"/>
            <w:vAlign w:val="center"/>
          </w:tcPr>
          <w:p w14:paraId="3E651CF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4.86</w:t>
            </w:r>
          </w:p>
        </w:tc>
        <w:tc>
          <w:tcPr>
            <w:tcW w:w="630" w:type="dxa"/>
            <w:noWrap w:val="0"/>
            <w:vAlign w:val="center"/>
          </w:tcPr>
          <w:p w14:paraId="0D9C4DC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5.69</w:t>
            </w:r>
          </w:p>
        </w:tc>
        <w:tc>
          <w:tcPr>
            <w:tcW w:w="705" w:type="dxa"/>
            <w:noWrap w:val="0"/>
            <w:vAlign w:val="center"/>
          </w:tcPr>
          <w:p w14:paraId="09B9FF6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5.56</w:t>
            </w:r>
          </w:p>
        </w:tc>
        <w:tc>
          <w:tcPr>
            <w:tcW w:w="667" w:type="dxa"/>
            <w:noWrap w:val="0"/>
            <w:vAlign w:val="center"/>
          </w:tcPr>
          <w:p w14:paraId="385C3BA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1.53</w:t>
            </w:r>
          </w:p>
        </w:tc>
        <w:tc>
          <w:tcPr>
            <w:tcW w:w="576" w:type="dxa"/>
            <w:noWrap w:val="0"/>
            <w:vAlign w:val="center"/>
          </w:tcPr>
          <w:p w14:paraId="17BE9BB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1.67</w:t>
            </w:r>
          </w:p>
        </w:tc>
        <w:tc>
          <w:tcPr>
            <w:tcW w:w="576" w:type="dxa"/>
            <w:noWrap w:val="0"/>
            <w:vAlign w:val="center"/>
          </w:tcPr>
          <w:p w14:paraId="6C84607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1.25</w:t>
            </w:r>
          </w:p>
        </w:tc>
        <w:tc>
          <w:tcPr>
            <w:tcW w:w="576" w:type="dxa"/>
            <w:noWrap w:val="0"/>
            <w:vAlign w:val="center"/>
          </w:tcPr>
          <w:p w14:paraId="6EB7647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0.69</w:t>
            </w:r>
          </w:p>
        </w:tc>
        <w:tc>
          <w:tcPr>
            <w:tcW w:w="576" w:type="dxa"/>
            <w:noWrap w:val="0"/>
            <w:vAlign w:val="center"/>
          </w:tcPr>
          <w:p w14:paraId="73B237D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1.53</w:t>
            </w:r>
          </w:p>
        </w:tc>
        <w:tc>
          <w:tcPr>
            <w:tcW w:w="576" w:type="dxa"/>
            <w:noWrap w:val="0"/>
            <w:vAlign w:val="center"/>
          </w:tcPr>
          <w:p w14:paraId="57F0A31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7.36</w:t>
            </w:r>
          </w:p>
        </w:tc>
        <w:tc>
          <w:tcPr>
            <w:tcW w:w="666" w:type="dxa"/>
            <w:noWrap w:val="0"/>
            <w:vAlign w:val="center"/>
          </w:tcPr>
          <w:p w14:paraId="77A728C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10.0</w:t>
            </w:r>
          </w:p>
        </w:tc>
        <w:tc>
          <w:tcPr>
            <w:tcW w:w="666" w:type="dxa"/>
            <w:noWrap w:val="0"/>
            <w:vAlign w:val="center"/>
          </w:tcPr>
          <w:p w14:paraId="24D9D0E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11.53</w:t>
            </w:r>
          </w:p>
        </w:tc>
        <w:tc>
          <w:tcPr>
            <w:tcW w:w="611" w:type="dxa"/>
            <w:noWrap w:val="0"/>
            <w:vAlign w:val="center"/>
          </w:tcPr>
          <w:p w14:paraId="755DEE3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12.08</w:t>
            </w:r>
          </w:p>
        </w:tc>
        <w:tc>
          <w:tcPr>
            <w:tcW w:w="690" w:type="dxa"/>
            <w:noWrap w:val="0"/>
            <w:vAlign w:val="center"/>
          </w:tcPr>
          <w:p w14:paraId="29A67D8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6.67</w:t>
            </w:r>
          </w:p>
        </w:tc>
        <w:tc>
          <w:tcPr>
            <w:tcW w:w="736" w:type="dxa"/>
            <w:noWrap w:val="0"/>
            <w:vAlign w:val="center"/>
          </w:tcPr>
          <w:p w14:paraId="2B3AF6A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2.50</w:t>
            </w:r>
          </w:p>
        </w:tc>
        <w:tc>
          <w:tcPr>
            <w:tcW w:w="525" w:type="dxa"/>
            <w:noWrap w:val="0"/>
            <w:vAlign w:val="center"/>
          </w:tcPr>
          <w:p w14:paraId="7EABE92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4.86</w:t>
            </w:r>
          </w:p>
        </w:tc>
        <w:tc>
          <w:tcPr>
            <w:tcW w:w="585" w:type="dxa"/>
            <w:noWrap w:val="0"/>
            <w:vAlign w:val="center"/>
          </w:tcPr>
          <w:p w14:paraId="47FD969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2.92</w:t>
            </w:r>
          </w:p>
        </w:tc>
        <w:tc>
          <w:tcPr>
            <w:tcW w:w="690" w:type="dxa"/>
            <w:noWrap w:val="0"/>
            <w:vAlign w:val="center"/>
          </w:tcPr>
          <w:p w14:paraId="4A0DFE0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19.31</w:t>
            </w:r>
          </w:p>
        </w:tc>
      </w:tr>
      <w:tr w14:paraId="07D48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1C97377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5</w:t>
            </w:r>
          </w:p>
        </w:tc>
        <w:tc>
          <w:tcPr>
            <w:tcW w:w="600" w:type="dxa"/>
            <w:noWrap w:val="0"/>
            <w:vAlign w:val="center"/>
          </w:tcPr>
          <w:p w14:paraId="7A66224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3.63</w:t>
            </w:r>
          </w:p>
        </w:tc>
        <w:tc>
          <w:tcPr>
            <w:tcW w:w="630" w:type="dxa"/>
            <w:noWrap w:val="0"/>
            <w:vAlign w:val="center"/>
          </w:tcPr>
          <w:p w14:paraId="7E8EC11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4.70</w:t>
            </w:r>
          </w:p>
        </w:tc>
        <w:tc>
          <w:tcPr>
            <w:tcW w:w="705" w:type="dxa"/>
            <w:noWrap w:val="0"/>
            <w:vAlign w:val="center"/>
          </w:tcPr>
          <w:p w14:paraId="7B9DBEA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3.90</w:t>
            </w:r>
          </w:p>
        </w:tc>
        <w:tc>
          <w:tcPr>
            <w:tcW w:w="667" w:type="dxa"/>
            <w:noWrap w:val="0"/>
            <w:vAlign w:val="center"/>
          </w:tcPr>
          <w:p w14:paraId="11332F0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2.69</w:t>
            </w:r>
          </w:p>
        </w:tc>
        <w:tc>
          <w:tcPr>
            <w:tcW w:w="576" w:type="dxa"/>
            <w:noWrap w:val="0"/>
            <w:vAlign w:val="center"/>
          </w:tcPr>
          <w:p w14:paraId="39590EA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2.15</w:t>
            </w:r>
          </w:p>
        </w:tc>
        <w:tc>
          <w:tcPr>
            <w:tcW w:w="576" w:type="dxa"/>
            <w:noWrap w:val="0"/>
            <w:vAlign w:val="center"/>
          </w:tcPr>
          <w:p w14:paraId="61F515B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5A20DE6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0D54D19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6DA800B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7.93</w:t>
            </w:r>
          </w:p>
        </w:tc>
        <w:tc>
          <w:tcPr>
            <w:tcW w:w="666" w:type="dxa"/>
            <w:noWrap w:val="0"/>
            <w:vAlign w:val="center"/>
          </w:tcPr>
          <w:p w14:paraId="50BEFA8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12.10</w:t>
            </w:r>
          </w:p>
        </w:tc>
        <w:tc>
          <w:tcPr>
            <w:tcW w:w="666" w:type="dxa"/>
            <w:noWrap w:val="0"/>
            <w:vAlign w:val="center"/>
          </w:tcPr>
          <w:p w14:paraId="7CFBD82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15.05</w:t>
            </w:r>
          </w:p>
        </w:tc>
        <w:tc>
          <w:tcPr>
            <w:tcW w:w="611" w:type="dxa"/>
            <w:noWrap w:val="0"/>
            <w:vAlign w:val="center"/>
          </w:tcPr>
          <w:p w14:paraId="3980DEA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13.98</w:t>
            </w:r>
          </w:p>
        </w:tc>
        <w:tc>
          <w:tcPr>
            <w:tcW w:w="690" w:type="dxa"/>
            <w:noWrap w:val="0"/>
            <w:vAlign w:val="center"/>
          </w:tcPr>
          <w:p w14:paraId="0DC256B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9.95</w:t>
            </w:r>
          </w:p>
        </w:tc>
        <w:tc>
          <w:tcPr>
            <w:tcW w:w="736" w:type="dxa"/>
            <w:noWrap w:val="0"/>
            <w:vAlign w:val="center"/>
          </w:tcPr>
          <w:p w14:paraId="55B5BE8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2.02</w:t>
            </w:r>
          </w:p>
        </w:tc>
        <w:tc>
          <w:tcPr>
            <w:tcW w:w="525" w:type="dxa"/>
            <w:noWrap w:val="0"/>
            <w:vAlign w:val="center"/>
          </w:tcPr>
          <w:p w14:paraId="2298BF0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2.15</w:t>
            </w:r>
          </w:p>
        </w:tc>
        <w:tc>
          <w:tcPr>
            <w:tcW w:w="585" w:type="dxa"/>
            <w:noWrap w:val="0"/>
            <w:vAlign w:val="center"/>
          </w:tcPr>
          <w:p w14:paraId="14EB719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3.23</w:t>
            </w:r>
          </w:p>
        </w:tc>
        <w:tc>
          <w:tcPr>
            <w:tcW w:w="690" w:type="dxa"/>
            <w:noWrap w:val="0"/>
            <w:vAlign w:val="center"/>
          </w:tcPr>
          <w:p w14:paraId="396E371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13.71</w:t>
            </w:r>
          </w:p>
        </w:tc>
      </w:tr>
      <w:tr w14:paraId="20E66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6CD9B00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w:t>
            </w:r>
          </w:p>
        </w:tc>
        <w:tc>
          <w:tcPr>
            <w:tcW w:w="600" w:type="dxa"/>
            <w:noWrap w:val="0"/>
            <w:vAlign w:val="center"/>
          </w:tcPr>
          <w:p w14:paraId="1F4492D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4.17</w:t>
            </w:r>
          </w:p>
        </w:tc>
        <w:tc>
          <w:tcPr>
            <w:tcW w:w="630" w:type="dxa"/>
            <w:noWrap w:val="0"/>
            <w:vAlign w:val="center"/>
          </w:tcPr>
          <w:p w14:paraId="1B3188E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4.58</w:t>
            </w:r>
          </w:p>
        </w:tc>
        <w:tc>
          <w:tcPr>
            <w:tcW w:w="705" w:type="dxa"/>
            <w:noWrap w:val="0"/>
            <w:vAlign w:val="center"/>
          </w:tcPr>
          <w:p w14:paraId="308533B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3.33</w:t>
            </w:r>
          </w:p>
        </w:tc>
        <w:tc>
          <w:tcPr>
            <w:tcW w:w="667" w:type="dxa"/>
            <w:noWrap w:val="0"/>
            <w:vAlign w:val="center"/>
          </w:tcPr>
          <w:p w14:paraId="0DB5A6A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4.17</w:t>
            </w:r>
          </w:p>
        </w:tc>
        <w:tc>
          <w:tcPr>
            <w:tcW w:w="576" w:type="dxa"/>
            <w:noWrap w:val="0"/>
            <w:vAlign w:val="center"/>
          </w:tcPr>
          <w:p w14:paraId="3DC48C2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3.06</w:t>
            </w:r>
          </w:p>
        </w:tc>
        <w:tc>
          <w:tcPr>
            <w:tcW w:w="576" w:type="dxa"/>
            <w:noWrap w:val="0"/>
            <w:vAlign w:val="center"/>
          </w:tcPr>
          <w:p w14:paraId="16F7C0B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1.67</w:t>
            </w:r>
          </w:p>
        </w:tc>
        <w:tc>
          <w:tcPr>
            <w:tcW w:w="576" w:type="dxa"/>
            <w:noWrap w:val="0"/>
            <w:vAlign w:val="center"/>
          </w:tcPr>
          <w:p w14:paraId="2870FF1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0.56</w:t>
            </w:r>
          </w:p>
        </w:tc>
        <w:tc>
          <w:tcPr>
            <w:tcW w:w="576" w:type="dxa"/>
            <w:noWrap w:val="0"/>
            <w:vAlign w:val="center"/>
          </w:tcPr>
          <w:p w14:paraId="44BFBEA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1.67</w:t>
            </w:r>
          </w:p>
        </w:tc>
        <w:tc>
          <w:tcPr>
            <w:tcW w:w="576" w:type="dxa"/>
            <w:noWrap w:val="0"/>
            <w:vAlign w:val="center"/>
          </w:tcPr>
          <w:p w14:paraId="3772A8D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9.31</w:t>
            </w:r>
          </w:p>
        </w:tc>
        <w:tc>
          <w:tcPr>
            <w:tcW w:w="666" w:type="dxa"/>
            <w:noWrap w:val="0"/>
            <w:vAlign w:val="center"/>
          </w:tcPr>
          <w:p w14:paraId="59F3389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8.47</w:t>
            </w:r>
          </w:p>
        </w:tc>
        <w:tc>
          <w:tcPr>
            <w:tcW w:w="666" w:type="dxa"/>
            <w:noWrap w:val="0"/>
            <w:vAlign w:val="center"/>
          </w:tcPr>
          <w:p w14:paraId="7650141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10.14</w:t>
            </w:r>
          </w:p>
        </w:tc>
        <w:tc>
          <w:tcPr>
            <w:tcW w:w="611" w:type="dxa"/>
            <w:noWrap w:val="0"/>
            <w:vAlign w:val="center"/>
          </w:tcPr>
          <w:p w14:paraId="7BFE714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9.58</w:t>
            </w:r>
          </w:p>
        </w:tc>
        <w:tc>
          <w:tcPr>
            <w:tcW w:w="690" w:type="dxa"/>
            <w:noWrap w:val="0"/>
            <w:vAlign w:val="center"/>
          </w:tcPr>
          <w:p w14:paraId="4E701C1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8.47</w:t>
            </w:r>
          </w:p>
        </w:tc>
        <w:tc>
          <w:tcPr>
            <w:tcW w:w="736" w:type="dxa"/>
            <w:noWrap w:val="0"/>
            <w:vAlign w:val="center"/>
          </w:tcPr>
          <w:p w14:paraId="5B5C8BF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3.61</w:t>
            </w:r>
          </w:p>
        </w:tc>
        <w:tc>
          <w:tcPr>
            <w:tcW w:w="525" w:type="dxa"/>
            <w:noWrap w:val="0"/>
            <w:vAlign w:val="center"/>
          </w:tcPr>
          <w:p w14:paraId="1701769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3.47</w:t>
            </w:r>
          </w:p>
        </w:tc>
        <w:tc>
          <w:tcPr>
            <w:tcW w:w="585" w:type="dxa"/>
            <w:noWrap w:val="0"/>
            <w:vAlign w:val="center"/>
          </w:tcPr>
          <w:p w14:paraId="70F83DF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4.44</w:t>
            </w:r>
          </w:p>
        </w:tc>
        <w:tc>
          <w:tcPr>
            <w:tcW w:w="690" w:type="dxa"/>
            <w:noWrap w:val="0"/>
            <w:vAlign w:val="center"/>
          </w:tcPr>
          <w:p w14:paraId="2D329E2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19.31</w:t>
            </w:r>
          </w:p>
        </w:tc>
      </w:tr>
      <w:tr w14:paraId="11A7E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79D43B6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w:t>
            </w:r>
          </w:p>
        </w:tc>
        <w:tc>
          <w:tcPr>
            <w:tcW w:w="600" w:type="dxa"/>
            <w:noWrap w:val="0"/>
            <w:vAlign w:val="center"/>
          </w:tcPr>
          <w:p w14:paraId="03A7756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4.84</w:t>
            </w:r>
          </w:p>
        </w:tc>
        <w:tc>
          <w:tcPr>
            <w:tcW w:w="630" w:type="dxa"/>
            <w:noWrap w:val="0"/>
            <w:vAlign w:val="center"/>
          </w:tcPr>
          <w:p w14:paraId="4416206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4.30</w:t>
            </w:r>
          </w:p>
        </w:tc>
        <w:tc>
          <w:tcPr>
            <w:tcW w:w="705" w:type="dxa"/>
            <w:noWrap w:val="0"/>
            <w:vAlign w:val="center"/>
          </w:tcPr>
          <w:p w14:paraId="5A4B738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3.76</w:t>
            </w:r>
          </w:p>
        </w:tc>
        <w:tc>
          <w:tcPr>
            <w:tcW w:w="667" w:type="dxa"/>
            <w:noWrap w:val="0"/>
            <w:vAlign w:val="center"/>
          </w:tcPr>
          <w:p w14:paraId="630F422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3.76</w:t>
            </w:r>
          </w:p>
        </w:tc>
        <w:tc>
          <w:tcPr>
            <w:tcW w:w="576" w:type="dxa"/>
            <w:noWrap w:val="0"/>
            <w:vAlign w:val="center"/>
          </w:tcPr>
          <w:p w14:paraId="22A96C0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3.23</w:t>
            </w:r>
          </w:p>
        </w:tc>
        <w:tc>
          <w:tcPr>
            <w:tcW w:w="576" w:type="dxa"/>
            <w:noWrap w:val="0"/>
            <w:vAlign w:val="center"/>
          </w:tcPr>
          <w:p w14:paraId="2FAF6EA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2.15</w:t>
            </w:r>
          </w:p>
        </w:tc>
        <w:tc>
          <w:tcPr>
            <w:tcW w:w="576" w:type="dxa"/>
            <w:noWrap w:val="0"/>
            <w:vAlign w:val="center"/>
          </w:tcPr>
          <w:p w14:paraId="372BACA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1CDE999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66FE52F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6.05</w:t>
            </w:r>
          </w:p>
        </w:tc>
        <w:tc>
          <w:tcPr>
            <w:tcW w:w="666" w:type="dxa"/>
            <w:noWrap w:val="0"/>
            <w:vAlign w:val="center"/>
          </w:tcPr>
          <w:p w14:paraId="4AFAB1D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8.06</w:t>
            </w:r>
          </w:p>
        </w:tc>
        <w:tc>
          <w:tcPr>
            <w:tcW w:w="666" w:type="dxa"/>
            <w:noWrap w:val="0"/>
            <w:vAlign w:val="center"/>
          </w:tcPr>
          <w:p w14:paraId="37D97E7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9.01</w:t>
            </w:r>
          </w:p>
        </w:tc>
        <w:tc>
          <w:tcPr>
            <w:tcW w:w="611" w:type="dxa"/>
            <w:noWrap w:val="0"/>
            <w:vAlign w:val="center"/>
          </w:tcPr>
          <w:p w14:paraId="7227BEE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8.74</w:t>
            </w:r>
          </w:p>
        </w:tc>
        <w:tc>
          <w:tcPr>
            <w:tcW w:w="690" w:type="dxa"/>
            <w:noWrap w:val="0"/>
            <w:vAlign w:val="center"/>
          </w:tcPr>
          <w:p w14:paraId="2FE617B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8.33</w:t>
            </w:r>
          </w:p>
        </w:tc>
        <w:tc>
          <w:tcPr>
            <w:tcW w:w="736" w:type="dxa"/>
            <w:noWrap w:val="0"/>
            <w:vAlign w:val="center"/>
          </w:tcPr>
          <w:p w14:paraId="4191390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3.23</w:t>
            </w:r>
          </w:p>
        </w:tc>
        <w:tc>
          <w:tcPr>
            <w:tcW w:w="525" w:type="dxa"/>
            <w:noWrap w:val="0"/>
            <w:vAlign w:val="center"/>
          </w:tcPr>
          <w:p w14:paraId="71DB62F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4.17</w:t>
            </w:r>
          </w:p>
        </w:tc>
        <w:tc>
          <w:tcPr>
            <w:tcW w:w="585" w:type="dxa"/>
            <w:noWrap w:val="0"/>
            <w:vAlign w:val="center"/>
          </w:tcPr>
          <w:p w14:paraId="34AF565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2.96</w:t>
            </w:r>
          </w:p>
        </w:tc>
        <w:tc>
          <w:tcPr>
            <w:tcW w:w="690" w:type="dxa"/>
            <w:noWrap w:val="0"/>
            <w:vAlign w:val="center"/>
          </w:tcPr>
          <w:p w14:paraId="59DE54A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25.54</w:t>
            </w:r>
          </w:p>
        </w:tc>
      </w:tr>
      <w:tr w14:paraId="1E3E5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7AD0735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w:t>
            </w:r>
          </w:p>
        </w:tc>
        <w:tc>
          <w:tcPr>
            <w:tcW w:w="600" w:type="dxa"/>
            <w:noWrap w:val="0"/>
            <w:vAlign w:val="center"/>
          </w:tcPr>
          <w:p w14:paraId="3505828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5.24</w:t>
            </w:r>
          </w:p>
        </w:tc>
        <w:tc>
          <w:tcPr>
            <w:tcW w:w="630" w:type="dxa"/>
            <w:noWrap w:val="0"/>
            <w:vAlign w:val="center"/>
          </w:tcPr>
          <w:p w14:paraId="1F25F1F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3.23</w:t>
            </w:r>
          </w:p>
        </w:tc>
        <w:tc>
          <w:tcPr>
            <w:tcW w:w="705" w:type="dxa"/>
            <w:noWrap w:val="0"/>
            <w:vAlign w:val="center"/>
          </w:tcPr>
          <w:p w14:paraId="25C237C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3.76</w:t>
            </w:r>
          </w:p>
        </w:tc>
        <w:tc>
          <w:tcPr>
            <w:tcW w:w="667" w:type="dxa"/>
            <w:noWrap w:val="0"/>
            <w:vAlign w:val="center"/>
          </w:tcPr>
          <w:p w14:paraId="7C7F693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2.28</w:t>
            </w:r>
          </w:p>
        </w:tc>
        <w:tc>
          <w:tcPr>
            <w:tcW w:w="576" w:type="dxa"/>
            <w:noWrap w:val="0"/>
            <w:vAlign w:val="center"/>
          </w:tcPr>
          <w:p w14:paraId="37452A7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2.02</w:t>
            </w:r>
          </w:p>
        </w:tc>
        <w:tc>
          <w:tcPr>
            <w:tcW w:w="576" w:type="dxa"/>
            <w:noWrap w:val="0"/>
            <w:vAlign w:val="center"/>
          </w:tcPr>
          <w:p w14:paraId="54C7189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1.34</w:t>
            </w:r>
          </w:p>
        </w:tc>
        <w:tc>
          <w:tcPr>
            <w:tcW w:w="576" w:type="dxa"/>
            <w:noWrap w:val="0"/>
            <w:vAlign w:val="center"/>
          </w:tcPr>
          <w:p w14:paraId="1F23B05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6E2D51E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1.48</w:t>
            </w:r>
          </w:p>
        </w:tc>
        <w:tc>
          <w:tcPr>
            <w:tcW w:w="576" w:type="dxa"/>
            <w:noWrap w:val="0"/>
            <w:vAlign w:val="center"/>
          </w:tcPr>
          <w:p w14:paraId="52A15B1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8.33</w:t>
            </w:r>
          </w:p>
        </w:tc>
        <w:tc>
          <w:tcPr>
            <w:tcW w:w="666" w:type="dxa"/>
            <w:noWrap w:val="0"/>
            <w:vAlign w:val="center"/>
          </w:tcPr>
          <w:p w14:paraId="2850375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6.72</w:t>
            </w:r>
          </w:p>
        </w:tc>
        <w:tc>
          <w:tcPr>
            <w:tcW w:w="666" w:type="dxa"/>
            <w:noWrap w:val="0"/>
            <w:vAlign w:val="center"/>
          </w:tcPr>
          <w:p w14:paraId="109F90E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10.62</w:t>
            </w:r>
          </w:p>
        </w:tc>
        <w:tc>
          <w:tcPr>
            <w:tcW w:w="611" w:type="dxa"/>
            <w:noWrap w:val="0"/>
            <w:vAlign w:val="center"/>
          </w:tcPr>
          <w:p w14:paraId="6BA86E9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8.74</w:t>
            </w:r>
          </w:p>
        </w:tc>
        <w:tc>
          <w:tcPr>
            <w:tcW w:w="690" w:type="dxa"/>
            <w:noWrap w:val="0"/>
            <w:vAlign w:val="center"/>
          </w:tcPr>
          <w:p w14:paraId="0B87892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8.87</w:t>
            </w:r>
          </w:p>
        </w:tc>
        <w:tc>
          <w:tcPr>
            <w:tcW w:w="736" w:type="dxa"/>
            <w:noWrap w:val="0"/>
            <w:vAlign w:val="center"/>
          </w:tcPr>
          <w:p w14:paraId="78E4DBA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3.76</w:t>
            </w:r>
          </w:p>
        </w:tc>
        <w:tc>
          <w:tcPr>
            <w:tcW w:w="525" w:type="dxa"/>
            <w:noWrap w:val="0"/>
            <w:vAlign w:val="center"/>
          </w:tcPr>
          <w:p w14:paraId="5E209DF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5.11</w:t>
            </w:r>
          </w:p>
        </w:tc>
        <w:tc>
          <w:tcPr>
            <w:tcW w:w="585" w:type="dxa"/>
            <w:noWrap w:val="0"/>
            <w:vAlign w:val="center"/>
          </w:tcPr>
          <w:p w14:paraId="6C2B96A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3.36</w:t>
            </w:r>
          </w:p>
        </w:tc>
        <w:tc>
          <w:tcPr>
            <w:tcW w:w="690" w:type="dxa"/>
            <w:noWrap w:val="0"/>
            <w:vAlign w:val="center"/>
          </w:tcPr>
          <w:p w14:paraId="16D50B4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24.19</w:t>
            </w:r>
          </w:p>
        </w:tc>
      </w:tr>
      <w:tr w14:paraId="59080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2B64E93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w:t>
            </w:r>
          </w:p>
        </w:tc>
        <w:tc>
          <w:tcPr>
            <w:tcW w:w="600" w:type="dxa"/>
            <w:noWrap w:val="0"/>
            <w:vAlign w:val="center"/>
          </w:tcPr>
          <w:p w14:paraId="44E09DD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3.89</w:t>
            </w:r>
          </w:p>
        </w:tc>
        <w:tc>
          <w:tcPr>
            <w:tcW w:w="630" w:type="dxa"/>
            <w:noWrap w:val="0"/>
            <w:vAlign w:val="center"/>
          </w:tcPr>
          <w:p w14:paraId="6A76752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2.64</w:t>
            </w:r>
          </w:p>
        </w:tc>
        <w:tc>
          <w:tcPr>
            <w:tcW w:w="705" w:type="dxa"/>
            <w:noWrap w:val="0"/>
            <w:vAlign w:val="center"/>
          </w:tcPr>
          <w:p w14:paraId="482565F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2.22</w:t>
            </w:r>
          </w:p>
        </w:tc>
        <w:tc>
          <w:tcPr>
            <w:tcW w:w="667" w:type="dxa"/>
            <w:noWrap w:val="0"/>
            <w:vAlign w:val="center"/>
          </w:tcPr>
          <w:p w14:paraId="48DFFF5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2.78</w:t>
            </w:r>
          </w:p>
        </w:tc>
        <w:tc>
          <w:tcPr>
            <w:tcW w:w="576" w:type="dxa"/>
            <w:noWrap w:val="0"/>
            <w:vAlign w:val="center"/>
          </w:tcPr>
          <w:p w14:paraId="7019F68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1.94</w:t>
            </w:r>
          </w:p>
        </w:tc>
        <w:tc>
          <w:tcPr>
            <w:tcW w:w="576" w:type="dxa"/>
            <w:noWrap w:val="0"/>
            <w:vAlign w:val="center"/>
          </w:tcPr>
          <w:p w14:paraId="0669CE6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w:t>
            </w:r>
          </w:p>
        </w:tc>
        <w:tc>
          <w:tcPr>
            <w:tcW w:w="576" w:type="dxa"/>
            <w:noWrap w:val="0"/>
            <w:vAlign w:val="center"/>
          </w:tcPr>
          <w:p w14:paraId="7F4F654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1.11</w:t>
            </w:r>
          </w:p>
        </w:tc>
        <w:tc>
          <w:tcPr>
            <w:tcW w:w="576" w:type="dxa"/>
            <w:noWrap w:val="0"/>
            <w:vAlign w:val="center"/>
          </w:tcPr>
          <w:p w14:paraId="16C003A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1.81</w:t>
            </w:r>
          </w:p>
        </w:tc>
        <w:tc>
          <w:tcPr>
            <w:tcW w:w="576" w:type="dxa"/>
            <w:noWrap w:val="0"/>
            <w:vAlign w:val="center"/>
          </w:tcPr>
          <w:p w14:paraId="351E78D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6.81</w:t>
            </w:r>
          </w:p>
        </w:tc>
        <w:tc>
          <w:tcPr>
            <w:tcW w:w="666" w:type="dxa"/>
            <w:noWrap w:val="0"/>
            <w:vAlign w:val="center"/>
          </w:tcPr>
          <w:p w14:paraId="2FE5DE9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9.44</w:t>
            </w:r>
          </w:p>
        </w:tc>
        <w:tc>
          <w:tcPr>
            <w:tcW w:w="666" w:type="dxa"/>
            <w:noWrap w:val="0"/>
            <w:vAlign w:val="center"/>
          </w:tcPr>
          <w:p w14:paraId="2D7E5FF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10.42</w:t>
            </w:r>
          </w:p>
        </w:tc>
        <w:tc>
          <w:tcPr>
            <w:tcW w:w="611" w:type="dxa"/>
            <w:noWrap w:val="0"/>
            <w:vAlign w:val="center"/>
          </w:tcPr>
          <w:p w14:paraId="5323A41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9.17</w:t>
            </w:r>
          </w:p>
        </w:tc>
        <w:tc>
          <w:tcPr>
            <w:tcW w:w="690" w:type="dxa"/>
            <w:noWrap w:val="0"/>
            <w:vAlign w:val="center"/>
          </w:tcPr>
          <w:p w14:paraId="3008D2C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10.42</w:t>
            </w:r>
          </w:p>
        </w:tc>
        <w:tc>
          <w:tcPr>
            <w:tcW w:w="736" w:type="dxa"/>
            <w:noWrap w:val="0"/>
            <w:vAlign w:val="center"/>
          </w:tcPr>
          <w:p w14:paraId="52E682C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3.33</w:t>
            </w:r>
          </w:p>
        </w:tc>
        <w:tc>
          <w:tcPr>
            <w:tcW w:w="525" w:type="dxa"/>
            <w:noWrap w:val="0"/>
            <w:vAlign w:val="center"/>
          </w:tcPr>
          <w:p w14:paraId="369AF7F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3.75</w:t>
            </w:r>
          </w:p>
        </w:tc>
        <w:tc>
          <w:tcPr>
            <w:tcW w:w="585" w:type="dxa"/>
            <w:noWrap w:val="0"/>
            <w:vAlign w:val="center"/>
          </w:tcPr>
          <w:p w14:paraId="3A8C746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4.17</w:t>
            </w:r>
          </w:p>
        </w:tc>
        <w:tc>
          <w:tcPr>
            <w:tcW w:w="690" w:type="dxa"/>
            <w:noWrap w:val="0"/>
            <w:vAlign w:val="center"/>
          </w:tcPr>
          <w:p w14:paraId="17CA75C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24.72</w:t>
            </w:r>
          </w:p>
        </w:tc>
      </w:tr>
      <w:tr w14:paraId="59B6F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2745EB9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w:t>
            </w:r>
          </w:p>
        </w:tc>
        <w:tc>
          <w:tcPr>
            <w:tcW w:w="600" w:type="dxa"/>
            <w:noWrap w:val="0"/>
            <w:vAlign w:val="center"/>
          </w:tcPr>
          <w:p w14:paraId="39C4203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2.55</w:t>
            </w:r>
          </w:p>
        </w:tc>
        <w:tc>
          <w:tcPr>
            <w:tcW w:w="630" w:type="dxa"/>
            <w:noWrap w:val="0"/>
            <w:vAlign w:val="center"/>
          </w:tcPr>
          <w:p w14:paraId="647BB8F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1.88</w:t>
            </w:r>
          </w:p>
        </w:tc>
        <w:tc>
          <w:tcPr>
            <w:tcW w:w="705" w:type="dxa"/>
            <w:noWrap w:val="0"/>
            <w:vAlign w:val="center"/>
          </w:tcPr>
          <w:p w14:paraId="5ABD75D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c>
          <w:tcPr>
            <w:tcW w:w="667" w:type="dxa"/>
            <w:noWrap w:val="0"/>
            <w:vAlign w:val="center"/>
          </w:tcPr>
          <w:p w14:paraId="509A738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2.55</w:t>
            </w:r>
          </w:p>
        </w:tc>
        <w:tc>
          <w:tcPr>
            <w:tcW w:w="576" w:type="dxa"/>
            <w:noWrap w:val="0"/>
            <w:vAlign w:val="center"/>
          </w:tcPr>
          <w:p w14:paraId="5C0155F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2.55</w:t>
            </w:r>
          </w:p>
        </w:tc>
        <w:tc>
          <w:tcPr>
            <w:tcW w:w="576" w:type="dxa"/>
            <w:noWrap w:val="0"/>
            <w:vAlign w:val="center"/>
          </w:tcPr>
          <w:p w14:paraId="26311D5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center"/>
          </w:tcPr>
          <w:p w14:paraId="305AC4F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0.67</w:t>
            </w:r>
          </w:p>
        </w:tc>
        <w:tc>
          <w:tcPr>
            <w:tcW w:w="576" w:type="dxa"/>
            <w:noWrap w:val="0"/>
            <w:vAlign w:val="center"/>
          </w:tcPr>
          <w:p w14:paraId="700B407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1.48</w:t>
            </w:r>
          </w:p>
        </w:tc>
        <w:tc>
          <w:tcPr>
            <w:tcW w:w="576" w:type="dxa"/>
            <w:noWrap w:val="0"/>
            <w:vAlign w:val="center"/>
          </w:tcPr>
          <w:p w14:paraId="1DB80D7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8.60</w:t>
            </w:r>
          </w:p>
        </w:tc>
        <w:tc>
          <w:tcPr>
            <w:tcW w:w="666" w:type="dxa"/>
            <w:noWrap w:val="0"/>
            <w:vAlign w:val="center"/>
          </w:tcPr>
          <w:p w14:paraId="07A0AFC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11.83</w:t>
            </w:r>
          </w:p>
        </w:tc>
        <w:tc>
          <w:tcPr>
            <w:tcW w:w="666" w:type="dxa"/>
            <w:noWrap w:val="0"/>
            <w:vAlign w:val="center"/>
          </w:tcPr>
          <w:p w14:paraId="1E770FC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15.73</w:t>
            </w:r>
          </w:p>
        </w:tc>
        <w:tc>
          <w:tcPr>
            <w:tcW w:w="611" w:type="dxa"/>
            <w:noWrap w:val="0"/>
            <w:vAlign w:val="center"/>
          </w:tcPr>
          <w:p w14:paraId="0E10DE2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13.04</w:t>
            </w:r>
          </w:p>
        </w:tc>
        <w:tc>
          <w:tcPr>
            <w:tcW w:w="690" w:type="dxa"/>
            <w:noWrap w:val="0"/>
            <w:vAlign w:val="center"/>
          </w:tcPr>
          <w:p w14:paraId="1BD554D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9.41</w:t>
            </w:r>
          </w:p>
        </w:tc>
        <w:tc>
          <w:tcPr>
            <w:tcW w:w="736" w:type="dxa"/>
            <w:noWrap w:val="0"/>
            <w:vAlign w:val="center"/>
          </w:tcPr>
          <w:p w14:paraId="142EFFD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2.42</w:t>
            </w:r>
          </w:p>
        </w:tc>
        <w:tc>
          <w:tcPr>
            <w:tcW w:w="525" w:type="dxa"/>
            <w:noWrap w:val="0"/>
            <w:vAlign w:val="center"/>
          </w:tcPr>
          <w:p w14:paraId="2DCFCB0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2.28</w:t>
            </w:r>
          </w:p>
        </w:tc>
        <w:tc>
          <w:tcPr>
            <w:tcW w:w="585" w:type="dxa"/>
            <w:noWrap w:val="0"/>
            <w:vAlign w:val="center"/>
          </w:tcPr>
          <w:p w14:paraId="437FC95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1.34</w:t>
            </w:r>
          </w:p>
        </w:tc>
        <w:tc>
          <w:tcPr>
            <w:tcW w:w="690" w:type="dxa"/>
            <w:noWrap w:val="0"/>
            <w:vAlign w:val="center"/>
          </w:tcPr>
          <w:p w14:paraId="16E02B7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29.97</w:t>
            </w:r>
          </w:p>
        </w:tc>
      </w:tr>
      <w:tr w14:paraId="644AB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3B8F1A4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w:t>
            </w:r>
          </w:p>
        </w:tc>
        <w:tc>
          <w:tcPr>
            <w:tcW w:w="600" w:type="dxa"/>
            <w:noWrap w:val="0"/>
            <w:vAlign w:val="center"/>
          </w:tcPr>
          <w:p w14:paraId="0FEE2C3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w:t>
            </w:r>
          </w:p>
        </w:tc>
        <w:tc>
          <w:tcPr>
            <w:tcW w:w="630" w:type="dxa"/>
            <w:noWrap w:val="0"/>
            <w:vAlign w:val="center"/>
          </w:tcPr>
          <w:p w14:paraId="5C1A14A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3.19</w:t>
            </w:r>
          </w:p>
        </w:tc>
        <w:tc>
          <w:tcPr>
            <w:tcW w:w="705" w:type="dxa"/>
            <w:noWrap w:val="0"/>
            <w:vAlign w:val="center"/>
          </w:tcPr>
          <w:p w14:paraId="668A557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3.61</w:t>
            </w:r>
          </w:p>
        </w:tc>
        <w:tc>
          <w:tcPr>
            <w:tcW w:w="667" w:type="dxa"/>
            <w:noWrap w:val="0"/>
            <w:vAlign w:val="center"/>
          </w:tcPr>
          <w:p w14:paraId="2338737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3.19</w:t>
            </w:r>
          </w:p>
        </w:tc>
        <w:tc>
          <w:tcPr>
            <w:tcW w:w="576" w:type="dxa"/>
            <w:noWrap w:val="0"/>
            <w:vAlign w:val="center"/>
          </w:tcPr>
          <w:p w14:paraId="511582D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2.50</w:t>
            </w:r>
          </w:p>
        </w:tc>
        <w:tc>
          <w:tcPr>
            <w:tcW w:w="576" w:type="dxa"/>
            <w:noWrap w:val="0"/>
            <w:vAlign w:val="center"/>
          </w:tcPr>
          <w:p w14:paraId="323B9F2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0.56</w:t>
            </w:r>
          </w:p>
        </w:tc>
        <w:tc>
          <w:tcPr>
            <w:tcW w:w="576" w:type="dxa"/>
            <w:noWrap w:val="0"/>
            <w:vAlign w:val="center"/>
          </w:tcPr>
          <w:p w14:paraId="612F889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1.11</w:t>
            </w:r>
          </w:p>
        </w:tc>
        <w:tc>
          <w:tcPr>
            <w:tcW w:w="576" w:type="dxa"/>
            <w:noWrap w:val="0"/>
            <w:vAlign w:val="center"/>
          </w:tcPr>
          <w:p w14:paraId="2D67FE9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1.11</w:t>
            </w:r>
          </w:p>
        </w:tc>
        <w:tc>
          <w:tcPr>
            <w:tcW w:w="576" w:type="dxa"/>
            <w:noWrap w:val="0"/>
            <w:vAlign w:val="center"/>
          </w:tcPr>
          <w:p w14:paraId="00ED5AB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7.22</w:t>
            </w:r>
          </w:p>
        </w:tc>
        <w:tc>
          <w:tcPr>
            <w:tcW w:w="666" w:type="dxa"/>
            <w:noWrap w:val="0"/>
            <w:vAlign w:val="center"/>
          </w:tcPr>
          <w:p w14:paraId="38EA584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14.03</w:t>
            </w:r>
          </w:p>
        </w:tc>
        <w:tc>
          <w:tcPr>
            <w:tcW w:w="666" w:type="dxa"/>
            <w:noWrap w:val="0"/>
            <w:vAlign w:val="center"/>
          </w:tcPr>
          <w:p w14:paraId="5F54593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15.69</w:t>
            </w:r>
          </w:p>
        </w:tc>
        <w:tc>
          <w:tcPr>
            <w:tcW w:w="611" w:type="dxa"/>
            <w:noWrap w:val="0"/>
            <w:vAlign w:val="center"/>
          </w:tcPr>
          <w:p w14:paraId="7B4D426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10.00</w:t>
            </w:r>
          </w:p>
        </w:tc>
        <w:tc>
          <w:tcPr>
            <w:tcW w:w="690" w:type="dxa"/>
            <w:noWrap w:val="0"/>
            <w:vAlign w:val="center"/>
          </w:tcPr>
          <w:p w14:paraId="5075ABF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6.94</w:t>
            </w:r>
          </w:p>
        </w:tc>
        <w:tc>
          <w:tcPr>
            <w:tcW w:w="736" w:type="dxa"/>
            <w:noWrap w:val="0"/>
            <w:vAlign w:val="center"/>
          </w:tcPr>
          <w:p w14:paraId="3B1442F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2.64</w:t>
            </w:r>
          </w:p>
        </w:tc>
        <w:tc>
          <w:tcPr>
            <w:tcW w:w="525" w:type="dxa"/>
            <w:noWrap w:val="0"/>
            <w:vAlign w:val="center"/>
          </w:tcPr>
          <w:p w14:paraId="766CC02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2.22</w:t>
            </w:r>
          </w:p>
        </w:tc>
        <w:tc>
          <w:tcPr>
            <w:tcW w:w="585" w:type="dxa"/>
            <w:noWrap w:val="0"/>
            <w:vAlign w:val="center"/>
          </w:tcPr>
          <w:p w14:paraId="5F9EE0D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1.94</w:t>
            </w:r>
          </w:p>
        </w:tc>
        <w:tc>
          <w:tcPr>
            <w:tcW w:w="690" w:type="dxa"/>
            <w:noWrap w:val="0"/>
            <w:vAlign w:val="center"/>
          </w:tcPr>
          <w:p w14:paraId="4E730C4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22.64</w:t>
            </w:r>
          </w:p>
        </w:tc>
      </w:tr>
      <w:tr w14:paraId="5B2AC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4ED410B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w:t>
            </w:r>
          </w:p>
        </w:tc>
        <w:tc>
          <w:tcPr>
            <w:tcW w:w="600" w:type="dxa"/>
            <w:noWrap w:val="0"/>
            <w:vAlign w:val="center"/>
          </w:tcPr>
          <w:p w14:paraId="164857B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2.28</w:t>
            </w:r>
          </w:p>
        </w:tc>
        <w:tc>
          <w:tcPr>
            <w:tcW w:w="630" w:type="dxa"/>
            <w:noWrap w:val="0"/>
            <w:vAlign w:val="center"/>
          </w:tcPr>
          <w:p w14:paraId="44B23E6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2.02</w:t>
            </w:r>
          </w:p>
        </w:tc>
        <w:tc>
          <w:tcPr>
            <w:tcW w:w="705" w:type="dxa"/>
            <w:noWrap w:val="0"/>
            <w:vAlign w:val="center"/>
          </w:tcPr>
          <w:p w14:paraId="1B4DC29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2.42</w:t>
            </w:r>
          </w:p>
        </w:tc>
        <w:tc>
          <w:tcPr>
            <w:tcW w:w="667" w:type="dxa"/>
            <w:noWrap w:val="0"/>
            <w:vAlign w:val="center"/>
          </w:tcPr>
          <w:p w14:paraId="285247A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1.61</w:t>
            </w:r>
          </w:p>
        </w:tc>
        <w:tc>
          <w:tcPr>
            <w:tcW w:w="576" w:type="dxa"/>
            <w:noWrap w:val="0"/>
            <w:vAlign w:val="center"/>
          </w:tcPr>
          <w:p w14:paraId="0C2CA49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1.88</w:t>
            </w:r>
          </w:p>
        </w:tc>
        <w:tc>
          <w:tcPr>
            <w:tcW w:w="576" w:type="dxa"/>
            <w:noWrap w:val="0"/>
            <w:vAlign w:val="center"/>
          </w:tcPr>
          <w:p w14:paraId="5BC74F5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0.81</w:t>
            </w:r>
          </w:p>
        </w:tc>
        <w:tc>
          <w:tcPr>
            <w:tcW w:w="576" w:type="dxa"/>
            <w:noWrap w:val="0"/>
            <w:vAlign w:val="center"/>
          </w:tcPr>
          <w:p w14:paraId="6C9C83F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c>
          <w:tcPr>
            <w:tcW w:w="576" w:type="dxa"/>
            <w:noWrap w:val="0"/>
            <w:vAlign w:val="center"/>
          </w:tcPr>
          <w:p w14:paraId="7837763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1.61</w:t>
            </w:r>
          </w:p>
        </w:tc>
        <w:tc>
          <w:tcPr>
            <w:tcW w:w="576" w:type="dxa"/>
            <w:noWrap w:val="0"/>
            <w:vAlign w:val="center"/>
          </w:tcPr>
          <w:p w14:paraId="4D72E4F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6.32</w:t>
            </w:r>
          </w:p>
        </w:tc>
        <w:tc>
          <w:tcPr>
            <w:tcW w:w="666" w:type="dxa"/>
            <w:noWrap w:val="0"/>
            <w:vAlign w:val="center"/>
          </w:tcPr>
          <w:p w14:paraId="55D77DC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12.77</w:t>
            </w:r>
          </w:p>
        </w:tc>
        <w:tc>
          <w:tcPr>
            <w:tcW w:w="666" w:type="dxa"/>
            <w:noWrap w:val="0"/>
            <w:vAlign w:val="center"/>
          </w:tcPr>
          <w:p w14:paraId="5F79AB8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15.99</w:t>
            </w:r>
          </w:p>
        </w:tc>
        <w:tc>
          <w:tcPr>
            <w:tcW w:w="611" w:type="dxa"/>
            <w:noWrap w:val="0"/>
            <w:vAlign w:val="center"/>
          </w:tcPr>
          <w:p w14:paraId="7567DEB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9.41</w:t>
            </w:r>
          </w:p>
        </w:tc>
        <w:tc>
          <w:tcPr>
            <w:tcW w:w="690" w:type="dxa"/>
            <w:noWrap w:val="0"/>
            <w:vAlign w:val="center"/>
          </w:tcPr>
          <w:p w14:paraId="06B0309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6.32</w:t>
            </w:r>
          </w:p>
        </w:tc>
        <w:tc>
          <w:tcPr>
            <w:tcW w:w="736" w:type="dxa"/>
            <w:noWrap w:val="0"/>
            <w:vAlign w:val="center"/>
          </w:tcPr>
          <w:p w14:paraId="08D374C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2.28</w:t>
            </w:r>
          </w:p>
        </w:tc>
        <w:tc>
          <w:tcPr>
            <w:tcW w:w="525" w:type="dxa"/>
            <w:noWrap w:val="0"/>
            <w:vAlign w:val="center"/>
          </w:tcPr>
          <w:p w14:paraId="7FA5BDF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1.75</w:t>
            </w:r>
          </w:p>
        </w:tc>
        <w:tc>
          <w:tcPr>
            <w:tcW w:w="585" w:type="dxa"/>
            <w:noWrap w:val="0"/>
            <w:vAlign w:val="center"/>
          </w:tcPr>
          <w:p w14:paraId="089B165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1.34</w:t>
            </w:r>
          </w:p>
        </w:tc>
        <w:tc>
          <w:tcPr>
            <w:tcW w:w="690" w:type="dxa"/>
            <w:noWrap w:val="0"/>
            <w:vAlign w:val="center"/>
          </w:tcPr>
          <w:p w14:paraId="064C4C6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29.97</w:t>
            </w:r>
          </w:p>
        </w:tc>
      </w:tr>
      <w:tr w14:paraId="4B0DD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79292A1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春</w:t>
            </w:r>
          </w:p>
        </w:tc>
        <w:tc>
          <w:tcPr>
            <w:tcW w:w="600" w:type="dxa"/>
            <w:noWrap w:val="0"/>
            <w:vAlign w:val="center"/>
          </w:tcPr>
          <w:p w14:paraId="6650922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4.17</w:t>
            </w:r>
          </w:p>
        </w:tc>
        <w:tc>
          <w:tcPr>
            <w:tcW w:w="630" w:type="dxa"/>
            <w:noWrap w:val="0"/>
            <w:vAlign w:val="center"/>
          </w:tcPr>
          <w:p w14:paraId="7348F83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4.89</w:t>
            </w:r>
          </w:p>
        </w:tc>
        <w:tc>
          <w:tcPr>
            <w:tcW w:w="705" w:type="dxa"/>
            <w:noWrap w:val="0"/>
            <w:vAlign w:val="center"/>
          </w:tcPr>
          <w:p w14:paraId="008672C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4.21</w:t>
            </w:r>
          </w:p>
        </w:tc>
        <w:tc>
          <w:tcPr>
            <w:tcW w:w="667" w:type="dxa"/>
            <w:noWrap w:val="0"/>
            <w:vAlign w:val="center"/>
          </w:tcPr>
          <w:p w14:paraId="53960E5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2.45</w:t>
            </w:r>
          </w:p>
        </w:tc>
        <w:tc>
          <w:tcPr>
            <w:tcW w:w="576" w:type="dxa"/>
            <w:noWrap w:val="0"/>
            <w:vAlign w:val="center"/>
          </w:tcPr>
          <w:p w14:paraId="163BD08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1.95</w:t>
            </w:r>
          </w:p>
        </w:tc>
        <w:tc>
          <w:tcPr>
            <w:tcW w:w="576" w:type="dxa"/>
            <w:noWrap w:val="0"/>
            <w:vAlign w:val="center"/>
          </w:tcPr>
          <w:p w14:paraId="607D65A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1.09</w:t>
            </w:r>
          </w:p>
        </w:tc>
        <w:tc>
          <w:tcPr>
            <w:tcW w:w="576" w:type="dxa"/>
            <w:noWrap w:val="0"/>
            <w:vAlign w:val="center"/>
          </w:tcPr>
          <w:p w14:paraId="6939D02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0.95</w:t>
            </w:r>
          </w:p>
        </w:tc>
        <w:tc>
          <w:tcPr>
            <w:tcW w:w="576" w:type="dxa"/>
            <w:noWrap w:val="0"/>
            <w:vAlign w:val="center"/>
          </w:tcPr>
          <w:p w14:paraId="7526567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576" w:type="dxa"/>
            <w:noWrap w:val="0"/>
            <w:vAlign w:val="center"/>
          </w:tcPr>
          <w:p w14:paraId="03434C6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7.61</w:t>
            </w:r>
          </w:p>
        </w:tc>
        <w:tc>
          <w:tcPr>
            <w:tcW w:w="666" w:type="dxa"/>
            <w:noWrap w:val="0"/>
            <w:vAlign w:val="center"/>
          </w:tcPr>
          <w:p w14:paraId="1F3712F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11.68</w:t>
            </w:r>
          </w:p>
        </w:tc>
        <w:tc>
          <w:tcPr>
            <w:tcW w:w="666" w:type="dxa"/>
            <w:noWrap w:val="0"/>
            <w:vAlign w:val="center"/>
          </w:tcPr>
          <w:p w14:paraId="33A293A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13.00</w:t>
            </w:r>
          </w:p>
        </w:tc>
        <w:tc>
          <w:tcPr>
            <w:tcW w:w="611" w:type="dxa"/>
            <w:noWrap w:val="0"/>
            <w:vAlign w:val="center"/>
          </w:tcPr>
          <w:p w14:paraId="7F0E4A4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13.0</w:t>
            </w:r>
          </w:p>
        </w:tc>
        <w:tc>
          <w:tcPr>
            <w:tcW w:w="690" w:type="dxa"/>
            <w:noWrap w:val="0"/>
            <w:vAlign w:val="center"/>
          </w:tcPr>
          <w:p w14:paraId="3714A78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8.51</w:t>
            </w:r>
          </w:p>
        </w:tc>
        <w:tc>
          <w:tcPr>
            <w:tcW w:w="736" w:type="dxa"/>
            <w:noWrap w:val="0"/>
            <w:vAlign w:val="center"/>
          </w:tcPr>
          <w:p w14:paraId="4B39861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2.45</w:t>
            </w:r>
          </w:p>
        </w:tc>
        <w:tc>
          <w:tcPr>
            <w:tcW w:w="525" w:type="dxa"/>
            <w:noWrap w:val="0"/>
            <w:vAlign w:val="center"/>
          </w:tcPr>
          <w:p w14:paraId="10E73DDC">
            <w:pPr>
              <w:widowControl w:val="0"/>
              <w:spacing w:line="360" w:lineRule="auto"/>
              <w:ind w:left="0" w:firstLine="0"/>
              <w:jc w:val="center"/>
              <w:rPr>
                <w:rFonts w:hint="eastAsia"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2.99</w:t>
            </w:r>
          </w:p>
          <w:p w14:paraId="49FE1D0D">
            <w:pPr>
              <w:widowControl w:val="0"/>
              <w:spacing w:line="360" w:lineRule="auto"/>
              <w:ind w:left="0" w:firstLine="0"/>
              <w:jc w:val="center"/>
              <w:rPr>
                <w:rFonts w:ascii="宋体" w:hAnsi="Courier New" w:eastAsia="宋体" w:cs="Courier New"/>
                <w:sz w:val="18"/>
                <w:szCs w:val="18"/>
                <w:vertAlign w:val="baseline"/>
                <w:lang w:val="en-US" w:eastAsia="zh-CN" w:bidi="ar-SA"/>
              </w:rPr>
            </w:pPr>
          </w:p>
        </w:tc>
        <w:tc>
          <w:tcPr>
            <w:tcW w:w="585" w:type="dxa"/>
            <w:noWrap w:val="0"/>
            <w:vAlign w:val="center"/>
          </w:tcPr>
          <w:p w14:paraId="34E7A76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2.67</w:t>
            </w:r>
          </w:p>
        </w:tc>
        <w:tc>
          <w:tcPr>
            <w:tcW w:w="690" w:type="dxa"/>
            <w:noWrap w:val="0"/>
            <w:vAlign w:val="center"/>
          </w:tcPr>
          <w:p w14:paraId="6847011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17.03</w:t>
            </w:r>
          </w:p>
        </w:tc>
      </w:tr>
      <w:tr w14:paraId="76050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06760BA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夏</w:t>
            </w:r>
          </w:p>
        </w:tc>
        <w:tc>
          <w:tcPr>
            <w:tcW w:w="600" w:type="dxa"/>
            <w:noWrap w:val="0"/>
            <w:vAlign w:val="center"/>
          </w:tcPr>
          <w:p w14:paraId="74F8BF6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4.76</w:t>
            </w:r>
          </w:p>
        </w:tc>
        <w:tc>
          <w:tcPr>
            <w:tcW w:w="630" w:type="dxa"/>
            <w:noWrap w:val="0"/>
            <w:vAlign w:val="center"/>
          </w:tcPr>
          <w:p w14:paraId="0268CCC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4.03</w:t>
            </w:r>
          </w:p>
        </w:tc>
        <w:tc>
          <w:tcPr>
            <w:tcW w:w="705" w:type="dxa"/>
            <w:noWrap w:val="0"/>
            <w:vAlign w:val="center"/>
          </w:tcPr>
          <w:p w14:paraId="7CCFAC6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3.62</w:t>
            </w:r>
          </w:p>
        </w:tc>
        <w:tc>
          <w:tcPr>
            <w:tcW w:w="667" w:type="dxa"/>
            <w:noWrap w:val="0"/>
            <w:vAlign w:val="center"/>
          </w:tcPr>
          <w:p w14:paraId="4D50DA3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3.40</w:t>
            </w:r>
          </w:p>
        </w:tc>
        <w:tc>
          <w:tcPr>
            <w:tcW w:w="576" w:type="dxa"/>
            <w:noWrap w:val="0"/>
            <w:vAlign w:val="center"/>
          </w:tcPr>
          <w:p w14:paraId="32CBF2D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2.76</w:t>
            </w:r>
          </w:p>
        </w:tc>
        <w:tc>
          <w:tcPr>
            <w:tcW w:w="576" w:type="dxa"/>
            <w:noWrap w:val="0"/>
            <w:vAlign w:val="center"/>
          </w:tcPr>
          <w:p w14:paraId="65F2318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1.72</w:t>
            </w:r>
          </w:p>
        </w:tc>
        <w:tc>
          <w:tcPr>
            <w:tcW w:w="576" w:type="dxa"/>
            <w:noWrap w:val="0"/>
            <w:vAlign w:val="center"/>
          </w:tcPr>
          <w:p w14:paraId="5D63C98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0.82</w:t>
            </w:r>
          </w:p>
        </w:tc>
        <w:tc>
          <w:tcPr>
            <w:tcW w:w="576" w:type="dxa"/>
            <w:noWrap w:val="0"/>
            <w:vAlign w:val="center"/>
          </w:tcPr>
          <w:p w14:paraId="4F597AD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576" w:type="dxa"/>
            <w:noWrap w:val="0"/>
            <w:vAlign w:val="center"/>
          </w:tcPr>
          <w:p w14:paraId="1BD716B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7.88</w:t>
            </w:r>
          </w:p>
        </w:tc>
        <w:tc>
          <w:tcPr>
            <w:tcW w:w="666" w:type="dxa"/>
            <w:noWrap w:val="0"/>
            <w:vAlign w:val="center"/>
          </w:tcPr>
          <w:p w14:paraId="02E60A2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7.74</w:t>
            </w:r>
          </w:p>
        </w:tc>
        <w:tc>
          <w:tcPr>
            <w:tcW w:w="666" w:type="dxa"/>
            <w:noWrap w:val="0"/>
            <w:vAlign w:val="center"/>
          </w:tcPr>
          <w:p w14:paraId="666A7DB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9.92</w:t>
            </w:r>
          </w:p>
        </w:tc>
        <w:tc>
          <w:tcPr>
            <w:tcW w:w="611" w:type="dxa"/>
            <w:noWrap w:val="0"/>
            <w:vAlign w:val="center"/>
          </w:tcPr>
          <w:p w14:paraId="0697A14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9.01</w:t>
            </w:r>
          </w:p>
        </w:tc>
        <w:tc>
          <w:tcPr>
            <w:tcW w:w="690" w:type="dxa"/>
            <w:noWrap w:val="0"/>
            <w:vAlign w:val="center"/>
          </w:tcPr>
          <w:p w14:paraId="5D965A4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8.56</w:t>
            </w:r>
          </w:p>
        </w:tc>
        <w:tc>
          <w:tcPr>
            <w:tcW w:w="736" w:type="dxa"/>
            <w:noWrap w:val="0"/>
            <w:vAlign w:val="center"/>
          </w:tcPr>
          <w:p w14:paraId="6A65789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3.53</w:t>
            </w:r>
          </w:p>
        </w:tc>
        <w:tc>
          <w:tcPr>
            <w:tcW w:w="525" w:type="dxa"/>
            <w:noWrap w:val="0"/>
            <w:vAlign w:val="center"/>
          </w:tcPr>
          <w:p w14:paraId="16FC9F4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4.26</w:t>
            </w:r>
          </w:p>
        </w:tc>
        <w:tc>
          <w:tcPr>
            <w:tcW w:w="585" w:type="dxa"/>
            <w:noWrap w:val="0"/>
            <w:vAlign w:val="center"/>
          </w:tcPr>
          <w:p w14:paraId="4EC4C90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3.58</w:t>
            </w:r>
          </w:p>
        </w:tc>
        <w:tc>
          <w:tcPr>
            <w:tcW w:w="690" w:type="dxa"/>
            <w:noWrap w:val="0"/>
            <w:vAlign w:val="center"/>
          </w:tcPr>
          <w:p w14:paraId="25FDE1F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23.05</w:t>
            </w:r>
          </w:p>
        </w:tc>
      </w:tr>
      <w:tr w14:paraId="346AD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452" w:type="dxa"/>
            <w:noWrap w:val="0"/>
            <w:vAlign w:val="center"/>
          </w:tcPr>
          <w:p w14:paraId="6620D8C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秋</w:t>
            </w:r>
          </w:p>
        </w:tc>
        <w:tc>
          <w:tcPr>
            <w:tcW w:w="600" w:type="dxa"/>
            <w:noWrap w:val="0"/>
            <w:vAlign w:val="center"/>
          </w:tcPr>
          <w:p w14:paraId="79CC333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2.61</w:t>
            </w:r>
          </w:p>
        </w:tc>
        <w:tc>
          <w:tcPr>
            <w:tcW w:w="630" w:type="dxa"/>
            <w:noWrap w:val="0"/>
            <w:vAlign w:val="center"/>
          </w:tcPr>
          <w:p w14:paraId="53C9612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2.56</w:t>
            </w:r>
          </w:p>
        </w:tc>
        <w:tc>
          <w:tcPr>
            <w:tcW w:w="705" w:type="dxa"/>
            <w:noWrap w:val="0"/>
            <w:vAlign w:val="center"/>
          </w:tcPr>
          <w:p w14:paraId="0A59173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2.29</w:t>
            </w:r>
          </w:p>
        </w:tc>
        <w:tc>
          <w:tcPr>
            <w:tcW w:w="667" w:type="dxa"/>
            <w:noWrap w:val="0"/>
            <w:vAlign w:val="center"/>
          </w:tcPr>
          <w:p w14:paraId="284CEA9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2.84</w:t>
            </w:r>
          </w:p>
        </w:tc>
        <w:tc>
          <w:tcPr>
            <w:tcW w:w="576" w:type="dxa"/>
            <w:noWrap w:val="0"/>
            <w:vAlign w:val="center"/>
          </w:tcPr>
          <w:p w14:paraId="3EE5ED1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2.34</w:t>
            </w:r>
          </w:p>
        </w:tc>
        <w:tc>
          <w:tcPr>
            <w:tcW w:w="576" w:type="dxa"/>
            <w:noWrap w:val="0"/>
            <w:vAlign w:val="center"/>
          </w:tcPr>
          <w:p w14:paraId="505F5F7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0.96</w:t>
            </w:r>
          </w:p>
        </w:tc>
        <w:tc>
          <w:tcPr>
            <w:tcW w:w="576" w:type="dxa"/>
            <w:noWrap w:val="0"/>
            <w:vAlign w:val="center"/>
          </w:tcPr>
          <w:p w14:paraId="05125A8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0.96</w:t>
            </w:r>
          </w:p>
        </w:tc>
        <w:tc>
          <w:tcPr>
            <w:tcW w:w="576" w:type="dxa"/>
            <w:noWrap w:val="0"/>
            <w:vAlign w:val="center"/>
          </w:tcPr>
          <w:p w14:paraId="3001B60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1.47</w:t>
            </w:r>
          </w:p>
        </w:tc>
        <w:tc>
          <w:tcPr>
            <w:tcW w:w="576" w:type="dxa"/>
            <w:noWrap w:val="0"/>
            <w:vAlign w:val="center"/>
          </w:tcPr>
          <w:p w14:paraId="39AE09F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7.55</w:t>
            </w:r>
          </w:p>
        </w:tc>
        <w:tc>
          <w:tcPr>
            <w:tcW w:w="666" w:type="dxa"/>
            <w:noWrap w:val="0"/>
            <w:vAlign w:val="center"/>
          </w:tcPr>
          <w:p w14:paraId="1A6D09C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11.77</w:t>
            </w:r>
          </w:p>
        </w:tc>
        <w:tc>
          <w:tcPr>
            <w:tcW w:w="666" w:type="dxa"/>
            <w:noWrap w:val="0"/>
            <w:vAlign w:val="center"/>
          </w:tcPr>
          <w:p w14:paraId="05EE80E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13.97</w:t>
            </w:r>
          </w:p>
        </w:tc>
        <w:tc>
          <w:tcPr>
            <w:tcW w:w="611" w:type="dxa"/>
            <w:noWrap w:val="0"/>
            <w:vAlign w:val="center"/>
          </w:tcPr>
          <w:p w14:paraId="70194D1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10.76</w:t>
            </w:r>
          </w:p>
        </w:tc>
        <w:tc>
          <w:tcPr>
            <w:tcW w:w="690" w:type="dxa"/>
            <w:noWrap w:val="0"/>
            <w:vAlign w:val="center"/>
          </w:tcPr>
          <w:p w14:paraId="746FB12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8.93</w:t>
            </w:r>
          </w:p>
        </w:tc>
        <w:tc>
          <w:tcPr>
            <w:tcW w:w="736" w:type="dxa"/>
            <w:noWrap w:val="0"/>
            <w:vAlign w:val="center"/>
          </w:tcPr>
          <w:p w14:paraId="06CA777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2.79</w:t>
            </w:r>
          </w:p>
        </w:tc>
        <w:tc>
          <w:tcPr>
            <w:tcW w:w="525" w:type="dxa"/>
            <w:noWrap w:val="0"/>
            <w:vAlign w:val="center"/>
          </w:tcPr>
          <w:p w14:paraId="08F3650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2.75</w:t>
            </w:r>
          </w:p>
        </w:tc>
        <w:tc>
          <w:tcPr>
            <w:tcW w:w="585" w:type="dxa"/>
            <w:noWrap w:val="0"/>
            <w:vAlign w:val="center"/>
          </w:tcPr>
          <w:p w14:paraId="6FEC01D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2.47</w:t>
            </w:r>
          </w:p>
        </w:tc>
        <w:tc>
          <w:tcPr>
            <w:tcW w:w="690" w:type="dxa"/>
            <w:noWrap w:val="0"/>
            <w:vAlign w:val="center"/>
          </w:tcPr>
          <w:p w14:paraId="200D299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22.99</w:t>
            </w:r>
          </w:p>
        </w:tc>
      </w:tr>
      <w:tr w14:paraId="332FC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2" w:type="dxa"/>
            <w:noWrap w:val="0"/>
            <w:vAlign w:val="center"/>
          </w:tcPr>
          <w:p w14:paraId="6A25DEE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冬</w:t>
            </w:r>
          </w:p>
        </w:tc>
        <w:tc>
          <w:tcPr>
            <w:tcW w:w="600" w:type="dxa"/>
            <w:noWrap w:val="0"/>
            <w:vAlign w:val="center"/>
          </w:tcPr>
          <w:p w14:paraId="1F5F867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1.90</w:t>
            </w:r>
          </w:p>
        </w:tc>
        <w:tc>
          <w:tcPr>
            <w:tcW w:w="630" w:type="dxa"/>
            <w:noWrap w:val="0"/>
            <w:vAlign w:val="center"/>
          </w:tcPr>
          <w:p w14:paraId="6F36154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2.08</w:t>
            </w:r>
          </w:p>
        </w:tc>
        <w:tc>
          <w:tcPr>
            <w:tcW w:w="705" w:type="dxa"/>
            <w:noWrap w:val="0"/>
            <w:vAlign w:val="center"/>
          </w:tcPr>
          <w:p w14:paraId="093DC78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2.13</w:t>
            </w:r>
          </w:p>
        </w:tc>
        <w:tc>
          <w:tcPr>
            <w:tcW w:w="667" w:type="dxa"/>
            <w:noWrap w:val="0"/>
            <w:vAlign w:val="center"/>
          </w:tcPr>
          <w:p w14:paraId="4E8B7CA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1.62</w:t>
            </w:r>
          </w:p>
        </w:tc>
        <w:tc>
          <w:tcPr>
            <w:tcW w:w="576" w:type="dxa"/>
            <w:noWrap w:val="0"/>
            <w:vAlign w:val="center"/>
          </w:tcPr>
          <w:p w14:paraId="4A07299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1.67</w:t>
            </w:r>
          </w:p>
        </w:tc>
        <w:tc>
          <w:tcPr>
            <w:tcW w:w="576" w:type="dxa"/>
            <w:noWrap w:val="0"/>
            <w:vAlign w:val="center"/>
          </w:tcPr>
          <w:p w14:paraId="21E7D21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0.83</w:t>
            </w:r>
          </w:p>
        </w:tc>
        <w:tc>
          <w:tcPr>
            <w:tcW w:w="576" w:type="dxa"/>
            <w:noWrap w:val="0"/>
            <w:vAlign w:val="center"/>
          </w:tcPr>
          <w:p w14:paraId="06C5E2E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1.06</w:t>
            </w:r>
          </w:p>
        </w:tc>
        <w:tc>
          <w:tcPr>
            <w:tcW w:w="576" w:type="dxa"/>
            <w:noWrap w:val="0"/>
            <w:vAlign w:val="center"/>
          </w:tcPr>
          <w:p w14:paraId="3B114D6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w:t>
            </w:r>
          </w:p>
        </w:tc>
        <w:tc>
          <w:tcPr>
            <w:tcW w:w="576" w:type="dxa"/>
            <w:noWrap w:val="0"/>
            <w:vAlign w:val="center"/>
          </w:tcPr>
          <w:p w14:paraId="11DD121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6.85</w:t>
            </w:r>
          </w:p>
        </w:tc>
        <w:tc>
          <w:tcPr>
            <w:tcW w:w="666" w:type="dxa"/>
            <w:noWrap w:val="0"/>
            <w:vAlign w:val="center"/>
          </w:tcPr>
          <w:p w14:paraId="3325E93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13.52</w:t>
            </w:r>
          </w:p>
        </w:tc>
        <w:tc>
          <w:tcPr>
            <w:tcW w:w="666" w:type="dxa"/>
            <w:noWrap w:val="0"/>
            <w:vAlign w:val="center"/>
          </w:tcPr>
          <w:p w14:paraId="61F55E6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16.53</w:t>
            </w:r>
          </w:p>
        </w:tc>
        <w:tc>
          <w:tcPr>
            <w:tcW w:w="611" w:type="dxa"/>
            <w:noWrap w:val="0"/>
            <w:vAlign w:val="center"/>
          </w:tcPr>
          <w:p w14:paraId="1FB704C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11.48</w:t>
            </w:r>
          </w:p>
        </w:tc>
        <w:tc>
          <w:tcPr>
            <w:tcW w:w="690" w:type="dxa"/>
            <w:noWrap w:val="0"/>
            <w:vAlign w:val="center"/>
          </w:tcPr>
          <w:p w14:paraId="398D055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7.55</w:t>
            </w:r>
          </w:p>
        </w:tc>
        <w:tc>
          <w:tcPr>
            <w:tcW w:w="736" w:type="dxa"/>
            <w:noWrap w:val="0"/>
            <w:vAlign w:val="center"/>
          </w:tcPr>
          <w:p w14:paraId="5FE5589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2.27</w:t>
            </w:r>
          </w:p>
        </w:tc>
        <w:tc>
          <w:tcPr>
            <w:tcW w:w="525" w:type="dxa"/>
            <w:noWrap w:val="0"/>
            <w:vAlign w:val="center"/>
          </w:tcPr>
          <w:p w14:paraId="29B7ADF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2.27</w:t>
            </w:r>
          </w:p>
        </w:tc>
        <w:tc>
          <w:tcPr>
            <w:tcW w:w="585" w:type="dxa"/>
            <w:noWrap w:val="0"/>
            <w:vAlign w:val="center"/>
          </w:tcPr>
          <w:p w14:paraId="7205190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1.48</w:t>
            </w:r>
          </w:p>
        </w:tc>
        <w:tc>
          <w:tcPr>
            <w:tcW w:w="690" w:type="dxa"/>
            <w:noWrap w:val="0"/>
            <w:vAlign w:val="center"/>
          </w:tcPr>
          <w:p w14:paraId="21A383C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25.37</w:t>
            </w:r>
          </w:p>
        </w:tc>
      </w:tr>
      <w:tr w14:paraId="370AF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jc w:val="center"/>
        </w:trPr>
        <w:tc>
          <w:tcPr>
            <w:tcW w:w="452" w:type="dxa"/>
            <w:noWrap w:val="0"/>
            <w:vAlign w:val="center"/>
          </w:tcPr>
          <w:p w14:paraId="1949DD3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年平均</w:t>
            </w:r>
          </w:p>
        </w:tc>
        <w:tc>
          <w:tcPr>
            <w:tcW w:w="600" w:type="dxa"/>
            <w:noWrap w:val="0"/>
            <w:vAlign w:val="center"/>
          </w:tcPr>
          <w:p w14:paraId="3066DB3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3.37</w:t>
            </w:r>
          </w:p>
        </w:tc>
        <w:tc>
          <w:tcPr>
            <w:tcW w:w="630" w:type="dxa"/>
            <w:noWrap w:val="0"/>
            <w:vAlign w:val="center"/>
          </w:tcPr>
          <w:p w14:paraId="7872618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3.40</w:t>
            </w:r>
          </w:p>
        </w:tc>
        <w:tc>
          <w:tcPr>
            <w:tcW w:w="705" w:type="dxa"/>
            <w:noWrap w:val="0"/>
            <w:vAlign w:val="center"/>
          </w:tcPr>
          <w:p w14:paraId="3409C6C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3.07</w:t>
            </w:r>
          </w:p>
        </w:tc>
        <w:tc>
          <w:tcPr>
            <w:tcW w:w="667" w:type="dxa"/>
            <w:noWrap w:val="0"/>
            <w:vAlign w:val="center"/>
          </w:tcPr>
          <w:p w14:paraId="5588A06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2.58</w:t>
            </w:r>
          </w:p>
        </w:tc>
        <w:tc>
          <w:tcPr>
            <w:tcW w:w="576" w:type="dxa"/>
            <w:noWrap w:val="0"/>
            <w:vAlign w:val="center"/>
          </w:tcPr>
          <w:p w14:paraId="66C9B54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2.18</w:t>
            </w:r>
          </w:p>
        </w:tc>
        <w:tc>
          <w:tcPr>
            <w:tcW w:w="576" w:type="dxa"/>
            <w:noWrap w:val="0"/>
            <w:vAlign w:val="center"/>
          </w:tcPr>
          <w:p w14:paraId="00BA5F4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1.15</w:t>
            </w:r>
          </w:p>
        </w:tc>
        <w:tc>
          <w:tcPr>
            <w:tcW w:w="576" w:type="dxa"/>
            <w:noWrap w:val="0"/>
            <w:vAlign w:val="center"/>
          </w:tcPr>
          <w:p w14:paraId="0530D36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0.95</w:t>
            </w:r>
          </w:p>
        </w:tc>
        <w:tc>
          <w:tcPr>
            <w:tcW w:w="576" w:type="dxa"/>
            <w:noWrap w:val="0"/>
            <w:vAlign w:val="center"/>
          </w:tcPr>
          <w:p w14:paraId="5333DC4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w:t>
            </w:r>
          </w:p>
        </w:tc>
        <w:tc>
          <w:tcPr>
            <w:tcW w:w="576" w:type="dxa"/>
            <w:noWrap w:val="0"/>
            <w:vAlign w:val="center"/>
          </w:tcPr>
          <w:p w14:paraId="667469B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7.48</w:t>
            </w:r>
          </w:p>
        </w:tc>
        <w:tc>
          <w:tcPr>
            <w:tcW w:w="666" w:type="dxa"/>
            <w:noWrap w:val="0"/>
            <w:vAlign w:val="center"/>
          </w:tcPr>
          <w:p w14:paraId="69CD510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11.16</w:t>
            </w:r>
          </w:p>
        </w:tc>
        <w:tc>
          <w:tcPr>
            <w:tcW w:w="666" w:type="dxa"/>
            <w:noWrap w:val="0"/>
            <w:vAlign w:val="center"/>
          </w:tcPr>
          <w:p w14:paraId="0E04FC5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13.33</w:t>
            </w:r>
          </w:p>
        </w:tc>
        <w:tc>
          <w:tcPr>
            <w:tcW w:w="611" w:type="dxa"/>
            <w:noWrap w:val="0"/>
            <w:vAlign w:val="center"/>
          </w:tcPr>
          <w:p w14:paraId="1430425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11.06</w:t>
            </w:r>
          </w:p>
        </w:tc>
        <w:tc>
          <w:tcPr>
            <w:tcW w:w="690" w:type="dxa"/>
            <w:noWrap w:val="0"/>
            <w:vAlign w:val="center"/>
          </w:tcPr>
          <w:p w14:paraId="09F6B29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8.39</w:t>
            </w:r>
          </w:p>
        </w:tc>
        <w:tc>
          <w:tcPr>
            <w:tcW w:w="736" w:type="dxa"/>
            <w:noWrap w:val="0"/>
            <w:vAlign w:val="center"/>
          </w:tcPr>
          <w:p w14:paraId="217892D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2.76</w:t>
            </w:r>
          </w:p>
        </w:tc>
        <w:tc>
          <w:tcPr>
            <w:tcW w:w="525" w:type="dxa"/>
            <w:noWrap w:val="0"/>
            <w:vAlign w:val="center"/>
          </w:tcPr>
          <w:p w14:paraId="77C4A18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3.07</w:t>
            </w:r>
          </w:p>
        </w:tc>
        <w:tc>
          <w:tcPr>
            <w:tcW w:w="585" w:type="dxa"/>
            <w:noWrap w:val="0"/>
            <w:vAlign w:val="center"/>
          </w:tcPr>
          <w:p w14:paraId="72B7B60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2.56</w:t>
            </w:r>
          </w:p>
        </w:tc>
        <w:tc>
          <w:tcPr>
            <w:tcW w:w="690" w:type="dxa"/>
            <w:noWrap w:val="0"/>
            <w:vAlign w:val="center"/>
          </w:tcPr>
          <w:p w14:paraId="53BBF5D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22.09</w:t>
            </w:r>
          </w:p>
        </w:tc>
      </w:tr>
    </w:tbl>
    <w:p w14:paraId="2C274674">
      <w:pPr>
        <w:pStyle w:val="2"/>
      </w:pPr>
    </w:p>
    <w:p w14:paraId="2835E9D4">
      <w:pPr>
        <w:pStyle w:val="2"/>
      </w:pPr>
    </w:p>
    <w:p w14:paraId="128F3AE1">
      <w:pPr>
        <w:keepNext w:val="0"/>
        <w:keepLines w:val="0"/>
        <w:widowControl/>
        <w:suppressLineNumbers w:val="0"/>
        <w:jc w:val="left"/>
      </w:pPr>
      <w:r>
        <w:rPr>
          <w:rFonts w:ascii="宋体" w:hAnsi="宋体" w:eastAsia="宋体" w:cs="宋体"/>
          <w:sz w:val="24"/>
          <w:szCs w:val="24"/>
          <w:lang w:val="en-US" w:eastAsia="zh-CN" w:bidi="ar"/>
        </w:rPr>
        <w:drawing>
          <wp:inline distT="0" distB="0" distL="0" distR="0">
            <wp:extent cx="5181600" cy="7077075"/>
            <wp:effectExtent l="0" t="0" r="0" b="0"/>
            <wp:docPr id="39" name="_x0000_i3119"/>
            <wp:cNvGraphicFramePr/>
            <a:graphic xmlns:a="http://schemas.openxmlformats.org/drawingml/2006/main">
              <a:graphicData uri="http://schemas.openxmlformats.org/drawingml/2006/picture">
                <pic:pic xmlns:pic="http://schemas.openxmlformats.org/drawingml/2006/picture">
                  <pic:nvPicPr>
                    <pic:cNvPr id="39" name="_x0000_i3119"/>
                    <pic:cNvPicPr/>
                  </pic:nvPicPr>
                  <pic:blipFill>
                    <a:blip r:embed="rId52"/>
                    <a:stretch>
                      <a:fillRect/>
                    </a:stretch>
                  </pic:blipFill>
                  <pic:spPr>
                    <a:xfrm>
                      <a:off x="0" y="0"/>
                      <a:ext cx="5181600" cy="7077075"/>
                    </a:xfrm>
                    <a:prstGeom prst="rect">
                      <a:avLst/>
                    </a:prstGeom>
                    <a:noFill/>
                    <a:ln>
                      <a:noFill/>
                    </a:ln>
                  </pic:spPr>
                </pic:pic>
              </a:graphicData>
            </a:graphic>
          </wp:inline>
        </w:drawing>
      </w:r>
    </w:p>
    <w:p w14:paraId="163667CC">
      <w:pPr>
        <w:keepNext w:val="0"/>
        <w:keepLines w:val="0"/>
        <w:widowControl/>
        <w:suppressLineNumbers w:val="0"/>
        <w:jc w:val="center"/>
      </w:pPr>
      <w:r>
        <w:rPr>
          <w:rFonts w:hint="eastAsia" w:ascii="宋体" w:hAnsi="宋体" w:eastAsia="宋体" w:cs="宋体"/>
          <w:b/>
          <w:color w:val="000000"/>
          <w:sz w:val="24"/>
          <w:szCs w:val="24"/>
          <w:lang w:val="en-US" w:eastAsia="zh-CN" w:bidi="ar"/>
        </w:rPr>
        <w:t>图</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 xml:space="preserve">.2-1 2017 </w:t>
      </w:r>
      <w:r>
        <w:rPr>
          <w:rFonts w:hint="eastAsia" w:ascii="宋体" w:hAnsi="宋体" w:eastAsia="宋体" w:cs="宋体"/>
          <w:b/>
          <w:color w:val="000000"/>
          <w:sz w:val="24"/>
          <w:szCs w:val="24"/>
          <w:lang w:val="en-US" w:eastAsia="zh-CN" w:bidi="ar"/>
        </w:rPr>
        <w:t>年各季度及全年风向玫瑰图</w:t>
      </w:r>
    </w:p>
    <w:p w14:paraId="049EB1BB">
      <w:pPr>
        <w:keepNext w:val="0"/>
        <w:keepLines w:val="0"/>
        <w:widowControl/>
        <w:suppressLineNumbers w:val="0"/>
        <w:jc w:val="left"/>
        <w:rPr>
          <w:rFonts w:ascii="Times New Roman" w:hAnsi="Times New Roman" w:eastAsia="宋体" w:cs="Times New Roman"/>
        </w:rPr>
      </w:pPr>
      <w:r>
        <w:rPr>
          <w:rFonts w:hint="eastAsia" w:ascii="宋体" w:hAnsi="宋体" w:eastAsia="宋体" w:cs="宋体"/>
          <w:color w:val="000000"/>
          <w:sz w:val="24"/>
          <w:szCs w:val="24"/>
          <w:lang w:val="en-US" w:eastAsia="zh-CN" w:bidi="ar"/>
        </w:rPr>
        <w:t>②</w:t>
      </w:r>
      <w:r>
        <w:rPr>
          <w:rFonts w:ascii="Times New Roman" w:hAnsi="Times New Roman" w:eastAsia="宋体" w:cs="Times New Roman"/>
          <w:color w:val="000000"/>
          <w:sz w:val="24"/>
          <w:szCs w:val="24"/>
          <w:lang w:val="en-US" w:eastAsia="zh-CN" w:bidi="ar"/>
        </w:rPr>
        <w:t xml:space="preserve">风速 </w:t>
      </w:r>
    </w:p>
    <w:p w14:paraId="35A72943">
      <w:pPr>
        <w:keepNext w:val="0"/>
        <w:keepLines w:val="0"/>
        <w:widowControl/>
        <w:suppressLineNumbers w:val="0"/>
        <w:jc w:val="left"/>
      </w:pPr>
      <w:r>
        <w:rPr>
          <w:rFonts w:hint="eastAsia" w:ascii="宋体" w:hAnsi="宋体" w:eastAsia="宋体" w:cs="宋体"/>
          <w:color w:val="000000"/>
          <w:sz w:val="24"/>
          <w:szCs w:val="24"/>
          <w:lang w:val="en-US" w:eastAsia="zh-CN" w:bidi="ar"/>
        </w:rPr>
        <w:t>风速的大小决定了污染物在环境空气中的输送扩散能力。本项目评价区域</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 xml:space="preserve">年各风向的地面平均风速分布统计结果见表 </w:t>
      </w:r>
      <w:r>
        <w:rPr>
          <w:rFonts w:ascii="Times New Roman" w:hAnsi="Times New Roman" w:eastAsia="宋体" w:cs="Times New Roman"/>
          <w:color w:val="000000"/>
          <w:sz w:val="24"/>
          <w:szCs w:val="24"/>
          <w:lang w:val="en-US" w:eastAsia="zh-CN" w:bidi="ar"/>
        </w:rPr>
        <w:t>4.2-5</w:t>
      </w:r>
      <w:r>
        <w:rPr>
          <w:rFonts w:hint="eastAsia" w:ascii="宋体" w:hAnsi="宋体" w:eastAsia="宋体" w:cs="宋体"/>
          <w:color w:val="000000"/>
          <w:sz w:val="24"/>
          <w:szCs w:val="24"/>
          <w:lang w:val="en-US" w:eastAsia="zh-CN" w:bidi="ar"/>
        </w:rPr>
        <w:t xml:space="preserve">。统计结果表明，由于受系统风和地形风的作用，以风向带 </w:t>
      </w:r>
      <w:r>
        <w:rPr>
          <w:rFonts w:ascii="Times New Roman" w:hAnsi="Times New Roman" w:eastAsia="宋体" w:cs="Times New Roman"/>
          <w:color w:val="000000"/>
          <w:sz w:val="24"/>
          <w:szCs w:val="24"/>
          <w:lang w:val="en-US" w:eastAsia="zh-CN" w:bidi="ar"/>
        </w:rPr>
        <w:t xml:space="preserve">WSW—W </w:t>
      </w:r>
      <w:r>
        <w:rPr>
          <w:rFonts w:hint="eastAsia" w:ascii="宋体" w:hAnsi="宋体" w:eastAsia="宋体" w:cs="宋体"/>
          <w:color w:val="000000"/>
          <w:sz w:val="24"/>
          <w:szCs w:val="24"/>
          <w:lang w:val="en-US" w:eastAsia="zh-CN" w:bidi="ar"/>
        </w:rPr>
        <w:t>风的平均风速相对较大。</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年全年平均风速为</w:t>
      </w:r>
      <w:r>
        <w:rPr>
          <w:rFonts w:ascii="Times New Roman" w:hAnsi="Times New Roman" w:eastAsia="宋体" w:cs="Times New Roman"/>
          <w:color w:val="000000"/>
          <w:sz w:val="24"/>
          <w:szCs w:val="24"/>
          <w:lang w:val="en-US" w:eastAsia="zh-CN" w:bidi="ar"/>
        </w:rPr>
        <w:t>1.08m/s</w:t>
      </w:r>
      <w:r>
        <w:rPr>
          <w:rFonts w:hint="eastAsia" w:ascii="宋体" w:hAnsi="宋体" w:eastAsia="宋体" w:cs="宋体"/>
          <w:color w:val="000000"/>
          <w:sz w:val="24"/>
          <w:szCs w:val="24"/>
          <w:lang w:val="en-US" w:eastAsia="zh-CN" w:bidi="ar"/>
        </w:rPr>
        <w:t>。</w:t>
      </w:r>
    </w:p>
    <w:p w14:paraId="41D34887">
      <w:pPr>
        <w:keepNext w:val="0"/>
        <w:keepLines w:val="0"/>
        <w:widowControl/>
        <w:suppressLineNumbers w:val="0"/>
        <w:ind w:firstLine="1446"/>
        <w:jc w:val="left"/>
        <w:rPr>
          <w:rFonts w:hint="eastAsia" w:ascii="Times New Roman" w:hAnsi="Times New Roman" w:eastAsia="宋体" w:cs="Times New Roman"/>
          <w:b/>
          <w:color w:val="000000"/>
          <w:sz w:val="24"/>
          <w:szCs w:val="24"/>
          <w:lang w:val="en-US" w:eastAsia="zh-CN" w:bidi="ar"/>
        </w:rPr>
      </w:pPr>
      <w:r>
        <w:rPr>
          <w:rFonts w:hint="eastAsia" w:ascii="宋体" w:hAnsi="宋体" w:eastAsia="宋体" w:cs="宋体"/>
          <w:b/>
          <w:color w:val="000000"/>
          <w:sz w:val="24"/>
          <w:szCs w:val="24"/>
          <w:lang w:val="en-US" w:eastAsia="zh-CN" w:bidi="ar"/>
        </w:rPr>
        <w:t>表6</w:t>
      </w:r>
      <w:r>
        <w:rPr>
          <w:rFonts w:ascii="Times New Roman" w:hAnsi="Times New Roman" w:eastAsia="宋体" w:cs="Times New Roman"/>
          <w:b/>
          <w:color w:val="000000"/>
          <w:sz w:val="24"/>
          <w:szCs w:val="24"/>
          <w:lang w:val="en-US" w:eastAsia="zh-CN" w:bidi="ar"/>
        </w:rPr>
        <w:t>.2-</w:t>
      </w:r>
      <w:r>
        <w:rPr>
          <w:rFonts w:hint="eastAsia" w:ascii="Times New Roman" w:hAnsi="Times New Roman" w:eastAsia="宋体" w:cs="Times New Roman"/>
          <w:b/>
          <w:color w:val="000000"/>
          <w:sz w:val="24"/>
          <w:szCs w:val="24"/>
          <w:lang w:val="en-US" w:eastAsia="zh-CN" w:bidi="ar"/>
        </w:rPr>
        <w:t xml:space="preserve">3 </w:t>
      </w:r>
      <w:r>
        <w:rPr>
          <w:rFonts w:ascii="Times New Roman" w:hAnsi="Times New Roman" w:eastAsia="宋体" w:cs="Times New Roman"/>
          <w:b/>
          <w:color w:val="000000"/>
          <w:sz w:val="24"/>
          <w:szCs w:val="24"/>
          <w:lang w:val="en-US" w:eastAsia="zh-CN" w:bidi="ar"/>
        </w:rPr>
        <w:t xml:space="preserve"> 2017 </w:t>
      </w:r>
      <w:r>
        <w:rPr>
          <w:rFonts w:hint="eastAsia" w:ascii="宋体" w:hAnsi="宋体" w:eastAsia="宋体" w:cs="宋体"/>
          <w:b/>
          <w:color w:val="000000"/>
          <w:sz w:val="24"/>
          <w:szCs w:val="24"/>
          <w:lang w:val="en-US" w:eastAsia="zh-CN" w:bidi="ar"/>
        </w:rPr>
        <w:t>年平均风速月、季变化 单位：</w:t>
      </w:r>
      <w:r>
        <w:rPr>
          <w:rFonts w:ascii="Times New Roman" w:hAnsi="Times New Roman" w:eastAsia="宋体" w:cs="Times New Roman"/>
          <w:b/>
          <w:color w:val="000000"/>
          <w:sz w:val="24"/>
          <w:szCs w:val="24"/>
          <w:lang w:val="en-US" w:eastAsia="zh-CN" w:bidi="ar"/>
        </w:rPr>
        <w:t>m/s</w:t>
      </w:r>
      <w:r>
        <w:rPr>
          <w:rFonts w:hint="eastAsia" w:ascii="Times New Roman" w:hAnsi="Times New Roman" w:eastAsia="宋体" w:cs="Times New Roman"/>
          <w:b/>
          <w:color w:val="000000"/>
          <w:sz w:val="24"/>
          <w:szCs w:val="24"/>
          <w:lang w:val="en-US" w:eastAsia="zh-CN" w:bidi="ar"/>
        </w:rPr>
        <w:t xml:space="preserve"> </w:t>
      </w:r>
    </w:p>
    <w:tbl>
      <w:tblPr>
        <w:tblStyle w:val="258"/>
        <w:tblW w:w="105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2"/>
        <w:gridCol w:w="576"/>
        <w:gridCol w:w="576"/>
        <w:gridCol w:w="576"/>
        <w:gridCol w:w="576"/>
        <w:gridCol w:w="576"/>
        <w:gridCol w:w="576"/>
        <w:gridCol w:w="576"/>
        <w:gridCol w:w="576"/>
        <w:gridCol w:w="576"/>
        <w:gridCol w:w="666"/>
        <w:gridCol w:w="666"/>
        <w:gridCol w:w="576"/>
        <w:gridCol w:w="576"/>
        <w:gridCol w:w="576"/>
        <w:gridCol w:w="576"/>
        <w:gridCol w:w="576"/>
        <w:gridCol w:w="576"/>
      </w:tblGrid>
      <w:tr w14:paraId="5D8A6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582" w:type="dxa"/>
            <w:noWrap w:val="0"/>
            <w:vAlign w:val="top"/>
          </w:tcPr>
          <w:p w14:paraId="371293DF">
            <w:pPr>
              <w:widowControl w:val="0"/>
              <w:spacing w:line="360" w:lineRule="auto"/>
              <w:ind w:left="0" w:firstLine="0"/>
              <w:jc w:val="both"/>
              <w:rPr>
                <w:rFonts w:hint="eastAsia"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月</w:t>
            </w:r>
          </w:p>
          <w:p w14:paraId="35FEE254">
            <w:pPr>
              <w:widowControl w:val="0"/>
              <w:spacing w:line="360" w:lineRule="auto"/>
              <w:ind w:left="0" w:firstLine="0"/>
              <w:jc w:val="both"/>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风频</w:t>
            </w:r>
          </w:p>
        </w:tc>
        <w:tc>
          <w:tcPr>
            <w:tcW w:w="576" w:type="dxa"/>
            <w:noWrap w:val="0"/>
            <w:vAlign w:val="center"/>
          </w:tcPr>
          <w:p w14:paraId="2BC4C7CC">
            <w:pPr>
              <w:widowControl w:val="0"/>
              <w:spacing w:line="360" w:lineRule="auto"/>
              <w:ind w:left="0" w:firstLine="0"/>
              <w:jc w:val="center"/>
              <w:rPr>
                <w:rFonts w:hint="eastAsia"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w:t>
            </w:r>
          </w:p>
        </w:tc>
        <w:tc>
          <w:tcPr>
            <w:tcW w:w="576" w:type="dxa"/>
            <w:noWrap w:val="0"/>
            <w:vAlign w:val="center"/>
          </w:tcPr>
          <w:p w14:paraId="75FD108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NNE</w:t>
            </w:r>
          </w:p>
        </w:tc>
        <w:tc>
          <w:tcPr>
            <w:tcW w:w="576" w:type="dxa"/>
            <w:noWrap w:val="0"/>
            <w:vAlign w:val="center"/>
          </w:tcPr>
          <w:p w14:paraId="3B4573D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NE</w:t>
            </w:r>
          </w:p>
        </w:tc>
        <w:tc>
          <w:tcPr>
            <w:tcW w:w="576" w:type="dxa"/>
            <w:noWrap w:val="0"/>
            <w:vAlign w:val="center"/>
          </w:tcPr>
          <w:p w14:paraId="139A244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ENE</w:t>
            </w:r>
          </w:p>
        </w:tc>
        <w:tc>
          <w:tcPr>
            <w:tcW w:w="576" w:type="dxa"/>
            <w:noWrap w:val="0"/>
            <w:vAlign w:val="center"/>
          </w:tcPr>
          <w:p w14:paraId="0238BA7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E</w:t>
            </w:r>
          </w:p>
        </w:tc>
        <w:tc>
          <w:tcPr>
            <w:tcW w:w="576" w:type="dxa"/>
            <w:noWrap w:val="0"/>
            <w:vAlign w:val="center"/>
          </w:tcPr>
          <w:p w14:paraId="3C2B70F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ESE</w:t>
            </w:r>
          </w:p>
        </w:tc>
        <w:tc>
          <w:tcPr>
            <w:tcW w:w="576" w:type="dxa"/>
            <w:noWrap w:val="0"/>
            <w:vAlign w:val="center"/>
          </w:tcPr>
          <w:p w14:paraId="623EC7F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SE</w:t>
            </w:r>
          </w:p>
        </w:tc>
        <w:tc>
          <w:tcPr>
            <w:tcW w:w="576" w:type="dxa"/>
            <w:noWrap w:val="0"/>
            <w:vAlign w:val="center"/>
          </w:tcPr>
          <w:p w14:paraId="78D05B8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SSE</w:t>
            </w:r>
          </w:p>
        </w:tc>
        <w:tc>
          <w:tcPr>
            <w:tcW w:w="576" w:type="dxa"/>
            <w:noWrap w:val="0"/>
            <w:vAlign w:val="center"/>
          </w:tcPr>
          <w:p w14:paraId="34101A0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w:t>
            </w:r>
          </w:p>
        </w:tc>
        <w:tc>
          <w:tcPr>
            <w:tcW w:w="666" w:type="dxa"/>
            <w:noWrap w:val="0"/>
            <w:vAlign w:val="center"/>
          </w:tcPr>
          <w:p w14:paraId="2BA40A5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SSW</w:t>
            </w:r>
          </w:p>
        </w:tc>
        <w:tc>
          <w:tcPr>
            <w:tcW w:w="666" w:type="dxa"/>
            <w:noWrap w:val="0"/>
            <w:vAlign w:val="center"/>
          </w:tcPr>
          <w:p w14:paraId="57BEE6E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SW</w:t>
            </w:r>
          </w:p>
        </w:tc>
        <w:tc>
          <w:tcPr>
            <w:tcW w:w="576" w:type="dxa"/>
            <w:noWrap w:val="0"/>
            <w:vAlign w:val="center"/>
          </w:tcPr>
          <w:p w14:paraId="7F4B90D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WSW</w:t>
            </w:r>
          </w:p>
        </w:tc>
        <w:tc>
          <w:tcPr>
            <w:tcW w:w="576" w:type="dxa"/>
            <w:noWrap w:val="0"/>
            <w:vAlign w:val="center"/>
          </w:tcPr>
          <w:p w14:paraId="51EE652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W</w:t>
            </w:r>
          </w:p>
        </w:tc>
        <w:tc>
          <w:tcPr>
            <w:tcW w:w="576" w:type="dxa"/>
            <w:noWrap w:val="0"/>
            <w:vAlign w:val="center"/>
          </w:tcPr>
          <w:p w14:paraId="3C4DEAB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WNW</w:t>
            </w:r>
          </w:p>
        </w:tc>
        <w:tc>
          <w:tcPr>
            <w:tcW w:w="576" w:type="dxa"/>
            <w:noWrap w:val="0"/>
            <w:vAlign w:val="center"/>
          </w:tcPr>
          <w:p w14:paraId="5099A6F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NW</w:t>
            </w:r>
          </w:p>
        </w:tc>
        <w:tc>
          <w:tcPr>
            <w:tcW w:w="576" w:type="dxa"/>
            <w:noWrap w:val="0"/>
            <w:vAlign w:val="center"/>
          </w:tcPr>
          <w:p w14:paraId="158C19E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NNW</w:t>
            </w:r>
          </w:p>
        </w:tc>
        <w:tc>
          <w:tcPr>
            <w:tcW w:w="576" w:type="dxa"/>
            <w:noWrap w:val="0"/>
            <w:vAlign w:val="center"/>
          </w:tcPr>
          <w:p w14:paraId="4E14ED2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平均</w:t>
            </w:r>
          </w:p>
        </w:tc>
      </w:tr>
      <w:tr w14:paraId="0EAAB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2E796FD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w:t>
            </w:r>
          </w:p>
        </w:tc>
        <w:tc>
          <w:tcPr>
            <w:tcW w:w="576" w:type="dxa"/>
            <w:noWrap w:val="0"/>
            <w:vAlign w:val="top"/>
          </w:tcPr>
          <w:p w14:paraId="6F0BBAA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0.28</w:t>
            </w:r>
          </w:p>
        </w:tc>
        <w:tc>
          <w:tcPr>
            <w:tcW w:w="576" w:type="dxa"/>
            <w:noWrap w:val="0"/>
            <w:vAlign w:val="top"/>
          </w:tcPr>
          <w:p w14:paraId="7B016FE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576" w:type="dxa"/>
            <w:noWrap w:val="0"/>
            <w:vAlign w:val="top"/>
          </w:tcPr>
          <w:p w14:paraId="469D701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0.87</w:t>
            </w:r>
          </w:p>
        </w:tc>
        <w:tc>
          <w:tcPr>
            <w:tcW w:w="576" w:type="dxa"/>
            <w:noWrap w:val="0"/>
            <w:vAlign w:val="top"/>
          </w:tcPr>
          <w:p w14:paraId="281A623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0.92</w:t>
            </w:r>
          </w:p>
        </w:tc>
        <w:tc>
          <w:tcPr>
            <w:tcW w:w="576" w:type="dxa"/>
            <w:noWrap w:val="0"/>
            <w:vAlign w:val="top"/>
          </w:tcPr>
          <w:p w14:paraId="1E0D348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1.07</w:t>
            </w:r>
          </w:p>
        </w:tc>
        <w:tc>
          <w:tcPr>
            <w:tcW w:w="576" w:type="dxa"/>
            <w:noWrap w:val="0"/>
            <w:vAlign w:val="top"/>
          </w:tcPr>
          <w:p w14:paraId="435EE0E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0.73</w:t>
            </w:r>
          </w:p>
        </w:tc>
        <w:tc>
          <w:tcPr>
            <w:tcW w:w="576" w:type="dxa"/>
            <w:noWrap w:val="0"/>
            <w:vAlign w:val="top"/>
          </w:tcPr>
          <w:p w14:paraId="463B947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0.73</w:t>
            </w:r>
          </w:p>
        </w:tc>
        <w:tc>
          <w:tcPr>
            <w:tcW w:w="576" w:type="dxa"/>
            <w:noWrap w:val="0"/>
            <w:vAlign w:val="top"/>
          </w:tcPr>
          <w:p w14:paraId="5B42AD9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0.82</w:t>
            </w:r>
          </w:p>
        </w:tc>
        <w:tc>
          <w:tcPr>
            <w:tcW w:w="576" w:type="dxa"/>
            <w:noWrap w:val="0"/>
            <w:vAlign w:val="top"/>
          </w:tcPr>
          <w:p w14:paraId="53F2A9F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1.05</w:t>
            </w:r>
          </w:p>
        </w:tc>
        <w:tc>
          <w:tcPr>
            <w:tcW w:w="666" w:type="dxa"/>
            <w:noWrap w:val="0"/>
            <w:vAlign w:val="top"/>
          </w:tcPr>
          <w:p w14:paraId="170337D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1.00</w:t>
            </w:r>
          </w:p>
        </w:tc>
        <w:tc>
          <w:tcPr>
            <w:tcW w:w="666" w:type="dxa"/>
            <w:noWrap w:val="0"/>
            <w:vAlign w:val="top"/>
          </w:tcPr>
          <w:p w14:paraId="063687C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576" w:type="dxa"/>
            <w:noWrap w:val="0"/>
            <w:vAlign w:val="top"/>
          </w:tcPr>
          <w:p w14:paraId="129F525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1.15</w:t>
            </w:r>
          </w:p>
        </w:tc>
        <w:tc>
          <w:tcPr>
            <w:tcW w:w="576" w:type="dxa"/>
            <w:noWrap w:val="0"/>
            <w:vAlign w:val="top"/>
          </w:tcPr>
          <w:p w14:paraId="4C46560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1.11</w:t>
            </w:r>
          </w:p>
        </w:tc>
        <w:tc>
          <w:tcPr>
            <w:tcW w:w="576" w:type="dxa"/>
            <w:noWrap w:val="0"/>
            <w:vAlign w:val="top"/>
          </w:tcPr>
          <w:p w14:paraId="22765A7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0.68</w:t>
            </w:r>
          </w:p>
        </w:tc>
        <w:tc>
          <w:tcPr>
            <w:tcW w:w="576" w:type="dxa"/>
            <w:noWrap w:val="0"/>
            <w:vAlign w:val="top"/>
          </w:tcPr>
          <w:p w14:paraId="2F535D9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0.65</w:t>
            </w:r>
          </w:p>
        </w:tc>
        <w:tc>
          <w:tcPr>
            <w:tcW w:w="576" w:type="dxa"/>
            <w:noWrap w:val="0"/>
            <w:vAlign w:val="top"/>
          </w:tcPr>
          <w:p w14:paraId="02C2E1B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0.93</w:t>
            </w:r>
          </w:p>
        </w:tc>
        <w:tc>
          <w:tcPr>
            <w:tcW w:w="576" w:type="dxa"/>
            <w:noWrap w:val="0"/>
            <w:vAlign w:val="top"/>
          </w:tcPr>
          <w:p w14:paraId="389AE47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0.86</w:t>
            </w:r>
          </w:p>
        </w:tc>
      </w:tr>
      <w:tr w14:paraId="615D3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36D2440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w:t>
            </w:r>
          </w:p>
        </w:tc>
        <w:tc>
          <w:tcPr>
            <w:tcW w:w="576" w:type="dxa"/>
            <w:noWrap w:val="0"/>
            <w:vAlign w:val="top"/>
          </w:tcPr>
          <w:p w14:paraId="3340B78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0.48</w:t>
            </w:r>
          </w:p>
        </w:tc>
        <w:tc>
          <w:tcPr>
            <w:tcW w:w="576" w:type="dxa"/>
            <w:noWrap w:val="0"/>
            <w:vAlign w:val="top"/>
          </w:tcPr>
          <w:p w14:paraId="2006053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0.97</w:t>
            </w:r>
          </w:p>
        </w:tc>
        <w:tc>
          <w:tcPr>
            <w:tcW w:w="576" w:type="dxa"/>
            <w:noWrap w:val="0"/>
            <w:vAlign w:val="top"/>
          </w:tcPr>
          <w:p w14:paraId="133593A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1.01</w:t>
            </w:r>
          </w:p>
        </w:tc>
        <w:tc>
          <w:tcPr>
            <w:tcW w:w="576" w:type="dxa"/>
            <w:noWrap w:val="0"/>
            <w:vAlign w:val="top"/>
          </w:tcPr>
          <w:p w14:paraId="5B5A647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0.74</w:t>
            </w:r>
          </w:p>
        </w:tc>
        <w:tc>
          <w:tcPr>
            <w:tcW w:w="576" w:type="dxa"/>
            <w:noWrap w:val="0"/>
            <w:vAlign w:val="top"/>
          </w:tcPr>
          <w:p w14:paraId="2F88C49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0.52</w:t>
            </w:r>
          </w:p>
        </w:tc>
        <w:tc>
          <w:tcPr>
            <w:tcW w:w="576" w:type="dxa"/>
            <w:noWrap w:val="0"/>
            <w:vAlign w:val="top"/>
          </w:tcPr>
          <w:p w14:paraId="505032D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0.80</w:t>
            </w:r>
          </w:p>
        </w:tc>
        <w:tc>
          <w:tcPr>
            <w:tcW w:w="576" w:type="dxa"/>
            <w:noWrap w:val="0"/>
            <w:vAlign w:val="top"/>
          </w:tcPr>
          <w:p w14:paraId="72D23ED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0.88</w:t>
            </w:r>
          </w:p>
        </w:tc>
        <w:tc>
          <w:tcPr>
            <w:tcW w:w="576" w:type="dxa"/>
            <w:noWrap w:val="0"/>
            <w:vAlign w:val="top"/>
          </w:tcPr>
          <w:p w14:paraId="3D6BCED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0.89</w:t>
            </w:r>
          </w:p>
        </w:tc>
        <w:tc>
          <w:tcPr>
            <w:tcW w:w="576" w:type="dxa"/>
            <w:noWrap w:val="0"/>
            <w:vAlign w:val="top"/>
          </w:tcPr>
          <w:p w14:paraId="7EB4C60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1.01</w:t>
            </w:r>
          </w:p>
        </w:tc>
        <w:tc>
          <w:tcPr>
            <w:tcW w:w="666" w:type="dxa"/>
            <w:noWrap w:val="0"/>
            <w:vAlign w:val="top"/>
          </w:tcPr>
          <w:p w14:paraId="7B8DF33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1.03</w:t>
            </w:r>
          </w:p>
        </w:tc>
        <w:tc>
          <w:tcPr>
            <w:tcW w:w="666" w:type="dxa"/>
            <w:noWrap w:val="0"/>
            <w:vAlign w:val="top"/>
          </w:tcPr>
          <w:p w14:paraId="13F2E76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1.23</w:t>
            </w:r>
          </w:p>
        </w:tc>
        <w:tc>
          <w:tcPr>
            <w:tcW w:w="576" w:type="dxa"/>
            <w:noWrap w:val="0"/>
            <w:vAlign w:val="top"/>
          </w:tcPr>
          <w:p w14:paraId="5F15D39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1.53</w:t>
            </w:r>
          </w:p>
        </w:tc>
        <w:tc>
          <w:tcPr>
            <w:tcW w:w="576" w:type="dxa"/>
            <w:noWrap w:val="0"/>
            <w:vAlign w:val="top"/>
          </w:tcPr>
          <w:p w14:paraId="46D044A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1.54</w:t>
            </w:r>
          </w:p>
        </w:tc>
        <w:tc>
          <w:tcPr>
            <w:tcW w:w="576" w:type="dxa"/>
            <w:noWrap w:val="0"/>
            <w:vAlign w:val="top"/>
          </w:tcPr>
          <w:p w14:paraId="493F6A1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0.60</w:t>
            </w:r>
          </w:p>
        </w:tc>
        <w:tc>
          <w:tcPr>
            <w:tcW w:w="576" w:type="dxa"/>
            <w:noWrap w:val="0"/>
            <w:vAlign w:val="top"/>
          </w:tcPr>
          <w:p w14:paraId="222FB0D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0.84</w:t>
            </w:r>
          </w:p>
        </w:tc>
        <w:tc>
          <w:tcPr>
            <w:tcW w:w="576" w:type="dxa"/>
            <w:noWrap w:val="0"/>
            <w:vAlign w:val="top"/>
          </w:tcPr>
          <w:p w14:paraId="63CBA30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0.76</w:t>
            </w:r>
          </w:p>
        </w:tc>
        <w:tc>
          <w:tcPr>
            <w:tcW w:w="576" w:type="dxa"/>
            <w:noWrap w:val="0"/>
            <w:vAlign w:val="top"/>
          </w:tcPr>
          <w:p w14:paraId="6684888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1.05</w:t>
            </w:r>
          </w:p>
        </w:tc>
      </w:tr>
      <w:tr w14:paraId="26B7E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4F95B5A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3</w:t>
            </w:r>
          </w:p>
        </w:tc>
        <w:tc>
          <w:tcPr>
            <w:tcW w:w="576" w:type="dxa"/>
            <w:noWrap w:val="0"/>
            <w:vAlign w:val="top"/>
          </w:tcPr>
          <w:p w14:paraId="23F84C9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0.67</w:t>
            </w:r>
          </w:p>
        </w:tc>
        <w:tc>
          <w:tcPr>
            <w:tcW w:w="576" w:type="dxa"/>
            <w:noWrap w:val="0"/>
            <w:vAlign w:val="top"/>
          </w:tcPr>
          <w:p w14:paraId="1DF0A2F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1.02</w:t>
            </w:r>
          </w:p>
        </w:tc>
        <w:tc>
          <w:tcPr>
            <w:tcW w:w="576" w:type="dxa"/>
            <w:noWrap w:val="0"/>
            <w:vAlign w:val="top"/>
          </w:tcPr>
          <w:p w14:paraId="76A36EA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1.52</w:t>
            </w:r>
          </w:p>
        </w:tc>
        <w:tc>
          <w:tcPr>
            <w:tcW w:w="576" w:type="dxa"/>
            <w:noWrap w:val="0"/>
            <w:vAlign w:val="top"/>
          </w:tcPr>
          <w:p w14:paraId="0208D03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1.24</w:t>
            </w:r>
          </w:p>
        </w:tc>
        <w:tc>
          <w:tcPr>
            <w:tcW w:w="576" w:type="dxa"/>
            <w:noWrap w:val="0"/>
            <w:vAlign w:val="top"/>
          </w:tcPr>
          <w:p w14:paraId="78AE8ED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0.89</w:t>
            </w:r>
          </w:p>
        </w:tc>
        <w:tc>
          <w:tcPr>
            <w:tcW w:w="576" w:type="dxa"/>
            <w:noWrap w:val="0"/>
            <w:vAlign w:val="top"/>
          </w:tcPr>
          <w:p w14:paraId="4B0E241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top"/>
          </w:tcPr>
          <w:p w14:paraId="4FC6DC0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0.98</w:t>
            </w:r>
          </w:p>
        </w:tc>
        <w:tc>
          <w:tcPr>
            <w:tcW w:w="576" w:type="dxa"/>
            <w:noWrap w:val="0"/>
            <w:vAlign w:val="top"/>
          </w:tcPr>
          <w:p w14:paraId="7E559E1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1.16</w:t>
            </w:r>
          </w:p>
        </w:tc>
        <w:tc>
          <w:tcPr>
            <w:tcW w:w="576" w:type="dxa"/>
            <w:noWrap w:val="0"/>
            <w:vAlign w:val="top"/>
          </w:tcPr>
          <w:p w14:paraId="24B12DA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1.11</w:t>
            </w:r>
          </w:p>
        </w:tc>
        <w:tc>
          <w:tcPr>
            <w:tcW w:w="666" w:type="dxa"/>
            <w:noWrap w:val="0"/>
            <w:vAlign w:val="top"/>
          </w:tcPr>
          <w:p w14:paraId="1D531EB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1.09</w:t>
            </w:r>
          </w:p>
        </w:tc>
        <w:tc>
          <w:tcPr>
            <w:tcW w:w="666" w:type="dxa"/>
            <w:noWrap w:val="0"/>
            <w:vAlign w:val="top"/>
          </w:tcPr>
          <w:p w14:paraId="3B14A06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1.34</w:t>
            </w:r>
          </w:p>
        </w:tc>
        <w:tc>
          <w:tcPr>
            <w:tcW w:w="576" w:type="dxa"/>
            <w:noWrap w:val="0"/>
            <w:vAlign w:val="top"/>
          </w:tcPr>
          <w:p w14:paraId="76DEECF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1.88</w:t>
            </w:r>
          </w:p>
        </w:tc>
        <w:tc>
          <w:tcPr>
            <w:tcW w:w="576" w:type="dxa"/>
            <w:noWrap w:val="0"/>
            <w:vAlign w:val="top"/>
          </w:tcPr>
          <w:p w14:paraId="487CA57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1.81</w:t>
            </w:r>
          </w:p>
        </w:tc>
        <w:tc>
          <w:tcPr>
            <w:tcW w:w="576" w:type="dxa"/>
            <w:noWrap w:val="0"/>
            <w:vAlign w:val="top"/>
          </w:tcPr>
          <w:p w14:paraId="2F23804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0.80</w:t>
            </w:r>
          </w:p>
        </w:tc>
        <w:tc>
          <w:tcPr>
            <w:tcW w:w="576" w:type="dxa"/>
            <w:noWrap w:val="0"/>
            <w:vAlign w:val="top"/>
          </w:tcPr>
          <w:p w14:paraId="159BA51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0.75</w:t>
            </w:r>
          </w:p>
        </w:tc>
        <w:tc>
          <w:tcPr>
            <w:tcW w:w="576" w:type="dxa"/>
            <w:noWrap w:val="0"/>
            <w:vAlign w:val="top"/>
          </w:tcPr>
          <w:p w14:paraId="782B3EF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top"/>
          </w:tcPr>
          <w:p w14:paraId="5CD7401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r>
      <w:tr w14:paraId="15A9F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17923FE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4</w:t>
            </w:r>
          </w:p>
        </w:tc>
        <w:tc>
          <w:tcPr>
            <w:tcW w:w="576" w:type="dxa"/>
            <w:noWrap w:val="0"/>
            <w:vAlign w:val="top"/>
          </w:tcPr>
          <w:p w14:paraId="4BC3965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0.73</w:t>
            </w:r>
          </w:p>
        </w:tc>
        <w:tc>
          <w:tcPr>
            <w:tcW w:w="576" w:type="dxa"/>
            <w:noWrap w:val="0"/>
            <w:vAlign w:val="top"/>
          </w:tcPr>
          <w:p w14:paraId="2F4CD8C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1.63</w:t>
            </w:r>
          </w:p>
        </w:tc>
        <w:tc>
          <w:tcPr>
            <w:tcW w:w="576" w:type="dxa"/>
            <w:noWrap w:val="0"/>
            <w:vAlign w:val="top"/>
          </w:tcPr>
          <w:p w14:paraId="4D234EE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1.65</w:t>
            </w:r>
          </w:p>
        </w:tc>
        <w:tc>
          <w:tcPr>
            <w:tcW w:w="576" w:type="dxa"/>
            <w:noWrap w:val="0"/>
            <w:vAlign w:val="top"/>
          </w:tcPr>
          <w:p w14:paraId="55BFE83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1.05</w:t>
            </w:r>
          </w:p>
        </w:tc>
        <w:tc>
          <w:tcPr>
            <w:tcW w:w="576" w:type="dxa"/>
            <w:noWrap w:val="0"/>
            <w:vAlign w:val="top"/>
          </w:tcPr>
          <w:p w14:paraId="7416290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c>
          <w:tcPr>
            <w:tcW w:w="576" w:type="dxa"/>
            <w:noWrap w:val="0"/>
            <w:vAlign w:val="top"/>
          </w:tcPr>
          <w:p w14:paraId="2B34B3B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0.90</w:t>
            </w:r>
          </w:p>
        </w:tc>
        <w:tc>
          <w:tcPr>
            <w:tcW w:w="576" w:type="dxa"/>
            <w:noWrap w:val="0"/>
            <w:vAlign w:val="top"/>
          </w:tcPr>
          <w:p w14:paraId="7C14DDD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0.71</w:t>
            </w:r>
          </w:p>
        </w:tc>
        <w:tc>
          <w:tcPr>
            <w:tcW w:w="576" w:type="dxa"/>
            <w:noWrap w:val="0"/>
            <w:vAlign w:val="top"/>
          </w:tcPr>
          <w:p w14:paraId="64E3007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1.14</w:t>
            </w:r>
          </w:p>
        </w:tc>
        <w:tc>
          <w:tcPr>
            <w:tcW w:w="576" w:type="dxa"/>
            <w:noWrap w:val="0"/>
            <w:vAlign w:val="top"/>
          </w:tcPr>
          <w:p w14:paraId="5BF4C3F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1.28</w:t>
            </w:r>
          </w:p>
        </w:tc>
        <w:tc>
          <w:tcPr>
            <w:tcW w:w="666" w:type="dxa"/>
            <w:noWrap w:val="0"/>
            <w:vAlign w:val="top"/>
          </w:tcPr>
          <w:p w14:paraId="1DB5471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1.26</w:t>
            </w:r>
          </w:p>
        </w:tc>
        <w:tc>
          <w:tcPr>
            <w:tcW w:w="666" w:type="dxa"/>
            <w:noWrap w:val="0"/>
            <w:vAlign w:val="top"/>
          </w:tcPr>
          <w:p w14:paraId="585EF0C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1.35</w:t>
            </w:r>
          </w:p>
        </w:tc>
        <w:tc>
          <w:tcPr>
            <w:tcW w:w="576" w:type="dxa"/>
            <w:noWrap w:val="0"/>
            <w:vAlign w:val="top"/>
          </w:tcPr>
          <w:p w14:paraId="0DC66BC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2.26</w:t>
            </w:r>
          </w:p>
        </w:tc>
        <w:tc>
          <w:tcPr>
            <w:tcW w:w="576" w:type="dxa"/>
            <w:noWrap w:val="0"/>
            <w:vAlign w:val="top"/>
          </w:tcPr>
          <w:p w14:paraId="5028FF6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1.60</w:t>
            </w:r>
          </w:p>
        </w:tc>
        <w:tc>
          <w:tcPr>
            <w:tcW w:w="576" w:type="dxa"/>
            <w:noWrap w:val="0"/>
            <w:vAlign w:val="top"/>
          </w:tcPr>
          <w:p w14:paraId="46818FF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0.82</w:t>
            </w:r>
          </w:p>
        </w:tc>
        <w:tc>
          <w:tcPr>
            <w:tcW w:w="576" w:type="dxa"/>
            <w:noWrap w:val="0"/>
            <w:vAlign w:val="top"/>
          </w:tcPr>
          <w:p w14:paraId="3E86853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0.84</w:t>
            </w:r>
          </w:p>
        </w:tc>
        <w:tc>
          <w:tcPr>
            <w:tcW w:w="576" w:type="dxa"/>
            <w:noWrap w:val="0"/>
            <w:vAlign w:val="top"/>
          </w:tcPr>
          <w:p w14:paraId="357A46B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1.06</w:t>
            </w:r>
          </w:p>
        </w:tc>
        <w:tc>
          <w:tcPr>
            <w:tcW w:w="576" w:type="dxa"/>
            <w:noWrap w:val="0"/>
            <w:vAlign w:val="top"/>
          </w:tcPr>
          <w:p w14:paraId="76F6C4E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1.28</w:t>
            </w:r>
          </w:p>
        </w:tc>
      </w:tr>
      <w:tr w14:paraId="0887B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6F87330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5</w:t>
            </w:r>
          </w:p>
        </w:tc>
        <w:tc>
          <w:tcPr>
            <w:tcW w:w="576" w:type="dxa"/>
            <w:noWrap w:val="0"/>
            <w:vAlign w:val="top"/>
          </w:tcPr>
          <w:p w14:paraId="4BC6EDC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0.91</w:t>
            </w:r>
          </w:p>
        </w:tc>
        <w:tc>
          <w:tcPr>
            <w:tcW w:w="576" w:type="dxa"/>
            <w:noWrap w:val="0"/>
            <w:vAlign w:val="top"/>
          </w:tcPr>
          <w:p w14:paraId="387BAA3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1.37</w:t>
            </w:r>
          </w:p>
        </w:tc>
        <w:tc>
          <w:tcPr>
            <w:tcW w:w="576" w:type="dxa"/>
            <w:noWrap w:val="0"/>
            <w:vAlign w:val="top"/>
          </w:tcPr>
          <w:p w14:paraId="6F630B6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1.96</w:t>
            </w:r>
          </w:p>
        </w:tc>
        <w:tc>
          <w:tcPr>
            <w:tcW w:w="576" w:type="dxa"/>
            <w:noWrap w:val="0"/>
            <w:vAlign w:val="top"/>
          </w:tcPr>
          <w:p w14:paraId="01CCF78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1.57</w:t>
            </w:r>
          </w:p>
        </w:tc>
        <w:tc>
          <w:tcPr>
            <w:tcW w:w="576" w:type="dxa"/>
            <w:noWrap w:val="0"/>
            <w:vAlign w:val="top"/>
          </w:tcPr>
          <w:p w14:paraId="0B60578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1.02</w:t>
            </w:r>
          </w:p>
        </w:tc>
        <w:tc>
          <w:tcPr>
            <w:tcW w:w="576" w:type="dxa"/>
            <w:noWrap w:val="0"/>
            <w:vAlign w:val="top"/>
          </w:tcPr>
          <w:p w14:paraId="3909F09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top"/>
          </w:tcPr>
          <w:p w14:paraId="30D7580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w:t>
            </w:r>
          </w:p>
        </w:tc>
        <w:tc>
          <w:tcPr>
            <w:tcW w:w="576" w:type="dxa"/>
            <w:noWrap w:val="0"/>
            <w:vAlign w:val="top"/>
          </w:tcPr>
          <w:p w14:paraId="60E1C89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w:t>
            </w:r>
          </w:p>
        </w:tc>
        <w:tc>
          <w:tcPr>
            <w:tcW w:w="576" w:type="dxa"/>
            <w:noWrap w:val="0"/>
            <w:vAlign w:val="top"/>
          </w:tcPr>
          <w:p w14:paraId="3B53B95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1.28</w:t>
            </w:r>
          </w:p>
        </w:tc>
        <w:tc>
          <w:tcPr>
            <w:tcW w:w="666" w:type="dxa"/>
            <w:noWrap w:val="0"/>
            <w:vAlign w:val="top"/>
          </w:tcPr>
          <w:p w14:paraId="793A2A1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1.24</w:t>
            </w:r>
          </w:p>
        </w:tc>
        <w:tc>
          <w:tcPr>
            <w:tcW w:w="666" w:type="dxa"/>
            <w:noWrap w:val="0"/>
            <w:vAlign w:val="top"/>
          </w:tcPr>
          <w:p w14:paraId="7C24AFB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1.63</w:t>
            </w:r>
          </w:p>
        </w:tc>
        <w:tc>
          <w:tcPr>
            <w:tcW w:w="576" w:type="dxa"/>
            <w:noWrap w:val="0"/>
            <w:vAlign w:val="top"/>
          </w:tcPr>
          <w:p w14:paraId="4D6D5B0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1.82</w:t>
            </w:r>
          </w:p>
        </w:tc>
        <w:tc>
          <w:tcPr>
            <w:tcW w:w="576" w:type="dxa"/>
            <w:noWrap w:val="0"/>
            <w:vAlign w:val="top"/>
          </w:tcPr>
          <w:p w14:paraId="19B9B19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1.68</w:t>
            </w:r>
          </w:p>
        </w:tc>
        <w:tc>
          <w:tcPr>
            <w:tcW w:w="576" w:type="dxa"/>
            <w:noWrap w:val="0"/>
            <w:vAlign w:val="top"/>
          </w:tcPr>
          <w:p w14:paraId="5AFEA3B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0.83</w:t>
            </w:r>
          </w:p>
        </w:tc>
        <w:tc>
          <w:tcPr>
            <w:tcW w:w="576" w:type="dxa"/>
            <w:noWrap w:val="0"/>
            <w:vAlign w:val="top"/>
          </w:tcPr>
          <w:p w14:paraId="49F18A8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0.95</w:t>
            </w:r>
          </w:p>
        </w:tc>
        <w:tc>
          <w:tcPr>
            <w:tcW w:w="576" w:type="dxa"/>
            <w:noWrap w:val="0"/>
            <w:vAlign w:val="top"/>
          </w:tcPr>
          <w:p w14:paraId="568170F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0.98</w:t>
            </w:r>
          </w:p>
        </w:tc>
        <w:tc>
          <w:tcPr>
            <w:tcW w:w="576" w:type="dxa"/>
            <w:noWrap w:val="0"/>
            <w:vAlign w:val="top"/>
          </w:tcPr>
          <w:p w14:paraId="40AC43C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1.38</w:t>
            </w:r>
          </w:p>
        </w:tc>
      </w:tr>
      <w:tr w14:paraId="00D27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4C0A389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6</w:t>
            </w:r>
          </w:p>
        </w:tc>
        <w:tc>
          <w:tcPr>
            <w:tcW w:w="576" w:type="dxa"/>
            <w:noWrap w:val="0"/>
            <w:vAlign w:val="top"/>
          </w:tcPr>
          <w:p w14:paraId="7CD2786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0.62</w:t>
            </w:r>
          </w:p>
        </w:tc>
        <w:tc>
          <w:tcPr>
            <w:tcW w:w="576" w:type="dxa"/>
            <w:noWrap w:val="0"/>
            <w:vAlign w:val="top"/>
          </w:tcPr>
          <w:p w14:paraId="55A6AC2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1.46</w:t>
            </w:r>
          </w:p>
        </w:tc>
        <w:tc>
          <w:tcPr>
            <w:tcW w:w="576" w:type="dxa"/>
            <w:noWrap w:val="0"/>
            <w:vAlign w:val="top"/>
          </w:tcPr>
          <w:p w14:paraId="7157135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1.24</w:t>
            </w:r>
          </w:p>
        </w:tc>
        <w:tc>
          <w:tcPr>
            <w:tcW w:w="576" w:type="dxa"/>
            <w:noWrap w:val="0"/>
            <w:vAlign w:val="top"/>
          </w:tcPr>
          <w:p w14:paraId="0BF41F9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1.29</w:t>
            </w:r>
          </w:p>
        </w:tc>
        <w:tc>
          <w:tcPr>
            <w:tcW w:w="576" w:type="dxa"/>
            <w:noWrap w:val="0"/>
            <w:vAlign w:val="top"/>
          </w:tcPr>
          <w:p w14:paraId="25199A5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0.78</w:t>
            </w:r>
          </w:p>
        </w:tc>
        <w:tc>
          <w:tcPr>
            <w:tcW w:w="576" w:type="dxa"/>
            <w:noWrap w:val="0"/>
            <w:vAlign w:val="top"/>
          </w:tcPr>
          <w:p w14:paraId="389E43A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top"/>
          </w:tcPr>
          <w:p w14:paraId="1807B45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0.92</w:t>
            </w:r>
          </w:p>
        </w:tc>
        <w:tc>
          <w:tcPr>
            <w:tcW w:w="576" w:type="dxa"/>
            <w:noWrap w:val="0"/>
            <w:vAlign w:val="top"/>
          </w:tcPr>
          <w:p w14:paraId="156EEEE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w:t>
            </w:r>
          </w:p>
        </w:tc>
        <w:tc>
          <w:tcPr>
            <w:tcW w:w="576" w:type="dxa"/>
            <w:noWrap w:val="0"/>
            <w:vAlign w:val="top"/>
          </w:tcPr>
          <w:p w14:paraId="3AB06A3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1.44</w:t>
            </w:r>
          </w:p>
        </w:tc>
        <w:tc>
          <w:tcPr>
            <w:tcW w:w="666" w:type="dxa"/>
            <w:noWrap w:val="0"/>
            <w:vAlign w:val="top"/>
          </w:tcPr>
          <w:p w14:paraId="453583E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1.31</w:t>
            </w:r>
          </w:p>
        </w:tc>
        <w:tc>
          <w:tcPr>
            <w:tcW w:w="666" w:type="dxa"/>
            <w:noWrap w:val="0"/>
            <w:vAlign w:val="top"/>
          </w:tcPr>
          <w:p w14:paraId="4C2EF01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576" w:type="dxa"/>
            <w:noWrap w:val="0"/>
            <w:vAlign w:val="top"/>
          </w:tcPr>
          <w:p w14:paraId="557EFC2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1.55</w:t>
            </w:r>
          </w:p>
        </w:tc>
        <w:tc>
          <w:tcPr>
            <w:tcW w:w="576" w:type="dxa"/>
            <w:noWrap w:val="0"/>
            <w:vAlign w:val="top"/>
          </w:tcPr>
          <w:p w14:paraId="23D5174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1.41</w:t>
            </w:r>
          </w:p>
        </w:tc>
        <w:tc>
          <w:tcPr>
            <w:tcW w:w="576" w:type="dxa"/>
            <w:noWrap w:val="0"/>
            <w:vAlign w:val="top"/>
          </w:tcPr>
          <w:p w14:paraId="7C44C6C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1.13</w:t>
            </w:r>
          </w:p>
        </w:tc>
        <w:tc>
          <w:tcPr>
            <w:tcW w:w="576" w:type="dxa"/>
            <w:noWrap w:val="0"/>
            <w:vAlign w:val="top"/>
          </w:tcPr>
          <w:p w14:paraId="5FB392C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top"/>
          </w:tcPr>
          <w:p w14:paraId="27C4D7E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0.89</w:t>
            </w:r>
          </w:p>
        </w:tc>
        <w:tc>
          <w:tcPr>
            <w:tcW w:w="576" w:type="dxa"/>
            <w:noWrap w:val="0"/>
            <w:vAlign w:val="top"/>
          </w:tcPr>
          <w:p w14:paraId="70B5538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1.15</w:t>
            </w:r>
          </w:p>
        </w:tc>
      </w:tr>
      <w:tr w14:paraId="4EA19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4DE84E4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7</w:t>
            </w:r>
          </w:p>
        </w:tc>
        <w:tc>
          <w:tcPr>
            <w:tcW w:w="576" w:type="dxa"/>
            <w:noWrap w:val="0"/>
            <w:vAlign w:val="top"/>
          </w:tcPr>
          <w:p w14:paraId="2481112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0.67</w:t>
            </w:r>
          </w:p>
        </w:tc>
        <w:tc>
          <w:tcPr>
            <w:tcW w:w="576" w:type="dxa"/>
            <w:noWrap w:val="0"/>
            <w:vAlign w:val="top"/>
          </w:tcPr>
          <w:p w14:paraId="2271912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1.23</w:t>
            </w:r>
          </w:p>
        </w:tc>
        <w:tc>
          <w:tcPr>
            <w:tcW w:w="576" w:type="dxa"/>
            <w:noWrap w:val="0"/>
            <w:vAlign w:val="top"/>
          </w:tcPr>
          <w:p w14:paraId="01B5786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576" w:type="dxa"/>
            <w:noWrap w:val="0"/>
            <w:vAlign w:val="top"/>
          </w:tcPr>
          <w:p w14:paraId="5617C35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1.28</w:t>
            </w:r>
          </w:p>
        </w:tc>
        <w:tc>
          <w:tcPr>
            <w:tcW w:w="576" w:type="dxa"/>
            <w:noWrap w:val="0"/>
            <w:vAlign w:val="top"/>
          </w:tcPr>
          <w:p w14:paraId="010BC11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1.25</w:t>
            </w:r>
          </w:p>
        </w:tc>
        <w:tc>
          <w:tcPr>
            <w:tcW w:w="576" w:type="dxa"/>
            <w:noWrap w:val="0"/>
            <w:vAlign w:val="top"/>
          </w:tcPr>
          <w:p w14:paraId="396825F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576" w:type="dxa"/>
            <w:noWrap w:val="0"/>
            <w:vAlign w:val="top"/>
          </w:tcPr>
          <w:p w14:paraId="639FD15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0.71</w:t>
            </w:r>
          </w:p>
        </w:tc>
        <w:tc>
          <w:tcPr>
            <w:tcW w:w="576" w:type="dxa"/>
            <w:noWrap w:val="0"/>
            <w:vAlign w:val="top"/>
          </w:tcPr>
          <w:p w14:paraId="2873A92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w:t>
            </w:r>
          </w:p>
        </w:tc>
        <w:tc>
          <w:tcPr>
            <w:tcW w:w="576" w:type="dxa"/>
            <w:noWrap w:val="0"/>
            <w:vAlign w:val="top"/>
          </w:tcPr>
          <w:p w14:paraId="788F692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1.32</w:t>
            </w:r>
          </w:p>
        </w:tc>
        <w:tc>
          <w:tcPr>
            <w:tcW w:w="666" w:type="dxa"/>
            <w:noWrap w:val="0"/>
            <w:vAlign w:val="top"/>
          </w:tcPr>
          <w:p w14:paraId="366D5FF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1.15</w:t>
            </w:r>
          </w:p>
        </w:tc>
        <w:tc>
          <w:tcPr>
            <w:tcW w:w="666" w:type="dxa"/>
            <w:noWrap w:val="0"/>
            <w:vAlign w:val="top"/>
          </w:tcPr>
          <w:p w14:paraId="0C2B129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1.30</w:t>
            </w:r>
          </w:p>
        </w:tc>
        <w:tc>
          <w:tcPr>
            <w:tcW w:w="576" w:type="dxa"/>
            <w:noWrap w:val="0"/>
            <w:vAlign w:val="top"/>
          </w:tcPr>
          <w:p w14:paraId="39A2356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576" w:type="dxa"/>
            <w:noWrap w:val="0"/>
            <w:vAlign w:val="top"/>
          </w:tcPr>
          <w:p w14:paraId="5F9F851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1.38</w:t>
            </w:r>
          </w:p>
        </w:tc>
        <w:tc>
          <w:tcPr>
            <w:tcW w:w="576" w:type="dxa"/>
            <w:noWrap w:val="0"/>
            <w:vAlign w:val="top"/>
          </w:tcPr>
          <w:p w14:paraId="7C3B007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1.03</w:t>
            </w:r>
          </w:p>
        </w:tc>
        <w:tc>
          <w:tcPr>
            <w:tcW w:w="576" w:type="dxa"/>
            <w:noWrap w:val="0"/>
            <w:vAlign w:val="top"/>
          </w:tcPr>
          <w:p w14:paraId="6F03DB9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0.87</w:t>
            </w:r>
          </w:p>
        </w:tc>
        <w:tc>
          <w:tcPr>
            <w:tcW w:w="576" w:type="dxa"/>
            <w:noWrap w:val="0"/>
            <w:vAlign w:val="top"/>
          </w:tcPr>
          <w:p w14:paraId="0DF4DD5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0.84</w:t>
            </w:r>
          </w:p>
        </w:tc>
        <w:tc>
          <w:tcPr>
            <w:tcW w:w="576" w:type="dxa"/>
            <w:noWrap w:val="0"/>
            <w:vAlign w:val="top"/>
          </w:tcPr>
          <w:p w14:paraId="3780D0F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r>
      <w:tr w14:paraId="3BAF0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6D8E6B8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8</w:t>
            </w:r>
          </w:p>
        </w:tc>
        <w:tc>
          <w:tcPr>
            <w:tcW w:w="576" w:type="dxa"/>
            <w:noWrap w:val="0"/>
            <w:vAlign w:val="top"/>
          </w:tcPr>
          <w:p w14:paraId="787C9FF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0.68</w:t>
            </w:r>
          </w:p>
        </w:tc>
        <w:tc>
          <w:tcPr>
            <w:tcW w:w="576" w:type="dxa"/>
            <w:noWrap w:val="0"/>
            <w:vAlign w:val="top"/>
          </w:tcPr>
          <w:p w14:paraId="06B2618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1.27</w:t>
            </w:r>
          </w:p>
        </w:tc>
        <w:tc>
          <w:tcPr>
            <w:tcW w:w="576" w:type="dxa"/>
            <w:noWrap w:val="0"/>
            <w:vAlign w:val="top"/>
          </w:tcPr>
          <w:p w14:paraId="6617AF2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w:t>
            </w:r>
          </w:p>
        </w:tc>
        <w:tc>
          <w:tcPr>
            <w:tcW w:w="576" w:type="dxa"/>
            <w:noWrap w:val="0"/>
            <w:vAlign w:val="top"/>
          </w:tcPr>
          <w:p w14:paraId="6B34849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576" w:type="dxa"/>
            <w:noWrap w:val="0"/>
            <w:vAlign w:val="top"/>
          </w:tcPr>
          <w:p w14:paraId="3386434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1.19</w:t>
            </w:r>
          </w:p>
        </w:tc>
        <w:tc>
          <w:tcPr>
            <w:tcW w:w="576" w:type="dxa"/>
            <w:noWrap w:val="0"/>
            <w:vAlign w:val="top"/>
          </w:tcPr>
          <w:p w14:paraId="064BE7F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0.98</w:t>
            </w:r>
          </w:p>
        </w:tc>
        <w:tc>
          <w:tcPr>
            <w:tcW w:w="576" w:type="dxa"/>
            <w:noWrap w:val="0"/>
            <w:vAlign w:val="top"/>
          </w:tcPr>
          <w:p w14:paraId="66A337B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w:t>
            </w:r>
          </w:p>
        </w:tc>
        <w:tc>
          <w:tcPr>
            <w:tcW w:w="576" w:type="dxa"/>
            <w:noWrap w:val="0"/>
            <w:vAlign w:val="top"/>
          </w:tcPr>
          <w:p w14:paraId="41F6162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1.44</w:t>
            </w:r>
          </w:p>
        </w:tc>
        <w:tc>
          <w:tcPr>
            <w:tcW w:w="576" w:type="dxa"/>
            <w:noWrap w:val="0"/>
            <w:vAlign w:val="top"/>
          </w:tcPr>
          <w:p w14:paraId="29DF28E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1.29</w:t>
            </w:r>
          </w:p>
        </w:tc>
        <w:tc>
          <w:tcPr>
            <w:tcW w:w="666" w:type="dxa"/>
            <w:noWrap w:val="0"/>
            <w:vAlign w:val="top"/>
          </w:tcPr>
          <w:p w14:paraId="6FF02D7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1.38</w:t>
            </w:r>
          </w:p>
        </w:tc>
        <w:tc>
          <w:tcPr>
            <w:tcW w:w="666" w:type="dxa"/>
            <w:noWrap w:val="0"/>
            <w:vAlign w:val="top"/>
          </w:tcPr>
          <w:p w14:paraId="0C109D6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1.29</w:t>
            </w:r>
          </w:p>
        </w:tc>
        <w:tc>
          <w:tcPr>
            <w:tcW w:w="576" w:type="dxa"/>
            <w:noWrap w:val="0"/>
            <w:vAlign w:val="top"/>
          </w:tcPr>
          <w:p w14:paraId="1A43418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1.34</w:t>
            </w:r>
          </w:p>
        </w:tc>
        <w:tc>
          <w:tcPr>
            <w:tcW w:w="576" w:type="dxa"/>
            <w:noWrap w:val="0"/>
            <w:vAlign w:val="top"/>
          </w:tcPr>
          <w:p w14:paraId="4CBD508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1.65</w:t>
            </w:r>
          </w:p>
        </w:tc>
        <w:tc>
          <w:tcPr>
            <w:tcW w:w="576" w:type="dxa"/>
            <w:noWrap w:val="0"/>
            <w:vAlign w:val="top"/>
          </w:tcPr>
          <w:p w14:paraId="2F87D08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0.86</w:t>
            </w:r>
          </w:p>
        </w:tc>
        <w:tc>
          <w:tcPr>
            <w:tcW w:w="576" w:type="dxa"/>
            <w:noWrap w:val="0"/>
            <w:vAlign w:val="top"/>
          </w:tcPr>
          <w:p w14:paraId="4D8B860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0.92</w:t>
            </w:r>
          </w:p>
        </w:tc>
        <w:tc>
          <w:tcPr>
            <w:tcW w:w="576" w:type="dxa"/>
            <w:noWrap w:val="0"/>
            <w:vAlign w:val="top"/>
          </w:tcPr>
          <w:p w14:paraId="240D3A1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0.85</w:t>
            </w:r>
          </w:p>
        </w:tc>
        <w:tc>
          <w:tcPr>
            <w:tcW w:w="576" w:type="dxa"/>
            <w:noWrap w:val="0"/>
            <w:vAlign w:val="top"/>
          </w:tcPr>
          <w:p w14:paraId="4743E3F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1.06</w:t>
            </w:r>
          </w:p>
        </w:tc>
      </w:tr>
      <w:tr w14:paraId="3244E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3FB23E2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9</w:t>
            </w:r>
          </w:p>
        </w:tc>
        <w:tc>
          <w:tcPr>
            <w:tcW w:w="576" w:type="dxa"/>
            <w:noWrap w:val="0"/>
            <w:vAlign w:val="top"/>
          </w:tcPr>
          <w:p w14:paraId="13C89B7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0.65</w:t>
            </w:r>
          </w:p>
        </w:tc>
        <w:tc>
          <w:tcPr>
            <w:tcW w:w="576" w:type="dxa"/>
            <w:noWrap w:val="0"/>
            <w:vAlign w:val="top"/>
          </w:tcPr>
          <w:p w14:paraId="50AB6AE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1.28</w:t>
            </w:r>
          </w:p>
        </w:tc>
        <w:tc>
          <w:tcPr>
            <w:tcW w:w="576" w:type="dxa"/>
            <w:noWrap w:val="0"/>
            <w:vAlign w:val="top"/>
          </w:tcPr>
          <w:p w14:paraId="5D19844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c>
          <w:tcPr>
            <w:tcW w:w="576" w:type="dxa"/>
            <w:noWrap w:val="0"/>
            <w:vAlign w:val="top"/>
          </w:tcPr>
          <w:p w14:paraId="5D59B76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1.18</w:t>
            </w:r>
          </w:p>
        </w:tc>
        <w:tc>
          <w:tcPr>
            <w:tcW w:w="576" w:type="dxa"/>
            <w:noWrap w:val="0"/>
            <w:vAlign w:val="top"/>
          </w:tcPr>
          <w:p w14:paraId="16F7306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0.98</w:t>
            </w:r>
          </w:p>
        </w:tc>
        <w:tc>
          <w:tcPr>
            <w:tcW w:w="576" w:type="dxa"/>
            <w:noWrap w:val="0"/>
            <w:vAlign w:val="top"/>
          </w:tcPr>
          <w:p w14:paraId="4CB4710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1.17</w:t>
            </w:r>
          </w:p>
        </w:tc>
        <w:tc>
          <w:tcPr>
            <w:tcW w:w="576" w:type="dxa"/>
            <w:noWrap w:val="0"/>
            <w:vAlign w:val="top"/>
          </w:tcPr>
          <w:p w14:paraId="03CCCC4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1.11</w:t>
            </w:r>
          </w:p>
        </w:tc>
        <w:tc>
          <w:tcPr>
            <w:tcW w:w="576" w:type="dxa"/>
            <w:noWrap w:val="0"/>
            <w:vAlign w:val="top"/>
          </w:tcPr>
          <w:p w14:paraId="74D1C20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1.45</w:t>
            </w:r>
          </w:p>
        </w:tc>
        <w:tc>
          <w:tcPr>
            <w:tcW w:w="576" w:type="dxa"/>
            <w:noWrap w:val="0"/>
            <w:vAlign w:val="top"/>
          </w:tcPr>
          <w:p w14:paraId="1E6FCA5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1.40</w:t>
            </w:r>
          </w:p>
        </w:tc>
        <w:tc>
          <w:tcPr>
            <w:tcW w:w="666" w:type="dxa"/>
            <w:noWrap w:val="0"/>
            <w:vAlign w:val="top"/>
          </w:tcPr>
          <w:p w14:paraId="7F7BB23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c>
          <w:tcPr>
            <w:tcW w:w="666" w:type="dxa"/>
            <w:noWrap w:val="0"/>
            <w:vAlign w:val="top"/>
          </w:tcPr>
          <w:p w14:paraId="71ABDA1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1.26</w:t>
            </w:r>
          </w:p>
        </w:tc>
        <w:tc>
          <w:tcPr>
            <w:tcW w:w="576" w:type="dxa"/>
            <w:noWrap w:val="0"/>
            <w:vAlign w:val="top"/>
          </w:tcPr>
          <w:p w14:paraId="3C77EE4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1.44</w:t>
            </w:r>
          </w:p>
        </w:tc>
        <w:tc>
          <w:tcPr>
            <w:tcW w:w="576" w:type="dxa"/>
            <w:noWrap w:val="0"/>
            <w:vAlign w:val="top"/>
          </w:tcPr>
          <w:p w14:paraId="6228C51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1.43</w:t>
            </w:r>
          </w:p>
        </w:tc>
        <w:tc>
          <w:tcPr>
            <w:tcW w:w="576" w:type="dxa"/>
            <w:noWrap w:val="0"/>
            <w:vAlign w:val="top"/>
          </w:tcPr>
          <w:p w14:paraId="396BD9F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0.89</w:t>
            </w:r>
          </w:p>
        </w:tc>
        <w:tc>
          <w:tcPr>
            <w:tcW w:w="576" w:type="dxa"/>
            <w:noWrap w:val="0"/>
            <w:vAlign w:val="top"/>
          </w:tcPr>
          <w:p w14:paraId="0C5520A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1.02</w:t>
            </w:r>
          </w:p>
        </w:tc>
        <w:tc>
          <w:tcPr>
            <w:tcW w:w="576" w:type="dxa"/>
            <w:noWrap w:val="0"/>
            <w:vAlign w:val="top"/>
          </w:tcPr>
          <w:p w14:paraId="6A001C5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c>
          <w:tcPr>
            <w:tcW w:w="576" w:type="dxa"/>
            <w:noWrap w:val="0"/>
            <w:vAlign w:val="top"/>
          </w:tcPr>
          <w:p w14:paraId="242BC8B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1.07</w:t>
            </w:r>
          </w:p>
        </w:tc>
      </w:tr>
      <w:tr w14:paraId="31B57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6A6A31F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w:t>
            </w:r>
          </w:p>
        </w:tc>
        <w:tc>
          <w:tcPr>
            <w:tcW w:w="576" w:type="dxa"/>
            <w:noWrap w:val="0"/>
            <w:vAlign w:val="top"/>
          </w:tcPr>
          <w:p w14:paraId="1805585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0.53</w:t>
            </w:r>
          </w:p>
        </w:tc>
        <w:tc>
          <w:tcPr>
            <w:tcW w:w="576" w:type="dxa"/>
            <w:noWrap w:val="0"/>
            <w:vAlign w:val="top"/>
          </w:tcPr>
          <w:p w14:paraId="2986317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1.16</w:t>
            </w:r>
          </w:p>
        </w:tc>
        <w:tc>
          <w:tcPr>
            <w:tcW w:w="576" w:type="dxa"/>
            <w:noWrap w:val="0"/>
            <w:vAlign w:val="top"/>
          </w:tcPr>
          <w:p w14:paraId="5F96523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1.47</w:t>
            </w:r>
          </w:p>
        </w:tc>
        <w:tc>
          <w:tcPr>
            <w:tcW w:w="576" w:type="dxa"/>
            <w:noWrap w:val="0"/>
            <w:vAlign w:val="top"/>
          </w:tcPr>
          <w:p w14:paraId="5A2E5EA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1.39</w:t>
            </w:r>
          </w:p>
        </w:tc>
        <w:tc>
          <w:tcPr>
            <w:tcW w:w="576" w:type="dxa"/>
            <w:noWrap w:val="0"/>
            <w:vAlign w:val="top"/>
          </w:tcPr>
          <w:p w14:paraId="46C566E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0.95</w:t>
            </w:r>
          </w:p>
        </w:tc>
        <w:tc>
          <w:tcPr>
            <w:tcW w:w="576" w:type="dxa"/>
            <w:noWrap w:val="0"/>
            <w:vAlign w:val="top"/>
          </w:tcPr>
          <w:p w14:paraId="71CCDD4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576" w:type="dxa"/>
            <w:noWrap w:val="0"/>
            <w:vAlign w:val="top"/>
          </w:tcPr>
          <w:p w14:paraId="748772B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1.32</w:t>
            </w:r>
          </w:p>
        </w:tc>
        <w:tc>
          <w:tcPr>
            <w:tcW w:w="576" w:type="dxa"/>
            <w:noWrap w:val="0"/>
            <w:vAlign w:val="top"/>
          </w:tcPr>
          <w:p w14:paraId="68F4BB6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1.43</w:t>
            </w:r>
          </w:p>
        </w:tc>
        <w:tc>
          <w:tcPr>
            <w:tcW w:w="576" w:type="dxa"/>
            <w:noWrap w:val="0"/>
            <w:vAlign w:val="top"/>
          </w:tcPr>
          <w:p w14:paraId="15AE207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1.13</w:t>
            </w:r>
          </w:p>
        </w:tc>
        <w:tc>
          <w:tcPr>
            <w:tcW w:w="666" w:type="dxa"/>
            <w:noWrap w:val="0"/>
            <w:vAlign w:val="top"/>
          </w:tcPr>
          <w:p w14:paraId="7B9BA65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1.26</w:t>
            </w:r>
          </w:p>
        </w:tc>
        <w:tc>
          <w:tcPr>
            <w:tcW w:w="666" w:type="dxa"/>
            <w:noWrap w:val="0"/>
            <w:vAlign w:val="top"/>
          </w:tcPr>
          <w:p w14:paraId="040D308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1.22</w:t>
            </w:r>
          </w:p>
        </w:tc>
        <w:tc>
          <w:tcPr>
            <w:tcW w:w="576" w:type="dxa"/>
            <w:noWrap w:val="0"/>
            <w:vAlign w:val="top"/>
          </w:tcPr>
          <w:p w14:paraId="3AAC1F0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1.37</w:t>
            </w:r>
          </w:p>
        </w:tc>
        <w:tc>
          <w:tcPr>
            <w:tcW w:w="576" w:type="dxa"/>
            <w:noWrap w:val="0"/>
            <w:vAlign w:val="top"/>
          </w:tcPr>
          <w:p w14:paraId="72E3462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1.38</w:t>
            </w:r>
          </w:p>
        </w:tc>
        <w:tc>
          <w:tcPr>
            <w:tcW w:w="576" w:type="dxa"/>
            <w:noWrap w:val="0"/>
            <w:vAlign w:val="top"/>
          </w:tcPr>
          <w:p w14:paraId="5278185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0.88</w:t>
            </w:r>
          </w:p>
        </w:tc>
        <w:tc>
          <w:tcPr>
            <w:tcW w:w="576" w:type="dxa"/>
            <w:noWrap w:val="0"/>
            <w:vAlign w:val="top"/>
          </w:tcPr>
          <w:p w14:paraId="68809C5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0.86</w:t>
            </w:r>
          </w:p>
        </w:tc>
        <w:tc>
          <w:tcPr>
            <w:tcW w:w="576" w:type="dxa"/>
            <w:noWrap w:val="0"/>
            <w:vAlign w:val="top"/>
          </w:tcPr>
          <w:p w14:paraId="3BA1972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0.85</w:t>
            </w:r>
          </w:p>
        </w:tc>
        <w:tc>
          <w:tcPr>
            <w:tcW w:w="576" w:type="dxa"/>
            <w:noWrap w:val="0"/>
            <w:vAlign w:val="top"/>
          </w:tcPr>
          <w:p w14:paraId="7B9B401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1.07</w:t>
            </w:r>
          </w:p>
        </w:tc>
      </w:tr>
      <w:tr w14:paraId="52918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1A0D648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w:t>
            </w:r>
          </w:p>
        </w:tc>
        <w:tc>
          <w:tcPr>
            <w:tcW w:w="576" w:type="dxa"/>
            <w:noWrap w:val="0"/>
            <w:vAlign w:val="top"/>
          </w:tcPr>
          <w:p w14:paraId="7700A30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0.36</w:t>
            </w:r>
          </w:p>
        </w:tc>
        <w:tc>
          <w:tcPr>
            <w:tcW w:w="576" w:type="dxa"/>
            <w:noWrap w:val="0"/>
            <w:vAlign w:val="top"/>
          </w:tcPr>
          <w:p w14:paraId="47508BC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1.10</w:t>
            </w:r>
          </w:p>
        </w:tc>
        <w:tc>
          <w:tcPr>
            <w:tcW w:w="576" w:type="dxa"/>
            <w:noWrap w:val="0"/>
            <w:vAlign w:val="top"/>
          </w:tcPr>
          <w:p w14:paraId="0691C06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2.46</w:t>
            </w:r>
          </w:p>
        </w:tc>
        <w:tc>
          <w:tcPr>
            <w:tcW w:w="576" w:type="dxa"/>
            <w:noWrap w:val="0"/>
            <w:vAlign w:val="top"/>
          </w:tcPr>
          <w:p w14:paraId="16B01E0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1.17</w:t>
            </w:r>
          </w:p>
        </w:tc>
        <w:tc>
          <w:tcPr>
            <w:tcW w:w="576" w:type="dxa"/>
            <w:noWrap w:val="0"/>
            <w:vAlign w:val="top"/>
          </w:tcPr>
          <w:p w14:paraId="360AB8A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1.20</w:t>
            </w:r>
          </w:p>
        </w:tc>
        <w:tc>
          <w:tcPr>
            <w:tcW w:w="576" w:type="dxa"/>
            <w:noWrap w:val="0"/>
            <w:vAlign w:val="top"/>
          </w:tcPr>
          <w:p w14:paraId="0B34BBE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1.02</w:t>
            </w:r>
          </w:p>
        </w:tc>
        <w:tc>
          <w:tcPr>
            <w:tcW w:w="576" w:type="dxa"/>
            <w:noWrap w:val="0"/>
            <w:vAlign w:val="top"/>
          </w:tcPr>
          <w:p w14:paraId="4C0B588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0.98</w:t>
            </w:r>
          </w:p>
        </w:tc>
        <w:tc>
          <w:tcPr>
            <w:tcW w:w="576" w:type="dxa"/>
            <w:noWrap w:val="0"/>
            <w:vAlign w:val="top"/>
          </w:tcPr>
          <w:p w14:paraId="6997FC8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w:t>
            </w:r>
          </w:p>
        </w:tc>
        <w:tc>
          <w:tcPr>
            <w:tcW w:w="576" w:type="dxa"/>
            <w:noWrap w:val="0"/>
            <w:vAlign w:val="top"/>
          </w:tcPr>
          <w:p w14:paraId="63EE973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0.94</w:t>
            </w:r>
          </w:p>
        </w:tc>
        <w:tc>
          <w:tcPr>
            <w:tcW w:w="666" w:type="dxa"/>
            <w:noWrap w:val="0"/>
            <w:vAlign w:val="top"/>
          </w:tcPr>
          <w:p w14:paraId="718847D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1.10</w:t>
            </w:r>
          </w:p>
        </w:tc>
        <w:tc>
          <w:tcPr>
            <w:tcW w:w="666" w:type="dxa"/>
            <w:noWrap w:val="0"/>
            <w:vAlign w:val="top"/>
          </w:tcPr>
          <w:p w14:paraId="3A18FC5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1.03</w:t>
            </w:r>
          </w:p>
        </w:tc>
        <w:tc>
          <w:tcPr>
            <w:tcW w:w="576" w:type="dxa"/>
            <w:noWrap w:val="0"/>
            <w:vAlign w:val="top"/>
          </w:tcPr>
          <w:p w14:paraId="5A02CBB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1.20</w:t>
            </w:r>
          </w:p>
        </w:tc>
        <w:tc>
          <w:tcPr>
            <w:tcW w:w="576" w:type="dxa"/>
            <w:noWrap w:val="0"/>
            <w:vAlign w:val="top"/>
          </w:tcPr>
          <w:p w14:paraId="3C3C081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1.14</w:t>
            </w:r>
          </w:p>
        </w:tc>
        <w:tc>
          <w:tcPr>
            <w:tcW w:w="576" w:type="dxa"/>
            <w:noWrap w:val="0"/>
            <w:vAlign w:val="top"/>
          </w:tcPr>
          <w:p w14:paraId="5F069DA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0.81</w:t>
            </w:r>
          </w:p>
        </w:tc>
        <w:tc>
          <w:tcPr>
            <w:tcW w:w="576" w:type="dxa"/>
            <w:noWrap w:val="0"/>
            <w:vAlign w:val="top"/>
          </w:tcPr>
          <w:p w14:paraId="6425456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0.79</w:t>
            </w:r>
          </w:p>
        </w:tc>
        <w:tc>
          <w:tcPr>
            <w:tcW w:w="576" w:type="dxa"/>
            <w:noWrap w:val="0"/>
            <w:vAlign w:val="top"/>
          </w:tcPr>
          <w:p w14:paraId="3B9F392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0.85</w:t>
            </w:r>
          </w:p>
        </w:tc>
        <w:tc>
          <w:tcPr>
            <w:tcW w:w="576" w:type="dxa"/>
            <w:noWrap w:val="0"/>
            <w:vAlign w:val="top"/>
          </w:tcPr>
          <w:p w14:paraId="5405365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r>
      <w:tr w14:paraId="6486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006756A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w:t>
            </w:r>
          </w:p>
        </w:tc>
        <w:tc>
          <w:tcPr>
            <w:tcW w:w="576" w:type="dxa"/>
            <w:noWrap w:val="0"/>
            <w:vAlign w:val="top"/>
          </w:tcPr>
          <w:p w14:paraId="2D9945E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0.34</w:t>
            </w:r>
          </w:p>
        </w:tc>
        <w:tc>
          <w:tcPr>
            <w:tcW w:w="576" w:type="dxa"/>
            <w:noWrap w:val="0"/>
            <w:vAlign w:val="top"/>
          </w:tcPr>
          <w:p w14:paraId="012CA23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0.92</w:t>
            </w:r>
          </w:p>
        </w:tc>
        <w:tc>
          <w:tcPr>
            <w:tcW w:w="576" w:type="dxa"/>
            <w:noWrap w:val="0"/>
            <w:vAlign w:val="top"/>
          </w:tcPr>
          <w:p w14:paraId="616D0A0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c>
          <w:tcPr>
            <w:tcW w:w="576" w:type="dxa"/>
            <w:noWrap w:val="0"/>
            <w:vAlign w:val="top"/>
          </w:tcPr>
          <w:p w14:paraId="02ACF92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0.91</w:t>
            </w:r>
          </w:p>
        </w:tc>
        <w:tc>
          <w:tcPr>
            <w:tcW w:w="576" w:type="dxa"/>
            <w:noWrap w:val="0"/>
            <w:vAlign w:val="top"/>
          </w:tcPr>
          <w:p w14:paraId="79C862D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w:t>
            </w:r>
          </w:p>
        </w:tc>
        <w:tc>
          <w:tcPr>
            <w:tcW w:w="576" w:type="dxa"/>
            <w:noWrap w:val="0"/>
            <w:vAlign w:val="top"/>
          </w:tcPr>
          <w:p w14:paraId="1FC9B5D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0.90</w:t>
            </w:r>
          </w:p>
        </w:tc>
        <w:tc>
          <w:tcPr>
            <w:tcW w:w="576" w:type="dxa"/>
            <w:noWrap w:val="0"/>
            <w:vAlign w:val="top"/>
          </w:tcPr>
          <w:p w14:paraId="5AA2516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1.54</w:t>
            </w:r>
          </w:p>
        </w:tc>
        <w:tc>
          <w:tcPr>
            <w:tcW w:w="576" w:type="dxa"/>
            <w:noWrap w:val="0"/>
            <w:vAlign w:val="top"/>
          </w:tcPr>
          <w:p w14:paraId="654D2A1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0.69</w:t>
            </w:r>
          </w:p>
        </w:tc>
        <w:tc>
          <w:tcPr>
            <w:tcW w:w="576" w:type="dxa"/>
            <w:noWrap w:val="0"/>
            <w:vAlign w:val="top"/>
          </w:tcPr>
          <w:p w14:paraId="1962E15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0.96</w:t>
            </w:r>
          </w:p>
        </w:tc>
        <w:tc>
          <w:tcPr>
            <w:tcW w:w="666" w:type="dxa"/>
            <w:noWrap w:val="0"/>
            <w:vAlign w:val="top"/>
          </w:tcPr>
          <w:p w14:paraId="70302E7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0.95</w:t>
            </w:r>
          </w:p>
        </w:tc>
        <w:tc>
          <w:tcPr>
            <w:tcW w:w="666" w:type="dxa"/>
            <w:noWrap w:val="0"/>
            <w:vAlign w:val="top"/>
          </w:tcPr>
          <w:p w14:paraId="045C57B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1.16</w:t>
            </w:r>
          </w:p>
        </w:tc>
        <w:tc>
          <w:tcPr>
            <w:tcW w:w="576" w:type="dxa"/>
            <w:noWrap w:val="0"/>
            <w:vAlign w:val="top"/>
          </w:tcPr>
          <w:p w14:paraId="272283E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1.14</w:t>
            </w:r>
          </w:p>
        </w:tc>
        <w:tc>
          <w:tcPr>
            <w:tcW w:w="576" w:type="dxa"/>
            <w:noWrap w:val="0"/>
            <w:vAlign w:val="top"/>
          </w:tcPr>
          <w:p w14:paraId="4066996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1.01</w:t>
            </w:r>
          </w:p>
        </w:tc>
        <w:tc>
          <w:tcPr>
            <w:tcW w:w="576" w:type="dxa"/>
            <w:noWrap w:val="0"/>
            <w:vAlign w:val="top"/>
          </w:tcPr>
          <w:p w14:paraId="25FE4A5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0.79</w:t>
            </w:r>
          </w:p>
        </w:tc>
        <w:tc>
          <w:tcPr>
            <w:tcW w:w="576" w:type="dxa"/>
            <w:noWrap w:val="0"/>
            <w:vAlign w:val="top"/>
          </w:tcPr>
          <w:p w14:paraId="4B2F734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0.63</w:t>
            </w:r>
          </w:p>
        </w:tc>
        <w:tc>
          <w:tcPr>
            <w:tcW w:w="576" w:type="dxa"/>
            <w:noWrap w:val="0"/>
            <w:vAlign w:val="top"/>
          </w:tcPr>
          <w:p w14:paraId="04079B5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0.75</w:t>
            </w:r>
          </w:p>
        </w:tc>
        <w:tc>
          <w:tcPr>
            <w:tcW w:w="576" w:type="dxa"/>
            <w:noWrap w:val="0"/>
            <w:vAlign w:val="top"/>
          </w:tcPr>
          <w:p w14:paraId="49B4195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0.82</w:t>
            </w:r>
          </w:p>
        </w:tc>
      </w:tr>
      <w:tr w14:paraId="14133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2C114CF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全年</w:t>
            </w:r>
          </w:p>
        </w:tc>
        <w:tc>
          <w:tcPr>
            <w:tcW w:w="576" w:type="dxa"/>
            <w:noWrap w:val="0"/>
            <w:vAlign w:val="top"/>
          </w:tcPr>
          <w:p w14:paraId="012E4F9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0.58</w:t>
            </w:r>
          </w:p>
        </w:tc>
        <w:tc>
          <w:tcPr>
            <w:tcW w:w="576" w:type="dxa"/>
            <w:noWrap w:val="0"/>
            <w:vAlign w:val="top"/>
          </w:tcPr>
          <w:p w14:paraId="2982B89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1.25</w:t>
            </w:r>
          </w:p>
        </w:tc>
        <w:tc>
          <w:tcPr>
            <w:tcW w:w="576" w:type="dxa"/>
            <w:noWrap w:val="0"/>
            <w:vAlign w:val="top"/>
          </w:tcPr>
          <w:p w14:paraId="27D9718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1.50</w:t>
            </w:r>
          </w:p>
        </w:tc>
        <w:tc>
          <w:tcPr>
            <w:tcW w:w="576" w:type="dxa"/>
            <w:noWrap w:val="0"/>
            <w:vAlign w:val="top"/>
          </w:tcPr>
          <w:p w14:paraId="136A552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1.22</w:t>
            </w:r>
          </w:p>
        </w:tc>
        <w:tc>
          <w:tcPr>
            <w:tcW w:w="576" w:type="dxa"/>
            <w:noWrap w:val="0"/>
            <w:vAlign w:val="top"/>
          </w:tcPr>
          <w:p w14:paraId="3D11F36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1.03</w:t>
            </w:r>
          </w:p>
        </w:tc>
        <w:tc>
          <w:tcPr>
            <w:tcW w:w="576" w:type="dxa"/>
            <w:noWrap w:val="0"/>
            <w:vAlign w:val="top"/>
          </w:tcPr>
          <w:p w14:paraId="7C55BA6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0.96</w:t>
            </w:r>
          </w:p>
        </w:tc>
        <w:tc>
          <w:tcPr>
            <w:tcW w:w="576" w:type="dxa"/>
            <w:noWrap w:val="0"/>
            <w:vAlign w:val="top"/>
          </w:tcPr>
          <w:p w14:paraId="7F03771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1.02</w:t>
            </w:r>
          </w:p>
        </w:tc>
        <w:tc>
          <w:tcPr>
            <w:tcW w:w="576" w:type="dxa"/>
            <w:noWrap w:val="0"/>
            <w:vAlign w:val="top"/>
          </w:tcPr>
          <w:p w14:paraId="1F8CE07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1.17</w:t>
            </w:r>
          </w:p>
        </w:tc>
        <w:tc>
          <w:tcPr>
            <w:tcW w:w="576" w:type="dxa"/>
            <w:noWrap w:val="0"/>
            <w:vAlign w:val="top"/>
          </w:tcPr>
          <w:p w14:paraId="1164C8B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1.19</w:t>
            </w:r>
          </w:p>
        </w:tc>
        <w:tc>
          <w:tcPr>
            <w:tcW w:w="666" w:type="dxa"/>
            <w:noWrap w:val="0"/>
            <w:vAlign w:val="top"/>
          </w:tcPr>
          <w:p w14:paraId="41978B8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1.14</w:t>
            </w:r>
          </w:p>
        </w:tc>
        <w:tc>
          <w:tcPr>
            <w:tcW w:w="666" w:type="dxa"/>
            <w:noWrap w:val="0"/>
            <w:vAlign w:val="top"/>
          </w:tcPr>
          <w:p w14:paraId="270C5EE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1.25</w:t>
            </w:r>
          </w:p>
        </w:tc>
        <w:tc>
          <w:tcPr>
            <w:tcW w:w="576" w:type="dxa"/>
            <w:noWrap w:val="0"/>
            <w:vAlign w:val="top"/>
          </w:tcPr>
          <w:p w14:paraId="3D45ED5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1.52</w:t>
            </w:r>
          </w:p>
        </w:tc>
        <w:tc>
          <w:tcPr>
            <w:tcW w:w="576" w:type="dxa"/>
            <w:noWrap w:val="0"/>
            <w:vAlign w:val="top"/>
          </w:tcPr>
          <w:p w14:paraId="46F6BE8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1.44</w:t>
            </w:r>
          </w:p>
        </w:tc>
        <w:tc>
          <w:tcPr>
            <w:tcW w:w="576" w:type="dxa"/>
            <w:noWrap w:val="0"/>
            <w:vAlign w:val="top"/>
          </w:tcPr>
          <w:p w14:paraId="4612F48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0.86</w:t>
            </w:r>
          </w:p>
        </w:tc>
        <w:tc>
          <w:tcPr>
            <w:tcW w:w="576" w:type="dxa"/>
            <w:noWrap w:val="0"/>
            <w:vAlign w:val="top"/>
          </w:tcPr>
          <w:p w14:paraId="46DB21A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0.85</w:t>
            </w:r>
          </w:p>
        </w:tc>
        <w:tc>
          <w:tcPr>
            <w:tcW w:w="576" w:type="dxa"/>
            <w:noWrap w:val="0"/>
            <w:vAlign w:val="top"/>
          </w:tcPr>
          <w:p w14:paraId="3B3A302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0.92</w:t>
            </w:r>
          </w:p>
        </w:tc>
        <w:tc>
          <w:tcPr>
            <w:tcW w:w="576" w:type="dxa"/>
            <w:noWrap w:val="0"/>
            <w:vAlign w:val="top"/>
          </w:tcPr>
          <w:p w14:paraId="513D646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r>
      <w:tr w14:paraId="59E2B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7776AE1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春</w:t>
            </w:r>
          </w:p>
        </w:tc>
        <w:tc>
          <w:tcPr>
            <w:tcW w:w="576" w:type="dxa"/>
            <w:noWrap w:val="0"/>
            <w:vAlign w:val="top"/>
          </w:tcPr>
          <w:p w14:paraId="3579C1D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0.75</w:t>
            </w:r>
          </w:p>
        </w:tc>
        <w:tc>
          <w:tcPr>
            <w:tcW w:w="576" w:type="dxa"/>
            <w:noWrap w:val="0"/>
            <w:vAlign w:val="top"/>
          </w:tcPr>
          <w:p w14:paraId="5A11F50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576" w:type="dxa"/>
            <w:noWrap w:val="0"/>
            <w:vAlign w:val="top"/>
          </w:tcPr>
          <w:p w14:paraId="15C58BE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1.72</w:t>
            </w:r>
          </w:p>
        </w:tc>
        <w:tc>
          <w:tcPr>
            <w:tcW w:w="576" w:type="dxa"/>
            <w:noWrap w:val="0"/>
            <w:vAlign w:val="top"/>
          </w:tcPr>
          <w:p w14:paraId="37B73E4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1.32</w:t>
            </w:r>
          </w:p>
        </w:tc>
        <w:tc>
          <w:tcPr>
            <w:tcW w:w="576" w:type="dxa"/>
            <w:noWrap w:val="0"/>
            <w:vAlign w:val="top"/>
          </w:tcPr>
          <w:p w14:paraId="404798E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1.03</w:t>
            </w:r>
          </w:p>
        </w:tc>
        <w:tc>
          <w:tcPr>
            <w:tcW w:w="576" w:type="dxa"/>
            <w:noWrap w:val="0"/>
            <w:vAlign w:val="top"/>
          </w:tcPr>
          <w:p w14:paraId="02801C9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0.92</w:t>
            </w:r>
          </w:p>
        </w:tc>
        <w:tc>
          <w:tcPr>
            <w:tcW w:w="576" w:type="dxa"/>
            <w:noWrap w:val="0"/>
            <w:vAlign w:val="top"/>
          </w:tcPr>
          <w:p w14:paraId="4C334DE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1.00</w:t>
            </w:r>
          </w:p>
        </w:tc>
        <w:tc>
          <w:tcPr>
            <w:tcW w:w="576" w:type="dxa"/>
            <w:noWrap w:val="0"/>
            <w:vAlign w:val="top"/>
          </w:tcPr>
          <w:p w14:paraId="49195DD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1.20</w:t>
            </w:r>
          </w:p>
        </w:tc>
        <w:tc>
          <w:tcPr>
            <w:tcW w:w="576" w:type="dxa"/>
            <w:noWrap w:val="0"/>
            <w:vAlign w:val="top"/>
          </w:tcPr>
          <w:p w14:paraId="782612E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1.22</w:t>
            </w:r>
          </w:p>
        </w:tc>
        <w:tc>
          <w:tcPr>
            <w:tcW w:w="666" w:type="dxa"/>
            <w:noWrap w:val="0"/>
            <w:vAlign w:val="top"/>
          </w:tcPr>
          <w:p w14:paraId="43D3327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1.19</w:t>
            </w:r>
          </w:p>
        </w:tc>
        <w:tc>
          <w:tcPr>
            <w:tcW w:w="666" w:type="dxa"/>
            <w:noWrap w:val="0"/>
            <w:vAlign w:val="top"/>
          </w:tcPr>
          <w:p w14:paraId="0BF6A2D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1.45</w:t>
            </w:r>
          </w:p>
        </w:tc>
        <w:tc>
          <w:tcPr>
            <w:tcW w:w="576" w:type="dxa"/>
            <w:noWrap w:val="0"/>
            <w:vAlign w:val="top"/>
          </w:tcPr>
          <w:p w14:paraId="2F4BD2F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1.98</w:t>
            </w:r>
          </w:p>
        </w:tc>
        <w:tc>
          <w:tcPr>
            <w:tcW w:w="576" w:type="dxa"/>
            <w:noWrap w:val="0"/>
            <w:vAlign w:val="top"/>
          </w:tcPr>
          <w:p w14:paraId="2D4BF15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1.71</w:t>
            </w:r>
          </w:p>
        </w:tc>
        <w:tc>
          <w:tcPr>
            <w:tcW w:w="576" w:type="dxa"/>
            <w:noWrap w:val="0"/>
            <w:vAlign w:val="top"/>
          </w:tcPr>
          <w:p w14:paraId="047A04E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0.82</w:t>
            </w:r>
          </w:p>
        </w:tc>
        <w:tc>
          <w:tcPr>
            <w:tcW w:w="576" w:type="dxa"/>
            <w:noWrap w:val="0"/>
            <w:vAlign w:val="top"/>
          </w:tcPr>
          <w:p w14:paraId="700C8E1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0.84</w:t>
            </w:r>
          </w:p>
        </w:tc>
        <w:tc>
          <w:tcPr>
            <w:tcW w:w="576" w:type="dxa"/>
            <w:noWrap w:val="0"/>
            <w:vAlign w:val="top"/>
          </w:tcPr>
          <w:p w14:paraId="35F8ED7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576" w:type="dxa"/>
            <w:noWrap w:val="0"/>
            <w:vAlign w:val="top"/>
          </w:tcPr>
          <w:p w14:paraId="531052A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1.29</w:t>
            </w:r>
          </w:p>
        </w:tc>
      </w:tr>
      <w:tr w14:paraId="5F4EE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582" w:type="dxa"/>
            <w:noWrap w:val="0"/>
            <w:vAlign w:val="top"/>
          </w:tcPr>
          <w:p w14:paraId="7A97299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夏</w:t>
            </w:r>
          </w:p>
        </w:tc>
        <w:tc>
          <w:tcPr>
            <w:tcW w:w="576" w:type="dxa"/>
            <w:noWrap w:val="0"/>
            <w:vAlign w:val="top"/>
          </w:tcPr>
          <w:p w14:paraId="4B0D6EB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0.65</w:t>
            </w:r>
          </w:p>
        </w:tc>
        <w:tc>
          <w:tcPr>
            <w:tcW w:w="576" w:type="dxa"/>
            <w:noWrap w:val="0"/>
            <w:vAlign w:val="top"/>
          </w:tcPr>
          <w:p w14:paraId="7B3DB85D">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1.32</w:t>
            </w:r>
          </w:p>
        </w:tc>
        <w:tc>
          <w:tcPr>
            <w:tcW w:w="576" w:type="dxa"/>
            <w:noWrap w:val="0"/>
            <w:vAlign w:val="top"/>
          </w:tcPr>
          <w:p w14:paraId="137B6D7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w:t>
            </w:r>
          </w:p>
        </w:tc>
        <w:tc>
          <w:tcPr>
            <w:tcW w:w="576" w:type="dxa"/>
            <w:noWrap w:val="0"/>
            <w:vAlign w:val="top"/>
          </w:tcPr>
          <w:p w14:paraId="14845B6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1.30</w:t>
            </w:r>
          </w:p>
        </w:tc>
        <w:tc>
          <w:tcPr>
            <w:tcW w:w="576" w:type="dxa"/>
            <w:noWrap w:val="0"/>
            <w:vAlign w:val="top"/>
          </w:tcPr>
          <w:p w14:paraId="76E3E1E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1.05</w:t>
            </w:r>
          </w:p>
        </w:tc>
        <w:tc>
          <w:tcPr>
            <w:tcW w:w="576" w:type="dxa"/>
            <w:noWrap w:val="0"/>
            <w:vAlign w:val="top"/>
          </w:tcPr>
          <w:p w14:paraId="7977866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0.97</w:t>
            </w:r>
          </w:p>
        </w:tc>
        <w:tc>
          <w:tcPr>
            <w:tcW w:w="576" w:type="dxa"/>
            <w:noWrap w:val="0"/>
            <w:vAlign w:val="top"/>
          </w:tcPr>
          <w:p w14:paraId="28ED705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0.87</w:t>
            </w:r>
          </w:p>
        </w:tc>
        <w:tc>
          <w:tcPr>
            <w:tcW w:w="576" w:type="dxa"/>
            <w:noWrap w:val="0"/>
            <w:vAlign w:val="top"/>
          </w:tcPr>
          <w:p w14:paraId="5B81EDA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1.31</w:t>
            </w:r>
          </w:p>
        </w:tc>
        <w:tc>
          <w:tcPr>
            <w:tcW w:w="576" w:type="dxa"/>
            <w:noWrap w:val="0"/>
            <w:vAlign w:val="top"/>
          </w:tcPr>
          <w:p w14:paraId="3BC8A62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1.36</w:t>
            </w:r>
          </w:p>
        </w:tc>
        <w:tc>
          <w:tcPr>
            <w:tcW w:w="666" w:type="dxa"/>
            <w:noWrap w:val="0"/>
            <w:vAlign w:val="top"/>
          </w:tcPr>
          <w:p w14:paraId="6F584FC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1.27</w:t>
            </w:r>
          </w:p>
        </w:tc>
        <w:tc>
          <w:tcPr>
            <w:tcW w:w="666" w:type="dxa"/>
            <w:noWrap w:val="0"/>
            <w:vAlign w:val="top"/>
          </w:tcPr>
          <w:p w14:paraId="568E96C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1.32</w:t>
            </w:r>
          </w:p>
        </w:tc>
        <w:tc>
          <w:tcPr>
            <w:tcW w:w="576" w:type="dxa"/>
            <w:noWrap w:val="0"/>
            <w:vAlign w:val="top"/>
          </w:tcPr>
          <w:p w14:paraId="375B763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1.42</w:t>
            </w:r>
          </w:p>
        </w:tc>
        <w:tc>
          <w:tcPr>
            <w:tcW w:w="576" w:type="dxa"/>
            <w:noWrap w:val="0"/>
            <w:vAlign w:val="top"/>
          </w:tcPr>
          <w:p w14:paraId="32FE883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1.49</w:t>
            </w:r>
          </w:p>
        </w:tc>
        <w:tc>
          <w:tcPr>
            <w:tcW w:w="576" w:type="dxa"/>
            <w:noWrap w:val="0"/>
            <w:vAlign w:val="top"/>
          </w:tcPr>
          <w:p w14:paraId="02EC479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1.00</w:t>
            </w:r>
          </w:p>
        </w:tc>
        <w:tc>
          <w:tcPr>
            <w:tcW w:w="576" w:type="dxa"/>
            <w:noWrap w:val="0"/>
            <w:vAlign w:val="top"/>
          </w:tcPr>
          <w:p w14:paraId="06F5B36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0.91</w:t>
            </w:r>
          </w:p>
        </w:tc>
        <w:tc>
          <w:tcPr>
            <w:tcW w:w="576" w:type="dxa"/>
            <w:noWrap w:val="0"/>
            <w:vAlign w:val="top"/>
          </w:tcPr>
          <w:p w14:paraId="69CB0DA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0.87</w:t>
            </w:r>
          </w:p>
        </w:tc>
        <w:tc>
          <w:tcPr>
            <w:tcW w:w="576" w:type="dxa"/>
            <w:noWrap w:val="0"/>
            <w:vAlign w:val="top"/>
          </w:tcPr>
          <w:p w14:paraId="58D0BBA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1.07</w:t>
            </w:r>
          </w:p>
        </w:tc>
      </w:tr>
      <w:tr w14:paraId="4DDED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3D18114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秋</w:t>
            </w:r>
          </w:p>
        </w:tc>
        <w:tc>
          <w:tcPr>
            <w:tcW w:w="576" w:type="dxa"/>
            <w:noWrap w:val="0"/>
            <w:vAlign w:val="top"/>
          </w:tcPr>
          <w:p w14:paraId="6D59057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0.52</w:t>
            </w:r>
          </w:p>
        </w:tc>
        <w:tc>
          <w:tcPr>
            <w:tcW w:w="576" w:type="dxa"/>
            <w:noWrap w:val="0"/>
            <w:vAlign w:val="top"/>
          </w:tcPr>
          <w:p w14:paraId="2CDFA50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1.17</w:t>
            </w:r>
          </w:p>
        </w:tc>
        <w:tc>
          <w:tcPr>
            <w:tcW w:w="576" w:type="dxa"/>
            <w:noWrap w:val="0"/>
            <w:vAlign w:val="top"/>
          </w:tcPr>
          <w:p w14:paraId="63972BA3">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1.89</w:t>
            </w:r>
          </w:p>
        </w:tc>
        <w:tc>
          <w:tcPr>
            <w:tcW w:w="576" w:type="dxa"/>
            <w:noWrap w:val="0"/>
            <w:vAlign w:val="top"/>
          </w:tcPr>
          <w:p w14:paraId="2BE768A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1.24</w:t>
            </w:r>
          </w:p>
        </w:tc>
        <w:tc>
          <w:tcPr>
            <w:tcW w:w="576" w:type="dxa"/>
            <w:noWrap w:val="0"/>
            <w:vAlign w:val="top"/>
          </w:tcPr>
          <w:p w14:paraId="445C7262">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w:t>
            </w:r>
          </w:p>
        </w:tc>
        <w:tc>
          <w:tcPr>
            <w:tcW w:w="576" w:type="dxa"/>
            <w:noWrap w:val="0"/>
            <w:vAlign w:val="top"/>
          </w:tcPr>
          <w:p w14:paraId="3C439C2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c>
          <w:tcPr>
            <w:tcW w:w="576" w:type="dxa"/>
            <w:noWrap w:val="0"/>
            <w:vAlign w:val="top"/>
          </w:tcPr>
          <w:p w14:paraId="67FB989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1.12</w:t>
            </w:r>
          </w:p>
        </w:tc>
        <w:tc>
          <w:tcPr>
            <w:tcW w:w="576" w:type="dxa"/>
            <w:noWrap w:val="0"/>
            <w:vAlign w:val="top"/>
          </w:tcPr>
          <w:p w14:paraId="5537C35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1.41</w:t>
            </w:r>
          </w:p>
        </w:tc>
        <w:tc>
          <w:tcPr>
            <w:tcW w:w="576" w:type="dxa"/>
            <w:noWrap w:val="0"/>
            <w:vAlign w:val="top"/>
          </w:tcPr>
          <w:p w14:paraId="785D1EA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1.14</w:t>
            </w:r>
          </w:p>
        </w:tc>
        <w:tc>
          <w:tcPr>
            <w:tcW w:w="666" w:type="dxa"/>
            <w:noWrap w:val="0"/>
            <w:vAlign w:val="top"/>
          </w:tcPr>
          <w:p w14:paraId="1E28D03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1.19</w:t>
            </w:r>
          </w:p>
        </w:tc>
        <w:tc>
          <w:tcPr>
            <w:tcW w:w="666" w:type="dxa"/>
            <w:noWrap w:val="0"/>
            <w:vAlign w:val="top"/>
          </w:tcPr>
          <w:p w14:paraId="7A07341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1.16</w:t>
            </w:r>
          </w:p>
        </w:tc>
        <w:tc>
          <w:tcPr>
            <w:tcW w:w="576" w:type="dxa"/>
            <w:noWrap w:val="0"/>
            <w:vAlign w:val="top"/>
          </w:tcPr>
          <w:p w14:paraId="54FF794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1.33</w:t>
            </w:r>
          </w:p>
        </w:tc>
        <w:tc>
          <w:tcPr>
            <w:tcW w:w="576" w:type="dxa"/>
            <w:noWrap w:val="0"/>
            <w:vAlign w:val="top"/>
          </w:tcPr>
          <w:p w14:paraId="2AAF1CF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1.34</w:t>
            </w:r>
          </w:p>
        </w:tc>
        <w:tc>
          <w:tcPr>
            <w:tcW w:w="576" w:type="dxa"/>
            <w:noWrap w:val="0"/>
            <w:vAlign w:val="top"/>
          </w:tcPr>
          <w:p w14:paraId="4ADFBC6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0.86</w:t>
            </w:r>
          </w:p>
        </w:tc>
        <w:tc>
          <w:tcPr>
            <w:tcW w:w="576" w:type="dxa"/>
            <w:noWrap w:val="0"/>
            <w:vAlign w:val="top"/>
          </w:tcPr>
          <w:p w14:paraId="7C81E57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0.91</w:t>
            </w:r>
          </w:p>
        </w:tc>
        <w:tc>
          <w:tcPr>
            <w:tcW w:w="576" w:type="dxa"/>
            <w:noWrap w:val="0"/>
            <w:vAlign w:val="top"/>
          </w:tcPr>
          <w:p w14:paraId="4B6B2A2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0.98</w:t>
            </w:r>
          </w:p>
        </w:tc>
        <w:tc>
          <w:tcPr>
            <w:tcW w:w="576" w:type="dxa"/>
            <w:noWrap w:val="0"/>
            <w:vAlign w:val="top"/>
          </w:tcPr>
          <w:p w14:paraId="77A5ABD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1.04</w:t>
            </w:r>
          </w:p>
        </w:tc>
      </w:tr>
      <w:tr w14:paraId="7C3D9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jc w:val="center"/>
        </w:trPr>
        <w:tc>
          <w:tcPr>
            <w:tcW w:w="582" w:type="dxa"/>
            <w:noWrap w:val="0"/>
            <w:vAlign w:val="top"/>
          </w:tcPr>
          <w:p w14:paraId="56D1A1D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冬</w:t>
            </w:r>
          </w:p>
        </w:tc>
        <w:tc>
          <w:tcPr>
            <w:tcW w:w="576" w:type="dxa"/>
            <w:noWrap w:val="0"/>
            <w:vAlign w:val="top"/>
          </w:tcPr>
          <w:p w14:paraId="4DB059C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0.37</w:t>
            </w:r>
          </w:p>
        </w:tc>
        <w:tc>
          <w:tcPr>
            <w:tcW w:w="576" w:type="dxa"/>
            <w:noWrap w:val="0"/>
            <w:vAlign w:val="top"/>
          </w:tcPr>
          <w:p w14:paraId="19A5F68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0.96</w:t>
            </w:r>
          </w:p>
        </w:tc>
        <w:tc>
          <w:tcPr>
            <w:tcW w:w="576" w:type="dxa"/>
            <w:noWrap w:val="0"/>
            <w:vAlign w:val="top"/>
          </w:tcPr>
          <w:p w14:paraId="2641C02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576" w:type="dxa"/>
            <w:noWrap w:val="0"/>
            <w:vAlign w:val="top"/>
          </w:tcPr>
          <w:p w14:paraId="7158959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0.85</w:t>
            </w:r>
          </w:p>
        </w:tc>
        <w:tc>
          <w:tcPr>
            <w:tcW w:w="576" w:type="dxa"/>
            <w:noWrap w:val="0"/>
            <w:vAlign w:val="top"/>
          </w:tcPr>
          <w:p w14:paraId="7AD2C80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0.98</w:t>
            </w:r>
          </w:p>
        </w:tc>
        <w:tc>
          <w:tcPr>
            <w:tcW w:w="576" w:type="dxa"/>
            <w:noWrap w:val="0"/>
            <w:vAlign w:val="top"/>
          </w:tcPr>
          <w:p w14:paraId="08705E0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0.82</w:t>
            </w:r>
          </w:p>
        </w:tc>
        <w:tc>
          <w:tcPr>
            <w:tcW w:w="576" w:type="dxa"/>
            <w:noWrap w:val="0"/>
            <w:vAlign w:val="top"/>
          </w:tcPr>
          <w:p w14:paraId="46F0E48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c>
          <w:tcPr>
            <w:tcW w:w="576" w:type="dxa"/>
            <w:noWrap w:val="0"/>
            <w:vAlign w:val="top"/>
          </w:tcPr>
          <w:p w14:paraId="2E70D10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0.78</w:t>
            </w:r>
          </w:p>
        </w:tc>
        <w:tc>
          <w:tcPr>
            <w:tcW w:w="576" w:type="dxa"/>
            <w:noWrap w:val="0"/>
            <w:vAlign w:val="top"/>
          </w:tcPr>
          <w:p w14:paraId="37741BB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1.01</w:t>
            </w:r>
          </w:p>
        </w:tc>
        <w:tc>
          <w:tcPr>
            <w:tcW w:w="666" w:type="dxa"/>
            <w:noWrap w:val="0"/>
            <w:vAlign w:val="top"/>
          </w:tcPr>
          <w:p w14:paraId="4C1F774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666" w:type="dxa"/>
            <w:noWrap w:val="0"/>
            <w:vAlign w:val="top"/>
          </w:tcPr>
          <w:p w14:paraId="76DF092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1.13</w:t>
            </w:r>
          </w:p>
        </w:tc>
        <w:tc>
          <w:tcPr>
            <w:tcW w:w="576" w:type="dxa"/>
            <w:noWrap w:val="0"/>
            <w:vAlign w:val="top"/>
          </w:tcPr>
          <w:p w14:paraId="57C8B468">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1.29</w:t>
            </w:r>
          </w:p>
        </w:tc>
        <w:tc>
          <w:tcPr>
            <w:tcW w:w="576" w:type="dxa"/>
            <w:noWrap w:val="0"/>
            <w:vAlign w:val="top"/>
          </w:tcPr>
          <w:p w14:paraId="3384622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1.22</w:t>
            </w:r>
          </w:p>
        </w:tc>
        <w:tc>
          <w:tcPr>
            <w:tcW w:w="576" w:type="dxa"/>
            <w:noWrap w:val="0"/>
            <w:vAlign w:val="top"/>
          </w:tcPr>
          <w:p w14:paraId="4CD7B39C">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0.70</w:t>
            </w:r>
          </w:p>
        </w:tc>
        <w:tc>
          <w:tcPr>
            <w:tcW w:w="576" w:type="dxa"/>
            <w:noWrap w:val="0"/>
            <w:vAlign w:val="top"/>
          </w:tcPr>
          <w:p w14:paraId="3A520DE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0.69</w:t>
            </w:r>
          </w:p>
        </w:tc>
        <w:tc>
          <w:tcPr>
            <w:tcW w:w="576" w:type="dxa"/>
            <w:noWrap w:val="0"/>
            <w:vAlign w:val="top"/>
          </w:tcPr>
          <w:p w14:paraId="1AFCDE4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0.80</w:t>
            </w:r>
          </w:p>
        </w:tc>
        <w:tc>
          <w:tcPr>
            <w:tcW w:w="576" w:type="dxa"/>
            <w:noWrap w:val="0"/>
            <w:vAlign w:val="top"/>
          </w:tcPr>
          <w:p w14:paraId="5CB1591A">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0.91</w:t>
            </w:r>
          </w:p>
        </w:tc>
      </w:tr>
    </w:tbl>
    <w:p w14:paraId="1DF87789">
      <w:pPr>
        <w:pStyle w:val="2"/>
        <w:rPr>
          <w:rFonts w:hint="eastAsia" w:ascii="Times New Roman" w:hAnsi="Times New Roman" w:eastAsia="宋体" w:cs="Times New Roman"/>
          <w:b/>
          <w:color w:val="000000"/>
          <w:sz w:val="24"/>
          <w:szCs w:val="24"/>
          <w:lang w:val="en-US" w:eastAsia="zh-CN" w:bidi="ar"/>
        </w:rPr>
      </w:pPr>
    </w:p>
    <w:p w14:paraId="6E98BEB5">
      <w:pPr>
        <w:pStyle w:val="2"/>
        <w:rPr>
          <w:rFonts w:hint="eastAsia" w:ascii="Times New Roman" w:hAnsi="Times New Roman" w:eastAsia="宋体" w:cs="Times New Roman"/>
          <w:b/>
          <w:color w:val="000000"/>
          <w:sz w:val="24"/>
          <w:szCs w:val="24"/>
          <w:lang w:val="en-US" w:eastAsia="zh-CN" w:bidi="ar"/>
        </w:rPr>
      </w:pPr>
    </w:p>
    <w:p w14:paraId="67E2CA28">
      <w:pPr>
        <w:pStyle w:val="2"/>
        <w:rPr>
          <w:rFonts w:hint="eastAsia" w:ascii="Times New Roman" w:hAnsi="Times New Roman" w:eastAsia="宋体" w:cs="Times New Roman"/>
          <w:b/>
          <w:color w:val="000000"/>
          <w:sz w:val="24"/>
          <w:szCs w:val="24"/>
          <w:lang w:val="en-US" w:eastAsia="zh-CN" w:bidi="ar"/>
        </w:rPr>
      </w:pPr>
    </w:p>
    <w:p w14:paraId="14D205F3">
      <w:pPr>
        <w:pStyle w:val="2"/>
        <w:rPr>
          <w:rFonts w:ascii="Times New Roman" w:hAnsi="Times New Roman" w:eastAsia="宋体" w:cs="Times New Roman"/>
          <w:b/>
          <w:color w:val="000000"/>
          <w:sz w:val="24"/>
          <w:szCs w:val="24"/>
          <w:lang w:val="en-US" w:eastAsia="zh-CN" w:bidi="ar"/>
        </w:rPr>
      </w:pPr>
    </w:p>
    <w:p w14:paraId="77013BB7">
      <w:pPr>
        <w:keepNext w:val="0"/>
        <w:keepLines w:val="0"/>
        <w:widowControl/>
        <w:suppressLineNumbers w:val="0"/>
        <w:ind w:left="0" w:firstLine="0"/>
        <w:jc w:val="center"/>
      </w:pPr>
      <w:r>
        <w:rPr>
          <w:rFonts w:ascii="宋体" w:hAnsi="宋体" w:eastAsia="宋体" w:cs="宋体"/>
          <w:sz w:val="24"/>
          <w:szCs w:val="24"/>
          <w:lang w:val="en-US" w:eastAsia="zh-CN" w:bidi="ar"/>
        </w:rPr>
        <w:drawing>
          <wp:inline distT="0" distB="0" distL="0" distR="0">
            <wp:extent cx="5095875" cy="7058025"/>
            <wp:effectExtent l="0" t="0" r="0" b="0"/>
            <wp:docPr id="40" name="_x0000_i3120"/>
            <wp:cNvGraphicFramePr/>
            <a:graphic xmlns:a="http://schemas.openxmlformats.org/drawingml/2006/main">
              <a:graphicData uri="http://schemas.openxmlformats.org/drawingml/2006/picture">
                <pic:pic xmlns:pic="http://schemas.openxmlformats.org/drawingml/2006/picture">
                  <pic:nvPicPr>
                    <pic:cNvPr id="40" name="_x0000_i3120"/>
                    <pic:cNvPicPr/>
                  </pic:nvPicPr>
                  <pic:blipFill>
                    <a:blip r:embed="rId53"/>
                    <a:stretch>
                      <a:fillRect/>
                    </a:stretch>
                  </pic:blipFill>
                  <pic:spPr>
                    <a:xfrm>
                      <a:off x="0" y="0"/>
                      <a:ext cx="5095875" cy="7058025"/>
                    </a:xfrm>
                    <a:prstGeom prst="rect">
                      <a:avLst/>
                    </a:prstGeom>
                    <a:noFill/>
                    <a:ln>
                      <a:noFill/>
                    </a:ln>
                  </pic:spPr>
                </pic:pic>
              </a:graphicData>
            </a:graphic>
          </wp:inline>
        </w:drawing>
      </w:r>
    </w:p>
    <w:p w14:paraId="756031E6">
      <w:pPr>
        <w:keepNext w:val="0"/>
        <w:keepLines w:val="0"/>
        <w:widowControl/>
        <w:suppressLineNumbers w:val="0"/>
        <w:ind w:firstLine="1928"/>
        <w:jc w:val="left"/>
      </w:pPr>
      <w:r>
        <w:rPr>
          <w:rFonts w:hint="eastAsia" w:ascii="宋体" w:hAnsi="宋体" w:eastAsia="宋体" w:cs="宋体"/>
          <w:b/>
          <w:color w:val="000000"/>
          <w:sz w:val="24"/>
          <w:szCs w:val="24"/>
          <w:lang w:val="en-US" w:eastAsia="zh-CN" w:bidi="ar"/>
        </w:rPr>
        <w:t xml:space="preserve">图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 xml:space="preserve">.2-2 2017 </w:t>
      </w:r>
      <w:r>
        <w:rPr>
          <w:rFonts w:hint="eastAsia" w:ascii="宋体" w:hAnsi="宋体" w:eastAsia="宋体" w:cs="宋体"/>
          <w:b/>
          <w:color w:val="000000"/>
          <w:sz w:val="24"/>
          <w:szCs w:val="24"/>
          <w:lang w:val="en-US" w:eastAsia="zh-CN" w:bidi="ar"/>
        </w:rPr>
        <w:t xml:space="preserve">年全年及各月季风速玫瑰图 </w:t>
      </w:r>
    </w:p>
    <w:p w14:paraId="567E4C71">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根据芒市气象站 </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 xml:space="preserve">年地面气象观测资料，进行地面风速统计，统计结果见表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w:t>
      </w:r>
      <w:r>
        <w:rPr>
          <w:rFonts w:hint="eastAsia" w:ascii="Times New Roman" w:hAnsi="Times New Roman" w:eastAsia="宋体" w:cs="Times New Roman"/>
          <w:color w:val="000000"/>
          <w:sz w:val="24"/>
          <w:szCs w:val="24"/>
          <w:lang w:val="en-US" w:eastAsia="zh-CN" w:bidi="ar"/>
        </w:rPr>
        <w:t>4</w:t>
      </w:r>
      <w:r>
        <w:rPr>
          <w:rFonts w:hint="eastAsia" w:ascii="宋体" w:hAnsi="宋体" w:eastAsia="宋体" w:cs="宋体"/>
          <w:color w:val="000000"/>
          <w:sz w:val="24"/>
          <w:szCs w:val="24"/>
          <w:lang w:val="en-US" w:eastAsia="zh-CN" w:bidi="ar"/>
        </w:rPr>
        <w:t xml:space="preserve">、表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w:t>
      </w:r>
      <w:r>
        <w:rPr>
          <w:rFonts w:hint="eastAsia" w:ascii="Times New Roman" w:hAnsi="Times New Roman" w:eastAsia="宋体" w:cs="Times New Roman"/>
          <w:color w:val="000000"/>
          <w:sz w:val="24"/>
          <w:szCs w:val="24"/>
          <w:lang w:val="en-US" w:eastAsia="zh-CN" w:bidi="ar"/>
        </w:rPr>
        <w:t>5</w:t>
      </w:r>
      <w:r>
        <w:rPr>
          <w:rFonts w:hint="eastAsia" w:ascii="宋体" w:hAnsi="宋体" w:eastAsia="宋体" w:cs="宋体"/>
          <w:color w:val="000000"/>
          <w:sz w:val="24"/>
          <w:szCs w:val="24"/>
          <w:lang w:val="en-US" w:eastAsia="zh-CN" w:bidi="ar"/>
        </w:rPr>
        <w:t xml:space="preserve">，年平均风速月变化曲线见图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.2-3</w:t>
      </w:r>
      <w:r>
        <w:rPr>
          <w:rFonts w:hint="eastAsia" w:ascii="宋体" w:hAnsi="宋体" w:eastAsia="宋体" w:cs="宋体"/>
          <w:color w:val="000000"/>
          <w:sz w:val="24"/>
          <w:szCs w:val="24"/>
          <w:lang w:val="en-US" w:eastAsia="zh-CN" w:bidi="ar"/>
        </w:rPr>
        <w:t xml:space="preserve">，季小时平均风速的变化曲线见图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.2-4</w:t>
      </w:r>
      <w:r>
        <w:rPr>
          <w:rFonts w:hint="eastAsia" w:ascii="宋体" w:hAnsi="宋体" w:eastAsia="宋体" w:cs="宋体"/>
          <w:color w:val="000000"/>
          <w:sz w:val="24"/>
          <w:szCs w:val="24"/>
          <w:lang w:val="en-US" w:eastAsia="zh-CN" w:bidi="ar"/>
        </w:rPr>
        <w:t>。</w:t>
      </w:r>
    </w:p>
    <w:p w14:paraId="695C1501">
      <w:pPr>
        <w:keepNext w:val="0"/>
        <w:keepLines w:val="0"/>
        <w:widowControl/>
        <w:suppressLineNumbers w:val="0"/>
        <w:ind w:left="0" w:firstLine="0"/>
        <w:jc w:val="center"/>
        <w:rPr>
          <w:lang w:val="en-US" w:eastAsia="zh-CN"/>
        </w:rPr>
      </w:pPr>
      <w:r>
        <w:rPr>
          <w:rFonts w:hint="eastAsia" w:ascii="宋体" w:hAnsi="宋体" w:eastAsia="宋体" w:cs="宋体"/>
          <w:b/>
          <w:bCs/>
          <w:sz w:val="24"/>
          <w:szCs w:val="24"/>
          <w:lang w:val="en-US" w:eastAsia="zh-CN" w:bidi="ar"/>
        </w:rPr>
        <w:t>表6.2-4 年平均风速月变化结果（单位：m/s)</w:t>
      </w:r>
    </w:p>
    <w:tbl>
      <w:tblPr>
        <w:tblStyle w:val="258"/>
        <w:tblW w:w="91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3"/>
        <w:gridCol w:w="586"/>
        <w:gridCol w:w="586"/>
        <w:gridCol w:w="587"/>
        <w:gridCol w:w="588"/>
        <w:gridCol w:w="588"/>
        <w:gridCol w:w="588"/>
        <w:gridCol w:w="588"/>
        <w:gridCol w:w="588"/>
        <w:gridCol w:w="588"/>
        <w:gridCol w:w="801"/>
        <w:gridCol w:w="723"/>
        <w:gridCol w:w="712"/>
        <w:gridCol w:w="790"/>
      </w:tblGrid>
      <w:tr w14:paraId="63566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3" w:type="dxa"/>
            <w:noWrap w:val="0"/>
            <w:vAlign w:val="center"/>
          </w:tcPr>
          <w:p w14:paraId="468C138F">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月份</w:t>
            </w:r>
          </w:p>
        </w:tc>
        <w:tc>
          <w:tcPr>
            <w:tcW w:w="586" w:type="dxa"/>
            <w:noWrap w:val="0"/>
            <w:vAlign w:val="center"/>
          </w:tcPr>
          <w:p w14:paraId="6A4C346E">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1月</w:t>
            </w:r>
          </w:p>
        </w:tc>
        <w:tc>
          <w:tcPr>
            <w:tcW w:w="586" w:type="dxa"/>
            <w:noWrap w:val="0"/>
            <w:vAlign w:val="center"/>
          </w:tcPr>
          <w:p w14:paraId="1E7A18F6">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2月</w:t>
            </w:r>
          </w:p>
        </w:tc>
        <w:tc>
          <w:tcPr>
            <w:tcW w:w="587" w:type="dxa"/>
            <w:noWrap w:val="0"/>
            <w:vAlign w:val="center"/>
          </w:tcPr>
          <w:p w14:paraId="1CADE549">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3月</w:t>
            </w:r>
          </w:p>
        </w:tc>
        <w:tc>
          <w:tcPr>
            <w:tcW w:w="588" w:type="dxa"/>
            <w:noWrap w:val="0"/>
            <w:vAlign w:val="center"/>
          </w:tcPr>
          <w:p w14:paraId="3EE332F1">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4月</w:t>
            </w:r>
          </w:p>
        </w:tc>
        <w:tc>
          <w:tcPr>
            <w:tcW w:w="588" w:type="dxa"/>
            <w:noWrap w:val="0"/>
            <w:vAlign w:val="center"/>
          </w:tcPr>
          <w:p w14:paraId="4EF4C148">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5月</w:t>
            </w:r>
          </w:p>
        </w:tc>
        <w:tc>
          <w:tcPr>
            <w:tcW w:w="588" w:type="dxa"/>
            <w:noWrap w:val="0"/>
            <w:vAlign w:val="center"/>
          </w:tcPr>
          <w:p w14:paraId="0014A218">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6月</w:t>
            </w:r>
          </w:p>
        </w:tc>
        <w:tc>
          <w:tcPr>
            <w:tcW w:w="588" w:type="dxa"/>
            <w:noWrap w:val="0"/>
            <w:vAlign w:val="center"/>
          </w:tcPr>
          <w:p w14:paraId="17FFD16E">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7月</w:t>
            </w:r>
          </w:p>
        </w:tc>
        <w:tc>
          <w:tcPr>
            <w:tcW w:w="588" w:type="dxa"/>
            <w:noWrap w:val="0"/>
            <w:vAlign w:val="center"/>
          </w:tcPr>
          <w:p w14:paraId="6770496D">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8月</w:t>
            </w:r>
          </w:p>
        </w:tc>
        <w:tc>
          <w:tcPr>
            <w:tcW w:w="588" w:type="dxa"/>
            <w:noWrap w:val="0"/>
            <w:vAlign w:val="center"/>
          </w:tcPr>
          <w:p w14:paraId="10239F53">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9月</w:t>
            </w:r>
          </w:p>
        </w:tc>
        <w:tc>
          <w:tcPr>
            <w:tcW w:w="801" w:type="dxa"/>
            <w:noWrap w:val="0"/>
            <w:vAlign w:val="center"/>
          </w:tcPr>
          <w:p w14:paraId="0B111556">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10月</w:t>
            </w:r>
          </w:p>
        </w:tc>
        <w:tc>
          <w:tcPr>
            <w:tcW w:w="723" w:type="dxa"/>
            <w:noWrap w:val="0"/>
            <w:vAlign w:val="center"/>
          </w:tcPr>
          <w:p w14:paraId="444C7A12">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11月</w:t>
            </w:r>
          </w:p>
        </w:tc>
        <w:tc>
          <w:tcPr>
            <w:tcW w:w="712" w:type="dxa"/>
            <w:noWrap w:val="0"/>
            <w:vAlign w:val="center"/>
          </w:tcPr>
          <w:p w14:paraId="63EC2DDF">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12月</w:t>
            </w:r>
          </w:p>
        </w:tc>
        <w:tc>
          <w:tcPr>
            <w:tcW w:w="790" w:type="dxa"/>
            <w:noWrap w:val="0"/>
            <w:vAlign w:val="center"/>
          </w:tcPr>
          <w:p w14:paraId="566458E9">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全年</w:t>
            </w:r>
          </w:p>
        </w:tc>
      </w:tr>
      <w:tr w14:paraId="69B40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3" w:type="dxa"/>
            <w:noWrap w:val="0"/>
            <w:vAlign w:val="center"/>
          </w:tcPr>
          <w:p w14:paraId="4AAD5E1E">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温度（</w:t>
            </w:r>
            <w:r>
              <w:rPr>
                <w:rFonts w:hint="eastAsia" w:ascii="宋体" w:hAnsi="宋体" w:eastAsia="宋体" w:cs="宋体"/>
                <w:sz w:val="18"/>
                <w:szCs w:val="18"/>
                <w:vertAlign w:val="baseline"/>
                <w:lang w:val="en-US" w:eastAsia="zh-CN" w:bidi="ar-SA"/>
              </w:rPr>
              <w:t>m/s</w:t>
            </w:r>
            <w:r>
              <w:rPr>
                <w:rFonts w:hint="eastAsia" w:ascii="宋体" w:hAnsi="Courier New" w:eastAsia="宋体" w:cs="Courier New"/>
                <w:sz w:val="18"/>
                <w:szCs w:val="18"/>
                <w:vertAlign w:val="baseline"/>
                <w:lang w:val="en-US" w:eastAsia="zh-CN" w:bidi="ar-SA"/>
              </w:rPr>
              <w:t>）</w:t>
            </w:r>
          </w:p>
        </w:tc>
        <w:tc>
          <w:tcPr>
            <w:tcW w:w="586" w:type="dxa"/>
            <w:noWrap w:val="0"/>
            <w:vAlign w:val="center"/>
          </w:tcPr>
          <w:p w14:paraId="060DCF5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0.86</w:t>
            </w:r>
          </w:p>
        </w:tc>
        <w:tc>
          <w:tcPr>
            <w:tcW w:w="586" w:type="dxa"/>
            <w:noWrap w:val="0"/>
            <w:vAlign w:val="center"/>
          </w:tcPr>
          <w:p w14:paraId="3D84A39B">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1.05</w:t>
            </w:r>
          </w:p>
        </w:tc>
        <w:tc>
          <w:tcPr>
            <w:tcW w:w="587" w:type="dxa"/>
            <w:noWrap w:val="0"/>
            <w:vAlign w:val="center"/>
          </w:tcPr>
          <w:p w14:paraId="7F263C90">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1.21</w:t>
            </w:r>
          </w:p>
        </w:tc>
        <w:tc>
          <w:tcPr>
            <w:tcW w:w="588" w:type="dxa"/>
            <w:noWrap w:val="0"/>
            <w:vAlign w:val="center"/>
          </w:tcPr>
          <w:p w14:paraId="66FCD5B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1.28</w:t>
            </w:r>
          </w:p>
        </w:tc>
        <w:tc>
          <w:tcPr>
            <w:tcW w:w="588" w:type="dxa"/>
            <w:noWrap w:val="0"/>
            <w:vAlign w:val="center"/>
          </w:tcPr>
          <w:p w14:paraId="7E5B0851">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1.38</w:t>
            </w:r>
          </w:p>
        </w:tc>
        <w:tc>
          <w:tcPr>
            <w:tcW w:w="588" w:type="dxa"/>
            <w:noWrap w:val="0"/>
            <w:vAlign w:val="center"/>
          </w:tcPr>
          <w:p w14:paraId="5A023A37">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1.15</w:t>
            </w:r>
          </w:p>
        </w:tc>
        <w:tc>
          <w:tcPr>
            <w:tcW w:w="588" w:type="dxa"/>
            <w:noWrap w:val="0"/>
            <w:vAlign w:val="center"/>
          </w:tcPr>
          <w:p w14:paraId="53AB34E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588" w:type="dxa"/>
            <w:noWrap w:val="0"/>
            <w:vAlign w:val="center"/>
          </w:tcPr>
          <w:p w14:paraId="260D20E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1.06</w:t>
            </w:r>
          </w:p>
        </w:tc>
        <w:tc>
          <w:tcPr>
            <w:tcW w:w="588" w:type="dxa"/>
            <w:noWrap w:val="0"/>
            <w:vAlign w:val="center"/>
          </w:tcPr>
          <w:p w14:paraId="2595F315">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1.07</w:t>
            </w:r>
          </w:p>
        </w:tc>
        <w:tc>
          <w:tcPr>
            <w:tcW w:w="801" w:type="dxa"/>
            <w:noWrap w:val="0"/>
            <w:vAlign w:val="center"/>
          </w:tcPr>
          <w:p w14:paraId="416F7F34">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1.07</w:t>
            </w:r>
          </w:p>
        </w:tc>
        <w:tc>
          <w:tcPr>
            <w:tcW w:w="723" w:type="dxa"/>
            <w:noWrap w:val="0"/>
            <w:vAlign w:val="center"/>
          </w:tcPr>
          <w:p w14:paraId="6F0D8DA6">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0.99</w:t>
            </w:r>
          </w:p>
        </w:tc>
        <w:tc>
          <w:tcPr>
            <w:tcW w:w="712" w:type="dxa"/>
            <w:noWrap w:val="0"/>
            <w:vAlign w:val="center"/>
          </w:tcPr>
          <w:p w14:paraId="0E23A38F">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0.82</w:t>
            </w:r>
          </w:p>
        </w:tc>
        <w:tc>
          <w:tcPr>
            <w:tcW w:w="790" w:type="dxa"/>
            <w:noWrap w:val="0"/>
            <w:vAlign w:val="center"/>
          </w:tcPr>
          <w:p w14:paraId="65C933D9">
            <w:pPr>
              <w:widowControl w:val="0"/>
              <w:spacing w:line="360" w:lineRule="auto"/>
              <w:ind w:left="0" w:firstLine="0"/>
              <w:jc w:val="center"/>
              <w:rPr>
                <w:rFonts w:ascii="宋体" w:hAnsi="Courier New" w:eastAsia="宋体" w:cs="Courier New"/>
                <w:sz w:val="18"/>
                <w:szCs w:val="18"/>
                <w:vertAlign w:val="baseline"/>
                <w:lang w:val="en-US" w:eastAsia="zh-CN" w:bidi="ar-SA"/>
              </w:rPr>
            </w:pPr>
            <w:r>
              <w:rPr>
                <w:rFonts w:hint="eastAsia" w:ascii="宋体" w:hAnsi="Courier New" w:eastAsia="宋体" w:cs="Courier New"/>
                <w:sz w:val="18"/>
                <w:szCs w:val="18"/>
                <w:vertAlign w:val="baseline"/>
                <w:lang w:val="en-US" w:eastAsia="zh-CN" w:bidi="ar-SA"/>
              </w:rPr>
              <w:t>1.08</w:t>
            </w:r>
          </w:p>
        </w:tc>
      </w:tr>
    </w:tbl>
    <w:p w14:paraId="13B23959">
      <w:pPr>
        <w:pStyle w:val="2"/>
        <w:ind w:firstLine="1687"/>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表6.2-</w:t>
      </w:r>
      <w:r>
        <w:rPr>
          <w:rFonts w:hint="eastAsia" w:hAnsi="宋体" w:eastAsia="宋体" w:cs="宋体"/>
          <w:b/>
          <w:bCs/>
          <w:sz w:val="24"/>
          <w:szCs w:val="24"/>
          <w:lang w:val="en-US" w:eastAsia="zh-CN" w:bidi="ar"/>
        </w:rPr>
        <w:t>5</w:t>
      </w:r>
      <w:r>
        <w:rPr>
          <w:rFonts w:hint="eastAsia" w:ascii="宋体" w:hAnsi="宋体" w:eastAsia="宋体" w:cs="宋体"/>
          <w:b/>
          <w:bCs/>
          <w:sz w:val="24"/>
          <w:szCs w:val="24"/>
          <w:lang w:val="en-US" w:eastAsia="zh-CN" w:bidi="ar"/>
        </w:rPr>
        <w:t xml:space="preserve"> </w:t>
      </w:r>
      <w:r>
        <w:rPr>
          <w:rFonts w:hint="eastAsia" w:hAnsi="宋体" w:eastAsia="宋体" w:cs="宋体"/>
          <w:b/>
          <w:bCs/>
          <w:sz w:val="24"/>
          <w:szCs w:val="24"/>
          <w:lang w:val="en-US" w:eastAsia="zh-CN" w:bidi="ar"/>
        </w:rPr>
        <w:t xml:space="preserve"> 季小时平均风速统计结果（单位：</w:t>
      </w:r>
      <w:r>
        <w:rPr>
          <w:rFonts w:hint="eastAsia" w:ascii="宋体" w:hAnsi="宋体" w:eastAsia="宋体" w:cs="宋体"/>
          <w:b/>
          <w:bCs/>
          <w:sz w:val="24"/>
          <w:szCs w:val="24"/>
          <w:lang w:val="en-US" w:eastAsia="zh-CN" w:bidi="ar"/>
        </w:rPr>
        <w:t>m/s)</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5"/>
        <w:gridCol w:w="992"/>
        <w:gridCol w:w="992"/>
        <w:gridCol w:w="992"/>
        <w:gridCol w:w="992"/>
        <w:gridCol w:w="992"/>
        <w:gridCol w:w="992"/>
        <w:gridCol w:w="992"/>
        <w:gridCol w:w="992"/>
      </w:tblGrid>
      <w:tr w14:paraId="231D1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2267488B">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风速（m/s)</w:t>
            </w:r>
          </w:p>
        </w:tc>
        <w:tc>
          <w:tcPr>
            <w:tcW w:w="992" w:type="dxa"/>
            <w:noWrap w:val="0"/>
            <w:vAlign w:val="center"/>
          </w:tcPr>
          <w:p w14:paraId="669B9BAB">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1时</w:t>
            </w:r>
          </w:p>
        </w:tc>
        <w:tc>
          <w:tcPr>
            <w:tcW w:w="992" w:type="dxa"/>
            <w:noWrap w:val="0"/>
            <w:vAlign w:val="center"/>
          </w:tcPr>
          <w:p w14:paraId="4F8650D4">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2时</w:t>
            </w:r>
          </w:p>
        </w:tc>
        <w:tc>
          <w:tcPr>
            <w:tcW w:w="992" w:type="dxa"/>
            <w:noWrap w:val="0"/>
            <w:vAlign w:val="center"/>
          </w:tcPr>
          <w:p w14:paraId="6C75A7FC">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3时</w:t>
            </w:r>
          </w:p>
        </w:tc>
        <w:tc>
          <w:tcPr>
            <w:tcW w:w="992" w:type="dxa"/>
            <w:noWrap w:val="0"/>
            <w:vAlign w:val="center"/>
          </w:tcPr>
          <w:p w14:paraId="5BD971A3">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4时</w:t>
            </w:r>
          </w:p>
        </w:tc>
        <w:tc>
          <w:tcPr>
            <w:tcW w:w="992" w:type="dxa"/>
            <w:noWrap w:val="0"/>
            <w:vAlign w:val="center"/>
          </w:tcPr>
          <w:p w14:paraId="5CB2E055">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5时</w:t>
            </w:r>
          </w:p>
        </w:tc>
        <w:tc>
          <w:tcPr>
            <w:tcW w:w="992" w:type="dxa"/>
            <w:noWrap w:val="0"/>
            <w:vAlign w:val="center"/>
          </w:tcPr>
          <w:p w14:paraId="41F0CBDD">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6时</w:t>
            </w:r>
          </w:p>
        </w:tc>
        <w:tc>
          <w:tcPr>
            <w:tcW w:w="992" w:type="dxa"/>
            <w:noWrap w:val="0"/>
            <w:vAlign w:val="center"/>
          </w:tcPr>
          <w:p w14:paraId="4E4399F4">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7时</w:t>
            </w:r>
          </w:p>
        </w:tc>
        <w:tc>
          <w:tcPr>
            <w:tcW w:w="992" w:type="dxa"/>
            <w:noWrap w:val="0"/>
            <w:vAlign w:val="center"/>
          </w:tcPr>
          <w:p w14:paraId="3F44B3AE">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8时</w:t>
            </w:r>
          </w:p>
        </w:tc>
      </w:tr>
      <w:tr w14:paraId="58FAD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5AA538A1">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春季</w:t>
            </w:r>
          </w:p>
        </w:tc>
        <w:tc>
          <w:tcPr>
            <w:tcW w:w="992" w:type="dxa"/>
            <w:noWrap w:val="0"/>
            <w:vAlign w:val="top"/>
          </w:tcPr>
          <w:p w14:paraId="16E6BD86">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0.82</w:t>
            </w:r>
          </w:p>
        </w:tc>
        <w:tc>
          <w:tcPr>
            <w:tcW w:w="992" w:type="dxa"/>
            <w:noWrap w:val="0"/>
            <w:vAlign w:val="top"/>
          </w:tcPr>
          <w:p w14:paraId="6FACE7FF">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0.91</w:t>
            </w:r>
          </w:p>
        </w:tc>
        <w:tc>
          <w:tcPr>
            <w:tcW w:w="992" w:type="dxa"/>
            <w:noWrap w:val="0"/>
            <w:vAlign w:val="top"/>
          </w:tcPr>
          <w:p w14:paraId="5CC63E0E">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0.82</w:t>
            </w:r>
          </w:p>
        </w:tc>
        <w:tc>
          <w:tcPr>
            <w:tcW w:w="992" w:type="dxa"/>
            <w:noWrap w:val="0"/>
            <w:vAlign w:val="top"/>
          </w:tcPr>
          <w:p w14:paraId="65E29616">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0.79</w:t>
            </w:r>
          </w:p>
        </w:tc>
        <w:tc>
          <w:tcPr>
            <w:tcW w:w="992" w:type="dxa"/>
            <w:noWrap w:val="0"/>
            <w:vAlign w:val="top"/>
          </w:tcPr>
          <w:p w14:paraId="602312DD">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0.81</w:t>
            </w:r>
          </w:p>
        </w:tc>
        <w:tc>
          <w:tcPr>
            <w:tcW w:w="992" w:type="dxa"/>
            <w:noWrap w:val="0"/>
            <w:vAlign w:val="top"/>
          </w:tcPr>
          <w:p w14:paraId="7720078F">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0.92</w:t>
            </w:r>
          </w:p>
        </w:tc>
        <w:tc>
          <w:tcPr>
            <w:tcW w:w="992" w:type="dxa"/>
            <w:noWrap w:val="0"/>
            <w:vAlign w:val="top"/>
          </w:tcPr>
          <w:p w14:paraId="1B066E2D">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0.88</w:t>
            </w:r>
          </w:p>
        </w:tc>
        <w:tc>
          <w:tcPr>
            <w:tcW w:w="992" w:type="dxa"/>
            <w:noWrap w:val="0"/>
            <w:vAlign w:val="top"/>
          </w:tcPr>
          <w:p w14:paraId="41AC35A7">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0.74</w:t>
            </w:r>
          </w:p>
        </w:tc>
      </w:tr>
      <w:tr w14:paraId="37144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153EA788">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夏季</w:t>
            </w:r>
          </w:p>
        </w:tc>
        <w:tc>
          <w:tcPr>
            <w:tcW w:w="992" w:type="dxa"/>
            <w:noWrap w:val="0"/>
            <w:vAlign w:val="top"/>
          </w:tcPr>
          <w:p w14:paraId="31C0C6A9">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0.69</w:t>
            </w:r>
          </w:p>
        </w:tc>
        <w:tc>
          <w:tcPr>
            <w:tcW w:w="992" w:type="dxa"/>
            <w:noWrap w:val="0"/>
            <w:vAlign w:val="top"/>
          </w:tcPr>
          <w:p w14:paraId="2129D8BE">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0.71</w:t>
            </w:r>
          </w:p>
        </w:tc>
        <w:tc>
          <w:tcPr>
            <w:tcW w:w="992" w:type="dxa"/>
            <w:noWrap w:val="0"/>
            <w:vAlign w:val="top"/>
          </w:tcPr>
          <w:p w14:paraId="508CF6A4">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0.68</w:t>
            </w:r>
          </w:p>
        </w:tc>
        <w:tc>
          <w:tcPr>
            <w:tcW w:w="992" w:type="dxa"/>
            <w:noWrap w:val="0"/>
            <w:vAlign w:val="top"/>
          </w:tcPr>
          <w:p w14:paraId="3B8F50B1">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0.63</w:t>
            </w:r>
          </w:p>
        </w:tc>
        <w:tc>
          <w:tcPr>
            <w:tcW w:w="992" w:type="dxa"/>
            <w:noWrap w:val="0"/>
            <w:vAlign w:val="top"/>
          </w:tcPr>
          <w:p w14:paraId="30CE8CBA">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0.69</w:t>
            </w:r>
          </w:p>
        </w:tc>
        <w:tc>
          <w:tcPr>
            <w:tcW w:w="992" w:type="dxa"/>
            <w:noWrap w:val="0"/>
            <w:vAlign w:val="top"/>
          </w:tcPr>
          <w:p w14:paraId="2CAC0B5A">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0.68</w:t>
            </w:r>
          </w:p>
        </w:tc>
        <w:tc>
          <w:tcPr>
            <w:tcW w:w="992" w:type="dxa"/>
            <w:noWrap w:val="0"/>
            <w:vAlign w:val="top"/>
          </w:tcPr>
          <w:p w14:paraId="61307C07">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0.73</w:t>
            </w:r>
          </w:p>
        </w:tc>
        <w:tc>
          <w:tcPr>
            <w:tcW w:w="992" w:type="dxa"/>
            <w:noWrap w:val="0"/>
            <w:vAlign w:val="top"/>
          </w:tcPr>
          <w:p w14:paraId="53172D0C">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0.63</w:t>
            </w:r>
          </w:p>
        </w:tc>
      </w:tr>
      <w:tr w14:paraId="245A5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74008598">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秋季</w:t>
            </w:r>
          </w:p>
        </w:tc>
        <w:tc>
          <w:tcPr>
            <w:tcW w:w="992" w:type="dxa"/>
            <w:noWrap w:val="0"/>
            <w:vAlign w:val="top"/>
          </w:tcPr>
          <w:p w14:paraId="1A3770A8">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0.75</w:t>
            </w:r>
          </w:p>
        </w:tc>
        <w:tc>
          <w:tcPr>
            <w:tcW w:w="992" w:type="dxa"/>
            <w:noWrap w:val="0"/>
            <w:vAlign w:val="top"/>
          </w:tcPr>
          <w:p w14:paraId="51AB48EB">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0.85</w:t>
            </w:r>
          </w:p>
        </w:tc>
        <w:tc>
          <w:tcPr>
            <w:tcW w:w="992" w:type="dxa"/>
            <w:noWrap w:val="0"/>
            <w:vAlign w:val="top"/>
          </w:tcPr>
          <w:p w14:paraId="2640B3F2">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0.83</w:t>
            </w:r>
          </w:p>
        </w:tc>
        <w:tc>
          <w:tcPr>
            <w:tcW w:w="992" w:type="dxa"/>
            <w:noWrap w:val="0"/>
            <w:vAlign w:val="top"/>
          </w:tcPr>
          <w:p w14:paraId="61E19F70">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0.64</w:t>
            </w:r>
          </w:p>
        </w:tc>
        <w:tc>
          <w:tcPr>
            <w:tcW w:w="992" w:type="dxa"/>
            <w:noWrap w:val="0"/>
            <w:vAlign w:val="top"/>
          </w:tcPr>
          <w:p w14:paraId="0BF14E41">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0.69</w:t>
            </w:r>
          </w:p>
        </w:tc>
        <w:tc>
          <w:tcPr>
            <w:tcW w:w="992" w:type="dxa"/>
            <w:noWrap w:val="0"/>
            <w:vAlign w:val="top"/>
          </w:tcPr>
          <w:p w14:paraId="0F410994">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0.70</w:t>
            </w:r>
          </w:p>
        </w:tc>
        <w:tc>
          <w:tcPr>
            <w:tcW w:w="992" w:type="dxa"/>
            <w:noWrap w:val="0"/>
            <w:vAlign w:val="top"/>
          </w:tcPr>
          <w:p w14:paraId="50C5E0FD">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0.57</w:t>
            </w:r>
          </w:p>
        </w:tc>
        <w:tc>
          <w:tcPr>
            <w:tcW w:w="992" w:type="dxa"/>
            <w:noWrap w:val="0"/>
            <w:vAlign w:val="top"/>
          </w:tcPr>
          <w:p w14:paraId="73430F92">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0.72</w:t>
            </w:r>
          </w:p>
        </w:tc>
      </w:tr>
      <w:tr w14:paraId="40D07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6145ECA8">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冬季</w:t>
            </w:r>
          </w:p>
        </w:tc>
        <w:tc>
          <w:tcPr>
            <w:tcW w:w="992" w:type="dxa"/>
            <w:noWrap w:val="0"/>
            <w:vAlign w:val="top"/>
          </w:tcPr>
          <w:p w14:paraId="2CE1C655">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0.52</w:t>
            </w:r>
          </w:p>
        </w:tc>
        <w:tc>
          <w:tcPr>
            <w:tcW w:w="992" w:type="dxa"/>
            <w:noWrap w:val="0"/>
            <w:vAlign w:val="top"/>
          </w:tcPr>
          <w:p w14:paraId="7CC6608F">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0.59</w:t>
            </w:r>
          </w:p>
        </w:tc>
        <w:tc>
          <w:tcPr>
            <w:tcW w:w="992" w:type="dxa"/>
            <w:noWrap w:val="0"/>
            <w:vAlign w:val="top"/>
          </w:tcPr>
          <w:p w14:paraId="4CAAA0D8">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0.62</w:t>
            </w:r>
          </w:p>
        </w:tc>
        <w:tc>
          <w:tcPr>
            <w:tcW w:w="992" w:type="dxa"/>
            <w:noWrap w:val="0"/>
            <w:vAlign w:val="top"/>
          </w:tcPr>
          <w:p w14:paraId="3CE5ED72">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0.60</w:t>
            </w:r>
          </w:p>
        </w:tc>
        <w:tc>
          <w:tcPr>
            <w:tcW w:w="992" w:type="dxa"/>
            <w:noWrap w:val="0"/>
            <w:vAlign w:val="top"/>
          </w:tcPr>
          <w:p w14:paraId="7D42D4D4">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0.66</w:t>
            </w:r>
          </w:p>
        </w:tc>
        <w:tc>
          <w:tcPr>
            <w:tcW w:w="992" w:type="dxa"/>
            <w:noWrap w:val="0"/>
            <w:vAlign w:val="top"/>
          </w:tcPr>
          <w:p w14:paraId="1CC6B35B">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0.67</w:t>
            </w:r>
          </w:p>
        </w:tc>
        <w:tc>
          <w:tcPr>
            <w:tcW w:w="992" w:type="dxa"/>
            <w:noWrap w:val="0"/>
            <w:vAlign w:val="top"/>
          </w:tcPr>
          <w:p w14:paraId="7F2C433D">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0.68</w:t>
            </w:r>
          </w:p>
        </w:tc>
        <w:tc>
          <w:tcPr>
            <w:tcW w:w="992" w:type="dxa"/>
            <w:noWrap w:val="0"/>
            <w:vAlign w:val="top"/>
          </w:tcPr>
          <w:p w14:paraId="120C5215">
            <w:pPr>
              <w:pStyle w:val="2"/>
              <w:widowControl w:val="0"/>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0.74</w:t>
            </w:r>
          </w:p>
        </w:tc>
      </w:tr>
      <w:tr w14:paraId="636ED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7E809A70">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风速（m/s)</w:t>
            </w:r>
          </w:p>
        </w:tc>
        <w:tc>
          <w:tcPr>
            <w:tcW w:w="992" w:type="dxa"/>
            <w:noWrap w:val="0"/>
            <w:vAlign w:val="center"/>
          </w:tcPr>
          <w:p w14:paraId="27CF10C4">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9时</w:t>
            </w:r>
          </w:p>
        </w:tc>
        <w:tc>
          <w:tcPr>
            <w:tcW w:w="992" w:type="dxa"/>
            <w:noWrap w:val="0"/>
            <w:vAlign w:val="center"/>
          </w:tcPr>
          <w:p w14:paraId="45D3C7C9">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10时</w:t>
            </w:r>
          </w:p>
        </w:tc>
        <w:tc>
          <w:tcPr>
            <w:tcW w:w="992" w:type="dxa"/>
            <w:noWrap w:val="0"/>
            <w:vAlign w:val="center"/>
          </w:tcPr>
          <w:p w14:paraId="79375B66">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11时</w:t>
            </w:r>
          </w:p>
        </w:tc>
        <w:tc>
          <w:tcPr>
            <w:tcW w:w="992" w:type="dxa"/>
            <w:noWrap w:val="0"/>
            <w:vAlign w:val="center"/>
          </w:tcPr>
          <w:p w14:paraId="64C83B7A">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12时</w:t>
            </w:r>
          </w:p>
        </w:tc>
        <w:tc>
          <w:tcPr>
            <w:tcW w:w="992" w:type="dxa"/>
            <w:noWrap w:val="0"/>
            <w:vAlign w:val="center"/>
          </w:tcPr>
          <w:p w14:paraId="09069765">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13时</w:t>
            </w:r>
          </w:p>
        </w:tc>
        <w:tc>
          <w:tcPr>
            <w:tcW w:w="992" w:type="dxa"/>
            <w:noWrap w:val="0"/>
            <w:vAlign w:val="center"/>
          </w:tcPr>
          <w:p w14:paraId="54E5F49C">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14时</w:t>
            </w:r>
          </w:p>
        </w:tc>
        <w:tc>
          <w:tcPr>
            <w:tcW w:w="992" w:type="dxa"/>
            <w:noWrap w:val="0"/>
            <w:vAlign w:val="center"/>
          </w:tcPr>
          <w:p w14:paraId="7414E247">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15时</w:t>
            </w:r>
          </w:p>
        </w:tc>
        <w:tc>
          <w:tcPr>
            <w:tcW w:w="992" w:type="dxa"/>
            <w:noWrap w:val="0"/>
            <w:vAlign w:val="center"/>
          </w:tcPr>
          <w:p w14:paraId="1DBB4B5D">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16时</w:t>
            </w:r>
          </w:p>
        </w:tc>
      </w:tr>
      <w:tr w14:paraId="2A502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2DBAFB52">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春季</w:t>
            </w:r>
          </w:p>
        </w:tc>
        <w:tc>
          <w:tcPr>
            <w:tcW w:w="992" w:type="dxa"/>
            <w:noWrap w:val="0"/>
            <w:vAlign w:val="top"/>
          </w:tcPr>
          <w:p w14:paraId="0C2C1EEB">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0.91</w:t>
            </w:r>
          </w:p>
        </w:tc>
        <w:tc>
          <w:tcPr>
            <w:tcW w:w="992" w:type="dxa"/>
            <w:noWrap w:val="0"/>
            <w:vAlign w:val="top"/>
          </w:tcPr>
          <w:p w14:paraId="436D8093">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0.97</w:t>
            </w:r>
          </w:p>
        </w:tc>
        <w:tc>
          <w:tcPr>
            <w:tcW w:w="992" w:type="dxa"/>
            <w:noWrap w:val="0"/>
            <w:vAlign w:val="top"/>
          </w:tcPr>
          <w:p w14:paraId="5377639E">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1.13</w:t>
            </w:r>
          </w:p>
        </w:tc>
        <w:tc>
          <w:tcPr>
            <w:tcW w:w="992" w:type="dxa"/>
            <w:noWrap w:val="0"/>
            <w:vAlign w:val="top"/>
          </w:tcPr>
          <w:p w14:paraId="55138AE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1.24</w:t>
            </w:r>
          </w:p>
        </w:tc>
        <w:tc>
          <w:tcPr>
            <w:tcW w:w="992" w:type="dxa"/>
            <w:noWrap w:val="0"/>
            <w:vAlign w:val="top"/>
          </w:tcPr>
          <w:p w14:paraId="437D0DA0">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1.33</w:t>
            </w:r>
          </w:p>
        </w:tc>
        <w:tc>
          <w:tcPr>
            <w:tcW w:w="992" w:type="dxa"/>
            <w:noWrap w:val="0"/>
            <w:vAlign w:val="top"/>
          </w:tcPr>
          <w:p w14:paraId="18CC468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1.51</w:t>
            </w:r>
          </w:p>
        </w:tc>
        <w:tc>
          <w:tcPr>
            <w:tcW w:w="992" w:type="dxa"/>
            <w:noWrap w:val="0"/>
            <w:vAlign w:val="top"/>
          </w:tcPr>
          <w:p w14:paraId="68511393">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2.09</w:t>
            </w:r>
          </w:p>
        </w:tc>
        <w:tc>
          <w:tcPr>
            <w:tcW w:w="992" w:type="dxa"/>
            <w:noWrap w:val="0"/>
            <w:vAlign w:val="top"/>
          </w:tcPr>
          <w:p w14:paraId="39F87E1C">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2.44</w:t>
            </w:r>
          </w:p>
        </w:tc>
      </w:tr>
      <w:tr w14:paraId="65DE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825" w:type="dxa"/>
            <w:noWrap w:val="0"/>
            <w:vAlign w:val="top"/>
          </w:tcPr>
          <w:p w14:paraId="292F631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夏季</w:t>
            </w:r>
          </w:p>
        </w:tc>
        <w:tc>
          <w:tcPr>
            <w:tcW w:w="992" w:type="dxa"/>
            <w:noWrap w:val="0"/>
            <w:vAlign w:val="top"/>
          </w:tcPr>
          <w:p w14:paraId="041C4D08">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0.77</w:t>
            </w:r>
          </w:p>
        </w:tc>
        <w:tc>
          <w:tcPr>
            <w:tcW w:w="992" w:type="dxa"/>
            <w:noWrap w:val="0"/>
            <w:vAlign w:val="top"/>
          </w:tcPr>
          <w:p w14:paraId="38BB11B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0.89</w:t>
            </w:r>
          </w:p>
        </w:tc>
        <w:tc>
          <w:tcPr>
            <w:tcW w:w="992" w:type="dxa"/>
            <w:noWrap w:val="0"/>
            <w:vAlign w:val="top"/>
          </w:tcPr>
          <w:p w14:paraId="7F79A1F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0.94</w:t>
            </w:r>
          </w:p>
        </w:tc>
        <w:tc>
          <w:tcPr>
            <w:tcW w:w="992" w:type="dxa"/>
            <w:noWrap w:val="0"/>
            <w:vAlign w:val="top"/>
          </w:tcPr>
          <w:p w14:paraId="42485812">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1.18</w:t>
            </w:r>
          </w:p>
        </w:tc>
        <w:tc>
          <w:tcPr>
            <w:tcW w:w="992" w:type="dxa"/>
            <w:noWrap w:val="0"/>
            <w:vAlign w:val="top"/>
          </w:tcPr>
          <w:p w14:paraId="0B921128">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1.42</w:t>
            </w:r>
          </w:p>
        </w:tc>
        <w:tc>
          <w:tcPr>
            <w:tcW w:w="992" w:type="dxa"/>
            <w:noWrap w:val="0"/>
            <w:vAlign w:val="top"/>
          </w:tcPr>
          <w:p w14:paraId="7831602B">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1.42</w:t>
            </w:r>
          </w:p>
        </w:tc>
        <w:tc>
          <w:tcPr>
            <w:tcW w:w="992" w:type="dxa"/>
            <w:noWrap w:val="0"/>
            <w:vAlign w:val="top"/>
          </w:tcPr>
          <w:p w14:paraId="25394EA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1.72</w:t>
            </w:r>
          </w:p>
        </w:tc>
        <w:tc>
          <w:tcPr>
            <w:tcW w:w="992" w:type="dxa"/>
            <w:noWrap w:val="0"/>
            <w:vAlign w:val="top"/>
          </w:tcPr>
          <w:p w14:paraId="59F2C242">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1.85</w:t>
            </w:r>
          </w:p>
        </w:tc>
      </w:tr>
      <w:tr w14:paraId="63E17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4464A0B4">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秋季</w:t>
            </w:r>
          </w:p>
        </w:tc>
        <w:tc>
          <w:tcPr>
            <w:tcW w:w="992" w:type="dxa"/>
            <w:noWrap w:val="0"/>
            <w:vAlign w:val="top"/>
          </w:tcPr>
          <w:p w14:paraId="65F66E0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0.68</w:t>
            </w:r>
          </w:p>
        </w:tc>
        <w:tc>
          <w:tcPr>
            <w:tcW w:w="992" w:type="dxa"/>
            <w:noWrap w:val="0"/>
            <w:vAlign w:val="top"/>
          </w:tcPr>
          <w:p w14:paraId="6CC8CE90">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0.92</w:t>
            </w:r>
          </w:p>
        </w:tc>
        <w:tc>
          <w:tcPr>
            <w:tcW w:w="992" w:type="dxa"/>
            <w:noWrap w:val="0"/>
            <w:vAlign w:val="top"/>
          </w:tcPr>
          <w:p w14:paraId="3D55CE3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1.18</w:t>
            </w:r>
          </w:p>
        </w:tc>
        <w:tc>
          <w:tcPr>
            <w:tcW w:w="992" w:type="dxa"/>
            <w:noWrap w:val="0"/>
            <w:vAlign w:val="top"/>
          </w:tcPr>
          <w:p w14:paraId="1913517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1.32</w:t>
            </w:r>
          </w:p>
        </w:tc>
        <w:tc>
          <w:tcPr>
            <w:tcW w:w="992" w:type="dxa"/>
            <w:noWrap w:val="0"/>
            <w:vAlign w:val="top"/>
          </w:tcPr>
          <w:p w14:paraId="2C50A5F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1.37</w:t>
            </w:r>
          </w:p>
        </w:tc>
        <w:tc>
          <w:tcPr>
            <w:tcW w:w="992" w:type="dxa"/>
            <w:noWrap w:val="0"/>
            <w:vAlign w:val="top"/>
          </w:tcPr>
          <w:p w14:paraId="36FFEE58">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1.53</w:t>
            </w:r>
          </w:p>
        </w:tc>
        <w:tc>
          <w:tcPr>
            <w:tcW w:w="992" w:type="dxa"/>
            <w:noWrap w:val="0"/>
            <w:vAlign w:val="top"/>
          </w:tcPr>
          <w:p w14:paraId="6AE92CCF">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1.73</w:t>
            </w:r>
          </w:p>
        </w:tc>
        <w:tc>
          <w:tcPr>
            <w:tcW w:w="992" w:type="dxa"/>
            <w:noWrap w:val="0"/>
            <w:vAlign w:val="top"/>
          </w:tcPr>
          <w:p w14:paraId="4635F5CB">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1.80</w:t>
            </w:r>
          </w:p>
        </w:tc>
      </w:tr>
      <w:tr w14:paraId="544C0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7016BAE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冬季</w:t>
            </w:r>
          </w:p>
        </w:tc>
        <w:tc>
          <w:tcPr>
            <w:tcW w:w="992" w:type="dxa"/>
            <w:noWrap w:val="0"/>
            <w:vAlign w:val="top"/>
          </w:tcPr>
          <w:p w14:paraId="4E08CEEF">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0.69</w:t>
            </w:r>
          </w:p>
        </w:tc>
        <w:tc>
          <w:tcPr>
            <w:tcW w:w="992" w:type="dxa"/>
            <w:noWrap w:val="0"/>
            <w:vAlign w:val="top"/>
          </w:tcPr>
          <w:p w14:paraId="2E679AE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0.68</w:t>
            </w:r>
          </w:p>
        </w:tc>
        <w:tc>
          <w:tcPr>
            <w:tcW w:w="992" w:type="dxa"/>
            <w:noWrap w:val="0"/>
            <w:vAlign w:val="top"/>
          </w:tcPr>
          <w:p w14:paraId="543AA8AC">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0.91</w:t>
            </w:r>
          </w:p>
        </w:tc>
        <w:tc>
          <w:tcPr>
            <w:tcW w:w="992" w:type="dxa"/>
            <w:noWrap w:val="0"/>
            <w:vAlign w:val="top"/>
          </w:tcPr>
          <w:p w14:paraId="0DD8884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1.06</w:t>
            </w:r>
          </w:p>
        </w:tc>
        <w:tc>
          <w:tcPr>
            <w:tcW w:w="992" w:type="dxa"/>
            <w:noWrap w:val="0"/>
            <w:vAlign w:val="top"/>
          </w:tcPr>
          <w:p w14:paraId="5E6F7C25">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1.08</w:t>
            </w:r>
          </w:p>
        </w:tc>
        <w:tc>
          <w:tcPr>
            <w:tcW w:w="992" w:type="dxa"/>
            <w:noWrap w:val="0"/>
            <w:vAlign w:val="top"/>
          </w:tcPr>
          <w:p w14:paraId="4F628EC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1.29</w:t>
            </w:r>
          </w:p>
        </w:tc>
        <w:tc>
          <w:tcPr>
            <w:tcW w:w="992" w:type="dxa"/>
            <w:noWrap w:val="0"/>
            <w:vAlign w:val="top"/>
          </w:tcPr>
          <w:p w14:paraId="463EC0A9">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1.49</w:t>
            </w:r>
          </w:p>
        </w:tc>
        <w:tc>
          <w:tcPr>
            <w:tcW w:w="992" w:type="dxa"/>
            <w:noWrap w:val="0"/>
            <w:vAlign w:val="top"/>
          </w:tcPr>
          <w:p w14:paraId="1887111E">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1.71</w:t>
            </w:r>
          </w:p>
        </w:tc>
      </w:tr>
      <w:tr w14:paraId="6B9E5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1684C366">
            <w:pPr>
              <w:widowControl w:val="0"/>
              <w:spacing w:line="360" w:lineRule="auto"/>
              <w:ind w:left="0" w:firstLine="0"/>
              <w:jc w:val="center"/>
              <w:rPr>
                <w:rFonts w:ascii="宋体" w:hAnsi="宋体" w:eastAsia="宋体" w:cs="宋体"/>
                <w:b/>
                <w:bCs/>
                <w:sz w:val="24"/>
                <w:szCs w:val="24"/>
                <w:vertAlign w:val="baseline"/>
                <w:lang w:val="en-US" w:eastAsia="zh-CN" w:bidi="ar"/>
              </w:rPr>
            </w:pPr>
            <w:r>
              <w:rPr>
                <w:rFonts w:hint="eastAsia" w:ascii="宋体" w:hAnsi="Courier New" w:eastAsia="宋体" w:cs="Courier New"/>
                <w:b/>
                <w:bCs/>
                <w:sz w:val="18"/>
                <w:szCs w:val="18"/>
                <w:vertAlign w:val="baseline"/>
                <w:lang w:val="en-US" w:eastAsia="zh-CN" w:bidi="ar-SA"/>
              </w:rPr>
              <w:t>风速（m/s)</w:t>
            </w:r>
          </w:p>
        </w:tc>
        <w:tc>
          <w:tcPr>
            <w:tcW w:w="992" w:type="dxa"/>
            <w:noWrap w:val="0"/>
            <w:vAlign w:val="center"/>
          </w:tcPr>
          <w:p w14:paraId="22CEA5FD">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17时</w:t>
            </w:r>
          </w:p>
        </w:tc>
        <w:tc>
          <w:tcPr>
            <w:tcW w:w="992" w:type="dxa"/>
            <w:noWrap w:val="0"/>
            <w:vAlign w:val="center"/>
          </w:tcPr>
          <w:p w14:paraId="6FBC2C54">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18时</w:t>
            </w:r>
          </w:p>
        </w:tc>
        <w:tc>
          <w:tcPr>
            <w:tcW w:w="992" w:type="dxa"/>
            <w:noWrap w:val="0"/>
            <w:vAlign w:val="center"/>
          </w:tcPr>
          <w:p w14:paraId="42316C43">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19时</w:t>
            </w:r>
          </w:p>
        </w:tc>
        <w:tc>
          <w:tcPr>
            <w:tcW w:w="992" w:type="dxa"/>
            <w:noWrap w:val="0"/>
            <w:vAlign w:val="center"/>
          </w:tcPr>
          <w:p w14:paraId="2B20E044">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20时</w:t>
            </w:r>
          </w:p>
        </w:tc>
        <w:tc>
          <w:tcPr>
            <w:tcW w:w="992" w:type="dxa"/>
            <w:noWrap w:val="0"/>
            <w:vAlign w:val="center"/>
          </w:tcPr>
          <w:p w14:paraId="5827CCDF">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21时</w:t>
            </w:r>
          </w:p>
        </w:tc>
        <w:tc>
          <w:tcPr>
            <w:tcW w:w="992" w:type="dxa"/>
            <w:noWrap w:val="0"/>
            <w:vAlign w:val="center"/>
          </w:tcPr>
          <w:p w14:paraId="54F0D149">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22时</w:t>
            </w:r>
          </w:p>
        </w:tc>
        <w:tc>
          <w:tcPr>
            <w:tcW w:w="992" w:type="dxa"/>
            <w:noWrap w:val="0"/>
            <w:vAlign w:val="center"/>
          </w:tcPr>
          <w:p w14:paraId="17E785EA">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23时</w:t>
            </w:r>
          </w:p>
        </w:tc>
        <w:tc>
          <w:tcPr>
            <w:tcW w:w="992" w:type="dxa"/>
            <w:noWrap w:val="0"/>
            <w:vAlign w:val="center"/>
          </w:tcPr>
          <w:p w14:paraId="5E3F35BA">
            <w:pPr>
              <w:widowControl w:val="0"/>
              <w:spacing w:line="360" w:lineRule="auto"/>
              <w:ind w:left="0" w:firstLine="0"/>
              <w:jc w:val="center"/>
              <w:rPr>
                <w:rFonts w:ascii="宋体" w:hAnsi="Courier New" w:eastAsia="宋体" w:cs="Courier New"/>
                <w:b/>
                <w:bCs/>
                <w:sz w:val="18"/>
                <w:szCs w:val="18"/>
                <w:vertAlign w:val="baseline"/>
                <w:lang w:val="en-US" w:eastAsia="zh-CN" w:bidi="ar-SA"/>
              </w:rPr>
            </w:pPr>
            <w:r>
              <w:rPr>
                <w:rFonts w:hint="eastAsia" w:ascii="宋体" w:hAnsi="Courier New" w:eastAsia="宋体" w:cs="Courier New"/>
                <w:b/>
                <w:bCs/>
                <w:sz w:val="18"/>
                <w:szCs w:val="18"/>
                <w:vertAlign w:val="baseline"/>
                <w:lang w:val="en-US" w:eastAsia="zh-CN" w:bidi="ar-SA"/>
              </w:rPr>
              <w:t>24时</w:t>
            </w:r>
          </w:p>
        </w:tc>
      </w:tr>
      <w:tr w14:paraId="02A9B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4F2B05C0">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春季</w:t>
            </w:r>
          </w:p>
        </w:tc>
        <w:tc>
          <w:tcPr>
            <w:tcW w:w="992" w:type="dxa"/>
            <w:noWrap w:val="0"/>
            <w:vAlign w:val="top"/>
          </w:tcPr>
          <w:p w14:paraId="5819FB6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2.69</w:t>
            </w:r>
          </w:p>
        </w:tc>
        <w:tc>
          <w:tcPr>
            <w:tcW w:w="992" w:type="dxa"/>
            <w:noWrap w:val="0"/>
            <w:vAlign w:val="top"/>
          </w:tcPr>
          <w:p w14:paraId="2FF1A6D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2.53</w:t>
            </w:r>
          </w:p>
        </w:tc>
        <w:tc>
          <w:tcPr>
            <w:tcW w:w="992" w:type="dxa"/>
            <w:noWrap w:val="0"/>
            <w:vAlign w:val="top"/>
          </w:tcPr>
          <w:p w14:paraId="387A45E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2.01</w:t>
            </w:r>
          </w:p>
        </w:tc>
        <w:tc>
          <w:tcPr>
            <w:tcW w:w="992" w:type="dxa"/>
            <w:noWrap w:val="0"/>
            <w:vAlign w:val="top"/>
          </w:tcPr>
          <w:p w14:paraId="1CCAE302">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1.39</w:t>
            </w:r>
          </w:p>
        </w:tc>
        <w:tc>
          <w:tcPr>
            <w:tcW w:w="992" w:type="dxa"/>
            <w:noWrap w:val="0"/>
            <w:vAlign w:val="top"/>
          </w:tcPr>
          <w:p w14:paraId="55C91BB9">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1.09</w:t>
            </w:r>
          </w:p>
        </w:tc>
        <w:tc>
          <w:tcPr>
            <w:tcW w:w="992" w:type="dxa"/>
            <w:noWrap w:val="0"/>
            <w:vAlign w:val="top"/>
          </w:tcPr>
          <w:p w14:paraId="24D62EEB">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1.04</w:t>
            </w:r>
          </w:p>
        </w:tc>
        <w:tc>
          <w:tcPr>
            <w:tcW w:w="992" w:type="dxa"/>
            <w:noWrap w:val="0"/>
            <w:vAlign w:val="top"/>
          </w:tcPr>
          <w:p w14:paraId="0764FA1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1.00</w:t>
            </w:r>
          </w:p>
        </w:tc>
        <w:tc>
          <w:tcPr>
            <w:tcW w:w="992" w:type="dxa"/>
            <w:noWrap w:val="0"/>
            <w:vAlign w:val="top"/>
          </w:tcPr>
          <w:p w14:paraId="525478FA">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0.86</w:t>
            </w:r>
          </w:p>
        </w:tc>
      </w:tr>
      <w:tr w14:paraId="6FD48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22391A6F">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夏季</w:t>
            </w:r>
          </w:p>
        </w:tc>
        <w:tc>
          <w:tcPr>
            <w:tcW w:w="992" w:type="dxa"/>
            <w:noWrap w:val="0"/>
            <w:vAlign w:val="top"/>
          </w:tcPr>
          <w:p w14:paraId="64C8C69E">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1.78</w:t>
            </w:r>
          </w:p>
        </w:tc>
        <w:tc>
          <w:tcPr>
            <w:tcW w:w="992" w:type="dxa"/>
            <w:noWrap w:val="0"/>
            <w:vAlign w:val="top"/>
          </w:tcPr>
          <w:p w14:paraId="6D8A6588">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1.76</w:t>
            </w:r>
          </w:p>
        </w:tc>
        <w:tc>
          <w:tcPr>
            <w:tcW w:w="992" w:type="dxa"/>
            <w:noWrap w:val="0"/>
            <w:vAlign w:val="top"/>
          </w:tcPr>
          <w:p w14:paraId="62680092">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1.74</w:t>
            </w:r>
          </w:p>
        </w:tc>
        <w:tc>
          <w:tcPr>
            <w:tcW w:w="992" w:type="dxa"/>
            <w:noWrap w:val="0"/>
            <w:vAlign w:val="top"/>
          </w:tcPr>
          <w:p w14:paraId="62C42DEB">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1.23</w:t>
            </w:r>
          </w:p>
        </w:tc>
        <w:tc>
          <w:tcPr>
            <w:tcW w:w="992" w:type="dxa"/>
            <w:noWrap w:val="0"/>
            <w:vAlign w:val="top"/>
          </w:tcPr>
          <w:p w14:paraId="2F519F4A">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1.07</w:t>
            </w:r>
          </w:p>
        </w:tc>
        <w:tc>
          <w:tcPr>
            <w:tcW w:w="992" w:type="dxa"/>
            <w:noWrap w:val="0"/>
            <w:vAlign w:val="top"/>
          </w:tcPr>
          <w:p w14:paraId="00A6A914">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0.85</w:t>
            </w:r>
          </w:p>
        </w:tc>
        <w:tc>
          <w:tcPr>
            <w:tcW w:w="992" w:type="dxa"/>
            <w:noWrap w:val="0"/>
            <w:vAlign w:val="top"/>
          </w:tcPr>
          <w:p w14:paraId="3F50BB2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0.85</w:t>
            </w:r>
          </w:p>
        </w:tc>
        <w:tc>
          <w:tcPr>
            <w:tcW w:w="992" w:type="dxa"/>
            <w:noWrap w:val="0"/>
            <w:vAlign w:val="top"/>
          </w:tcPr>
          <w:p w14:paraId="4CB5F93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0.68</w:t>
            </w:r>
          </w:p>
        </w:tc>
      </w:tr>
      <w:tr w14:paraId="4B970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577974CA">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秋季</w:t>
            </w:r>
          </w:p>
        </w:tc>
        <w:tc>
          <w:tcPr>
            <w:tcW w:w="992" w:type="dxa"/>
            <w:noWrap w:val="0"/>
            <w:vAlign w:val="top"/>
          </w:tcPr>
          <w:p w14:paraId="1F21304E">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1.76</w:t>
            </w:r>
          </w:p>
        </w:tc>
        <w:tc>
          <w:tcPr>
            <w:tcW w:w="992" w:type="dxa"/>
            <w:noWrap w:val="0"/>
            <w:vAlign w:val="top"/>
          </w:tcPr>
          <w:p w14:paraId="71A4B8E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1.68</w:t>
            </w:r>
          </w:p>
        </w:tc>
        <w:tc>
          <w:tcPr>
            <w:tcW w:w="992" w:type="dxa"/>
            <w:noWrap w:val="0"/>
            <w:vAlign w:val="top"/>
          </w:tcPr>
          <w:p w14:paraId="72AD644A">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1.18</w:t>
            </w:r>
          </w:p>
        </w:tc>
        <w:tc>
          <w:tcPr>
            <w:tcW w:w="992" w:type="dxa"/>
            <w:noWrap w:val="0"/>
            <w:vAlign w:val="top"/>
          </w:tcPr>
          <w:p w14:paraId="53777B17">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0.97</w:t>
            </w:r>
          </w:p>
        </w:tc>
        <w:tc>
          <w:tcPr>
            <w:tcW w:w="992" w:type="dxa"/>
            <w:noWrap w:val="0"/>
            <w:vAlign w:val="top"/>
          </w:tcPr>
          <w:p w14:paraId="2E55D298">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0.83</w:t>
            </w:r>
          </w:p>
        </w:tc>
        <w:tc>
          <w:tcPr>
            <w:tcW w:w="992" w:type="dxa"/>
            <w:noWrap w:val="0"/>
            <w:vAlign w:val="top"/>
          </w:tcPr>
          <w:p w14:paraId="10966898">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0.70</w:t>
            </w:r>
          </w:p>
        </w:tc>
        <w:tc>
          <w:tcPr>
            <w:tcW w:w="992" w:type="dxa"/>
            <w:noWrap w:val="0"/>
            <w:vAlign w:val="top"/>
          </w:tcPr>
          <w:p w14:paraId="7EA0EB3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0.84</w:t>
            </w:r>
          </w:p>
        </w:tc>
        <w:tc>
          <w:tcPr>
            <w:tcW w:w="992" w:type="dxa"/>
            <w:noWrap w:val="0"/>
            <w:vAlign w:val="top"/>
          </w:tcPr>
          <w:p w14:paraId="60E7651B">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0.81</w:t>
            </w:r>
          </w:p>
        </w:tc>
      </w:tr>
      <w:tr w14:paraId="3AB8A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5" w:type="dxa"/>
            <w:noWrap w:val="0"/>
            <w:vAlign w:val="top"/>
          </w:tcPr>
          <w:p w14:paraId="32D8D6C0">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冬季</w:t>
            </w:r>
          </w:p>
        </w:tc>
        <w:tc>
          <w:tcPr>
            <w:tcW w:w="992" w:type="dxa"/>
            <w:noWrap w:val="0"/>
            <w:vAlign w:val="top"/>
          </w:tcPr>
          <w:p w14:paraId="46714585">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1.75</w:t>
            </w:r>
          </w:p>
        </w:tc>
        <w:tc>
          <w:tcPr>
            <w:tcW w:w="992" w:type="dxa"/>
            <w:noWrap w:val="0"/>
            <w:vAlign w:val="top"/>
          </w:tcPr>
          <w:p w14:paraId="2AD0E553">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1.58</w:t>
            </w:r>
          </w:p>
        </w:tc>
        <w:tc>
          <w:tcPr>
            <w:tcW w:w="992" w:type="dxa"/>
            <w:noWrap w:val="0"/>
            <w:vAlign w:val="top"/>
          </w:tcPr>
          <w:p w14:paraId="2C9270BF">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1.20</w:t>
            </w:r>
          </w:p>
        </w:tc>
        <w:tc>
          <w:tcPr>
            <w:tcW w:w="992" w:type="dxa"/>
            <w:noWrap w:val="0"/>
            <w:vAlign w:val="top"/>
          </w:tcPr>
          <w:p w14:paraId="64CA8C48">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0.88</w:t>
            </w:r>
          </w:p>
        </w:tc>
        <w:tc>
          <w:tcPr>
            <w:tcW w:w="992" w:type="dxa"/>
            <w:noWrap w:val="0"/>
            <w:vAlign w:val="top"/>
          </w:tcPr>
          <w:p w14:paraId="2968FDEC">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0.55</w:t>
            </w:r>
          </w:p>
        </w:tc>
        <w:tc>
          <w:tcPr>
            <w:tcW w:w="992" w:type="dxa"/>
            <w:noWrap w:val="0"/>
            <w:vAlign w:val="top"/>
          </w:tcPr>
          <w:p w14:paraId="4734CFAD">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0.56</w:t>
            </w:r>
          </w:p>
        </w:tc>
        <w:tc>
          <w:tcPr>
            <w:tcW w:w="992" w:type="dxa"/>
            <w:noWrap w:val="0"/>
            <w:vAlign w:val="top"/>
          </w:tcPr>
          <w:p w14:paraId="70DB1326">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0.66</w:t>
            </w:r>
          </w:p>
        </w:tc>
        <w:tc>
          <w:tcPr>
            <w:tcW w:w="992" w:type="dxa"/>
            <w:noWrap w:val="0"/>
            <w:vAlign w:val="top"/>
          </w:tcPr>
          <w:p w14:paraId="4C9A073E">
            <w:pPr>
              <w:widowControl w:val="0"/>
              <w:spacing w:line="360" w:lineRule="auto"/>
              <w:ind w:left="0" w:firstLine="0"/>
              <w:jc w:val="center"/>
              <w:rPr>
                <w:rFonts w:ascii="宋体" w:hAnsi="Courier New" w:eastAsia="宋体" w:cs="Courier New"/>
                <w:b w:val="0"/>
                <w:bCs w:val="0"/>
                <w:sz w:val="18"/>
                <w:szCs w:val="18"/>
                <w:vertAlign w:val="baseline"/>
                <w:lang w:val="en-US" w:eastAsia="zh-CN" w:bidi="ar-SA"/>
              </w:rPr>
            </w:pPr>
            <w:r>
              <w:rPr>
                <w:rFonts w:hint="eastAsia" w:ascii="宋体" w:hAnsi="Courier New" w:eastAsia="宋体" w:cs="Courier New"/>
                <w:b w:val="0"/>
                <w:bCs w:val="0"/>
                <w:sz w:val="18"/>
                <w:szCs w:val="18"/>
                <w:vertAlign w:val="baseline"/>
                <w:lang w:val="en-US" w:eastAsia="zh-CN" w:bidi="ar-SA"/>
              </w:rPr>
              <w:t>0.62</w:t>
            </w:r>
          </w:p>
        </w:tc>
      </w:tr>
    </w:tbl>
    <w:p w14:paraId="66675AFE">
      <w:pPr>
        <w:pStyle w:val="2"/>
        <w:ind w:firstLine="1687"/>
        <w:rPr>
          <w:rFonts w:ascii="宋体" w:hAnsi="宋体" w:eastAsia="宋体" w:cs="宋体"/>
          <w:b/>
          <w:bCs/>
          <w:sz w:val="24"/>
          <w:szCs w:val="24"/>
          <w:lang w:val="en-US" w:eastAsia="zh-CN" w:bidi="ar"/>
        </w:rPr>
      </w:pPr>
    </w:p>
    <w:p w14:paraId="672E15EE">
      <w:pPr>
        <w:keepNext w:val="0"/>
        <w:keepLines w:val="0"/>
        <w:widowControl/>
        <w:suppressLineNumbers w:val="0"/>
        <w:ind w:left="0" w:firstLine="0"/>
        <w:jc w:val="both"/>
      </w:pPr>
      <w:r>
        <w:rPr>
          <w:rFonts w:ascii="宋体" w:hAnsi="宋体" w:eastAsia="宋体" w:cs="宋体"/>
          <w:sz w:val="24"/>
          <w:szCs w:val="24"/>
          <w:lang w:val="en-US" w:eastAsia="zh-CN" w:bidi="ar"/>
        </w:rPr>
        <w:drawing>
          <wp:inline distT="0" distB="0" distL="0" distR="0">
            <wp:extent cx="5391150" cy="2085975"/>
            <wp:effectExtent l="0" t="0" r="0" b="0"/>
            <wp:docPr id="41" name="_x0000_i3121"/>
            <wp:cNvGraphicFramePr/>
            <a:graphic xmlns:a="http://schemas.openxmlformats.org/drawingml/2006/main">
              <a:graphicData uri="http://schemas.openxmlformats.org/drawingml/2006/picture">
                <pic:pic xmlns:pic="http://schemas.openxmlformats.org/drawingml/2006/picture">
                  <pic:nvPicPr>
                    <pic:cNvPr id="41" name="_x0000_i3121"/>
                    <pic:cNvPicPr/>
                  </pic:nvPicPr>
                  <pic:blipFill>
                    <a:blip r:embed="rId54"/>
                    <a:stretch>
                      <a:fillRect/>
                    </a:stretch>
                  </pic:blipFill>
                  <pic:spPr>
                    <a:xfrm>
                      <a:off x="0" y="0"/>
                      <a:ext cx="5391150" cy="2085975"/>
                    </a:xfrm>
                    <a:prstGeom prst="rect">
                      <a:avLst/>
                    </a:prstGeom>
                    <a:noFill/>
                    <a:ln>
                      <a:noFill/>
                    </a:ln>
                  </pic:spPr>
                </pic:pic>
              </a:graphicData>
            </a:graphic>
          </wp:inline>
        </w:drawing>
      </w:r>
    </w:p>
    <w:p w14:paraId="298DE9D6">
      <w:pPr>
        <w:keepNext w:val="0"/>
        <w:keepLines w:val="0"/>
        <w:widowControl/>
        <w:suppressLineNumbers w:val="0"/>
        <w:ind w:firstLine="2891"/>
        <w:jc w:val="left"/>
      </w:pPr>
      <w:r>
        <w:rPr>
          <w:rFonts w:hint="eastAsia" w:ascii="宋体" w:hAnsi="宋体" w:eastAsia="宋体" w:cs="宋体"/>
          <w:b/>
          <w:color w:val="000000"/>
          <w:sz w:val="24"/>
          <w:szCs w:val="24"/>
          <w:lang w:val="en-US" w:eastAsia="zh-CN" w:bidi="ar"/>
        </w:rPr>
        <w:t xml:space="preserve">图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 xml:space="preserve">.2-3 </w:t>
      </w:r>
      <w:r>
        <w:rPr>
          <w:rFonts w:hint="eastAsia" w:ascii="宋体" w:hAnsi="宋体" w:eastAsia="宋体" w:cs="宋体"/>
          <w:b/>
          <w:color w:val="000000"/>
          <w:sz w:val="24"/>
          <w:szCs w:val="24"/>
          <w:lang w:val="en-US" w:eastAsia="zh-CN" w:bidi="ar"/>
        </w:rPr>
        <w:t>年平均风速月变化曲线</w:t>
      </w:r>
    </w:p>
    <w:p w14:paraId="3DEE0747">
      <w:pPr>
        <w:keepNext w:val="0"/>
        <w:keepLines w:val="0"/>
        <w:widowControl/>
        <w:suppressLineNumbers w:val="0"/>
        <w:ind w:left="0" w:firstLine="0"/>
        <w:jc w:val="both"/>
      </w:pPr>
      <w:r>
        <w:rPr>
          <w:rFonts w:ascii="宋体" w:hAnsi="宋体" w:eastAsia="宋体" w:cs="宋体"/>
          <w:sz w:val="24"/>
          <w:szCs w:val="24"/>
          <w:lang w:val="en-US" w:eastAsia="zh-CN" w:bidi="ar"/>
        </w:rPr>
        <w:drawing>
          <wp:inline distT="0" distB="0" distL="0" distR="0">
            <wp:extent cx="5648325" cy="2428875"/>
            <wp:effectExtent l="0" t="0" r="0" b="0"/>
            <wp:docPr id="42" name="_x0000_i3122"/>
            <wp:cNvGraphicFramePr/>
            <a:graphic xmlns:a="http://schemas.openxmlformats.org/drawingml/2006/main">
              <a:graphicData uri="http://schemas.openxmlformats.org/drawingml/2006/picture">
                <pic:pic xmlns:pic="http://schemas.openxmlformats.org/drawingml/2006/picture">
                  <pic:nvPicPr>
                    <pic:cNvPr id="42" name="_x0000_i3122"/>
                    <pic:cNvPicPr/>
                  </pic:nvPicPr>
                  <pic:blipFill>
                    <a:blip r:embed="rId55"/>
                    <a:stretch>
                      <a:fillRect/>
                    </a:stretch>
                  </pic:blipFill>
                  <pic:spPr>
                    <a:xfrm>
                      <a:off x="0" y="0"/>
                      <a:ext cx="5648325" cy="2428875"/>
                    </a:xfrm>
                    <a:prstGeom prst="rect">
                      <a:avLst/>
                    </a:prstGeom>
                    <a:noFill/>
                    <a:ln>
                      <a:noFill/>
                    </a:ln>
                  </pic:spPr>
                </pic:pic>
              </a:graphicData>
            </a:graphic>
          </wp:inline>
        </w:drawing>
      </w:r>
    </w:p>
    <w:p w14:paraId="70931981">
      <w:pPr>
        <w:keepNext w:val="0"/>
        <w:keepLines w:val="0"/>
        <w:widowControl/>
        <w:suppressLineNumbers w:val="0"/>
        <w:ind w:firstLine="2650"/>
        <w:jc w:val="left"/>
      </w:pPr>
      <w:r>
        <w:rPr>
          <w:rFonts w:hint="eastAsia" w:ascii="宋体" w:hAnsi="宋体" w:eastAsia="宋体" w:cs="宋体"/>
          <w:b/>
          <w:color w:val="000000"/>
          <w:sz w:val="24"/>
          <w:szCs w:val="24"/>
          <w:lang w:val="en-US" w:eastAsia="zh-CN" w:bidi="ar"/>
        </w:rPr>
        <w:t xml:space="preserve">图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 xml:space="preserve">.2-4 </w:t>
      </w:r>
      <w:r>
        <w:rPr>
          <w:rFonts w:hint="eastAsia" w:ascii="宋体" w:hAnsi="宋体" w:eastAsia="宋体" w:cs="宋体"/>
          <w:b/>
          <w:color w:val="000000"/>
          <w:sz w:val="24"/>
          <w:szCs w:val="24"/>
          <w:lang w:val="en-US" w:eastAsia="zh-CN" w:bidi="ar"/>
        </w:rPr>
        <w:t xml:space="preserve">季小时平均风速的日变化曲线 </w:t>
      </w:r>
    </w:p>
    <w:p w14:paraId="3E548D4F">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从统计结果可以看出： </w:t>
      </w:r>
    </w:p>
    <w:p w14:paraId="3ED09EBC">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项目区 </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 xml:space="preserve">年全年月平均风速在 </w:t>
      </w:r>
      <w:r>
        <w:rPr>
          <w:rFonts w:ascii="Times New Roman" w:hAnsi="Times New Roman" w:eastAsia="宋体" w:cs="Times New Roman"/>
          <w:color w:val="000000"/>
          <w:sz w:val="24"/>
          <w:szCs w:val="24"/>
          <w:lang w:val="en-US" w:eastAsia="zh-CN" w:bidi="ar"/>
        </w:rPr>
        <w:t xml:space="preserve">0.82m/s~1.38m/s </w:t>
      </w:r>
      <w:r>
        <w:rPr>
          <w:rFonts w:hint="eastAsia" w:ascii="宋体" w:hAnsi="宋体" w:eastAsia="宋体" w:cs="宋体"/>
          <w:color w:val="000000"/>
          <w:sz w:val="24"/>
          <w:szCs w:val="24"/>
          <w:lang w:val="en-US" w:eastAsia="zh-CN" w:bidi="ar"/>
        </w:rPr>
        <w:t xml:space="preserve">之间，月平均比较集中， </w:t>
      </w:r>
    </w:p>
    <w:p w14:paraId="6780BB6D">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全年平均风速为 </w:t>
      </w:r>
      <w:r>
        <w:rPr>
          <w:rFonts w:ascii="Times New Roman" w:hAnsi="Times New Roman" w:eastAsia="宋体" w:cs="Times New Roman"/>
          <w:color w:val="000000"/>
          <w:sz w:val="24"/>
          <w:szCs w:val="24"/>
          <w:lang w:val="en-US" w:eastAsia="zh-CN" w:bidi="ar"/>
        </w:rPr>
        <w:t>1.08m/s</w:t>
      </w:r>
      <w:r>
        <w:rPr>
          <w:rFonts w:hint="eastAsia" w:ascii="宋体" w:hAnsi="宋体" w:eastAsia="宋体" w:cs="宋体"/>
          <w:color w:val="000000"/>
          <w:sz w:val="24"/>
          <w:szCs w:val="24"/>
          <w:lang w:val="en-US" w:eastAsia="zh-CN" w:bidi="ar"/>
        </w:rPr>
        <w:t xml:space="preserve">。 </w:t>
      </w:r>
    </w:p>
    <w:p w14:paraId="165853EB">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从季小时平均风速变换情况来看，春、夏、秋、冬季小时平均风速的变化趋 </w:t>
      </w:r>
    </w:p>
    <w:p w14:paraId="2A4AAE5B">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势一致，每天 </w:t>
      </w:r>
      <w:r>
        <w:rPr>
          <w:rFonts w:ascii="Times New Roman" w:hAnsi="Times New Roman" w:eastAsia="宋体" w:cs="Times New Roman"/>
          <w:color w:val="000000"/>
          <w:sz w:val="24"/>
          <w:szCs w:val="24"/>
          <w:lang w:val="en-US" w:eastAsia="zh-CN" w:bidi="ar"/>
        </w:rPr>
        <w:t xml:space="preserve">15~20 </w:t>
      </w:r>
      <w:r>
        <w:rPr>
          <w:rFonts w:hint="eastAsia" w:ascii="宋体" w:hAnsi="宋体" w:eastAsia="宋体" w:cs="宋体"/>
          <w:color w:val="000000"/>
          <w:sz w:val="24"/>
          <w:szCs w:val="24"/>
          <w:lang w:val="en-US" w:eastAsia="zh-CN" w:bidi="ar"/>
        </w:rPr>
        <w:t xml:space="preserve">时的平均风速较大，气象扩散条件较好。 </w:t>
      </w:r>
    </w:p>
    <w:p w14:paraId="185EC543">
      <w:pPr>
        <w:keepNext w:val="0"/>
        <w:keepLines w:val="0"/>
        <w:widowControl/>
        <w:suppressLineNumbers w:val="0"/>
        <w:jc w:val="left"/>
      </w:pPr>
      <w:r>
        <w:rPr>
          <w:rFonts w:ascii="Times New Roman" w:hAnsi="Times New Roman" w:eastAsia="宋体" w:cs="Times New Roman"/>
          <w:color w:val="000000"/>
          <w:sz w:val="24"/>
          <w:szCs w:val="24"/>
          <w:lang w:val="en-US" w:eastAsia="zh-CN" w:bidi="ar"/>
        </w:rPr>
        <w:t>③污染系数</w:t>
      </w:r>
      <w:r>
        <w:rPr>
          <w:rFonts w:hint="eastAsia" w:ascii="宋体" w:hAnsi="宋体" w:eastAsia="宋体" w:cs="宋体"/>
          <w:color w:val="000000"/>
          <w:sz w:val="24"/>
          <w:szCs w:val="24"/>
          <w:lang w:val="en-US" w:eastAsia="zh-CN" w:bidi="ar"/>
        </w:rPr>
        <w:t xml:space="preserve"> </w:t>
      </w:r>
    </w:p>
    <w:p w14:paraId="265ACA2A">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污染系数综合表达了风向频率和风向平均风速两者对污染物输送的影响。某 风向污染系数最大，则其反方向受污染程度最重。 </w:t>
      </w:r>
    </w:p>
    <w:p w14:paraId="3A0328D4">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污染系数与风频和风速的比成正比，其计算公式为：</w:t>
      </w:r>
    </w:p>
    <w:p w14:paraId="49AF799B">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 </w:t>
      </w:r>
      <w:r>
        <w:rPr>
          <w:rFonts w:ascii="宋体" w:hAnsi="宋体" w:eastAsia="宋体" w:cs="宋体"/>
          <w:sz w:val="24"/>
          <w:szCs w:val="24"/>
          <w:lang w:val="en-US" w:eastAsia="zh-CN" w:bidi="ar"/>
        </w:rPr>
        <w:drawing>
          <wp:inline distT="0" distB="0" distL="0" distR="0">
            <wp:extent cx="494665" cy="485140"/>
            <wp:effectExtent l="0" t="0" r="0" b="0"/>
            <wp:docPr id="43" name="_x0000_i3123"/>
            <wp:cNvGraphicFramePr/>
            <a:graphic xmlns:a="http://schemas.openxmlformats.org/drawingml/2006/main">
              <a:graphicData uri="http://schemas.openxmlformats.org/drawingml/2006/picture">
                <pic:pic xmlns:pic="http://schemas.openxmlformats.org/drawingml/2006/picture">
                  <pic:nvPicPr>
                    <pic:cNvPr id="43" name="_x0000_i3123"/>
                    <pic:cNvPicPr/>
                  </pic:nvPicPr>
                  <pic:blipFill>
                    <a:blip r:embed="rId56"/>
                    <a:stretch>
                      <a:fillRect/>
                    </a:stretch>
                  </pic:blipFill>
                  <pic:spPr>
                    <a:xfrm>
                      <a:off x="0" y="0"/>
                      <a:ext cx="495158" cy="485625"/>
                    </a:xfrm>
                    <a:prstGeom prst="rect">
                      <a:avLst/>
                    </a:prstGeom>
                    <a:noFill/>
                    <a:ln>
                      <a:noFill/>
                    </a:ln>
                  </pic:spPr>
                </pic:pic>
              </a:graphicData>
            </a:graphic>
          </wp:inline>
        </w:drawing>
      </w:r>
    </w:p>
    <w:p w14:paraId="50789CA8">
      <w:pPr>
        <w:keepNext w:val="0"/>
        <w:keepLines w:val="0"/>
        <w:widowControl/>
        <w:suppressLineNumbers w:val="0"/>
        <w:jc w:val="left"/>
      </w:pPr>
      <w:r>
        <w:rPr>
          <w:rFonts w:hint="eastAsia" w:ascii="宋体" w:hAnsi="宋体" w:eastAsia="宋体" w:cs="宋体"/>
          <w:color w:val="000000"/>
          <w:sz w:val="24"/>
          <w:szCs w:val="24"/>
          <w:lang w:val="en-US" w:eastAsia="zh-CN" w:bidi="ar"/>
        </w:rPr>
        <w:t>式中，</w:t>
      </w:r>
      <w:r>
        <w:rPr>
          <w:rFonts w:ascii="Times New Roman" w:hAnsi="Times New Roman" w:eastAsia="宋体" w:cs="Times New Roman"/>
          <w:color w:val="000000"/>
          <w:sz w:val="24"/>
          <w:szCs w:val="24"/>
          <w:lang w:val="en-US" w:eastAsia="zh-CN" w:bidi="ar"/>
        </w:rPr>
        <w:t>f</w:t>
      </w:r>
      <w:r>
        <w:rPr>
          <w:rFonts w:ascii="Times New Roman" w:hAnsi="Times New Roman" w:eastAsia="宋体" w:cs="Times New Roman"/>
          <w:color w:val="000000"/>
          <w:sz w:val="15"/>
          <w:szCs w:val="15"/>
          <w:lang w:val="en-US" w:eastAsia="zh-CN" w:bidi="ar"/>
        </w:rPr>
        <w:t xml:space="preserve">i </w:t>
      </w:r>
      <w:r>
        <w:rPr>
          <w:rFonts w:hint="eastAsia" w:ascii="宋体" w:hAnsi="宋体" w:eastAsia="宋体" w:cs="宋体"/>
          <w:color w:val="000000"/>
          <w:sz w:val="24"/>
          <w:szCs w:val="24"/>
          <w:lang w:val="en-US" w:eastAsia="zh-CN" w:bidi="ar"/>
        </w:rPr>
        <w:t>为各风向出现频率，</w:t>
      </w:r>
      <w:r>
        <w:rPr>
          <w:rFonts w:ascii="Times New Roman" w:hAnsi="Times New Roman" w:eastAsia="宋体" w:cs="Times New Roman"/>
          <w:color w:val="000000"/>
          <w:sz w:val="24"/>
          <w:szCs w:val="24"/>
          <w:lang w:val="en-US" w:eastAsia="zh-CN" w:bidi="ar"/>
        </w:rPr>
        <w:t>u</w:t>
      </w:r>
      <w:r>
        <w:rPr>
          <w:rFonts w:ascii="Times New Roman" w:hAnsi="Times New Roman" w:eastAsia="宋体" w:cs="Times New Roman"/>
          <w:color w:val="000000"/>
          <w:sz w:val="15"/>
          <w:szCs w:val="15"/>
          <w:lang w:val="en-US" w:eastAsia="zh-CN" w:bidi="ar"/>
        </w:rPr>
        <w:t>i</w:t>
      </w:r>
      <w:r>
        <w:rPr>
          <w:rFonts w:hint="eastAsia" w:ascii="宋体" w:hAnsi="宋体" w:eastAsia="宋体" w:cs="宋体"/>
          <w:color w:val="000000"/>
          <w:sz w:val="24"/>
          <w:szCs w:val="24"/>
          <w:lang w:val="en-US" w:eastAsia="zh-CN" w:bidi="ar"/>
        </w:rPr>
        <w:t>为各风向下的平均风速，</w:t>
      </w:r>
      <w:r>
        <w:rPr>
          <w:rFonts w:ascii="Times New Roman" w:hAnsi="Times New Roman" w:eastAsia="宋体" w:cs="Times New Roman"/>
          <w:color w:val="000000"/>
          <w:sz w:val="24"/>
          <w:szCs w:val="24"/>
          <w:lang w:val="en-US" w:eastAsia="zh-CN" w:bidi="ar"/>
        </w:rPr>
        <w:t>i=1</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3</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16</w:t>
      </w:r>
      <w:r>
        <w:rPr>
          <w:rFonts w:hint="eastAsia" w:ascii="宋体" w:hAnsi="宋体" w:eastAsia="宋体" w:cs="宋体"/>
          <w:color w:val="000000"/>
          <w:sz w:val="24"/>
          <w:szCs w:val="24"/>
          <w:lang w:val="en-US" w:eastAsia="zh-CN" w:bidi="ar"/>
        </w:rPr>
        <w:t xml:space="preserve">。 </w:t>
      </w:r>
    </w:p>
    <w:p w14:paraId="5B1C26BA">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评价区 </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 xml:space="preserve">年污染系数统计见表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w:t>
      </w:r>
      <w:r>
        <w:rPr>
          <w:rFonts w:hint="eastAsia" w:ascii="Times New Roman" w:hAnsi="Times New Roman" w:eastAsia="宋体" w:cs="Times New Roman"/>
          <w:color w:val="000000"/>
          <w:sz w:val="24"/>
          <w:szCs w:val="24"/>
          <w:lang w:val="en-US" w:eastAsia="zh-CN" w:bidi="ar"/>
        </w:rPr>
        <w:t>6</w:t>
      </w:r>
      <w:r>
        <w:rPr>
          <w:rFonts w:hint="eastAsia" w:ascii="宋体" w:hAnsi="宋体" w:eastAsia="宋体" w:cs="宋体"/>
          <w:color w:val="000000"/>
          <w:sz w:val="24"/>
          <w:szCs w:val="24"/>
          <w:lang w:val="en-US" w:eastAsia="zh-CN" w:bidi="ar"/>
        </w:rPr>
        <w:t xml:space="preserve">，图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 xml:space="preserve">.2-5 </w:t>
      </w:r>
      <w:r>
        <w:rPr>
          <w:rFonts w:hint="eastAsia" w:ascii="宋体" w:hAnsi="宋体" w:eastAsia="宋体" w:cs="宋体"/>
          <w:color w:val="000000"/>
          <w:sz w:val="24"/>
          <w:szCs w:val="24"/>
          <w:lang w:val="en-US" w:eastAsia="zh-CN" w:bidi="ar"/>
        </w:rPr>
        <w:t>给出全年平均和季平均污染系数玫瑰图，污染系数玫瑰图以风吹来的方向给出。</w:t>
      </w:r>
    </w:p>
    <w:p w14:paraId="36665108">
      <w:pPr>
        <w:keepNext w:val="0"/>
        <w:keepLines w:val="0"/>
        <w:widowControl/>
        <w:suppressLineNumbers w:val="0"/>
        <w:jc w:val="center"/>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 xml:space="preserve">表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.2</w:t>
      </w:r>
      <w:r>
        <w:rPr>
          <w:rFonts w:hint="eastAsia" w:ascii="Times New Roman" w:hAnsi="Times New Roman" w:eastAsia="宋体" w:cs="Times New Roman"/>
          <w:b/>
          <w:color w:val="000000"/>
          <w:sz w:val="24"/>
          <w:szCs w:val="24"/>
          <w:lang w:val="en-US" w:eastAsia="zh-CN" w:bidi="ar"/>
        </w:rPr>
        <w:t xml:space="preserve">-6  </w:t>
      </w:r>
      <w:r>
        <w:rPr>
          <w:rFonts w:ascii="Times New Roman" w:hAnsi="Times New Roman" w:eastAsia="宋体" w:cs="Times New Roman"/>
          <w:b/>
          <w:color w:val="000000"/>
          <w:sz w:val="24"/>
          <w:szCs w:val="24"/>
          <w:lang w:val="en-US" w:eastAsia="zh-CN" w:bidi="ar"/>
        </w:rPr>
        <w:t xml:space="preserve">2017 </w:t>
      </w:r>
      <w:r>
        <w:rPr>
          <w:rFonts w:hint="eastAsia" w:ascii="宋体" w:hAnsi="宋体" w:eastAsia="宋体" w:cs="宋体"/>
          <w:b/>
          <w:color w:val="000000"/>
          <w:sz w:val="24"/>
          <w:szCs w:val="24"/>
          <w:lang w:val="en-US" w:eastAsia="zh-CN" w:bidi="ar"/>
        </w:rPr>
        <w:t>年污染系数表（</w:t>
      </w:r>
      <w:r>
        <w:rPr>
          <w:rFonts w:ascii="Times New Roman" w:hAnsi="Times New Roman" w:eastAsia="宋体" w:cs="Times New Roman"/>
          <w:b/>
          <w:color w:val="000000"/>
          <w:sz w:val="24"/>
          <w:szCs w:val="24"/>
          <w:lang w:val="en-US" w:eastAsia="zh-CN" w:bidi="ar"/>
        </w:rPr>
        <w:t>%</w:t>
      </w:r>
      <w:r>
        <w:rPr>
          <w:rFonts w:hint="eastAsia" w:ascii="宋体" w:hAnsi="宋体" w:eastAsia="宋体" w:cs="宋体"/>
          <w:b/>
          <w:color w:val="000000"/>
          <w:sz w:val="24"/>
          <w:szCs w:val="24"/>
          <w:lang w:val="en-US" w:eastAsia="zh-CN" w:bidi="ar"/>
        </w:rPr>
        <w:t>）</w:t>
      </w:r>
    </w:p>
    <w:tbl>
      <w:tblPr>
        <w:tblStyle w:val="258"/>
        <w:tblW w:w="105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2"/>
        <w:gridCol w:w="576"/>
        <w:gridCol w:w="576"/>
        <w:gridCol w:w="576"/>
        <w:gridCol w:w="576"/>
        <w:gridCol w:w="576"/>
        <w:gridCol w:w="576"/>
        <w:gridCol w:w="576"/>
        <w:gridCol w:w="576"/>
        <w:gridCol w:w="576"/>
        <w:gridCol w:w="666"/>
        <w:gridCol w:w="666"/>
        <w:gridCol w:w="576"/>
        <w:gridCol w:w="576"/>
        <w:gridCol w:w="576"/>
        <w:gridCol w:w="576"/>
        <w:gridCol w:w="576"/>
        <w:gridCol w:w="576"/>
      </w:tblGrid>
      <w:tr w14:paraId="13042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582" w:type="dxa"/>
            <w:noWrap w:val="0"/>
            <w:vAlign w:val="top"/>
          </w:tcPr>
          <w:p w14:paraId="40A87099">
            <w:pPr>
              <w:pStyle w:val="2"/>
              <w:widowControl w:val="0"/>
              <w:ind w:left="0" w:firstLine="0"/>
              <w:jc w:val="both"/>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月</w:t>
            </w:r>
          </w:p>
          <w:p w14:paraId="4C4049EB">
            <w:pPr>
              <w:pStyle w:val="2"/>
              <w:widowControl w:val="0"/>
              <w:ind w:left="0" w:firstLine="0"/>
              <w:jc w:val="both"/>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风频</w:t>
            </w:r>
          </w:p>
        </w:tc>
        <w:tc>
          <w:tcPr>
            <w:tcW w:w="576" w:type="dxa"/>
            <w:noWrap w:val="0"/>
            <w:vAlign w:val="center"/>
          </w:tcPr>
          <w:p w14:paraId="48C1479F">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N</w:t>
            </w:r>
          </w:p>
        </w:tc>
        <w:tc>
          <w:tcPr>
            <w:tcW w:w="576" w:type="dxa"/>
            <w:noWrap w:val="0"/>
            <w:vAlign w:val="center"/>
          </w:tcPr>
          <w:p w14:paraId="4E0963C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NNE</w:t>
            </w:r>
          </w:p>
        </w:tc>
        <w:tc>
          <w:tcPr>
            <w:tcW w:w="576" w:type="dxa"/>
            <w:noWrap w:val="0"/>
            <w:vAlign w:val="center"/>
          </w:tcPr>
          <w:p w14:paraId="4AB26EF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NE</w:t>
            </w:r>
          </w:p>
        </w:tc>
        <w:tc>
          <w:tcPr>
            <w:tcW w:w="576" w:type="dxa"/>
            <w:noWrap w:val="0"/>
            <w:vAlign w:val="center"/>
          </w:tcPr>
          <w:p w14:paraId="706550D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ENE</w:t>
            </w:r>
          </w:p>
        </w:tc>
        <w:tc>
          <w:tcPr>
            <w:tcW w:w="576" w:type="dxa"/>
            <w:noWrap w:val="0"/>
            <w:vAlign w:val="center"/>
          </w:tcPr>
          <w:p w14:paraId="5686D34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E</w:t>
            </w:r>
          </w:p>
        </w:tc>
        <w:tc>
          <w:tcPr>
            <w:tcW w:w="576" w:type="dxa"/>
            <w:noWrap w:val="0"/>
            <w:vAlign w:val="center"/>
          </w:tcPr>
          <w:p w14:paraId="15154E4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ESE</w:t>
            </w:r>
          </w:p>
        </w:tc>
        <w:tc>
          <w:tcPr>
            <w:tcW w:w="576" w:type="dxa"/>
            <w:noWrap w:val="0"/>
            <w:vAlign w:val="center"/>
          </w:tcPr>
          <w:p w14:paraId="3C65488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SE</w:t>
            </w:r>
          </w:p>
        </w:tc>
        <w:tc>
          <w:tcPr>
            <w:tcW w:w="576" w:type="dxa"/>
            <w:noWrap w:val="0"/>
            <w:vAlign w:val="center"/>
          </w:tcPr>
          <w:p w14:paraId="62537E4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SSE</w:t>
            </w:r>
          </w:p>
        </w:tc>
        <w:tc>
          <w:tcPr>
            <w:tcW w:w="576" w:type="dxa"/>
            <w:noWrap w:val="0"/>
            <w:vAlign w:val="center"/>
          </w:tcPr>
          <w:p w14:paraId="1E00BC0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S</w:t>
            </w:r>
          </w:p>
        </w:tc>
        <w:tc>
          <w:tcPr>
            <w:tcW w:w="666" w:type="dxa"/>
            <w:noWrap w:val="0"/>
            <w:vAlign w:val="center"/>
          </w:tcPr>
          <w:p w14:paraId="49C99F5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SSW</w:t>
            </w:r>
          </w:p>
        </w:tc>
        <w:tc>
          <w:tcPr>
            <w:tcW w:w="666" w:type="dxa"/>
            <w:noWrap w:val="0"/>
            <w:vAlign w:val="center"/>
          </w:tcPr>
          <w:p w14:paraId="293ADD4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SW</w:t>
            </w:r>
          </w:p>
        </w:tc>
        <w:tc>
          <w:tcPr>
            <w:tcW w:w="576" w:type="dxa"/>
            <w:noWrap w:val="0"/>
            <w:vAlign w:val="center"/>
          </w:tcPr>
          <w:p w14:paraId="0EF12BC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WSW</w:t>
            </w:r>
          </w:p>
        </w:tc>
        <w:tc>
          <w:tcPr>
            <w:tcW w:w="576" w:type="dxa"/>
            <w:noWrap w:val="0"/>
            <w:vAlign w:val="center"/>
          </w:tcPr>
          <w:p w14:paraId="2ED178E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W</w:t>
            </w:r>
          </w:p>
        </w:tc>
        <w:tc>
          <w:tcPr>
            <w:tcW w:w="576" w:type="dxa"/>
            <w:noWrap w:val="0"/>
            <w:vAlign w:val="center"/>
          </w:tcPr>
          <w:p w14:paraId="4314BA2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WNW</w:t>
            </w:r>
          </w:p>
        </w:tc>
        <w:tc>
          <w:tcPr>
            <w:tcW w:w="576" w:type="dxa"/>
            <w:noWrap w:val="0"/>
            <w:vAlign w:val="center"/>
          </w:tcPr>
          <w:p w14:paraId="119C236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NW</w:t>
            </w:r>
          </w:p>
        </w:tc>
        <w:tc>
          <w:tcPr>
            <w:tcW w:w="576" w:type="dxa"/>
            <w:noWrap w:val="0"/>
            <w:vAlign w:val="center"/>
          </w:tcPr>
          <w:p w14:paraId="5FAD713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NNW</w:t>
            </w:r>
          </w:p>
        </w:tc>
        <w:tc>
          <w:tcPr>
            <w:tcW w:w="576" w:type="dxa"/>
            <w:noWrap w:val="0"/>
            <w:vAlign w:val="center"/>
          </w:tcPr>
          <w:p w14:paraId="415DF0C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平均</w:t>
            </w:r>
          </w:p>
        </w:tc>
      </w:tr>
      <w:tr w14:paraId="07CD7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1EE3DC0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w:t>
            </w:r>
          </w:p>
        </w:tc>
        <w:tc>
          <w:tcPr>
            <w:tcW w:w="576" w:type="dxa"/>
            <w:noWrap w:val="0"/>
            <w:vAlign w:val="top"/>
          </w:tcPr>
          <w:p w14:paraId="5ED25FC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1.11</w:t>
            </w:r>
          </w:p>
        </w:tc>
        <w:tc>
          <w:tcPr>
            <w:tcW w:w="576" w:type="dxa"/>
            <w:noWrap w:val="0"/>
            <w:vAlign w:val="top"/>
          </w:tcPr>
          <w:p w14:paraId="2146459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1.67</w:t>
            </w:r>
          </w:p>
        </w:tc>
        <w:tc>
          <w:tcPr>
            <w:tcW w:w="576" w:type="dxa"/>
            <w:noWrap w:val="0"/>
            <w:vAlign w:val="top"/>
          </w:tcPr>
          <w:p w14:paraId="7549581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1.86</w:t>
            </w:r>
          </w:p>
        </w:tc>
        <w:tc>
          <w:tcPr>
            <w:tcW w:w="576" w:type="dxa"/>
            <w:noWrap w:val="0"/>
            <w:vAlign w:val="top"/>
          </w:tcPr>
          <w:p w14:paraId="0A5CCA7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1.75</w:t>
            </w:r>
          </w:p>
        </w:tc>
        <w:tc>
          <w:tcPr>
            <w:tcW w:w="576" w:type="dxa"/>
            <w:noWrap w:val="0"/>
            <w:vAlign w:val="top"/>
          </w:tcPr>
          <w:p w14:paraId="11D639E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1.97</w:t>
            </w:r>
          </w:p>
        </w:tc>
        <w:tc>
          <w:tcPr>
            <w:tcW w:w="576" w:type="dxa"/>
            <w:noWrap w:val="0"/>
            <w:vAlign w:val="top"/>
          </w:tcPr>
          <w:p w14:paraId="700CC88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0.82</w:t>
            </w:r>
          </w:p>
        </w:tc>
        <w:tc>
          <w:tcPr>
            <w:tcW w:w="576" w:type="dxa"/>
            <w:noWrap w:val="0"/>
            <w:vAlign w:val="top"/>
          </w:tcPr>
          <w:p w14:paraId="1AF9485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1.04</w:t>
            </w:r>
          </w:p>
        </w:tc>
        <w:tc>
          <w:tcPr>
            <w:tcW w:w="576" w:type="dxa"/>
            <w:noWrap w:val="0"/>
            <w:vAlign w:val="top"/>
          </w:tcPr>
          <w:p w14:paraId="2407676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1.22</w:t>
            </w:r>
          </w:p>
        </w:tc>
        <w:tc>
          <w:tcPr>
            <w:tcW w:w="576" w:type="dxa"/>
            <w:noWrap w:val="0"/>
            <w:vAlign w:val="top"/>
          </w:tcPr>
          <w:p w14:paraId="548234A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6.66</w:t>
            </w:r>
          </w:p>
        </w:tc>
        <w:tc>
          <w:tcPr>
            <w:tcW w:w="666" w:type="dxa"/>
            <w:noWrap w:val="0"/>
            <w:vAlign w:val="top"/>
          </w:tcPr>
          <w:p w14:paraId="5C83769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13.44</w:t>
            </w:r>
          </w:p>
        </w:tc>
        <w:tc>
          <w:tcPr>
            <w:tcW w:w="666" w:type="dxa"/>
            <w:noWrap w:val="0"/>
            <w:vAlign w:val="top"/>
          </w:tcPr>
          <w:p w14:paraId="64F9FA3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14.58</w:t>
            </w:r>
          </w:p>
        </w:tc>
        <w:tc>
          <w:tcPr>
            <w:tcW w:w="576" w:type="dxa"/>
            <w:noWrap w:val="0"/>
            <w:vAlign w:val="top"/>
          </w:tcPr>
          <w:p w14:paraId="63AFCEB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9.43</w:t>
            </w:r>
          </w:p>
        </w:tc>
        <w:tc>
          <w:tcPr>
            <w:tcW w:w="576" w:type="dxa"/>
            <w:noWrap w:val="0"/>
            <w:vAlign w:val="top"/>
          </w:tcPr>
          <w:p w14:paraId="0B22FF7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6.02</w:t>
            </w:r>
          </w:p>
        </w:tc>
        <w:tc>
          <w:tcPr>
            <w:tcW w:w="576" w:type="dxa"/>
            <w:noWrap w:val="0"/>
            <w:vAlign w:val="top"/>
          </w:tcPr>
          <w:p w14:paraId="03F2396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3.79</w:t>
            </w:r>
          </w:p>
        </w:tc>
        <w:tc>
          <w:tcPr>
            <w:tcW w:w="576" w:type="dxa"/>
            <w:noWrap w:val="0"/>
            <w:vAlign w:val="top"/>
          </w:tcPr>
          <w:p w14:paraId="7898AC2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4.41</w:t>
            </w:r>
          </w:p>
        </w:tc>
        <w:tc>
          <w:tcPr>
            <w:tcW w:w="576" w:type="dxa"/>
            <w:noWrap w:val="0"/>
            <w:vAlign w:val="top"/>
          </w:tcPr>
          <w:p w14:paraId="212B3D5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0.81</w:t>
            </w:r>
          </w:p>
        </w:tc>
        <w:tc>
          <w:tcPr>
            <w:tcW w:w="576" w:type="dxa"/>
            <w:noWrap w:val="0"/>
            <w:vAlign w:val="top"/>
          </w:tcPr>
          <w:p w14:paraId="34B2B1F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4.41</w:t>
            </w:r>
          </w:p>
        </w:tc>
      </w:tr>
      <w:tr w14:paraId="5C71A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731BE02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w:t>
            </w:r>
          </w:p>
        </w:tc>
        <w:tc>
          <w:tcPr>
            <w:tcW w:w="576" w:type="dxa"/>
            <w:noWrap w:val="0"/>
            <w:vAlign w:val="top"/>
          </w:tcPr>
          <w:p w14:paraId="5C0D7E8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2.88</w:t>
            </w:r>
          </w:p>
        </w:tc>
        <w:tc>
          <w:tcPr>
            <w:tcW w:w="576" w:type="dxa"/>
            <w:noWrap w:val="0"/>
            <w:vAlign w:val="top"/>
          </w:tcPr>
          <w:p w14:paraId="7A24304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2.41</w:t>
            </w:r>
          </w:p>
        </w:tc>
        <w:tc>
          <w:tcPr>
            <w:tcW w:w="576" w:type="dxa"/>
            <w:noWrap w:val="0"/>
            <w:vAlign w:val="top"/>
          </w:tcPr>
          <w:p w14:paraId="4A8C129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1.91</w:t>
            </w:r>
          </w:p>
        </w:tc>
        <w:tc>
          <w:tcPr>
            <w:tcW w:w="576" w:type="dxa"/>
            <w:noWrap w:val="0"/>
            <w:vAlign w:val="top"/>
          </w:tcPr>
          <w:p w14:paraId="5116FC3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1.93</w:t>
            </w:r>
          </w:p>
        </w:tc>
        <w:tc>
          <w:tcPr>
            <w:tcW w:w="576" w:type="dxa"/>
            <w:noWrap w:val="0"/>
            <w:vAlign w:val="top"/>
          </w:tcPr>
          <w:p w14:paraId="1A18687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1.32</w:t>
            </w:r>
          </w:p>
        </w:tc>
        <w:tc>
          <w:tcPr>
            <w:tcW w:w="576" w:type="dxa"/>
            <w:noWrap w:val="0"/>
            <w:vAlign w:val="top"/>
          </w:tcPr>
          <w:p w14:paraId="5B1CFCD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1.00</w:t>
            </w:r>
          </w:p>
        </w:tc>
        <w:tc>
          <w:tcPr>
            <w:tcW w:w="576" w:type="dxa"/>
            <w:noWrap w:val="0"/>
            <w:vAlign w:val="top"/>
          </w:tcPr>
          <w:p w14:paraId="5A49BCA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1.11</w:t>
            </w:r>
          </w:p>
        </w:tc>
        <w:tc>
          <w:tcPr>
            <w:tcW w:w="576" w:type="dxa"/>
            <w:noWrap w:val="0"/>
            <w:vAlign w:val="top"/>
          </w:tcPr>
          <w:p w14:paraId="1DBC26B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1.51</w:t>
            </w:r>
          </w:p>
        </w:tc>
        <w:tc>
          <w:tcPr>
            <w:tcW w:w="576" w:type="dxa"/>
            <w:noWrap w:val="0"/>
            <w:vAlign w:val="top"/>
          </w:tcPr>
          <w:p w14:paraId="2CCC120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6.12</w:t>
            </w:r>
          </w:p>
        </w:tc>
        <w:tc>
          <w:tcPr>
            <w:tcW w:w="666" w:type="dxa"/>
            <w:noWrap w:val="0"/>
            <w:vAlign w:val="top"/>
          </w:tcPr>
          <w:p w14:paraId="6D05CFC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12.28</w:t>
            </w:r>
          </w:p>
        </w:tc>
        <w:tc>
          <w:tcPr>
            <w:tcW w:w="666" w:type="dxa"/>
            <w:noWrap w:val="0"/>
            <w:vAlign w:val="top"/>
          </w:tcPr>
          <w:p w14:paraId="3C22A8A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13.76</w:t>
            </w:r>
          </w:p>
        </w:tc>
        <w:tc>
          <w:tcPr>
            <w:tcW w:w="576" w:type="dxa"/>
            <w:noWrap w:val="0"/>
            <w:vAlign w:val="top"/>
          </w:tcPr>
          <w:p w14:paraId="1BA9782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7.96</w:t>
            </w:r>
          </w:p>
        </w:tc>
        <w:tc>
          <w:tcPr>
            <w:tcW w:w="576" w:type="dxa"/>
            <w:noWrap w:val="0"/>
            <w:vAlign w:val="top"/>
          </w:tcPr>
          <w:p w14:paraId="3994E67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5.58</w:t>
            </w:r>
          </w:p>
        </w:tc>
        <w:tc>
          <w:tcPr>
            <w:tcW w:w="576" w:type="dxa"/>
            <w:noWrap w:val="0"/>
            <w:vAlign w:val="top"/>
          </w:tcPr>
          <w:p w14:paraId="07DFAF5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2.37</w:t>
            </w:r>
          </w:p>
        </w:tc>
        <w:tc>
          <w:tcPr>
            <w:tcW w:w="576" w:type="dxa"/>
            <w:noWrap w:val="0"/>
            <w:vAlign w:val="top"/>
          </w:tcPr>
          <w:p w14:paraId="6812387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2.01</w:t>
            </w:r>
          </w:p>
        </w:tc>
        <w:tc>
          <w:tcPr>
            <w:tcW w:w="576" w:type="dxa"/>
            <w:noWrap w:val="0"/>
            <w:vAlign w:val="top"/>
          </w:tcPr>
          <w:p w14:paraId="62CB136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2.82</w:t>
            </w:r>
          </w:p>
        </w:tc>
        <w:tc>
          <w:tcPr>
            <w:tcW w:w="576" w:type="dxa"/>
            <w:noWrap w:val="0"/>
            <w:vAlign w:val="top"/>
          </w:tcPr>
          <w:p w14:paraId="5C1E652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4.19</w:t>
            </w:r>
          </w:p>
        </w:tc>
      </w:tr>
      <w:tr w14:paraId="53069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19902CE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w:t>
            </w:r>
          </w:p>
        </w:tc>
        <w:tc>
          <w:tcPr>
            <w:tcW w:w="576" w:type="dxa"/>
            <w:noWrap w:val="0"/>
            <w:vAlign w:val="top"/>
          </w:tcPr>
          <w:p w14:paraId="7C486C0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3.47</w:t>
            </w:r>
          </w:p>
        </w:tc>
        <w:tc>
          <w:tcPr>
            <w:tcW w:w="576" w:type="dxa"/>
            <w:noWrap w:val="0"/>
            <w:vAlign w:val="top"/>
          </w:tcPr>
          <w:p w14:paraId="1A3D531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3.87</w:t>
            </w:r>
          </w:p>
        </w:tc>
        <w:tc>
          <w:tcPr>
            <w:tcW w:w="576" w:type="dxa"/>
            <w:noWrap w:val="0"/>
            <w:vAlign w:val="top"/>
          </w:tcPr>
          <w:p w14:paraId="3724B76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2.06</w:t>
            </w:r>
          </w:p>
        </w:tc>
        <w:tc>
          <w:tcPr>
            <w:tcW w:w="576" w:type="dxa"/>
            <w:noWrap w:val="0"/>
            <w:vAlign w:val="top"/>
          </w:tcPr>
          <w:p w14:paraId="0B4016C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2.34</w:t>
            </w:r>
          </w:p>
        </w:tc>
        <w:tc>
          <w:tcPr>
            <w:tcW w:w="576" w:type="dxa"/>
            <w:noWrap w:val="0"/>
            <w:vAlign w:val="top"/>
          </w:tcPr>
          <w:p w14:paraId="29E485B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2.17</w:t>
            </w:r>
          </w:p>
        </w:tc>
        <w:tc>
          <w:tcPr>
            <w:tcW w:w="576" w:type="dxa"/>
            <w:noWrap w:val="0"/>
            <w:vAlign w:val="top"/>
          </w:tcPr>
          <w:p w14:paraId="20A1377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1.15</w:t>
            </w:r>
          </w:p>
        </w:tc>
        <w:tc>
          <w:tcPr>
            <w:tcW w:w="576" w:type="dxa"/>
            <w:noWrap w:val="0"/>
            <w:vAlign w:val="top"/>
          </w:tcPr>
          <w:p w14:paraId="31CD715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1.16</w:t>
            </w:r>
          </w:p>
        </w:tc>
        <w:tc>
          <w:tcPr>
            <w:tcW w:w="576" w:type="dxa"/>
            <w:noWrap w:val="0"/>
            <w:vAlign w:val="top"/>
          </w:tcPr>
          <w:p w14:paraId="333B8AC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1.39</w:t>
            </w:r>
          </w:p>
        </w:tc>
        <w:tc>
          <w:tcPr>
            <w:tcW w:w="576" w:type="dxa"/>
            <w:noWrap w:val="0"/>
            <w:vAlign w:val="top"/>
          </w:tcPr>
          <w:p w14:paraId="7842997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6.33</w:t>
            </w:r>
          </w:p>
        </w:tc>
        <w:tc>
          <w:tcPr>
            <w:tcW w:w="666" w:type="dxa"/>
            <w:noWrap w:val="0"/>
            <w:vAlign w:val="top"/>
          </w:tcPr>
          <w:p w14:paraId="3AC7F85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11.12</w:t>
            </w:r>
          </w:p>
        </w:tc>
        <w:tc>
          <w:tcPr>
            <w:tcW w:w="666" w:type="dxa"/>
            <w:noWrap w:val="0"/>
            <w:vAlign w:val="top"/>
          </w:tcPr>
          <w:p w14:paraId="188020C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8.53</w:t>
            </w:r>
          </w:p>
        </w:tc>
        <w:tc>
          <w:tcPr>
            <w:tcW w:w="576" w:type="dxa"/>
            <w:noWrap w:val="0"/>
            <w:vAlign w:val="top"/>
          </w:tcPr>
          <w:p w14:paraId="4079708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6.42</w:t>
            </w:r>
          </w:p>
        </w:tc>
        <w:tc>
          <w:tcPr>
            <w:tcW w:w="576" w:type="dxa"/>
            <w:noWrap w:val="0"/>
            <w:vAlign w:val="top"/>
          </w:tcPr>
          <w:p w14:paraId="48A8AF3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4.37</w:t>
            </w:r>
          </w:p>
        </w:tc>
        <w:tc>
          <w:tcPr>
            <w:tcW w:w="576" w:type="dxa"/>
            <w:noWrap w:val="0"/>
            <w:vAlign w:val="top"/>
          </w:tcPr>
          <w:p w14:paraId="69761A5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3.17</w:t>
            </w:r>
          </w:p>
        </w:tc>
        <w:tc>
          <w:tcPr>
            <w:tcW w:w="576" w:type="dxa"/>
            <w:noWrap w:val="0"/>
            <w:vAlign w:val="top"/>
          </w:tcPr>
          <w:p w14:paraId="46FF4FB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2.35</w:t>
            </w:r>
          </w:p>
        </w:tc>
        <w:tc>
          <w:tcPr>
            <w:tcW w:w="576" w:type="dxa"/>
            <w:noWrap w:val="0"/>
            <w:vAlign w:val="top"/>
          </w:tcPr>
          <w:p w14:paraId="12691EF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1.90</w:t>
            </w:r>
          </w:p>
        </w:tc>
        <w:tc>
          <w:tcPr>
            <w:tcW w:w="576" w:type="dxa"/>
            <w:noWrap w:val="0"/>
            <w:vAlign w:val="top"/>
          </w:tcPr>
          <w:p w14:paraId="51E0FE1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3.86</w:t>
            </w:r>
          </w:p>
        </w:tc>
      </w:tr>
      <w:tr w14:paraId="1202C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6FB4F76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w:t>
            </w:r>
          </w:p>
        </w:tc>
        <w:tc>
          <w:tcPr>
            <w:tcW w:w="576" w:type="dxa"/>
            <w:noWrap w:val="0"/>
            <w:vAlign w:val="top"/>
          </w:tcPr>
          <w:p w14:paraId="73594C4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4.15</w:t>
            </w:r>
          </w:p>
        </w:tc>
        <w:tc>
          <w:tcPr>
            <w:tcW w:w="576" w:type="dxa"/>
            <w:noWrap w:val="0"/>
            <w:vAlign w:val="top"/>
          </w:tcPr>
          <w:p w14:paraId="677826D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3.35</w:t>
            </w:r>
          </w:p>
        </w:tc>
        <w:tc>
          <w:tcPr>
            <w:tcW w:w="576" w:type="dxa"/>
            <w:noWrap w:val="0"/>
            <w:vAlign w:val="top"/>
          </w:tcPr>
          <w:p w14:paraId="26FBCA7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3.23</w:t>
            </w:r>
          </w:p>
        </w:tc>
        <w:tc>
          <w:tcPr>
            <w:tcW w:w="576" w:type="dxa"/>
            <w:noWrap w:val="0"/>
            <w:vAlign w:val="top"/>
          </w:tcPr>
          <w:p w14:paraId="229EDF8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1.31</w:t>
            </w:r>
          </w:p>
        </w:tc>
        <w:tc>
          <w:tcPr>
            <w:tcW w:w="576" w:type="dxa"/>
            <w:noWrap w:val="0"/>
            <w:vAlign w:val="top"/>
          </w:tcPr>
          <w:p w14:paraId="7BD2F45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1.24</w:t>
            </w:r>
          </w:p>
        </w:tc>
        <w:tc>
          <w:tcPr>
            <w:tcW w:w="576" w:type="dxa"/>
            <w:noWrap w:val="0"/>
            <w:vAlign w:val="top"/>
          </w:tcPr>
          <w:p w14:paraId="573F54D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1.29</w:t>
            </w:r>
          </w:p>
        </w:tc>
        <w:tc>
          <w:tcPr>
            <w:tcW w:w="576" w:type="dxa"/>
            <w:noWrap w:val="0"/>
            <w:vAlign w:val="top"/>
          </w:tcPr>
          <w:p w14:paraId="2D5FB85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0.82</w:t>
            </w:r>
          </w:p>
        </w:tc>
        <w:tc>
          <w:tcPr>
            <w:tcW w:w="576" w:type="dxa"/>
            <w:noWrap w:val="0"/>
            <w:vAlign w:val="top"/>
          </w:tcPr>
          <w:p w14:paraId="6ECC2D0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1.13</w:t>
            </w:r>
          </w:p>
        </w:tc>
        <w:tc>
          <w:tcPr>
            <w:tcW w:w="576" w:type="dxa"/>
            <w:noWrap w:val="0"/>
            <w:vAlign w:val="top"/>
          </w:tcPr>
          <w:p w14:paraId="0629E7E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5.37</w:t>
            </w:r>
          </w:p>
        </w:tc>
        <w:tc>
          <w:tcPr>
            <w:tcW w:w="666" w:type="dxa"/>
            <w:noWrap w:val="0"/>
            <w:vAlign w:val="top"/>
          </w:tcPr>
          <w:p w14:paraId="2C3B487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7.58</w:t>
            </w:r>
          </w:p>
        </w:tc>
        <w:tc>
          <w:tcPr>
            <w:tcW w:w="666" w:type="dxa"/>
            <w:noWrap w:val="0"/>
            <w:vAlign w:val="top"/>
          </w:tcPr>
          <w:p w14:paraId="27C3CC7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8.12</w:t>
            </w:r>
          </w:p>
        </w:tc>
        <w:tc>
          <w:tcPr>
            <w:tcW w:w="576" w:type="dxa"/>
            <w:noWrap w:val="0"/>
            <w:vAlign w:val="top"/>
          </w:tcPr>
          <w:p w14:paraId="52802B4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4.95</w:t>
            </w:r>
          </w:p>
        </w:tc>
        <w:tc>
          <w:tcPr>
            <w:tcW w:w="576" w:type="dxa"/>
            <w:noWrap w:val="0"/>
            <w:vAlign w:val="top"/>
          </w:tcPr>
          <w:p w14:paraId="4F56304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3.59</w:t>
            </w:r>
          </w:p>
        </w:tc>
        <w:tc>
          <w:tcPr>
            <w:tcW w:w="576" w:type="dxa"/>
            <w:noWrap w:val="0"/>
            <w:vAlign w:val="top"/>
          </w:tcPr>
          <w:p w14:paraId="1B2EA86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2.75</w:t>
            </w:r>
          </w:p>
        </w:tc>
        <w:tc>
          <w:tcPr>
            <w:tcW w:w="576" w:type="dxa"/>
            <w:noWrap w:val="0"/>
            <w:vAlign w:val="top"/>
          </w:tcPr>
          <w:p w14:paraId="1F6E345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5.59</w:t>
            </w:r>
          </w:p>
        </w:tc>
        <w:tc>
          <w:tcPr>
            <w:tcW w:w="576" w:type="dxa"/>
            <w:noWrap w:val="0"/>
            <w:vAlign w:val="top"/>
          </w:tcPr>
          <w:p w14:paraId="5EE6FA9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2.75</w:t>
            </w:r>
          </w:p>
        </w:tc>
        <w:tc>
          <w:tcPr>
            <w:tcW w:w="576" w:type="dxa"/>
            <w:noWrap w:val="0"/>
            <w:vAlign w:val="top"/>
          </w:tcPr>
          <w:p w14:paraId="7ACD3DA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3.58</w:t>
            </w:r>
          </w:p>
        </w:tc>
      </w:tr>
      <w:tr w14:paraId="41784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5392202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w:t>
            </w:r>
          </w:p>
        </w:tc>
        <w:tc>
          <w:tcPr>
            <w:tcW w:w="576" w:type="dxa"/>
            <w:noWrap w:val="0"/>
            <w:vAlign w:val="top"/>
          </w:tcPr>
          <w:p w14:paraId="76966E5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3.00</w:t>
            </w:r>
          </w:p>
        </w:tc>
        <w:tc>
          <w:tcPr>
            <w:tcW w:w="576" w:type="dxa"/>
            <w:noWrap w:val="0"/>
            <w:vAlign w:val="top"/>
          </w:tcPr>
          <w:p w14:paraId="4197D68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3.36</w:t>
            </w:r>
          </w:p>
        </w:tc>
        <w:tc>
          <w:tcPr>
            <w:tcW w:w="576" w:type="dxa"/>
            <w:noWrap w:val="0"/>
            <w:vAlign w:val="top"/>
          </w:tcPr>
          <w:p w14:paraId="68FC308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1.88</w:t>
            </w:r>
          </w:p>
        </w:tc>
        <w:tc>
          <w:tcPr>
            <w:tcW w:w="576" w:type="dxa"/>
            <w:noWrap w:val="0"/>
            <w:vAlign w:val="top"/>
          </w:tcPr>
          <w:p w14:paraId="2FB82A0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1.53</w:t>
            </w:r>
          </w:p>
        </w:tc>
        <w:tc>
          <w:tcPr>
            <w:tcW w:w="576" w:type="dxa"/>
            <w:noWrap w:val="0"/>
            <w:vAlign w:val="top"/>
          </w:tcPr>
          <w:p w14:paraId="2762E8D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1.81</w:t>
            </w:r>
          </w:p>
        </w:tc>
        <w:tc>
          <w:tcPr>
            <w:tcW w:w="576" w:type="dxa"/>
            <w:noWrap w:val="0"/>
            <w:vAlign w:val="top"/>
          </w:tcPr>
          <w:p w14:paraId="612049B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1.00</w:t>
            </w:r>
          </w:p>
        </w:tc>
        <w:tc>
          <w:tcPr>
            <w:tcW w:w="576" w:type="dxa"/>
            <w:noWrap w:val="0"/>
            <w:vAlign w:val="top"/>
          </w:tcPr>
          <w:p w14:paraId="762F675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0.71</w:t>
            </w:r>
          </w:p>
        </w:tc>
        <w:tc>
          <w:tcPr>
            <w:tcW w:w="576" w:type="dxa"/>
            <w:noWrap w:val="0"/>
            <w:vAlign w:val="top"/>
          </w:tcPr>
          <w:p w14:paraId="476535A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0.59</w:t>
            </w:r>
          </w:p>
        </w:tc>
        <w:tc>
          <w:tcPr>
            <w:tcW w:w="576" w:type="dxa"/>
            <w:noWrap w:val="0"/>
            <w:vAlign w:val="top"/>
          </w:tcPr>
          <w:p w14:paraId="2EC3E4A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5.75</w:t>
            </w:r>
          </w:p>
        </w:tc>
        <w:tc>
          <w:tcPr>
            <w:tcW w:w="666" w:type="dxa"/>
            <w:noWrap w:val="0"/>
            <w:vAlign w:val="top"/>
          </w:tcPr>
          <w:p w14:paraId="1FD7EB2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9.17</w:t>
            </w:r>
          </w:p>
        </w:tc>
        <w:tc>
          <w:tcPr>
            <w:tcW w:w="666" w:type="dxa"/>
            <w:noWrap w:val="0"/>
            <w:vAlign w:val="top"/>
          </w:tcPr>
          <w:p w14:paraId="66339C6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9.01</w:t>
            </w:r>
          </w:p>
        </w:tc>
        <w:tc>
          <w:tcPr>
            <w:tcW w:w="576" w:type="dxa"/>
            <w:noWrap w:val="0"/>
            <w:vAlign w:val="top"/>
          </w:tcPr>
          <w:p w14:paraId="1F162CE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7.36</w:t>
            </w:r>
          </w:p>
        </w:tc>
        <w:tc>
          <w:tcPr>
            <w:tcW w:w="576" w:type="dxa"/>
            <w:noWrap w:val="0"/>
            <w:vAlign w:val="top"/>
          </w:tcPr>
          <w:p w14:paraId="1F1C2A2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5.56</w:t>
            </w:r>
          </w:p>
        </w:tc>
        <w:tc>
          <w:tcPr>
            <w:tcW w:w="576" w:type="dxa"/>
            <w:noWrap w:val="0"/>
            <w:vAlign w:val="top"/>
          </w:tcPr>
          <w:p w14:paraId="5A255E0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1.77</w:t>
            </w:r>
          </w:p>
        </w:tc>
        <w:tc>
          <w:tcPr>
            <w:tcW w:w="576" w:type="dxa"/>
            <w:noWrap w:val="0"/>
            <w:vAlign w:val="top"/>
          </w:tcPr>
          <w:p w14:paraId="722F876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2.03</w:t>
            </w:r>
          </w:p>
        </w:tc>
        <w:tc>
          <w:tcPr>
            <w:tcW w:w="576" w:type="dxa"/>
            <w:noWrap w:val="0"/>
            <w:vAlign w:val="top"/>
          </w:tcPr>
          <w:p w14:paraId="2CEFC85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2.86</w:t>
            </w:r>
          </w:p>
        </w:tc>
        <w:tc>
          <w:tcPr>
            <w:tcW w:w="576" w:type="dxa"/>
            <w:noWrap w:val="0"/>
            <w:vAlign w:val="top"/>
          </w:tcPr>
          <w:p w14:paraId="2F66B48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3.59</w:t>
            </w:r>
          </w:p>
        </w:tc>
      </w:tr>
      <w:tr w14:paraId="1E575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5F9DEE2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w:t>
            </w:r>
          </w:p>
        </w:tc>
        <w:tc>
          <w:tcPr>
            <w:tcW w:w="576" w:type="dxa"/>
            <w:noWrap w:val="0"/>
            <w:vAlign w:val="top"/>
          </w:tcPr>
          <w:p w14:paraId="6FA1D31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3.83</w:t>
            </w:r>
          </w:p>
        </w:tc>
        <w:tc>
          <w:tcPr>
            <w:tcW w:w="576" w:type="dxa"/>
            <w:noWrap w:val="0"/>
            <w:vAlign w:val="top"/>
          </w:tcPr>
          <w:p w14:paraId="0416A06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3.14</w:t>
            </w:r>
          </w:p>
        </w:tc>
        <w:tc>
          <w:tcPr>
            <w:tcW w:w="576" w:type="dxa"/>
            <w:noWrap w:val="0"/>
            <w:vAlign w:val="top"/>
          </w:tcPr>
          <w:p w14:paraId="00DF208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2.52</w:t>
            </w:r>
          </w:p>
        </w:tc>
        <w:tc>
          <w:tcPr>
            <w:tcW w:w="576" w:type="dxa"/>
            <w:noWrap w:val="0"/>
            <w:vAlign w:val="top"/>
          </w:tcPr>
          <w:p w14:paraId="144B539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3.09</w:t>
            </w:r>
          </w:p>
        </w:tc>
        <w:tc>
          <w:tcPr>
            <w:tcW w:w="576" w:type="dxa"/>
            <w:noWrap w:val="0"/>
            <w:vAlign w:val="top"/>
          </w:tcPr>
          <w:p w14:paraId="71F55AC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3.60</w:t>
            </w:r>
          </w:p>
        </w:tc>
        <w:tc>
          <w:tcPr>
            <w:tcW w:w="576" w:type="dxa"/>
            <w:noWrap w:val="0"/>
            <w:vAlign w:val="top"/>
          </w:tcPr>
          <w:p w14:paraId="2CFBAF8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1.61</w:t>
            </w:r>
          </w:p>
        </w:tc>
        <w:tc>
          <w:tcPr>
            <w:tcW w:w="576" w:type="dxa"/>
            <w:noWrap w:val="0"/>
            <w:vAlign w:val="top"/>
          </w:tcPr>
          <w:p w14:paraId="131AFC7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0.53</w:t>
            </w:r>
          </w:p>
        </w:tc>
        <w:tc>
          <w:tcPr>
            <w:tcW w:w="576" w:type="dxa"/>
            <w:noWrap w:val="0"/>
            <w:vAlign w:val="top"/>
          </w:tcPr>
          <w:p w14:paraId="086C655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1.02</w:t>
            </w:r>
          </w:p>
        </w:tc>
        <w:tc>
          <w:tcPr>
            <w:tcW w:w="576" w:type="dxa"/>
            <w:noWrap w:val="0"/>
            <w:vAlign w:val="top"/>
          </w:tcPr>
          <w:p w14:paraId="5243F6E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6.17</w:t>
            </w:r>
          </w:p>
        </w:tc>
        <w:tc>
          <w:tcPr>
            <w:tcW w:w="666" w:type="dxa"/>
            <w:noWrap w:val="0"/>
            <w:vAlign w:val="top"/>
          </w:tcPr>
          <w:p w14:paraId="3921429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6.05</w:t>
            </w:r>
          </w:p>
        </w:tc>
        <w:tc>
          <w:tcPr>
            <w:tcW w:w="666" w:type="dxa"/>
            <w:noWrap w:val="0"/>
            <w:vAlign w:val="top"/>
          </w:tcPr>
          <w:p w14:paraId="542EE43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6.99</w:t>
            </w:r>
          </w:p>
        </w:tc>
        <w:tc>
          <w:tcPr>
            <w:tcW w:w="576" w:type="dxa"/>
            <w:noWrap w:val="0"/>
            <w:vAlign w:val="top"/>
          </w:tcPr>
          <w:p w14:paraId="1B37C8B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5.81</w:t>
            </w:r>
          </w:p>
        </w:tc>
        <w:tc>
          <w:tcPr>
            <w:tcW w:w="576" w:type="dxa"/>
            <w:noWrap w:val="0"/>
            <w:vAlign w:val="top"/>
          </w:tcPr>
          <w:p w14:paraId="6C98A1A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5.39</w:t>
            </w:r>
          </w:p>
        </w:tc>
        <w:tc>
          <w:tcPr>
            <w:tcW w:w="576" w:type="dxa"/>
            <w:noWrap w:val="0"/>
            <w:vAlign w:val="top"/>
          </w:tcPr>
          <w:p w14:paraId="36619DF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3.06</w:t>
            </w:r>
          </w:p>
        </w:tc>
        <w:tc>
          <w:tcPr>
            <w:tcW w:w="576" w:type="dxa"/>
            <w:noWrap w:val="0"/>
            <w:vAlign w:val="top"/>
          </w:tcPr>
          <w:p w14:paraId="1FE1D6F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3.34</w:t>
            </w:r>
          </w:p>
        </w:tc>
        <w:tc>
          <w:tcPr>
            <w:tcW w:w="576" w:type="dxa"/>
            <w:noWrap w:val="0"/>
            <w:vAlign w:val="top"/>
          </w:tcPr>
          <w:p w14:paraId="1E79884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4.53</w:t>
            </w:r>
          </w:p>
        </w:tc>
        <w:tc>
          <w:tcPr>
            <w:tcW w:w="576" w:type="dxa"/>
            <w:noWrap w:val="0"/>
            <w:vAlign w:val="top"/>
          </w:tcPr>
          <w:p w14:paraId="7E41523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3.79</w:t>
            </w:r>
          </w:p>
        </w:tc>
      </w:tr>
      <w:tr w14:paraId="489CC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5A562C2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w:t>
            </w:r>
          </w:p>
        </w:tc>
        <w:tc>
          <w:tcPr>
            <w:tcW w:w="576" w:type="dxa"/>
            <w:noWrap w:val="0"/>
            <w:vAlign w:val="top"/>
          </w:tcPr>
          <w:p w14:paraId="39E3735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4.57</w:t>
            </w:r>
          </w:p>
        </w:tc>
        <w:tc>
          <w:tcPr>
            <w:tcW w:w="576" w:type="dxa"/>
            <w:noWrap w:val="0"/>
            <w:vAlign w:val="top"/>
          </w:tcPr>
          <w:p w14:paraId="35F1E0C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3.28</w:t>
            </w:r>
          </w:p>
        </w:tc>
        <w:tc>
          <w:tcPr>
            <w:tcW w:w="576" w:type="dxa"/>
            <w:noWrap w:val="0"/>
            <w:vAlign w:val="top"/>
          </w:tcPr>
          <w:p w14:paraId="6894872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2.71</w:t>
            </w:r>
          </w:p>
        </w:tc>
        <w:tc>
          <w:tcPr>
            <w:tcW w:w="576" w:type="dxa"/>
            <w:noWrap w:val="0"/>
            <w:vAlign w:val="top"/>
          </w:tcPr>
          <w:p w14:paraId="2B5F742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2.72</w:t>
            </w:r>
          </w:p>
        </w:tc>
        <w:tc>
          <w:tcPr>
            <w:tcW w:w="576" w:type="dxa"/>
            <w:noWrap w:val="0"/>
            <w:vAlign w:val="top"/>
          </w:tcPr>
          <w:p w14:paraId="190E361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2.50</w:t>
            </w:r>
          </w:p>
        </w:tc>
        <w:tc>
          <w:tcPr>
            <w:tcW w:w="576" w:type="dxa"/>
            <w:noWrap w:val="0"/>
            <w:vAlign w:val="top"/>
          </w:tcPr>
          <w:p w14:paraId="6C84FE2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1.87</w:t>
            </w:r>
          </w:p>
        </w:tc>
        <w:tc>
          <w:tcPr>
            <w:tcW w:w="576" w:type="dxa"/>
            <w:noWrap w:val="0"/>
            <w:vAlign w:val="top"/>
          </w:tcPr>
          <w:p w14:paraId="05B5D21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1.13</w:t>
            </w:r>
          </w:p>
        </w:tc>
        <w:tc>
          <w:tcPr>
            <w:tcW w:w="576" w:type="dxa"/>
            <w:noWrap w:val="0"/>
            <w:vAlign w:val="top"/>
          </w:tcPr>
          <w:p w14:paraId="706D99D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0.90</w:t>
            </w:r>
          </w:p>
        </w:tc>
        <w:tc>
          <w:tcPr>
            <w:tcW w:w="576" w:type="dxa"/>
            <w:noWrap w:val="0"/>
            <w:vAlign w:val="top"/>
          </w:tcPr>
          <w:p w14:paraId="562136A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4.32</w:t>
            </w:r>
          </w:p>
        </w:tc>
        <w:tc>
          <w:tcPr>
            <w:tcW w:w="666" w:type="dxa"/>
            <w:noWrap w:val="0"/>
            <w:vAlign w:val="top"/>
          </w:tcPr>
          <w:p w14:paraId="7A961EE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6.61</w:t>
            </w:r>
          </w:p>
        </w:tc>
        <w:tc>
          <w:tcPr>
            <w:tcW w:w="666" w:type="dxa"/>
            <w:noWrap w:val="0"/>
            <w:vAlign w:val="top"/>
          </w:tcPr>
          <w:p w14:paraId="679740D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6.58</w:t>
            </w:r>
          </w:p>
        </w:tc>
        <w:tc>
          <w:tcPr>
            <w:tcW w:w="576" w:type="dxa"/>
            <w:noWrap w:val="0"/>
            <w:vAlign w:val="top"/>
          </w:tcPr>
          <w:p w14:paraId="2B57A90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6.07</w:t>
            </w:r>
          </w:p>
        </w:tc>
        <w:tc>
          <w:tcPr>
            <w:tcW w:w="576" w:type="dxa"/>
            <w:noWrap w:val="0"/>
            <w:vAlign w:val="top"/>
          </w:tcPr>
          <w:p w14:paraId="300E667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5.74</w:t>
            </w:r>
          </w:p>
        </w:tc>
        <w:tc>
          <w:tcPr>
            <w:tcW w:w="576" w:type="dxa"/>
            <w:noWrap w:val="0"/>
            <w:vAlign w:val="top"/>
          </w:tcPr>
          <w:p w14:paraId="7070E35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2.88</w:t>
            </w:r>
          </w:p>
        </w:tc>
        <w:tc>
          <w:tcPr>
            <w:tcW w:w="576" w:type="dxa"/>
            <w:noWrap w:val="0"/>
            <w:vAlign w:val="top"/>
          </w:tcPr>
          <w:p w14:paraId="2873224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4.34</w:t>
            </w:r>
          </w:p>
        </w:tc>
        <w:tc>
          <w:tcPr>
            <w:tcW w:w="576" w:type="dxa"/>
            <w:noWrap w:val="0"/>
            <w:vAlign w:val="top"/>
          </w:tcPr>
          <w:p w14:paraId="0C3F0BC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3.29</w:t>
            </w:r>
          </w:p>
        </w:tc>
        <w:tc>
          <w:tcPr>
            <w:tcW w:w="576" w:type="dxa"/>
            <w:noWrap w:val="0"/>
            <w:vAlign w:val="top"/>
          </w:tcPr>
          <w:p w14:paraId="491E5ED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3.72</w:t>
            </w:r>
          </w:p>
        </w:tc>
      </w:tr>
      <w:tr w14:paraId="00FD5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50288F2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w:t>
            </w:r>
          </w:p>
        </w:tc>
        <w:tc>
          <w:tcPr>
            <w:tcW w:w="576" w:type="dxa"/>
            <w:noWrap w:val="0"/>
            <w:vAlign w:val="top"/>
          </w:tcPr>
          <w:p w14:paraId="0C73B72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4.9</w:t>
            </w:r>
          </w:p>
        </w:tc>
        <w:tc>
          <w:tcPr>
            <w:tcW w:w="576" w:type="dxa"/>
            <w:noWrap w:val="0"/>
            <w:vAlign w:val="top"/>
          </w:tcPr>
          <w:p w14:paraId="34E732B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2.41</w:t>
            </w:r>
          </w:p>
        </w:tc>
        <w:tc>
          <w:tcPr>
            <w:tcW w:w="576" w:type="dxa"/>
            <w:noWrap w:val="0"/>
            <w:vAlign w:val="top"/>
          </w:tcPr>
          <w:p w14:paraId="3104CB3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2.51</w:t>
            </w:r>
          </w:p>
        </w:tc>
        <w:tc>
          <w:tcPr>
            <w:tcW w:w="576" w:type="dxa"/>
            <w:noWrap w:val="0"/>
            <w:vAlign w:val="top"/>
          </w:tcPr>
          <w:p w14:paraId="1EF96DB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1.54</w:t>
            </w:r>
          </w:p>
        </w:tc>
        <w:tc>
          <w:tcPr>
            <w:tcW w:w="576" w:type="dxa"/>
            <w:noWrap w:val="0"/>
            <w:vAlign w:val="top"/>
          </w:tcPr>
          <w:p w14:paraId="69F28D2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1.54</w:t>
            </w:r>
          </w:p>
        </w:tc>
        <w:tc>
          <w:tcPr>
            <w:tcW w:w="576" w:type="dxa"/>
            <w:noWrap w:val="0"/>
            <w:vAlign w:val="top"/>
          </w:tcPr>
          <w:p w14:paraId="65826E3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1.37</w:t>
            </w:r>
          </w:p>
        </w:tc>
        <w:tc>
          <w:tcPr>
            <w:tcW w:w="576" w:type="dxa"/>
            <w:noWrap w:val="0"/>
            <w:vAlign w:val="top"/>
          </w:tcPr>
          <w:p w14:paraId="40693E7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0.90</w:t>
            </w:r>
          </w:p>
        </w:tc>
        <w:tc>
          <w:tcPr>
            <w:tcW w:w="576" w:type="dxa"/>
            <w:noWrap w:val="0"/>
            <w:vAlign w:val="top"/>
          </w:tcPr>
          <w:p w14:paraId="3C62716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0.95</w:t>
            </w:r>
          </w:p>
        </w:tc>
        <w:tc>
          <w:tcPr>
            <w:tcW w:w="576" w:type="dxa"/>
            <w:noWrap w:val="0"/>
            <w:vAlign w:val="top"/>
          </w:tcPr>
          <w:p w14:paraId="4FCD8A1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6.41</w:t>
            </w:r>
          </w:p>
        </w:tc>
        <w:tc>
          <w:tcPr>
            <w:tcW w:w="666" w:type="dxa"/>
            <w:noWrap w:val="0"/>
            <w:vAlign w:val="top"/>
          </w:tcPr>
          <w:p w14:paraId="49BA76B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4.48</w:t>
            </w:r>
          </w:p>
        </w:tc>
        <w:tc>
          <w:tcPr>
            <w:tcW w:w="666" w:type="dxa"/>
            <w:noWrap w:val="0"/>
            <w:vAlign w:val="top"/>
          </w:tcPr>
          <w:p w14:paraId="688DE45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7.59</w:t>
            </w:r>
          </w:p>
        </w:tc>
        <w:tc>
          <w:tcPr>
            <w:tcW w:w="576" w:type="dxa"/>
            <w:noWrap w:val="0"/>
            <w:vAlign w:val="top"/>
          </w:tcPr>
          <w:p w14:paraId="0954E77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6.07</w:t>
            </w:r>
          </w:p>
        </w:tc>
        <w:tc>
          <w:tcPr>
            <w:tcW w:w="576" w:type="dxa"/>
            <w:noWrap w:val="0"/>
            <w:vAlign w:val="top"/>
          </w:tcPr>
          <w:p w14:paraId="6908496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5.01</w:t>
            </w:r>
          </w:p>
        </w:tc>
        <w:tc>
          <w:tcPr>
            <w:tcW w:w="576" w:type="dxa"/>
            <w:noWrap w:val="0"/>
            <w:vAlign w:val="top"/>
          </w:tcPr>
          <w:p w14:paraId="4CC1FCF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4.04</w:t>
            </w:r>
          </w:p>
        </w:tc>
        <w:tc>
          <w:tcPr>
            <w:tcW w:w="576" w:type="dxa"/>
            <w:noWrap w:val="0"/>
            <w:vAlign w:val="top"/>
          </w:tcPr>
          <w:p w14:paraId="3247579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4.96</w:t>
            </w:r>
          </w:p>
        </w:tc>
        <w:tc>
          <w:tcPr>
            <w:tcW w:w="576" w:type="dxa"/>
            <w:noWrap w:val="0"/>
            <w:vAlign w:val="top"/>
          </w:tcPr>
          <w:p w14:paraId="19C52C3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3.57</w:t>
            </w:r>
          </w:p>
        </w:tc>
        <w:tc>
          <w:tcPr>
            <w:tcW w:w="576" w:type="dxa"/>
            <w:noWrap w:val="0"/>
            <w:vAlign w:val="top"/>
          </w:tcPr>
          <w:p w14:paraId="04272BE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3.64</w:t>
            </w:r>
          </w:p>
        </w:tc>
      </w:tr>
      <w:tr w14:paraId="776BA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426D752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9</w:t>
            </w:r>
          </w:p>
        </w:tc>
        <w:tc>
          <w:tcPr>
            <w:tcW w:w="576" w:type="dxa"/>
            <w:noWrap w:val="0"/>
            <w:vAlign w:val="top"/>
          </w:tcPr>
          <w:p w14:paraId="072987F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3.41</w:t>
            </w:r>
          </w:p>
        </w:tc>
        <w:tc>
          <w:tcPr>
            <w:tcW w:w="576" w:type="dxa"/>
            <w:noWrap w:val="0"/>
            <w:vAlign w:val="top"/>
          </w:tcPr>
          <w:p w14:paraId="46D6E0E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1.91</w:t>
            </w:r>
          </w:p>
        </w:tc>
        <w:tc>
          <w:tcPr>
            <w:tcW w:w="576" w:type="dxa"/>
            <w:noWrap w:val="0"/>
            <w:vAlign w:val="top"/>
          </w:tcPr>
          <w:p w14:paraId="57DB294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1.76</w:t>
            </w:r>
          </w:p>
        </w:tc>
        <w:tc>
          <w:tcPr>
            <w:tcW w:w="576" w:type="dxa"/>
            <w:noWrap w:val="0"/>
            <w:vAlign w:val="top"/>
          </w:tcPr>
          <w:p w14:paraId="791A74B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2.26</w:t>
            </w:r>
          </w:p>
        </w:tc>
        <w:tc>
          <w:tcPr>
            <w:tcW w:w="576" w:type="dxa"/>
            <w:noWrap w:val="0"/>
            <w:vAlign w:val="top"/>
          </w:tcPr>
          <w:p w14:paraId="0E4B0A5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1.75</w:t>
            </w:r>
          </w:p>
        </w:tc>
        <w:tc>
          <w:tcPr>
            <w:tcW w:w="576" w:type="dxa"/>
            <w:noWrap w:val="0"/>
            <w:vAlign w:val="top"/>
          </w:tcPr>
          <w:p w14:paraId="7D37C6D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0.83</w:t>
            </w:r>
          </w:p>
        </w:tc>
        <w:tc>
          <w:tcPr>
            <w:tcW w:w="576" w:type="dxa"/>
            <w:noWrap w:val="0"/>
            <w:vAlign w:val="top"/>
          </w:tcPr>
          <w:p w14:paraId="60E3B12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0.93</w:t>
            </w:r>
          </w:p>
        </w:tc>
        <w:tc>
          <w:tcPr>
            <w:tcW w:w="576" w:type="dxa"/>
            <w:noWrap w:val="0"/>
            <w:vAlign w:val="top"/>
          </w:tcPr>
          <w:p w14:paraId="39DF99C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1.25</w:t>
            </w:r>
          </w:p>
        </w:tc>
        <w:tc>
          <w:tcPr>
            <w:tcW w:w="576" w:type="dxa"/>
            <w:noWrap w:val="0"/>
            <w:vAlign w:val="top"/>
          </w:tcPr>
          <w:p w14:paraId="5F53F46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4.57</w:t>
            </w:r>
          </w:p>
        </w:tc>
        <w:tc>
          <w:tcPr>
            <w:tcW w:w="666" w:type="dxa"/>
            <w:noWrap w:val="0"/>
            <w:vAlign w:val="top"/>
          </w:tcPr>
          <w:p w14:paraId="1AD0188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7.38</w:t>
            </w:r>
          </w:p>
        </w:tc>
        <w:tc>
          <w:tcPr>
            <w:tcW w:w="666" w:type="dxa"/>
            <w:noWrap w:val="0"/>
            <w:vAlign w:val="top"/>
          </w:tcPr>
          <w:p w14:paraId="5AC5B0C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7.61</w:t>
            </w:r>
          </w:p>
        </w:tc>
        <w:tc>
          <w:tcPr>
            <w:tcW w:w="576" w:type="dxa"/>
            <w:noWrap w:val="0"/>
            <w:vAlign w:val="top"/>
          </w:tcPr>
          <w:p w14:paraId="60B1612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5.88</w:t>
            </w:r>
          </w:p>
        </w:tc>
        <w:tc>
          <w:tcPr>
            <w:tcW w:w="576" w:type="dxa"/>
            <w:noWrap w:val="0"/>
            <w:vAlign w:val="top"/>
          </w:tcPr>
          <w:p w14:paraId="2E16FE5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6.43</w:t>
            </w:r>
          </w:p>
        </w:tc>
        <w:tc>
          <w:tcPr>
            <w:tcW w:w="576" w:type="dxa"/>
            <w:noWrap w:val="0"/>
            <w:vAlign w:val="top"/>
          </w:tcPr>
          <w:p w14:paraId="33CD3AE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3.23</w:t>
            </w:r>
          </w:p>
        </w:tc>
        <w:tc>
          <w:tcPr>
            <w:tcW w:w="576" w:type="dxa"/>
            <w:noWrap w:val="0"/>
            <w:vAlign w:val="top"/>
          </w:tcPr>
          <w:p w14:paraId="777ABE2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3.38</w:t>
            </w:r>
          </w:p>
        </w:tc>
        <w:tc>
          <w:tcPr>
            <w:tcW w:w="576" w:type="dxa"/>
            <w:noWrap w:val="0"/>
            <w:vAlign w:val="top"/>
          </w:tcPr>
          <w:p w14:paraId="1AB6EFF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3.59</w:t>
            </w:r>
          </w:p>
        </w:tc>
        <w:tc>
          <w:tcPr>
            <w:tcW w:w="576" w:type="dxa"/>
            <w:noWrap w:val="0"/>
            <w:vAlign w:val="top"/>
          </w:tcPr>
          <w:p w14:paraId="1BEECA4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3.51</w:t>
            </w:r>
          </w:p>
        </w:tc>
      </w:tr>
      <w:tr w14:paraId="2D56F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779FEDC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w:t>
            </w:r>
          </w:p>
        </w:tc>
        <w:tc>
          <w:tcPr>
            <w:tcW w:w="576" w:type="dxa"/>
            <w:noWrap w:val="0"/>
            <w:vAlign w:val="top"/>
          </w:tcPr>
          <w:p w14:paraId="4FA0AB55">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2.45</w:t>
            </w:r>
          </w:p>
        </w:tc>
        <w:tc>
          <w:tcPr>
            <w:tcW w:w="576" w:type="dxa"/>
            <w:noWrap w:val="0"/>
            <w:vAlign w:val="top"/>
          </w:tcPr>
          <w:p w14:paraId="54E156B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1.30</w:t>
            </w:r>
          </w:p>
        </w:tc>
        <w:tc>
          <w:tcPr>
            <w:tcW w:w="576" w:type="dxa"/>
            <w:noWrap w:val="0"/>
            <w:vAlign w:val="top"/>
          </w:tcPr>
          <w:p w14:paraId="135B0C8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0.57</w:t>
            </w:r>
          </w:p>
        </w:tc>
        <w:tc>
          <w:tcPr>
            <w:tcW w:w="576" w:type="dxa"/>
            <w:noWrap w:val="0"/>
            <w:vAlign w:val="top"/>
          </w:tcPr>
          <w:p w14:paraId="543F214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1.77</w:t>
            </w:r>
          </w:p>
        </w:tc>
        <w:tc>
          <w:tcPr>
            <w:tcW w:w="576" w:type="dxa"/>
            <w:noWrap w:val="0"/>
            <w:vAlign w:val="top"/>
          </w:tcPr>
          <w:p w14:paraId="1665D28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2.38</w:t>
            </w:r>
          </w:p>
        </w:tc>
        <w:tc>
          <w:tcPr>
            <w:tcW w:w="576" w:type="dxa"/>
            <w:noWrap w:val="0"/>
            <w:vAlign w:val="top"/>
          </w:tcPr>
          <w:p w14:paraId="3CA9BDA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1.00</w:t>
            </w:r>
          </w:p>
        </w:tc>
        <w:tc>
          <w:tcPr>
            <w:tcW w:w="576" w:type="dxa"/>
            <w:noWrap w:val="0"/>
            <w:vAlign w:val="top"/>
          </w:tcPr>
          <w:p w14:paraId="7A08885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0.45</w:t>
            </w:r>
          </w:p>
        </w:tc>
        <w:tc>
          <w:tcPr>
            <w:tcW w:w="576" w:type="dxa"/>
            <w:noWrap w:val="0"/>
            <w:vAlign w:val="top"/>
          </w:tcPr>
          <w:p w14:paraId="2240608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0.97</w:t>
            </w:r>
          </w:p>
        </w:tc>
        <w:tc>
          <w:tcPr>
            <w:tcW w:w="576" w:type="dxa"/>
            <w:noWrap w:val="0"/>
            <w:vAlign w:val="top"/>
          </w:tcPr>
          <w:p w14:paraId="7B947B0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7.23</w:t>
            </w:r>
          </w:p>
        </w:tc>
        <w:tc>
          <w:tcPr>
            <w:tcW w:w="666" w:type="dxa"/>
            <w:noWrap w:val="0"/>
            <w:vAlign w:val="top"/>
          </w:tcPr>
          <w:p w14:paraId="58DAD89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8.96</w:t>
            </w:r>
          </w:p>
        </w:tc>
        <w:tc>
          <w:tcPr>
            <w:tcW w:w="666" w:type="dxa"/>
            <w:noWrap w:val="0"/>
            <w:vAlign w:val="top"/>
          </w:tcPr>
          <w:p w14:paraId="2D19217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12.39</w:t>
            </w:r>
          </w:p>
        </w:tc>
        <w:tc>
          <w:tcPr>
            <w:tcW w:w="576" w:type="dxa"/>
            <w:noWrap w:val="0"/>
            <w:vAlign w:val="top"/>
          </w:tcPr>
          <w:p w14:paraId="0CF9E7C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8.87</w:t>
            </w:r>
          </w:p>
        </w:tc>
        <w:tc>
          <w:tcPr>
            <w:tcW w:w="576" w:type="dxa"/>
            <w:noWrap w:val="0"/>
            <w:vAlign w:val="top"/>
          </w:tcPr>
          <w:p w14:paraId="3CD81AC6">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6.4</w:t>
            </w:r>
          </w:p>
        </w:tc>
        <w:tc>
          <w:tcPr>
            <w:tcW w:w="576" w:type="dxa"/>
            <w:noWrap w:val="0"/>
            <w:vAlign w:val="top"/>
          </w:tcPr>
          <w:p w14:paraId="78D85A6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2.28</w:t>
            </w:r>
          </w:p>
        </w:tc>
        <w:tc>
          <w:tcPr>
            <w:tcW w:w="576" w:type="dxa"/>
            <w:noWrap w:val="0"/>
            <w:vAlign w:val="top"/>
          </w:tcPr>
          <w:p w14:paraId="78C3F8A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2.33</w:t>
            </w:r>
          </w:p>
        </w:tc>
        <w:tc>
          <w:tcPr>
            <w:tcW w:w="576" w:type="dxa"/>
            <w:noWrap w:val="0"/>
            <w:vAlign w:val="top"/>
          </w:tcPr>
          <w:p w14:paraId="1658D92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1.58</w:t>
            </w:r>
          </w:p>
        </w:tc>
        <w:tc>
          <w:tcPr>
            <w:tcW w:w="576" w:type="dxa"/>
            <w:noWrap w:val="0"/>
            <w:vAlign w:val="top"/>
          </w:tcPr>
          <w:p w14:paraId="38C18A7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3.81</w:t>
            </w:r>
          </w:p>
        </w:tc>
      </w:tr>
      <w:tr w14:paraId="0702D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015D718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w:t>
            </w:r>
          </w:p>
        </w:tc>
        <w:tc>
          <w:tcPr>
            <w:tcW w:w="576" w:type="dxa"/>
            <w:noWrap w:val="0"/>
            <w:vAlign w:val="top"/>
          </w:tcPr>
          <w:p w14:paraId="1E54DE2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1.53</w:t>
            </w:r>
          </w:p>
        </w:tc>
        <w:tc>
          <w:tcPr>
            <w:tcW w:w="576" w:type="dxa"/>
            <w:noWrap w:val="0"/>
            <w:vAlign w:val="top"/>
          </w:tcPr>
          <w:p w14:paraId="7FBDCCB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2.61</w:t>
            </w:r>
          </w:p>
        </w:tc>
        <w:tc>
          <w:tcPr>
            <w:tcW w:w="576" w:type="dxa"/>
            <w:noWrap w:val="0"/>
            <w:vAlign w:val="top"/>
          </w:tcPr>
          <w:p w14:paraId="50FDD7D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1.38</w:t>
            </w:r>
          </w:p>
        </w:tc>
        <w:tc>
          <w:tcPr>
            <w:tcW w:w="576" w:type="dxa"/>
            <w:noWrap w:val="0"/>
            <w:vAlign w:val="top"/>
          </w:tcPr>
          <w:p w14:paraId="7969916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2.73</w:t>
            </w:r>
          </w:p>
        </w:tc>
        <w:tc>
          <w:tcPr>
            <w:tcW w:w="576" w:type="dxa"/>
            <w:noWrap w:val="0"/>
            <w:vAlign w:val="top"/>
          </w:tcPr>
          <w:p w14:paraId="42711EF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1.88</w:t>
            </w:r>
          </w:p>
        </w:tc>
        <w:tc>
          <w:tcPr>
            <w:tcW w:w="576" w:type="dxa"/>
            <w:noWrap w:val="0"/>
            <w:vAlign w:val="top"/>
          </w:tcPr>
          <w:p w14:paraId="021F52B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0.41</w:t>
            </w:r>
          </w:p>
        </w:tc>
        <w:tc>
          <w:tcPr>
            <w:tcW w:w="576" w:type="dxa"/>
            <w:noWrap w:val="0"/>
            <w:vAlign w:val="top"/>
          </w:tcPr>
          <w:p w14:paraId="0765906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1.13</w:t>
            </w:r>
          </w:p>
        </w:tc>
        <w:tc>
          <w:tcPr>
            <w:tcW w:w="576" w:type="dxa"/>
            <w:noWrap w:val="0"/>
            <w:vAlign w:val="top"/>
          </w:tcPr>
          <w:p w14:paraId="2BD79A3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0.83</w:t>
            </w:r>
          </w:p>
        </w:tc>
        <w:tc>
          <w:tcPr>
            <w:tcW w:w="576" w:type="dxa"/>
            <w:noWrap w:val="0"/>
            <w:vAlign w:val="top"/>
          </w:tcPr>
          <w:p w14:paraId="7A4E7E2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6.81</w:t>
            </w:r>
          </w:p>
        </w:tc>
        <w:tc>
          <w:tcPr>
            <w:tcW w:w="666" w:type="dxa"/>
            <w:noWrap w:val="0"/>
            <w:vAlign w:val="top"/>
          </w:tcPr>
          <w:p w14:paraId="41BFF08A">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12.09</w:t>
            </w:r>
          </w:p>
        </w:tc>
        <w:tc>
          <w:tcPr>
            <w:tcW w:w="666" w:type="dxa"/>
            <w:noWrap w:val="0"/>
            <w:vAlign w:val="top"/>
          </w:tcPr>
          <w:p w14:paraId="51DAB7D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14.66</w:t>
            </w:r>
          </w:p>
        </w:tc>
        <w:tc>
          <w:tcPr>
            <w:tcW w:w="576" w:type="dxa"/>
            <w:noWrap w:val="0"/>
            <w:vAlign w:val="top"/>
          </w:tcPr>
          <w:p w14:paraId="6645469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7.30</w:t>
            </w:r>
          </w:p>
        </w:tc>
        <w:tc>
          <w:tcPr>
            <w:tcW w:w="576" w:type="dxa"/>
            <w:noWrap w:val="0"/>
            <w:vAlign w:val="top"/>
          </w:tcPr>
          <w:p w14:paraId="185AC46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5.64</w:t>
            </w:r>
          </w:p>
        </w:tc>
        <w:tc>
          <w:tcPr>
            <w:tcW w:w="576" w:type="dxa"/>
            <w:noWrap w:val="0"/>
            <w:vAlign w:val="top"/>
          </w:tcPr>
          <w:p w14:paraId="5D9DA36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2.81</w:t>
            </w:r>
          </w:p>
        </w:tc>
        <w:tc>
          <w:tcPr>
            <w:tcW w:w="576" w:type="dxa"/>
            <w:noWrap w:val="0"/>
            <w:vAlign w:val="top"/>
          </w:tcPr>
          <w:p w14:paraId="1C075A0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2.61</w:t>
            </w:r>
          </w:p>
        </w:tc>
        <w:tc>
          <w:tcPr>
            <w:tcW w:w="576" w:type="dxa"/>
            <w:noWrap w:val="0"/>
            <w:vAlign w:val="top"/>
          </w:tcPr>
          <w:p w14:paraId="0BFC109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2.04</w:t>
            </w:r>
          </w:p>
        </w:tc>
        <w:tc>
          <w:tcPr>
            <w:tcW w:w="576" w:type="dxa"/>
            <w:noWrap w:val="0"/>
            <w:vAlign w:val="top"/>
          </w:tcPr>
          <w:p w14:paraId="7040C17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4.15</w:t>
            </w:r>
          </w:p>
        </w:tc>
      </w:tr>
      <w:tr w14:paraId="35921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7BEBE73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w:t>
            </w:r>
          </w:p>
        </w:tc>
        <w:tc>
          <w:tcPr>
            <w:tcW w:w="576" w:type="dxa"/>
            <w:noWrap w:val="0"/>
            <w:vAlign w:val="top"/>
          </w:tcPr>
          <w:p w14:paraId="5B83CEF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3.45</w:t>
            </w:r>
          </w:p>
        </w:tc>
        <w:tc>
          <w:tcPr>
            <w:tcW w:w="576" w:type="dxa"/>
            <w:noWrap w:val="0"/>
            <w:vAlign w:val="top"/>
          </w:tcPr>
          <w:p w14:paraId="7EAA2C0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1.91</w:t>
            </w:r>
          </w:p>
        </w:tc>
        <w:tc>
          <w:tcPr>
            <w:tcW w:w="576" w:type="dxa"/>
            <w:noWrap w:val="0"/>
            <w:vAlign w:val="top"/>
          </w:tcPr>
          <w:p w14:paraId="5C530D3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2.16</w:t>
            </w:r>
          </w:p>
        </w:tc>
        <w:tc>
          <w:tcPr>
            <w:tcW w:w="576" w:type="dxa"/>
            <w:noWrap w:val="0"/>
            <w:vAlign w:val="top"/>
          </w:tcPr>
          <w:p w14:paraId="5E279E9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1.53</w:t>
            </w:r>
          </w:p>
        </w:tc>
        <w:tc>
          <w:tcPr>
            <w:tcW w:w="576" w:type="dxa"/>
            <w:noWrap w:val="0"/>
            <w:vAlign w:val="top"/>
          </w:tcPr>
          <w:p w14:paraId="06A0526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1.52</w:t>
            </w:r>
          </w:p>
        </w:tc>
        <w:tc>
          <w:tcPr>
            <w:tcW w:w="576" w:type="dxa"/>
            <w:noWrap w:val="0"/>
            <w:vAlign w:val="top"/>
          </w:tcPr>
          <w:p w14:paraId="2C290D5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0.75</w:t>
            </w:r>
          </w:p>
        </w:tc>
        <w:tc>
          <w:tcPr>
            <w:tcW w:w="576" w:type="dxa"/>
            <w:noWrap w:val="0"/>
            <w:vAlign w:val="top"/>
          </w:tcPr>
          <w:p w14:paraId="4A4BA0D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0.67</w:t>
            </w:r>
          </w:p>
        </w:tc>
        <w:tc>
          <w:tcPr>
            <w:tcW w:w="576" w:type="dxa"/>
            <w:noWrap w:val="0"/>
            <w:vAlign w:val="top"/>
          </w:tcPr>
          <w:p w14:paraId="0FDD33F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1.99</w:t>
            </w:r>
          </w:p>
        </w:tc>
        <w:tc>
          <w:tcPr>
            <w:tcW w:w="576" w:type="dxa"/>
            <w:noWrap w:val="0"/>
            <w:vAlign w:val="top"/>
          </w:tcPr>
          <w:p w14:paraId="457C819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6.14</w:t>
            </w:r>
          </w:p>
        </w:tc>
        <w:tc>
          <w:tcPr>
            <w:tcW w:w="666" w:type="dxa"/>
            <w:noWrap w:val="0"/>
            <w:vAlign w:val="top"/>
          </w:tcPr>
          <w:p w14:paraId="79F26FE3">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12.52</w:t>
            </w:r>
          </w:p>
        </w:tc>
        <w:tc>
          <w:tcPr>
            <w:tcW w:w="666" w:type="dxa"/>
            <w:noWrap w:val="0"/>
            <w:vAlign w:val="top"/>
          </w:tcPr>
          <w:p w14:paraId="0155B53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13.11</w:t>
            </w:r>
          </w:p>
        </w:tc>
        <w:tc>
          <w:tcPr>
            <w:tcW w:w="576" w:type="dxa"/>
            <w:noWrap w:val="0"/>
            <w:vAlign w:val="top"/>
          </w:tcPr>
          <w:p w14:paraId="3D71495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7.65</w:t>
            </w:r>
          </w:p>
        </w:tc>
        <w:tc>
          <w:tcPr>
            <w:tcW w:w="576" w:type="dxa"/>
            <w:noWrap w:val="0"/>
            <w:vAlign w:val="top"/>
          </w:tcPr>
          <w:p w14:paraId="24EFA83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5.4</w:t>
            </w:r>
          </w:p>
        </w:tc>
        <w:tc>
          <w:tcPr>
            <w:tcW w:w="576" w:type="dxa"/>
            <w:noWrap w:val="0"/>
            <w:vAlign w:val="top"/>
          </w:tcPr>
          <w:p w14:paraId="1BCE8FE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2.56</w:t>
            </w:r>
          </w:p>
        </w:tc>
        <w:tc>
          <w:tcPr>
            <w:tcW w:w="576" w:type="dxa"/>
            <w:noWrap w:val="0"/>
            <w:vAlign w:val="top"/>
          </w:tcPr>
          <w:p w14:paraId="229EC27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2.30</w:t>
            </w:r>
          </w:p>
        </w:tc>
        <w:tc>
          <w:tcPr>
            <w:tcW w:w="576" w:type="dxa"/>
            <w:noWrap w:val="0"/>
            <w:vAlign w:val="top"/>
          </w:tcPr>
          <w:p w14:paraId="0E31F1E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1.70</w:t>
            </w:r>
          </w:p>
        </w:tc>
        <w:tc>
          <w:tcPr>
            <w:tcW w:w="576" w:type="dxa"/>
            <w:noWrap w:val="0"/>
            <w:vAlign w:val="top"/>
          </w:tcPr>
          <w:p w14:paraId="03EBD40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4.09</w:t>
            </w:r>
          </w:p>
        </w:tc>
      </w:tr>
      <w:tr w14:paraId="6132B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502EB64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全年</w:t>
            </w:r>
          </w:p>
        </w:tc>
        <w:tc>
          <w:tcPr>
            <w:tcW w:w="576" w:type="dxa"/>
            <w:noWrap w:val="0"/>
            <w:vAlign w:val="top"/>
          </w:tcPr>
          <w:p w14:paraId="288A0AA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3.15</w:t>
            </w:r>
          </w:p>
        </w:tc>
        <w:tc>
          <w:tcPr>
            <w:tcW w:w="576" w:type="dxa"/>
            <w:noWrap w:val="0"/>
            <w:vAlign w:val="top"/>
          </w:tcPr>
          <w:p w14:paraId="6967F8D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2.54</w:t>
            </w:r>
          </w:p>
        </w:tc>
        <w:tc>
          <w:tcPr>
            <w:tcW w:w="576" w:type="dxa"/>
            <w:noWrap w:val="0"/>
            <w:vAlign w:val="top"/>
          </w:tcPr>
          <w:p w14:paraId="0F20505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1.91</w:t>
            </w:r>
          </w:p>
        </w:tc>
        <w:tc>
          <w:tcPr>
            <w:tcW w:w="576" w:type="dxa"/>
            <w:noWrap w:val="0"/>
            <w:vAlign w:val="top"/>
          </w:tcPr>
          <w:p w14:paraId="5C2E664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1.98</w:t>
            </w:r>
          </w:p>
        </w:tc>
        <w:tc>
          <w:tcPr>
            <w:tcW w:w="576" w:type="dxa"/>
            <w:noWrap w:val="0"/>
            <w:vAlign w:val="top"/>
          </w:tcPr>
          <w:p w14:paraId="3CDB5E1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1.91</w:t>
            </w:r>
          </w:p>
        </w:tc>
        <w:tc>
          <w:tcPr>
            <w:tcW w:w="576" w:type="dxa"/>
            <w:noWrap w:val="0"/>
            <w:vAlign w:val="top"/>
          </w:tcPr>
          <w:p w14:paraId="22CD63F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1.06</w:t>
            </w:r>
          </w:p>
        </w:tc>
        <w:tc>
          <w:tcPr>
            <w:tcW w:w="576" w:type="dxa"/>
            <w:noWrap w:val="0"/>
            <w:vAlign w:val="top"/>
          </w:tcPr>
          <w:p w14:paraId="0926214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0.83</w:t>
            </w:r>
          </w:p>
        </w:tc>
        <w:tc>
          <w:tcPr>
            <w:tcW w:w="576" w:type="dxa"/>
            <w:noWrap w:val="0"/>
            <w:vAlign w:val="top"/>
          </w:tcPr>
          <w:p w14:paraId="00CD073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1.08</w:t>
            </w:r>
          </w:p>
        </w:tc>
        <w:tc>
          <w:tcPr>
            <w:tcW w:w="576" w:type="dxa"/>
            <w:noWrap w:val="0"/>
            <w:vAlign w:val="top"/>
          </w:tcPr>
          <w:p w14:paraId="2CEA0FD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5.89</w:t>
            </w:r>
          </w:p>
        </w:tc>
        <w:tc>
          <w:tcPr>
            <w:tcW w:w="666" w:type="dxa"/>
            <w:noWrap w:val="0"/>
            <w:vAlign w:val="top"/>
          </w:tcPr>
          <w:p w14:paraId="38725550">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9.22</w:t>
            </w:r>
          </w:p>
        </w:tc>
        <w:tc>
          <w:tcPr>
            <w:tcW w:w="666" w:type="dxa"/>
            <w:noWrap w:val="0"/>
            <w:vAlign w:val="top"/>
          </w:tcPr>
          <w:p w14:paraId="5DD80E8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10.02</w:t>
            </w:r>
          </w:p>
        </w:tc>
        <w:tc>
          <w:tcPr>
            <w:tcW w:w="576" w:type="dxa"/>
            <w:noWrap w:val="0"/>
            <w:vAlign w:val="top"/>
          </w:tcPr>
          <w:p w14:paraId="075870B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6.70</w:t>
            </w:r>
          </w:p>
        </w:tc>
        <w:tc>
          <w:tcPr>
            <w:tcW w:w="576" w:type="dxa"/>
            <w:noWrap w:val="0"/>
            <w:vAlign w:val="top"/>
          </w:tcPr>
          <w:p w14:paraId="1D6C7C43">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5.31</w:t>
            </w:r>
          </w:p>
        </w:tc>
        <w:tc>
          <w:tcPr>
            <w:tcW w:w="576" w:type="dxa"/>
            <w:noWrap w:val="0"/>
            <w:vAlign w:val="top"/>
          </w:tcPr>
          <w:p w14:paraId="37C59AB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2.82</w:t>
            </w:r>
          </w:p>
        </w:tc>
        <w:tc>
          <w:tcPr>
            <w:tcW w:w="576" w:type="dxa"/>
            <w:noWrap w:val="0"/>
            <w:vAlign w:val="top"/>
          </w:tcPr>
          <w:p w14:paraId="45A76E6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3.27</w:t>
            </w:r>
          </w:p>
        </w:tc>
        <w:tc>
          <w:tcPr>
            <w:tcW w:w="576" w:type="dxa"/>
            <w:noWrap w:val="0"/>
            <w:vAlign w:val="top"/>
          </w:tcPr>
          <w:p w14:paraId="04E8400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2.59</w:t>
            </w:r>
          </w:p>
        </w:tc>
        <w:tc>
          <w:tcPr>
            <w:tcW w:w="576" w:type="dxa"/>
            <w:noWrap w:val="0"/>
            <w:vAlign w:val="top"/>
          </w:tcPr>
          <w:p w14:paraId="276EA65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3.77</w:t>
            </w:r>
          </w:p>
        </w:tc>
      </w:tr>
      <w:tr w14:paraId="3D931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7A3916D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春</w:t>
            </w:r>
          </w:p>
        </w:tc>
        <w:tc>
          <w:tcPr>
            <w:tcW w:w="576" w:type="dxa"/>
            <w:noWrap w:val="0"/>
            <w:vAlign w:val="top"/>
          </w:tcPr>
          <w:p w14:paraId="6BE7E19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3.53</w:t>
            </w:r>
          </w:p>
        </w:tc>
        <w:tc>
          <w:tcPr>
            <w:tcW w:w="576" w:type="dxa"/>
            <w:noWrap w:val="0"/>
            <w:vAlign w:val="top"/>
          </w:tcPr>
          <w:p w14:paraId="7652B79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3.44</w:t>
            </w:r>
          </w:p>
        </w:tc>
        <w:tc>
          <w:tcPr>
            <w:tcW w:w="576" w:type="dxa"/>
            <w:noWrap w:val="0"/>
            <w:vAlign w:val="top"/>
          </w:tcPr>
          <w:p w14:paraId="64A8DDD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2.35</w:t>
            </w:r>
          </w:p>
        </w:tc>
        <w:tc>
          <w:tcPr>
            <w:tcW w:w="576" w:type="dxa"/>
            <w:noWrap w:val="0"/>
            <w:vAlign w:val="top"/>
          </w:tcPr>
          <w:p w14:paraId="0A6C956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1.69</w:t>
            </w:r>
          </w:p>
        </w:tc>
        <w:tc>
          <w:tcPr>
            <w:tcW w:w="576" w:type="dxa"/>
            <w:noWrap w:val="0"/>
            <w:vAlign w:val="top"/>
          </w:tcPr>
          <w:p w14:paraId="2D2E801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1.71</w:t>
            </w:r>
          </w:p>
        </w:tc>
        <w:tc>
          <w:tcPr>
            <w:tcW w:w="576" w:type="dxa"/>
            <w:noWrap w:val="0"/>
            <w:vAlign w:val="top"/>
          </w:tcPr>
          <w:p w14:paraId="5E8B68B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1.15</w:t>
            </w:r>
          </w:p>
        </w:tc>
        <w:tc>
          <w:tcPr>
            <w:tcW w:w="576" w:type="dxa"/>
            <w:noWrap w:val="0"/>
            <w:vAlign w:val="top"/>
          </w:tcPr>
          <w:p w14:paraId="7058769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0.87</w:t>
            </w:r>
          </w:p>
        </w:tc>
        <w:tc>
          <w:tcPr>
            <w:tcW w:w="576" w:type="dxa"/>
            <w:noWrap w:val="0"/>
            <w:vAlign w:val="top"/>
          </w:tcPr>
          <w:p w14:paraId="64FF5C4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1.01</w:t>
            </w:r>
          </w:p>
        </w:tc>
        <w:tc>
          <w:tcPr>
            <w:tcW w:w="576" w:type="dxa"/>
            <w:noWrap w:val="0"/>
            <w:vAlign w:val="top"/>
          </w:tcPr>
          <w:p w14:paraId="254AF01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5.81</w:t>
            </w:r>
          </w:p>
        </w:tc>
        <w:tc>
          <w:tcPr>
            <w:tcW w:w="666" w:type="dxa"/>
            <w:noWrap w:val="0"/>
            <w:vAlign w:val="top"/>
          </w:tcPr>
          <w:p w14:paraId="6236931D">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9.27</w:t>
            </w:r>
          </w:p>
        </w:tc>
        <w:tc>
          <w:tcPr>
            <w:tcW w:w="666" w:type="dxa"/>
            <w:noWrap w:val="0"/>
            <w:vAlign w:val="top"/>
          </w:tcPr>
          <w:p w14:paraId="6FB1060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8.50</w:t>
            </w:r>
          </w:p>
        </w:tc>
        <w:tc>
          <w:tcPr>
            <w:tcW w:w="576" w:type="dxa"/>
            <w:noWrap w:val="0"/>
            <w:vAlign w:val="top"/>
          </w:tcPr>
          <w:p w14:paraId="5B1C44F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6.19</w:t>
            </w:r>
          </w:p>
        </w:tc>
        <w:tc>
          <w:tcPr>
            <w:tcW w:w="576" w:type="dxa"/>
            <w:noWrap w:val="0"/>
            <w:vAlign w:val="top"/>
          </w:tcPr>
          <w:p w14:paraId="73107812">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4.50</w:t>
            </w:r>
          </w:p>
        </w:tc>
        <w:tc>
          <w:tcPr>
            <w:tcW w:w="576" w:type="dxa"/>
            <w:noWrap w:val="0"/>
            <w:vAlign w:val="top"/>
          </w:tcPr>
          <w:p w14:paraId="0D749AE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2.55</w:t>
            </w:r>
          </w:p>
        </w:tc>
        <w:tc>
          <w:tcPr>
            <w:tcW w:w="576" w:type="dxa"/>
            <w:noWrap w:val="0"/>
            <w:vAlign w:val="top"/>
          </w:tcPr>
          <w:p w14:paraId="0330620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3.29</w:t>
            </w:r>
          </w:p>
        </w:tc>
        <w:tc>
          <w:tcPr>
            <w:tcW w:w="576" w:type="dxa"/>
            <w:noWrap w:val="0"/>
            <w:vAlign w:val="top"/>
          </w:tcPr>
          <w:p w14:paraId="3375DB2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2.50</w:t>
            </w:r>
          </w:p>
        </w:tc>
        <w:tc>
          <w:tcPr>
            <w:tcW w:w="576" w:type="dxa"/>
            <w:noWrap w:val="0"/>
            <w:vAlign w:val="top"/>
          </w:tcPr>
          <w:p w14:paraId="17D84D4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3.65</w:t>
            </w:r>
          </w:p>
        </w:tc>
      </w:tr>
      <w:tr w14:paraId="7EA5E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582" w:type="dxa"/>
            <w:noWrap w:val="0"/>
            <w:vAlign w:val="top"/>
          </w:tcPr>
          <w:p w14:paraId="65CE709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夏</w:t>
            </w:r>
          </w:p>
        </w:tc>
        <w:tc>
          <w:tcPr>
            <w:tcW w:w="576" w:type="dxa"/>
            <w:noWrap w:val="0"/>
            <w:vAlign w:val="top"/>
          </w:tcPr>
          <w:p w14:paraId="0D7DAF6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4.45</w:t>
            </w:r>
          </w:p>
        </w:tc>
        <w:tc>
          <w:tcPr>
            <w:tcW w:w="576" w:type="dxa"/>
            <w:noWrap w:val="0"/>
            <w:vAlign w:val="top"/>
          </w:tcPr>
          <w:p w14:paraId="1652B85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2.94</w:t>
            </w:r>
          </w:p>
        </w:tc>
        <w:tc>
          <w:tcPr>
            <w:tcW w:w="576" w:type="dxa"/>
            <w:noWrap w:val="0"/>
            <w:vAlign w:val="top"/>
          </w:tcPr>
          <w:p w14:paraId="06164EC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2.57</w:t>
            </w:r>
          </w:p>
        </w:tc>
        <w:tc>
          <w:tcPr>
            <w:tcW w:w="576" w:type="dxa"/>
            <w:noWrap w:val="0"/>
            <w:vAlign w:val="top"/>
          </w:tcPr>
          <w:p w14:paraId="17C80F4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2.45</w:t>
            </w:r>
          </w:p>
        </w:tc>
        <w:tc>
          <w:tcPr>
            <w:tcW w:w="576" w:type="dxa"/>
            <w:noWrap w:val="0"/>
            <w:vAlign w:val="top"/>
          </w:tcPr>
          <w:p w14:paraId="1E20875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2.42</w:t>
            </w:r>
          </w:p>
        </w:tc>
        <w:tc>
          <w:tcPr>
            <w:tcW w:w="576" w:type="dxa"/>
            <w:noWrap w:val="0"/>
            <w:vAlign w:val="top"/>
          </w:tcPr>
          <w:p w14:paraId="769181D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1.61</w:t>
            </w:r>
          </w:p>
        </w:tc>
        <w:tc>
          <w:tcPr>
            <w:tcW w:w="576" w:type="dxa"/>
            <w:noWrap w:val="0"/>
            <w:vAlign w:val="top"/>
          </w:tcPr>
          <w:p w14:paraId="72B4FD2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0.85</w:t>
            </w:r>
          </w:p>
        </w:tc>
        <w:tc>
          <w:tcPr>
            <w:tcW w:w="576" w:type="dxa"/>
            <w:noWrap w:val="0"/>
            <w:vAlign w:val="top"/>
          </w:tcPr>
          <w:p w14:paraId="5878DD6E">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0.93</w:t>
            </w:r>
          </w:p>
        </w:tc>
        <w:tc>
          <w:tcPr>
            <w:tcW w:w="576" w:type="dxa"/>
            <w:noWrap w:val="0"/>
            <w:vAlign w:val="top"/>
          </w:tcPr>
          <w:p w14:paraId="2E5B828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5.59</w:t>
            </w:r>
          </w:p>
        </w:tc>
        <w:tc>
          <w:tcPr>
            <w:tcW w:w="666" w:type="dxa"/>
            <w:noWrap w:val="0"/>
            <w:vAlign w:val="top"/>
          </w:tcPr>
          <w:p w14:paraId="0C7A3A2E">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5.65</w:t>
            </w:r>
          </w:p>
        </w:tc>
        <w:tc>
          <w:tcPr>
            <w:tcW w:w="666" w:type="dxa"/>
            <w:noWrap w:val="0"/>
            <w:vAlign w:val="top"/>
          </w:tcPr>
          <w:p w14:paraId="5ED6A74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7.04</w:t>
            </w:r>
          </w:p>
        </w:tc>
        <w:tc>
          <w:tcPr>
            <w:tcW w:w="576" w:type="dxa"/>
            <w:noWrap w:val="0"/>
            <w:vAlign w:val="top"/>
          </w:tcPr>
          <w:p w14:paraId="3F73BBC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5.93</w:t>
            </w:r>
          </w:p>
        </w:tc>
        <w:tc>
          <w:tcPr>
            <w:tcW w:w="576" w:type="dxa"/>
            <w:noWrap w:val="0"/>
            <w:vAlign w:val="top"/>
          </w:tcPr>
          <w:p w14:paraId="282C6B6A">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5.35</w:t>
            </w:r>
          </w:p>
        </w:tc>
        <w:tc>
          <w:tcPr>
            <w:tcW w:w="576" w:type="dxa"/>
            <w:noWrap w:val="0"/>
            <w:vAlign w:val="top"/>
          </w:tcPr>
          <w:p w14:paraId="64CAB1C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3.30</w:t>
            </w:r>
          </w:p>
        </w:tc>
        <w:tc>
          <w:tcPr>
            <w:tcW w:w="576" w:type="dxa"/>
            <w:noWrap w:val="0"/>
            <w:vAlign w:val="top"/>
          </w:tcPr>
          <w:p w14:paraId="758083E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4.22</w:t>
            </w:r>
          </w:p>
        </w:tc>
        <w:tc>
          <w:tcPr>
            <w:tcW w:w="576" w:type="dxa"/>
            <w:noWrap w:val="0"/>
            <w:vAlign w:val="top"/>
          </w:tcPr>
          <w:p w14:paraId="5548B6ED">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3.77</w:t>
            </w:r>
          </w:p>
        </w:tc>
        <w:tc>
          <w:tcPr>
            <w:tcW w:w="576" w:type="dxa"/>
            <w:noWrap w:val="0"/>
            <w:vAlign w:val="top"/>
          </w:tcPr>
          <w:p w14:paraId="1A567F0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3.69</w:t>
            </w:r>
          </w:p>
        </w:tc>
      </w:tr>
      <w:tr w14:paraId="3756F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2" w:type="dxa"/>
            <w:noWrap w:val="0"/>
            <w:vAlign w:val="top"/>
          </w:tcPr>
          <w:p w14:paraId="5ED556E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秋</w:t>
            </w:r>
          </w:p>
        </w:tc>
        <w:tc>
          <w:tcPr>
            <w:tcW w:w="576" w:type="dxa"/>
            <w:noWrap w:val="0"/>
            <w:vAlign w:val="top"/>
          </w:tcPr>
          <w:p w14:paraId="4628D40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2.44</w:t>
            </w:r>
          </w:p>
        </w:tc>
        <w:tc>
          <w:tcPr>
            <w:tcW w:w="576" w:type="dxa"/>
            <w:noWrap w:val="0"/>
            <w:vAlign w:val="top"/>
          </w:tcPr>
          <w:p w14:paraId="6DDF4A3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1.92</w:t>
            </w:r>
          </w:p>
        </w:tc>
        <w:tc>
          <w:tcPr>
            <w:tcW w:w="576" w:type="dxa"/>
            <w:noWrap w:val="0"/>
            <w:vAlign w:val="top"/>
          </w:tcPr>
          <w:p w14:paraId="6477F41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1.11</w:t>
            </w:r>
          </w:p>
        </w:tc>
        <w:tc>
          <w:tcPr>
            <w:tcW w:w="576" w:type="dxa"/>
            <w:noWrap w:val="0"/>
            <w:vAlign w:val="top"/>
          </w:tcPr>
          <w:p w14:paraId="2EF90D2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2.24</w:t>
            </w:r>
          </w:p>
        </w:tc>
        <w:tc>
          <w:tcPr>
            <w:tcW w:w="576" w:type="dxa"/>
            <w:noWrap w:val="0"/>
            <w:vAlign w:val="top"/>
          </w:tcPr>
          <w:p w14:paraId="3A7DEF4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2.00</w:t>
            </w:r>
          </w:p>
        </w:tc>
        <w:tc>
          <w:tcPr>
            <w:tcW w:w="576" w:type="dxa"/>
            <w:noWrap w:val="0"/>
            <w:vAlign w:val="top"/>
          </w:tcPr>
          <w:p w14:paraId="4463AF0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0.70</w:t>
            </w:r>
          </w:p>
        </w:tc>
        <w:tc>
          <w:tcPr>
            <w:tcW w:w="576" w:type="dxa"/>
            <w:noWrap w:val="0"/>
            <w:vAlign w:val="top"/>
          </w:tcPr>
          <w:p w14:paraId="5ECE577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0.81</w:t>
            </w:r>
          </w:p>
        </w:tc>
        <w:tc>
          <w:tcPr>
            <w:tcW w:w="576" w:type="dxa"/>
            <w:noWrap w:val="0"/>
            <w:vAlign w:val="top"/>
          </w:tcPr>
          <w:p w14:paraId="22A90EA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1.02</w:t>
            </w:r>
          </w:p>
        </w:tc>
        <w:tc>
          <w:tcPr>
            <w:tcW w:w="576" w:type="dxa"/>
            <w:noWrap w:val="0"/>
            <w:vAlign w:val="top"/>
          </w:tcPr>
          <w:p w14:paraId="1CE7A2B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6.09</w:t>
            </w:r>
          </w:p>
        </w:tc>
        <w:tc>
          <w:tcPr>
            <w:tcW w:w="666" w:type="dxa"/>
            <w:noWrap w:val="0"/>
            <w:vAlign w:val="top"/>
          </w:tcPr>
          <w:p w14:paraId="2A2AED27">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9.49</w:t>
            </w:r>
          </w:p>
        </w:tc>
        <w:tc>
          <w:tcPr>
            <w:tcW w:w="666" w:type="dxa"/>
            <w:noWrap w:val="0"/>
            <w:vAlign w:val="top"/>
          </w:tcPr>
          <w:p w14:paraId="5679833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11.45</w:t>
            </w:r>
          </w:p>
        </w:tc>
        <w:tc>
          <w:tcPr>
            <w:tcW w:w="576" w:type="dxa"/>
            <w:noWrap w:val="0"/>
            <w:vAlign w:val="top"/>
          </w:tcPr>
          <w:p w14:paraId="2237097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7.37</w:t>
            </w:r>
          </w:p>
        </w:tc>
        <w:tc>
          <w:tcPr>
            <w:tcW w:w="576" w:type="dxa"/>
            <w:noWrap w:val="0"/>
            <w:vAlign w:val="top"/>
          </w:tcPr>
          <w:p w14:paraId="3C2470E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6.12</w:t>
            </w:r>
          </w:p>
        </w:tc>
        <w:tc>
          <w:tcPr>
            <w:tcW w:w="576" w:type="dxa"/>
            <w:noWrap w:val="0"/>
            <w:vAlign w:val="top"/>
          </w:tcPr>
          <w:p w14:paraId="4A624AB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2.76</w:t>
            </w:r>
          </w:p>
        </w:tc>
        <w:tc>
          <w:tcPr>
            <w:tcW w:w="576" w:type="dxa"/>
            <w:noWrap w:val="0"/>
            <w:vAlign w:val="top"/>
          </w:tcPr>
          <w:p w14:paraId="2650A06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2.75</w:t>
            </w:r>
          </w:p>
        </w:tc>
        <w:tc>
          <w:tcPr>
            <w:tcW w:w="576" w:type="dxa"/>
            <w:noWrap w:val="0"/>
            <w:vAlign w:val="top"/>
          </w:tcPr>
          <w:p w14:paraId="2B2FF36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2.35</w:t>
            </w:r>
          </w:p>
        </w:tc>
        <w:tc>
          <w:tcPr>
            <w:tcW w:w="576" w:type="dxa"/>
            <w:noWrap w:val="0"/>
            <w:vAlign w:val="top"/>
          </w:tcPr>
          <w:p w14:paraId="167CC1F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3.79</w:t>
            </w:r>
          </w:p>
        </w:tc>
      </w:tr>
      <w:tr w14:paraId="6A01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jc w:val="center"/>
        </w:trPr>
        <w:tc>
          <w:tcPr>
            <w:tcW w:w="582" w:type="dxa"/>
            <w:noWrap w:val="0"/>
            <w:vAlign w:val="top"/>
          </w:tcPr>
          <w:p w14:paraId="3CD149F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冬</w:t>
            </w:r>
          </w:p>
        </w:tc>
        <w:tc>
          <w:tcPr>
            <w:tcW w:w="576" w:type="dxa"/>
            <w:noWrap w:val="0"/>
            <w:vAlign w:val="top"/>
          </w:tcPr>
          <w:p w14:paraId="5699526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2.41</w:t>
            </w:r>
          </w:p>
        </w:tc>
        <w:tc>
          <w:tcPr>
            <w:tcW w:w="576" w:type="dxa"/>
            <w:noWrap w:val="0"/>
            <w:vAlign w:val="top"/>
          </w:tcPr>
          <w:p w14:paraId="37FD82D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1.98</w:t>
            </w:r>
          </w:p>
        </w:tc>
        <w:tc>
          <w:tcPr>
            <w:tcW w:w="576" w:type="dxa"/>
            <w:noWrap w:val="0"/>
            <w:vAlign w:val="top"/>
          </w:tcPr>
          <w:p w14:paraId="01CFE01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1.97</w:t>
            </w:r>
          </w:p>
        </w:tc>
        <w:tc>
          <w:tcPr>
            <w:tcW w:w="576" w:type="dxa"/>
            <w:noWrap w:val="0"/>
            <w:vAlign w:val="top"/>
          </w:tcPr>
          <w:p w14:paraId="271F971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1.72</w:t>
            </w:r>
          </w:p>
        </w:tc>
        <w:tc>
          <w:tcPr>
            <w:tcW w:w="576" w:type="dxa"/>
            <w:noWrap w:val="0"/>
            <w:vAlign w:val="top"/>
          </w:tcPr>
          <w:p w14:paraId="6F58533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1.50</w:t>
            </w:r>
          </w:p>
        </w:tc>
        <w:tc>
          <w:tcPr>
            <w:tcW w:w="576" w:type="dxa"/>
            <w:noWrap w:val="0"/>
            <w:vAlign w:val="top"/>
          </w:tcPr>
          <w:p w14:paraId="414FC81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0.84</w:t>
            </w:r>
          </w:p>
        </w:tc>
        <w:tc>
          <w:tcPr>
            <w:tcW w:w="576" w:type="dxa"/>
            <w:noWrap w:val="0"/>
            <w:vAlign w:val="top"/>
          </w:tcPr>
          <w:p w14:paraId="1C7EC4D5">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0.83</w:t>
            </w:r>
          </w:p>
        </w:tc>
        <w:tc>
          <w:tcPr>
            <w:tcW w:w="576" w:type="dxa"/>
            <w:noWrap w:val="0"/>
            <w:vAlign w:val="top"/>
          </w:tcPr>
          <w:p w14:paraId="0C343C5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1.56</w:t>
            </w:r>
          </w:p>
        </w:tc>
        <w:tc>
          <w:tcPr>
            <w:tcW w:w="576" w:type="dxa"/>
            <w:noWrap w:val="0"/>
            <w:vAlign w:val="top"/>
          </w:tcPr>
          <w:p w14:paraId="552D356D">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6.28</w:t>
            </w:r>
          </w:p>
        </w:tc>
        <w:tc>
          <w:tcPr>
            <w:tcW w:w="666" w:type="dxa"/>
            <w:noWrap w:val="0"/>
            <w:vAlign w:val="top"/>
          </w:tcPr>
          <w:p w14:paraId="19A8E418">
            <w:pPr>
              <w:pStyle w:val="2"/>
              <w:widowControl w:val="0"/>
              <w:ind w:left="0" w:firstLine="0"/>
              <w:jc w:val="center"/>
              <w:rPr>
                <w:rFonts w:hint="eastAsia" w:hAnsi="Courier New" w:cs="Courier New"/>
                <w:sz w:val="18"/>
                <w:szCs w:val="18"/>
                <w:vertAlign w:val="baseline"/>
                <w:lang w:val="en-US" w:eastAsia="zh-CN"/>
              </w:rPr>
            </w:pPr>
            <w:r>
              <w:rPr>
                <w:rFonts w:hint="eastAsia" w:hAnsi="Courier New" w:cs="Courier New"/>
                <w:sz w:val="18"/>
                <w:szCs w:val="18"/>
                <w:vertAlign w:val="baseline"/>
                <w:lang w:val="en-US" w:eastAsia="zh-CN"/>
              </w:rPr>
              <w:t>12.75</w:t>
            </w:r>
          </w:p>
        </w:tc>
        <w:tc>
          <w:tcPr>
            <w:tcW w:w="666" w:type="dxa"/>
            <w:noWrap w:val="0"/>
            <w:vAlign w:val="top"/>
          </w:tcPr>
          <w:p w14:paraId="552BBAC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13.78</w:t>
            </w:r>
          </w:p>
        </w:tc>
        <w:tc>
          <w:tcPr>
            <w:tcW w:w="576" w:type="dxa"/>
            <w:noWrap w:val="0"/>
            <w:vAlign w:val="top"/>
          </w:tcPr>
          <w:p w14:paraId="064270E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8.14</w:t>
            </w:r>
          </w:p>
        </w:tc>
        <w:tc>
          <w:tcPr>
            <w:tcW w:w="576" w:type="dxa"/>
            <w:noWrap w:val="0"/>
            <w:vAlign w:val="top"/>
          </w:tcPr>
          <w:p w14:paraId="1467E85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5.55</w:t>
            </w:r>
          </w:p>
        </w:tc>
        <w:tc>
          <w:tcPr>
            <w:tcW w:w="576" w:type="dxa"/>
            <w:noWrap w:val="0"/>
            <w:vAlign w:val="top"/>
          </w:tcPr>
          <w:p w14:paraId="53E094F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2.87</w:t>
            </w:r>
          </w:p>
        </w:tc>
        <w:tc>
          <w:tcPr>
            <w:tcW w:w="576" w:type="dxa"/>
            <w:noWrap w:val="0"/>
            <w:vAlign w:val="top"/>
          </w:tcPr>
          <w:p w14:paraId="7AE5330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2.87</w:t>
            </w:r>
          </w:p>
        </w:tc>
        <w:tc>
          <w:tcPr>
            <w:tcW w:w="576" w:type="dxa"/>
            <w:noWrap w:val="0"/>
            <w:vAlign w:val="top"/>
          </w:tcPr>
          <w:p w14:paraId="3AFD892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1.70</w:t>
            </w:r>
          </w:p>
        </w:tc>
        <w:tc>
          <w:tcPr>
            <w:tcW w:w="576" w:type="dxa"/>
            <w:noWrap w:val="0"/>
            <w:vAlign w:val="top"/>
          </w:tcPr>
          <w:p w14:paraId="0731168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4.17</w:t>
            </w:r>
          </w:p>
        </w:tc>
      </w:tr>
    </w:tbl>
    <w:p w14:paraId="1647CF17">
      <w:pPr>
        <w:pStyle w:val="2"/>
        <w:ind w:left="0" w:firstLine="0"/>
        <w:jc w:val="center"/>
      </w:pPr>
      <w:r>
        <w:rPr>
          <w:rFonts w:hint="eastAsia" w:hAnsi="Courier New" w:cs="Courier New"/>
          <w:sz w:val="18"/>
          <w:szCs w:val="18"/>
          <w:vertAlign w:val="baseline"/>
          <w:lang w:val="en-US" w:eastAsia="zh-CN"/>
        </w:rPr>
        <w:drawing>
          <wp:inline distT="0" distB="0" distL="0" distR="0">
            <wp:extent cx="5200650" cy="7172325"/>
            <wp:effectExtent l="0" t="0" r="0" b="0"/>
            <wp:docPr id="44" name="_x0000_i3124"/>
            <wp:cNvGraphicFramePr/>
            <a:graphic xmlns:a="http://schemas.openxmlformats.org/drawingml/2006/main">
              <a:graphicData uri="http://schemas.openxmlformats.org/drawingml/2006/picture">
                <pic:pic xmlns:pic="http://schemas.openxmlformats.org/drawingml/2006/picture">
                  <pic:nvPicPr>
                    <pic:cNvPr id="44" name="_x0000_i3124"/>
                    <pic:cNvPicPr/>
                  </pic:nvPicPr>
                  <pic:blipFill>
                    <a:blip r:embed="rId57"/>
                    <a:stretch>
                      <a:fillRect/>
                    </a:stretch>
                  </pic:blipFill>
                  <pic:spPr>
                    <a:xfrm>
                      <a:off x="0" y="0"/>
                      <a:ext cx="5200650" cy="7172325"/>
                    </a:xfrm>
                    <a:prstGeom prst="rect">
                      <a:avLst/>
                    </a:prstGeom>
                    <a:noFill/>
                    <a:ln>
                      <a:noFill/>
                    </a:ln>
                  </pic:spPr>
                </pic:pic>
              </a:graphicData>
            </a:graphic>
          </wp:inline>
        </w:drawing>
      </w:r>
    </w:p>
    <w:p w14:paraId="6BCD1CC5">
      <w:pPr>
        <w:keepNext w:val="0"/>
        <w:keepLines w:val="0"/>
        <w:widowControl/>
        <w:suppressLineNumbers w:val="0"/>
        <w:ind w:firstLine="2168"/>
        <w:jc w:val="left"/>
      </w:pPr>
      <w:r>
        <w:rPr>
          <w:rFonts w:hint="eastAsia" w:ascii="宋体" w:hAnsi="宋体" w:eastAsia="宋体" w:cs="宋体"/>
          <w:b/>
          <w:color w:val="000000"/>
          <w:sz w:val="24"/>
          <w:szCs w:val="24"/>
          <w:lang w:val="en-US" w:eastAsia="zh-CN" w:bidi="ar"/>
        </w:rPr>
        <w:t xml:space="preserve">图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 xml:space="preserve">.2-5 2017 </w:t>
      </w:r>
      <w:r>
        <w:rPr>
          <w:rFonts w:hint="eastAsia" w:ascii="宋体" w:hAnsi="宋体" w:eastAsia="宋体" w:cs="宋体"/>
          <w:b/>
          <w:color w:val="000000"/>
          <w:sz w:val="24"/>
          <w:szCs w:val="24"/>
          <w:lang w:val="en-US" w:eastAsia="zh-CN" w:bidi="ar"/>
        </w:rPr>
        <w:t>年全年和各季污染系数玫瑰图</w:t>
      </w:r>
    </w:p>
    <w:p w14:paraId="3952EE6E">
      <w:pPr>
        <w:keepNext w:val="0"/>
        <w:keepLines w:val="0"/>
        <w:widowControl/>
        <w:suppressLineNumbers w:val="0"/>
        <w:jc w:val="left"/>
      </w:pPr>
      <w:r>
        <w:rPr>
          <w:rFonts w:hint="eastAsia" w:ascii="华文宋体" w:hAnsi="华文宋体" w:eastAsia="华文宋体" w:cs="华文宋体"/>
          <w:color w:val="000000"/>
          <w:sz w:val="24"/>
          <w:szCs w:val="24"/>
          <w:lang w:val="en-US" w:eastAsia="zh-CN" w:bidi="ar"/>
        </w:rPr>
        <w:t>④</w:t>
      </w:r>
      <w:r>
        <w:rPr>
          <w:rFonts w:hint="eastAsia" w:ascii="宋体" w:hAnsi="宋体" w:eastAsia="宋体" w:cs="宋体"/>
          <w:color w:val="000000"/>
          <w:sz w:val="24"/>
          <w:szCs w:val="24"/>
          <w:lang w:val="en-US" w:eastAsia="zh-CN" w:bidi="ar"/>
        </w:rPr>
        <w:t xml:space="preserve">气温 </w:t>
      </w:r>
    </w:p>
    <w:p w14:paraId="35BAC32A">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根据芒市气象站 </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 xml:space="preserve">年地面气象观测资料，项目区 </w:t>
      </w:r>
      <w:r>
        <w:rPr>
          <w:rFonts w:ascii="Times New Roman" w:hAnsi="Times New Roman" w:eastAsia="宋体" w:cs="Times New Roman"/>
          <w:color w:val="000000"/>
          <w:sz w:val="24"/>
          <w:szCs w:val="24"/>
          <w:lang w:val="en-US" w:eastAsia="zh-CN" w:bidi="ar"/>
        </w:rPr>
        <w:t xml:space="preserve">2017 </w:t>
      </w:r>
      <w:r>
        <w:rPr>
          <w:rFonts w:hint="eastAsia" w:ascii="宋体" w:hAnsi="宋体" w:eastAsia="宋体" w:cs="宋体"/>
          <w:color w:val="000000"/>
          <w:sz w:val="24"/>
          <w:szCs w:val="24"/>
          <w:lang w:val="en-US" w:eastAsia="zh-CN" w:bidi="ar"/>
        </w:rPr>
        <w:t xml:space="preserve">年平均气温统计结果见表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w:t>
      </w:r>
      <w:r>
        <w:rPr>
          <w:rFonts w:hint="eastAsia" w:ascii="Times New Roman" w:hAnsi="Times New Roman" w:eastAsia="宋体" w:cs="Times New Roman"/>
          <w:color w:val="000000"/>
          <w:sz w:val="24"/>
          <w:szCs w:val="24"/>
          <w:lang w:val="en-US" w:eastAsia="zh-CN" w:bidi="ar"/>
        </w:rPr>
        <w:t>7</w:t>
      </w:r>
      <w:r>
        <w:rPr>
          <w:rFonts w:hint="eastAsia" w:ascii="宋体" w:hAnsi="宋体" w:eastAsia="宋体" w:cs="宋体"/>
          <w:color w:val="000000"/>
          <w:sz w:val="24"/>
          <w:szCs w:val="24"/>
          <w:lang w:val="en-US" w:eastAsia="zh-CN" w:bidi="ar"/>
        </w:rPr>
        <w:t xml:space="preserve">，年平均气温变化曲线见图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.2-6</w:t>
      </w:r>
      <w:r>
        <w:rPr>
          <w:rFonts w:hint="eastAsia" w:ascii="宋体" w:hAnsi="宋体" w:eastAsia="宋体" w:cs="宋体"/>
          <w:color w:val="000000"/>
          <w:sz w:val="24"/>
          <w:szCs w:val="24"/>
          <w:lang w:val="en-US" w:eastAsia="zh-CN" w:bidi="ar"/>
        </w:rPr>
        <w:t>。</w:t>
      </w:r>
    </w:p>
    <w:p w14:paraId="1A08E8B6">
      <w:pPr>
        <w:keepNext w:val="0"/>
        <w:keepLines w:val="0"/>
        <w:widowControl/>
        <w:suppressLineNumbers w:val="0"/>
        <w:ind w:left="0" w:firstLine="0"/>
        <w:jc w:val="center"/>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表6.2-7 项目区2017年平均气温统计结果</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8"/>
        <w:gridCol w:w="634"/>
        <w:gridCol w:w="634"/>
        <w:gridCol w:w="634"/>
        <w:gridCol w:w="634"/>
        <w:gridCol w:w="634"/>
        <w:gridCol w:w="634"/>
        <w:gridCol w:w="634"/>
        <w:gridCol w:w="634"/>
        <w:gridCol w:w="634"/>
        <w:gridCol w:w="635"/>
        <w:gridCol w:w="635"/>
        <w:gridCol w:w="635"/>
        <w:gridCol w:w="635"/>
      </w:tblGrid>
      <w:tr w14:paraId="53544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8" w:type="dxa"/>
            <w:noWrap w:val="0"/>
            <w:vAlign w:val="center"/>
          </w:tcPr>
          <w:p w14:paraId="2FAA21F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月份</w:t>
            </w:r>
          </w:p>
        </w:tc>
        <w:tc>
          <w:tcPr>
            <w:tcW w:w="608" w:type="dxa"/>
            <w:noWrap w:val="0"/>
            <w:vAlign w:val="center"/>
          </w:tcPr>
          <w:p w14:paraId="2AD149DF">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1月</w:t>
            </w:r>
          </w:p>
        </w:tc>
        <w:tc>
          <w:tcPr>
            <w:tcW w:w="608" w:type="dxa"/>
            <w:noWrap w:val="0"/>
            <w:vAlign w:val="center"/>
          </w:tcPr>
          <w:p w14:paraId="2FB4D66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2月</w:t>
            </w:r>
          </w:p>
        </w:tc>
        <w:tc>
          <w:tcPr>
            <w:tcW w:w="608" w:type="dxa"/>
            <w:noWrap w:val="0"/>
            <w:vAlign w:val="center"/>
          </w:tcPr>
          <w:p w14:paraId="61DB990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3月</w:t>
            </w:r>
          </w:p>
        </w:tc>
        <w:tc>
          <w:tcPr>
            <w:tcW w:w="609" w:type="dxa"/>
            <w:noWrap w:val="0"/>
            <w:vAlign w:val="center"/>
          </w:tcPr>
          <w:p w14:paraId="3679996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4月</w:t>
            </w:r>
          </w:p>
        </w:tc>
        <w:tc>
          <w:tcPr>
            <w:tcW w:w="609" w:type="dxa"/>
            <w:noWrap w:val="0"/>
            <w:vAlign w:val="center"/>
          </w:tcPr>
          <w:p w14:paraId="510C754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5月</w:t>
            </w:r>
          </w:p>
        </w:tc>
        <w:tc>
          <w:tcPr>
            <w:tcW w:w="609" w:type="dxa"/>
            <w:noWrap w:val="0"/>
            <w:vAlign w:val="center"/>
          </w:tcPr>
          <w:p w14:paraId="6823CF9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6月</w:t>
            </w:r>
          </w:p>
        </w:tc>
        <w:tc>
          <w:tcPr>
            <w:tcW w:w="609" w:type="dxa"/>
            <w:noWrap w:val="0"/>
            <w:vAlign w:val="center"/>
          </w:tcPr>
          <w:p w14:paraId="752387B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7月</w:t>
            </w:r>
          </w:p>
        </w:tc>
        <w:tc>
          <w:tcPr>
            <w:tcW w:w="609" w:type="dxa"/>
            <w:noWrap w:val="0"/>
            <w:vAlign w:val="center"/>
          </w:tcPr>
          <w:p w14:paraId="11A2F802">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8月</w:t>
            </w:r>
          </w:p>
        </w:tc>
        <w:tc>
          <w:tcPr>
            <w:tcW w:w="609" w:type="dxa"/>
            <w:noWrap w:val="0"/>
            <w:vAlign w:val="center"/>
          </w:tcPr>
          <w:p w14:paraId="77D3BCE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9月</w:t>
            </w:r>
          </w:p>
        </w:tc>
        <w:tc>
          <w:tcPr>
            <w:tcW w:w="609" w:type="dxa"/>
            <w:noWrap w:val="0"/>
            <w:vAlign w:val="center"/>
          </w:tcPr>
          <w:p w14:paraId="14AF12F6">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10月</w:t>
            </w:r>
          </w:p>
        </w:tc>
        <w:tc>
          <w:tcPr>
            <w:tcW w:w="609" w:type="dxa"/>
            <w:noWrap w:val="0"/>
            <w:vAlign w:val="center"/>
          </w:tcPr>
          <w:p w14:paraId="54AE91A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11月</w:t>
            </w:r>
          </w:p>
        </w:tc>
        <w:tc>
          <w:tcPr>
            <w:tcW w:w="609" w:type="dxa"/>
            <w:noWrap w:val="0"/>
            <w:vAlign w:val="center"/>
          </w:tcPr>
          <w:p w14:paraId="52EC82D1">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12月</w:t>
            </w:r>
          </w:p>
        </w:tc>
        <w:tc>
          <w:tcPr>
            <w:tcW w:w="609" w:type="dxa"/>
            <w:noWrap w:val="0"/>
            <w:vAlign w:val="center"/>
          </w:tcPr>
          <w:p w14:paraId="41AA0C7B">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全年</w:t>
            </w:r>
          </w:p>
        </w:tc>
      </w:tr>
      <w:tr w14:paraId="57175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8" w:type="dxa"/>
            <w:noWrap w:val="0"/>
            <w:vAlign w:val="center"/>
          </w:tcPr>
          <w:p w14:paraId="518D783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温度（</w:t>
            </w:r>
            <w:r>
              <w:rPr>
                <w:rFonts w:hint="eastAsia" w:ascii="宋体" w:hAnsi="宋体" w:eastAsia="宋体" w:cs="宋体"/>
                <w:sz w:val="18"/>
                <w:szCs w:val="18"/>
                <w:vertAlign w:val="baseline"/>
                <w:lang w:val="en-US" w:eastAsia="zh-CN"/>
              </w:rPr>
              <w:t>℃</w:t>
            </w:r>
            <w:r>
              <w:rPr>
                <w:rFonts w:hint="eastAsia" w:hAnsi="Courier New" w:cs="Courier New"/>
                <w:sz w:val="18"/>
                <w:szCs w:val="18"/>
                <w:vertAlign w:val="baseline"/>
                <w:lang w:val="en-US" w:eastAsia="zh-CN"/>
              </w:rPr>
              <w:t>）</w:t>
            </w:r>
          </w:p>
        </w:tc>
        <w:tc>
          <w:tcPr>
            <w:tcW w:w="608" w:type="dxa"/>
            <w:noWrap w:val="0"/>
            <w:vAlign w:val="center"/>
          </w:tcPr>
          <w:p w14:paraId="68D60527">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14.84</w:t>
            </w:r>
          </w:p>
        </w:tc>
        <w:tc>
          <w:tcPr>
            <w:tcW w:w="608" w:type="dxa"/>
            <w:noWrap w:val="0"/>
            <w:vAlign w:val="center"/>
          </w:tcPr>
          <w:p w14:paraId="10DB978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16.44</w:t>
            </w:r>
          </w:p>
        </w:tc>
        <w:tc>
          <w:tcPr>
            <w:tcW w:w="608" w:type="dxa"/>
            <w:noWrap w:val="0"/>
            <w:vAlign w:val="center"/>
          </w:tcPr>
          <w:p w14:paraId="271ADEA0">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18.60</w:t>
            </w:r>
          </w:p>
        </w:tc>
        <w:tc>
          <w:tcPr>
            <w:tcW w:w="609" w:type="dxa"/>
            <w:noWrap w:val="0"/>
            <w:vAlign w:val="center"/>
          </w:tcPr>
          <w:p w14:paraId="094A7BA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21.31</w:t>
            </w:r>
          </w:p>
        </w:tc>
        <w:tc>
          <w:tcPr>
            <w:tcW w:w="609" w:type="dxa"/>
            <w:noWrap w:val="0"/>
            <w:vAlign w:val="center"/>
          </w:tcPr>
          <w:p w14:paraId="48823B9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24.03</w:t>
            </w:r>
          </w:p>
        </w:tc>
        <w:tc>
          <w:tcPr>
            <w:tcW w:w="609" w:type="dxa"/>
            <w:noWrap w:val="0"/>
            <w:vAlign w:val="center"/>
          </w:tcPr>
          <w:p w14:paraId="2180EE09">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24.81</w:t>
            </w:r>
          </w:p>
        </w:tc>
        <w:tc>
          <w:tcPr>
            <w:tcW w:w="609" w:type="dxa"/>
            <w:noWrap w:val="0"/>
            <w:vAlign w:val="center"/>
          </w:tcPr>
          <w:p w14:paraId="4DC673D3">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24.68</w:t>
            </w:r>
          </w:p>
        </w:tc>
        <w:tc>
          <w:tcPr>
            <w:tcW w:w="609" w:type="dxa"/>
            <w:noWrap w:val="0"/>
            <w:vAlign w:val="center"/>
          </w:tcPr>
          <w:p w14:paraId="2A6D0E4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24.91</w:t>
            </w:r>
          </w:p>
        </w:tc>
        <w:tc>
          <w:tcPr>
            <w:tcW w:w="609" w:type="dxa"/>
            <w:noWrap w:val="0"/>
            <w:vAlign w:val="center"/>
          </w:tcPr>
          <w:p w14:paraId="586077CC">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25.08</w:t>
            </w:r>
          </w:p>
        </w:tc>
        <w:tc>
          <w:tcPr>
            <w:tcW w:w="609" w:type="dxa"/>
            <w:noWrap w:val="0"/>
            <w:vAlign w:val="center"/>
          </w:tcPr>
          <w:p w14:paraId="559958AA">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23.49</w:t>
            </w:r>
          </w:p>
        </w:tc>
        <w:tc>
          <w:tcPr>
            <w:tcW w:w="609" w:type="dxa"/>
            <w:noWrap w:val="0"/>
            <w:vAlign w:val="center"/>
          </w:tcPr>
          <w:p w14:paraId="5B0E2584">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19.58</w:t>
            </w:r>
          </w:p>
        </w:tc>
        <w:tc>
          <w:tcPr>
            <w:tcW w:w="609" w:type="dxa"/>
            <w:noWrap w:val="0"/>
            <w:vAlign w:val="center"/>
          </w:tcPr>
          <w:p w14:paraId="24D6F19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15.60</w:t>
            </w:r>
          </w:p>
        </w:tc>
        <w:tc>
          <w:tcPr>
            <w:tcW w:w="609" w:type="dxa"/>
            <w:noWrap w:val="0"/>
            <w:vAlign w:val="center"/>
          </w:tcPr>
          <w:p w14:paraId="5188DC08">
            <w:pPr>
              <w:pStyle w:val="2"/>
              <w:widowControl w:val="0"/>
              <w:ind w:left="0" w:firstLine="0"/>
              <w:jc w:val="center"/>
              <w:rPr>
                <w:rFonts w:hAnsi="Courier New" w:cs="Courier New"/>
                <w:sz w:val="18"/>
                <w:szCs w:val="18"/>
                <w:vertAlign w:val="baseline"/>
                <w:lang w:val="en-US" w:eastAsia="zh-CN"/>
              </w:rPr>
            </w:pPr>
            <w:r>
              <w:rPr>
                <w:rFonts w:hint="eastAsia" w:hAnsi="Courier New" w:cs="Courier New"/>
                <w:sz w:val="18"/>
                <w:szCs w:val="18"/>
                <w:vertAlign w:val="baseline"/>
                <w:lang w:val="en-US" w:eastAsia="zh-CN"/>
              </w:rPr>
              <w:t>21.11</w:t>
            </w:r>
          </w:p>
        </w:tc>
      </w:tr>
    </w:tbl>
    <w:p w14:paraId="3EA65233">
      <w:pPr>
        <w:keepNext w:val="0"/>
        <w:keepLines w:val="0"/>
        <w:widowControl/>
        <w:suppressLineNumbers w:val="0"/>
        <w:ind w:left="0" w:firstLine="0"/>
        <w:jc w:val="center"/>
      </w:pPr>
      <w:r>
        <w:rPr>
          <w:rFonts w:ascii="宋体" w:hAnsi="宋体" w:eastAsia="宋体" w:cs="宋体"/>
          <w:sz w:val="24"/>
          <w:szCs w:val="24"/>
          <w:lang w:val="en-US" w:eastAsia="zh-CN" w:bidi="ar"/>
        </w:rPr>
        <w:drawing>
          <wp:inline distT="0" distB="0" distL="0" distR="0">
            <wp:extent cx="5648325" cy="2181225"/>
            <wp:effectExtent l="0" t="0" r="0" b="0"/>
            <wp:docPr id="45" name="_x0000_i3125"/>
            <wp:cNvGraphicFramePr/>
            <a:graphic xmlns:a="http://schemas.openxmlformats.org/drawingml/2006/main">
              <a:graphicData uri="http://schemas.openxmlformats.org/drawingml/2006/picture">
                <pic:pic xmlns:pic="http://schemas.openxmlformats.org/drawingml/2006/picture">
                  <pic:nvPicPr>
                    <pic:cNvPr id="45" name="_x0000_i3125"/>
                    <pic:cNvPicPr/>
                  </pic:nvPicPr>
                  <pic:blipFill>
                    <a:blip r:embed="rId58"/>
                    <a:stretch>
                      <a:fillRect/>
                    </a:stretch>
                  </pic:blipFill>
                  <pic:spPr>
                    <a:xfrm>
                      <a:off x="0" y="0"/>
                      <a:ext cx="5648325" cy="2181225"/>
                    </a:xfrm>
                    <a:prstGeom prst="rect">
                      <a:avLst/>
                    </a:prstGeom>
                    <a:noFill/>
                    <a:ln>
                      <a:noFill/>
                    </a:ln>
                  </pic:spPr>
                </pic:pic>
              </a:graphicData>
            </a:graphic>
          </wp:inline>
        </w:drawing>
      </w:r>
    </w:p>
    <w:p w14:paraId="65D4C6A2">
      <w:pPr>
        <w:keepNext w:val="0"/>
        <w:keepLines w:val="0"/>
        <w:widowControl/>
        <w:suppressLineNumbers w:val="0"/>
        <w:jc w:val="center"/>
      </w:pPr>
      <w:r>
        <w:rPr>
          <w:rFonts w:hint="eastAsia" w:ascii="宋体" w:hAnsi="宋体" w:eastAsia="宋体" w:cs="宋体"/>
          <w:b/>
          <w:color w:val="000000"/>
          <w:sz w:val="24"/>
          <w:szCs w:val="24"/>
          <w:lang w:val="en-US" w:eastAsia="zh-CN" w:bidi="ar"/>
        </w:rPr>
        <w:t xml:space="preserve">图 </w:t>
      </w:r>
      <w:r>
        <w:rPr>
          <w:rFonts w:hint="eastAsia" w:ascii="Times New Roman" w:hAnsi="Times New Roman" w:eastAsia="宋体" w:cs="Times New Roman"/>
          <w:b/>
          <w:color w:val="000000"/>
          <w:sz w:val="24"/>
          <w:szCs w:val="24"/>
          <w:lang w:val="en-US" w:eastAsia="zh-CN" w:bidi="ar"/>
        </w:rPr>
        <w:t>6</w:t>
      </w:r>
      <w:r>
        <w:rPr>
          <w:rFonts w:ascii="Times New Roman" w:hAnsi="Times New Roman" w:eastAsia="宋体" w:cs="Times New Roman"/>
          <w:b/>
          <w:color w:val="000000"/>
          <w:sz w:val="24"/>
          <w:szCs w:val="24"/>
          <w:lang w:val="en-US" w:eastAsia="zh-CN" w:bidi="ar"/>
        </w:rPr>
        <w:t xml:space="preserve">.2-6 </w:t>
      </w:r>
      <w:r>
        <w:rPr>
          <w:rFonts w:hint="eastAsia" w:ascii="宋体" w:hAnsi="宋体" w:eastAsia="宋体" w:cs="宋体"/>
          <w:b/>
          <w:color w:val="000000"/>
          <w:sz w:val="24"/>
          <w:szCs w:val="24"/>
          <w:lang w:val="en-US" w:eastAsia="zh-CN" w:bidi="ar"/>
        </w:rPr>
        <w:t xml:space="preserve">项目区 </w:t>
      </w:r>
      <w:r>
        <w:rPr>
          <w:rFonts w:ascii="Times New Roman" w:hAnsi="Times New Roman" w:eastAsia="宋体" w:cs="Times New Roman"/>
          <w:b/>
          <w:color w:val="000000"/>
          <w:sz w:val="24"/>
          <w:szCs w:val="24"/>
          <w:lang w:val="en-US" w:eastAsia="zh-CN" w:bidi="ar"/>
        </w:rPr>
        <w:t xml:space="preserve">2017 </w:t>
      </w:r>
      <w:r>
        <w:rPr>
          <w:rFonts w:hint="eastAsia" w:ascii="宋体" w:hAnsi="宋体" w:eastAsia="宋体" w:cs="宋体"/>
          <w:b/>
          <w:color w:val="000000"/>
          <w:sz w:val="24"/>
          <w:szCs w:val="24"/>
          <w:lang w:val="en-US" w:eastAsia="zh-CN" w:bidi="ar"/>
        </w:rPr>
        <w:t>年平均气温变化曲线</w:t>
      </w:r>
    </w:p>
    <w:p w14:paraId="3C6D6496">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从统计结果可以看出：项目区 2017 年平均气温为 21.11℃，1 月平均气温最低，9 月平均气温最高，5~9 月平均气温较高，都在 24℃以上。 </w:t>
      </w:r>
    </w:p>
    <w:p w14:paraId="64927817">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hint="eastAsia" w:ascii="宋体" w:hAnsi="宋体" w:eastAsia="宋体" w:cs="宋体"/>
          <w:color w:val="000000"/>
          <w:sz w:val="24"/>
          <w:szCs w:val="24"/>
          <w:lang w:val="en-US" w:eastAsia="zh-CN" w:bidi="ar"/>
        </w:rPr>
        <w:t>⑤</w:t>
      </w:r>
      <w:r>
        <w:rPr>
          <w:rFonts w:ascii="Times New Roman" w:hAnsi="Times New Roman" w:eastAsia="宋体" w:cs="Times New Roman"/>
          <w:color w:val="000000"/>
          <w:sz w:val="24"/>
          <w:szCs w:val="24"/>
          <w:lang w:val="en-US" w:eastAsia="zh-CN" w:bidi="ar"/>
        </w:rPr>
        <w:t xml:space="preserve">混合层和逆温 </w:t>
      </w:r>
    </w:p>
    <w:p w14:paraId="56B785B0">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 xml:space="preserve">.2-10～表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 xml:space="preserve">.2-13 给出2017年混合层高度和逆温统计分析。 </w:t>
      </w:r>
    </w:p>
    <w:p w14:paraId="4FD0A1A8">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混合层高度：从月季节变化上看，春季混合层高度大，秋冬季混合层高度小，全年平均混合层高度为464m。 </w:t>
      </w:r>
    </w:p>
    <w:p w14:paraId="0BFDBDDF">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逆温频率：逆温频率月季变化表现为春冬逆温频率大，夏秋逆温频率小，全年平均逆温频率为35.56%</w:t>
      </w:r>
    </w:p>
    <w:p w14:paraId="27002DB9">
      <w:pPr>
        <w:pStyle w:val="2"/>
        <w:ind w:firstLine="480"/>
        <w:jc w:val="center"/>
        <w:rPr>
          <w:rFonts w:ascii="Times New Roman" w:hAnsi="Times New Roman" w:eastAsia="宋体" w:cs="Times New Roman"/>
          <w:b/>
          <w:bCs/>
          <w:sz w:val="24"/>
          <w:szCs w:val="24"/>
          <w:lang w:val="en-US" w:eastAsia="zh-CN"/>
        </w:rPr>
      </w:pPr>
      <w:r>
        <w:rPr>
          <w:rFonts w:ascii="Times New Roman" w:hAnsi="Times New Roman" w:cs="Times New Roman"/>
          <w:b/>
          <w:bCs/>
          <w:sz w:val="24"/>
          <w:szCs w:val="24"/>
          <w:lang w:val="en-US" w:eastAsia="zh-CN"/>
        </w:rPr>
        <w:t>表6.2-</w:t>
      </w:r>
      <w:r>
        <w:rPr>
          <w:rFonts w:hint="eastAsia" w:ascii="Times New Roman" w:hAnsi="Times New Roman" w:cs="Times New Roman"/>
          <w:b/>
          <w:bCs/>
          <w:sz w:val="24"/>
          <w:szCs w:val="24"/>
          <w:lang w:val="en-US" w:eastAsia="zh-CN"/>
        </w:rPr>
        <w:t>8</w:t>
      </w:r>
      <w:r>
        <w:rPr>
          <w:rFonts w:ascii="Times New Roman" w:hAnsi="Times New Roman" w:cs="Times New Roman"/>
          <w:b/>
          <w:bCs/>
          <w:sz w:val="24"/>
          <w:szCs w:val="24"/>
          <w:lang w:val="en-US" w:eastAsia="zh-CN"/>
        </w:rPr>
        <w:t xml:space="preserve"> 月平均混合层高度统计结果</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5552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6D761EB3">
            <w:pPr>
              <w:pStyle w:val="2"/>
              <w:widowControl w:val="0"/>
              <w:ind w:left="0" w:firstLine="0"/>
              <w:jc w:val="center"/>
              <w:rPr>
                <w:rFonts w:ascii="Times New Roman" w:hAnsi="Times New Roman" w:cs="Times New Roman"/>
                <w:sz w:val="21"/>
                <w:szCs w:val="21"/>
                <w:vertAlign w:val="baseline"/>
                <w:lang w:val="en-US" w:eastAsia="zh-CN"/>
              </w:rPr>
            </w:pPr>
            <w:r>
              <w:rPr>
                <w:rFonts w:ascii="Times New Roman" w:hAnsi="Times New Roman" w:cs="Times New Roman"/>
                <w:sz w:val="21"/>
                <w:szCs w:val="21"/>
                <w:vertAlign w:val="baseline"/>
                <w:lang w:val="en-US" w:eastAsia="zh-CN"/>
              </w:rPr>
              <w:t>月份</w:t>
            </w:r>
          </w:p>
        </w:tc>
        <w:tc>
          <w:tcPr>
            <w:tcW w:w="1217" w:type="dxa"/>
            <w:noWrap w:val="0"/>
            <w:vAlign w:val="center"/>
          </w:tcPr>
          <w:p w14:paraId="0CCA6405">
            <w:pPr>
              <w:pStyle w:val="2"/>
              <w:widowControl w:val="0"/>
              <w:ind w:left="0" w:firstLine="0"/>
              <w:jc w:val="center"/>
              <w:rPr>
                <w:rFonts w:ascii="Times New Roman" w:hAnsi="Times New Roman" w:cs="Times New Roman"/>
                <w:sz w:val="21"/>
                <w:szCs w:val="21"/>
                <w:vertAlign w:val="baseline"/>
                <w:lang w:val="en-US" w:eastAsia="zh-CN"/>
              </w:rPr>
            </w:pPr>
            <w:r>
              <w:rPr>
                <w:rFonts w:ascii="Times New Roman" w:hAnsi="Times New Roman" w:cs="Times New Roman"/>
                <w:sz w:val="21"/>
                <w:szCs w:val="21"/>
                <w:vertAlign w:val="baseline"/>
                <w:lang w:val="en-US" w:eastAsia="zh-CN"/>
              </w:rPr>
              <w:t>1月</w:t>
            </w:r>
          </w:p>
        </w:tc>
        <w:tc>
          <w:tcPr>
            <w:tcW w:w="1217" w:type="dxa"/>
            <w:noWrap w:val="0"/>
            <w:vAlign w:val="top"/>
          </w:tcPr>
          <w:p w14:paraId="0CE39000">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2月</w:t>
            </w:r>
          </w:p>
        </w:tc>
        <w:tc>
          <w:tcPr>
            <w:tcW w:w="1217" w:type="dxa"/>
            <w:noWrap w:val="0"/>
            <w:vAlign w:val="top"/>
          </w:tcPr>
          <w:p w14:paraId="02BB22B2">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3月</w:t>
            </w:r>
          </w:p>
        </w:tc>
        <w:tc>
          <w:tcPr>
            <w:tcW w:w="1218" w:type="dxa"/>
            <w:noWrap w:val="0"/>
            <w:vAlign w:val="top"/>
          </w:tcPr>
          <w:p w14:paraId="7E875805">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4月</w:t>
            </w:r>
          </w:p>
        </w:tc>
        <w:tc>
          <w:tcPr>
            <w:tcW w:w="1218" w:type="dxa"/>
            <w:noWrap w:val="0"/>
            <w:vAlign w:val="top"/>
          </w:tcPr>
          <w:p w14:paraId="4F2A585D">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5月</w:t>
            </w:r>
          </w:p>
        </w:tc>
        <w:tc>
          <w:tcPr>
            <w:tcW w:w="1218" w:type="dxa"/>
            <w:noWrap w:val="0"/>
            <w:vAlign w:val="top"/>
          </w:tcPr>
          <w:p w14:paraId="23CBE184">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6月</w:t>
            </w:r>
          </w:p>
        </w:tc>
      </w:tr>
      <w:tr w14:paraId="1FC8D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254EFE22">
            <w:pPr>
              <w:pStyle w:val="2"/>
              <w:widowControl w:val="0"/>
              <w:ind w:left="0" w:firstLine="0"/>
              <w:jc w:val="center"/>
              <w:rPr>
                <w:rFonts w:ascii="Times New Roman" w:hAnsi="Times New Roman" w:cs="Times New Roman"/>
                <w:sz w:val="21"/>
                <w:szCs w:val="21"/>
                <w:vertAlign w:val="baseline"/>
                <w:lang w:val="en-US" w:eastAsia="zh-CN"/>
              </w:rPr>
            </w:pPr>
            <w:r>
              <w:rPr>
                <w:rFonts w:ascii="Times New Roman" w:hAnsi="Times New Roman" w:cs="Times New Roman"/>
                <w:sz w:val="21"/>
                <w:szCs w:val="21"/>
                <w:vertAlign w:val="baseline"/>
                <w:lang w:val="en-US" w:eastAsia="zh-CN"/>
              </w:rPr>
              <w:t>高度（m）</w:t>
            </w:r>
          </w:p>
        </w:tc>
        <w:tc>
          <w:tcPr>
            <w:tcW w:w="1217" w:type="dxa"/>
            <w:noWrap w:val="0"/>
            <w:vAlign w:val="center"/>
          </w:tcPr>
          <w:p w14:paraId="775567B4">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412</w:t>
            </w:r>
          </w:p>
        </w:tc>
        <w:tc>
          <w:tcPr>
            <w:tcW w:w="1217" w:type="dxa"/>
            <w:noWrap w:val="0"/>
            <w:vAlign w:val="top"/>
          </w:tcPr>
          <w:p w14:paraId="6C63C0CA">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498</w:t>
            </w:r>
          </w:p>
        </w:tc>
        <w:tc>
          <w:tcPr>
            <w:tcW w:w="1217" w:type="dxa"/>
            <w:noWrap w:val="0"/>
            <w:vAlign w:val="top"/>
          </w:tcPr>
          <w:p w14:paraId="766D3C14">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499</w:t>
            </w:r>
          </w:p>
        </w:tc>
        <w:tc>
          <w:tcPr>
            <w:tcW w:w="1218" w:type="dxa"/>
            <w:noWrap w:val="0"/>
            <w:vAlign w:val="top"/>
          </w:tcPr>
          <w:p w14:paraId="47B933FF">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495</w:t>
            </w:r>
          </w:p>
        </w:tc>
        <w:tc>
          <w:tcPr>
            <w:tcW w:w="1218" w:type="dxa"/>
            <w:noWrap w:val="0"/>
            <w:vAlign w:val="top"/>
          </w:tcPr>
          <w:p w14:paraId="49863597">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587</w:t>
            </w:r>
          </w:p>
        </w:tc>
        <w:tc>
          <w:tcPr>
            <w:tcW w:w="1218" w:type="dxa"/>
            <w:noWrap w:val="0"/>
            <w:vAlign w:val="top"/>
          </w:tcPr>
          <w:p w14:paraId="05A7D656">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446</w:t>
            </w:r>
          </w:p>
        </w:tc>
      </w:tr>
      <w:tr w14:paraId="51C4A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2568D0F2">
            <w:pPr>
              <w:pStyle w:val="2"/>
              <w:widowControl w:val="0"/>
              <w:ind w:left="0" w:firstLine="0"/>
              <w:jc w:val="center"/>
              <w:rPr>
                <w:rFonts w:hint="eastAsia" w:ascii="Times New Roman" w:hAnsi="Times New Roman" w:cs="Times New Roman"/>
                <w:sz w:val="21"/>
                <w:szCs w:val="21"/>
                <w:vertAlign w:val="baseline"/>
                <w:lang w:val="en-US" w:eastAsia="zh-CN"/>
              </w:rPr>
            </w:pPr>
            <w:r>
              <w:rPr>
                <w:rFonts w:ascii="Times New Roman" w:hAnsi="Times New Roman" w:cs="Times New Roman"/>
                <w:sz w:val="21"/>
                <w:szCs w:val="21"/>
                <w:vertAlign w:val="baseline"/>
                <w:lang w:val="en-US" w:eastAsia="zh-CN"/>
              </w:rPr>
              <w:t>月份</w:t>
            </w:r>
          </w:p>
        </w:tc>
        <w:tc>
          <w:tcPr>
            <w:tcW w:w="1217" w:type="dxa"/>
            <w:noWrap w:val="0"/>
            <w:vAlign w:val="top"/>
          </w:tcPr>
          <w:p w14:paraId="7E870A6D">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7月</w:t>
            </w:r>
          </w:p>
        </w:tc>
        <w:tc>
          <w:tcPr>
            <w:tcW w:w="1217" w:type="dxa"/>
            <w:noWrap w:val="0"/>
            <w:vAlign w:val="top"/>
          </w:tcPr>
          <w:p w14:paraId="5E4183D7">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8月</w:t>
            </w:r>
          </w:p>
        </w:tc>
        <w:tc>
          <w:tcPr>
            <w:tcW w:w="1217" w:type="dxa"/>
            <w:noWrap w:val="0"/>
            <w:vAlign w:val="top"/>
          </w:tcPr>
          <w:p w14:paraId="6D709AF8">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9月</w:t>
            </w:r>
          </w:p>
        </w:tc>
        <w:tc>
          <w:tcPr>
            <w:tcW w:w="1218" w:type="dxa"/>
            <w:noWrap w:val="0"/>
            <w:vAlign w:val="top"/>
          </w:tcPr>
          <w:p w14:paraId="6F63746A">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10月</w:t>
            </w:r>
          </w:p>
        </w:tc>
        <w:tc>
          <w:tcPr>
            <w:tcW w:w="1218" w:type="dxa"/>
            <w:noWrap w:val="0"/>
            <w:vAlign w:val="top"/>
          </w:tcPr>
          <w:p w14:paraId="3417FDC0">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11月</w:t>
            </w:r>
          </w:p>
        </w:tc>
        <w:tc>
          <w:tcPr>
            <w:tcW w:w="1218" w:type="dxa"/>
            <w:noWrap w:val="0"/>
            <w:vAlign w:val="top"/>
          </w:tcPr>
          <w:p w14:paraId="779487D4">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12月</w:t>
            </w:r>
          </w:p>
        </w:tc>
      </w:tr>
      <w:tr w14:paraId="0C4B8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5417A668">
            <w:pPr>
              <w:pStyle w:val="2"/>
              <w:widowControl w:val="0"/>
              <w:ind w:left="0" w:firstLine="0"/>
              <w:jc w:val="center"/>
              <w:rPr>
                <w:rFonts w:hint="eastAsia" w:ascii="Times New Roman" w:hAnsi="Times New Roman" w:cs="Times New Roman"/>
                <w:sz w:val="21"/>
                <w:szCs w:val="21"/>
                <w:vertAlign w:val="baseline"/>
                <w:lang w:val="en-US" w:eastAsia="zh-CN"/>
              </w:rPr>
            </w:pPr>
            <w:r>
              <w:rPr>
                <w:rFonts w:ascii="Times New Roman" w:hAnsi="Times New Roman" w:cs="Times New Roman"/>
                <w:sz w:val="21"/>
                <w:szCs w:val="21"/>
                <w:vertAlign w:val="baseline"/>
                <w:lang w:val="en-US" w:eastAsia="zh-CN"/>
              </w:rPr>
              <w:t>高度（m）</w:t>
            </w:r>
          </w:p>
        </w:tc>
        <w:tc>
          <w:tcPr>
            <w:tcW w:w="1217" w:type="dxa"/>
            <w:noWrap w:val="0"/>
            <w:vAlign w:val="top"/>
          </w:tcPr>
          <w:p w14:paraId="3E0D4242">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421</w:t>
            </w:r>
          </w:p>
        </w:tc>
        <w:tc>
          <w:tcPr>
            <w:tcW w:w="1217" w:type="dxa"/>
            <w:noWrap w:val="0"/>
            <w:vAlign w:val="top"/>
          </w:tcPr>
          <w:p w14:paraId="4C6D4595">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448</w:t>
            </w:r>
          </w:p>
        </w:tc>
        <w:tc>
          <w:tcPr>
            <w:tcW w:w="1217" w:type="dxa"/>
            <w:noWrap w:val="0"/>
            <w:vAlign w:val="top"/>
          </w:tcPr>
          <w:p w14:paraId="73867FFC">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424</w:t>
            </w:r>
          </w:p>
        </w:tc>
        <w:tc>
          <w:tcPr>
            <w:tcW w:w="1218" w:type="dxa"/>
            <w:noWrap w:val="0"/>
            <w:vAlign w:val="top"/>
          </w:tcPr>
          <w:p w14:paraId="5400751E">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480</w:t>
            </w:r>
          </w:p>
        </w:tc>
        <w:tc>
          <w:tcPr>
            <w:tcW w:w="1218" w:type="dxa"/>
            <w:noWrap w:val="0"/>
            <w:vAlign w:val="top"/>
          </w:tcPr>
          <w:p w14:paraId="4B2FB890">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457</w:t>
            </w:r>
          </w:p>
        </w:tc>
        <w:tc>
          <w:tcPr>
            <w:tcW w:w="1218" w:type="dxa"/>
            <w:noWrap w:val="0"/>
            <w:vAlign w:val="top"/>
          </w:tcPr>
          <w:p w14:paraId="3DAA0A7D">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401</w:t>
            </w:r>
          </w:p>
        </w:tc>
      </w:tr>
    </w:tbl>
    <w:p w14:paraId="7B38B472">
      <w:pPr>
        <w:spacing w:line="360" w:lineRule="auto"/>
        <w:ind w:firstLine="482"/>
        <w:jc w:val="center"/>
        <w:rPr>
          <w:rFonts w:ascii="Times New Roman" w:hAnsi="Times New Roman" w:eastAsia="宋体" w:cs="Times New Roman"/>
          <w:b/>
          <w:bCs/>
          <w:sz w:val="24"/>
          <w:szCs w:val="24"/>
          <w:lang w:val="en-US" w:eastAsia="zh-CN" w:bidi="ar-SA"/>
        </w:rPr>
      </w:pPr>
      <w:r>
        <w:rPr>
          <w:rFonts w:ascii="Times New Roman" w:hAnsi="Times New Roman" w:eastAsia="宋体" w:cs="Times New Roman"/>
          <w:b/>
          <w:bCs/>
          <w:sz w:val="24"/>
          <w:szCs w:val="24"/>
          <w:lang w:val="en-US" w:eastAsia="zh-CN" w:bidi="ar-SA"/>
        </w:rPr>
        <w:t>表6.2-</w:t>
      </w:r>
      <w:r>
        <w:rPr>
          <w:rFonts w:hint="eastAsia" w:ascii="Times New Roman" w:hAnsi="Times New Roman" w:eastAsia="宋体" w:cs="Times New Roman"/>
          <w:b/>
          <w:bCs/>
          <w:sz w:val="24"/>
          <w:szCs w:val="24"/>
          <w:lang w:val="en-US" w:eastAsia="zh-CN" w:bidi="ar-SA"/>
        </w:rPr>
        <w:t>9 季</w:t>
      </w:r>
      <w:r>
        <w:rPr>
          <w:rFonts w:ascii="Times New Roman" w:hAnsi="Times New Roman" w:eastAsia="宋体" w:cs="Times New Roman"/>
          <w:b/>
          <w:bCs/>
          <w:sz w:val="24"/>
          <w:szCs w:val="24"/>
          <w:lang w:val="en-US" w:eastAsia="zh-CN" w:bidi="ar-SA"/>
        </w:rPr>
        <w:t>月平均混合层高度统计结果</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1704"/>
        <w:gridCol w:w="1704"/>
        <w:gridCol w:w="1705"/>
        <w:gridCol w:w="1705"/>
      </w:tblGrid>
      <w:tr w14:paraId="31A7E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5FA4723C">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季节</w:t>
            </w:r>
          </w:p>
        </w:tc>
        <w:tc>
          <w:tcPr>
            <w:tcW w:w="1704" w:type="dxa"/>
            <w:noWrap w:val="0"/>
            <w:vAlign w:val="top"/>
          </w:tcPr>
          <w:p w14:paraId="606A744B">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春季</w:t>
            </w:r>
          </w:p>
        </w:tc>
        <w:tc>
          <w:tcPr>
            <w:tcW w:w="1704" w:type="dxa"/>
            <w:noWrap w:val="0"/>
            <w:vAlign w:val="top"/>
          </w:tcPr>
          <w:p w14:paraId="3F8A98CD">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夏季</w:t>
            </w:r>
          </w:p>
        </w:tc>
        <w:tc>
          <w:tcPr>
            <w:tcW w:w="1705" w:type="dxa"/>
            <w:noWrap w:val="0"/>
            <w:vAlign w:val="top"/>
          </w:tcPr>
          <w:p w14:paraId="42B68D39">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秋季</w:t>
            </w:r>
          </w:p>
        </w:tc>
        <w:tc>
          <w:tcPr>
            <w:tcW w:w="1705" w:type="dxa"/>
            <w:noWrap w:val="0"/>
            <w:vAlign w:val="top"/>
          </w:tcPr>
          <w:p w14:paraId="2047763D">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冬季</w:t>
            </w:r>
          </w:p>
        </w:tc>
      </w:tr>
      <w:tr w14:paraId="0CB16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790FE0A4">
            <w:pPr>
              <w:pStyle w:val="2"/>
              <w:widowControl w:val="0"/>
              <w:ind w:left="0" w:firstLine="0"/>
              <w:jc w:val="center"/>
              <w:rPr>
                <w:rFonts w:ascii="Times New Roman" w:hAnsi="Times New Roman" w:cs="Times New Roman"/>
                <w:sz w:val="21"/>
                <w:szCs w:val="21"/>
                <w:vertAlign w:val="baseline"/>
                <w:lang w:val="en-US" w:eastAsia="zh-CN"/>
              </w:rPr>
            </w:pPr>
            <w:r>
              <w:rPr>
                <w:rFonts w:ascii="Times New Roman" w:hAnsi="Times New Roman" w:cs="Times New Roman"/>
                <w:sz w:val="21"/>
                <w:szCs w:val="21"/>
                <w:vertAlign w:val="baseline"/>
                <w:lang w:val="en-US" w:eastAsia="zh-CN"/>
              </w:rPr>
              <w:t>高度（m）</w:t>
            </w:r>
          </w:p>
        </w:tc>
        <w:tc>
          <w:tcPr>
            <w:tcW w:w="1704" w:type="dxa"/>
            <w:noWrap w:val="0"/>
            <w:vAlign w:val="top"/>
          </w:tcPr>
          <w:p w14:paraId="5F46F775">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527</w:t>
            </w:r>
          </w:p>
        </w:tc>
        <w:tc>
          <w:tcPr>
            <w:tcW w:w="1704" w:type="dxa"/>
            <w:noWrap w:val="0"/>
            <w:vAlign w:val="top"/>
          </w:tcPr>
          <w:p w14:paraId="78DD0789">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438</w:t>
            </w:r>
          </w:p>
        </w:tc>
        <w:tc>
          <w:tcPr>
            <w:tcW w:w="1705" w:type="dxa"/>
            <w:noWrap w:val="0"/>
            <w:vAlign w:val="top"/>
          </w:tcPr>
          <w:p w14:paraId="7990F027">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454</w:t>
            </w:r>
          </w:p>
        </w:tc>
        <w:tc>
          <w:tcPr>
            <w:tcW w:w="1705" w:type="dxa"/>
            <w:noWrap w:val="0"/>
            <w:vAlign w:val="top"/>
          </w:tcPr>
          <w:p w14:paraId="0DF538D0">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435</w:t>
            </w:r>
          </w:p>
        </w:tc>
      </w:tr>
    </w:tbl>
    <w:p w14:paraId="1979E0D7">
      <w:pPr>
        <w:spacing w:line="360" w:lineRule="auto"/>
        <w:ind w:firstLine="482"/>
        <w:jc w:val="center"/>
        <w:rPr>
          <w:rFonts w:ascii="Times New Roman" w:hAnsi="Times New Roman" w:eastAsia="宋体" w:cs="Times New Roman"/>
          <w:b/>
          <w:bCs/>
          <w:sz w:val="24"/>
          <w:szCs w:val="24"/>
          <w:lang w:val="en-US" w:eastAsia="zh-CN" w:bidi="ar-SA"/>
        </w:rPr>
      </w:pPr>
      <w:r>
        <w:rPr>
          <w:rFonts w:ascii="Times New Roman" w:hAnsi="Times New Roman" w:eastAsia="宋体" w:cs="Times New Roman"/>
          <w:b/>
          <w:bCs/>
          <w:sz w:val="24"/>
          <w:szCs w:val="24"/>
          <w:lang w:val="en-US" w:eastAsia="zh-CN" w:bidi="ar-SA"/>
        </w:rPr>
        <w:t>表6.2-1</w:t>
      </w:r>
      <w:r>
        <w:rPr>
          <w:rFonts w:hint="eastAsia" w:ascii="Times New Roman" w:hAnsi="Times New Roman" w:eastAsia="宋体" w:cs="Times New Roman"/>
          <w:b/>
          <w:bCs/>
          <w:sz w:val="24"/>
          <w:szCs w:val="24"/>
          <w:lang w:val="en-US" w:eastAsia="zh-CN" w:bidi="ar-SA"/>
        </w:rPr>
        <w:t>0 月逆温频率变化统计结果</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449A3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46AC6D6E">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月份</w:t>
            </w:r>
          </w:p>
        </w:tc>
        <w:tc>
          <w:tcPr>
            <w:tcW w:w="1217" w:type="dxa"/>
            <w:noWrap w:val="0"/>
            <w:vAlign w:val="center"/>
          </w:tcPr>
          <w:p w14:paraId="5A219DFD">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1月</w:t>
            </w:r>
          </w:p>
        </w:tc>
        <w:tc>
          <w:tcPr>
            <w:tcW w:w="1217" w:type="dxa"/>
            <w:noWrap w:val="0"/>
            <w:vAlign w:val="top"/>
          </w:tcPr>
          <w:p w14:paraId="2717ECCC">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2月</w:t>
            </w:r>
          </w:p>
        </w:tc>
        <w:tc>
          <w:tcPr>
            <w:tcW w:w="1217" w:type="dxa"/>
            <w:noWrap w:val="0"/>
            <w:vAlign w:val="top"/>
          </w:tcPr>
          <w:p w14:paraId="76BA7BCB">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3月</w:t>
            </w:r>
          </w:p>
        </w:tc>
        <w:tc>
          <w:tcPr>
            <w:tcW w:w="1218" w:type="dxa"/>
            <w:noWrap w:val="0"/>
            <w:vAlign w:val="top"/>
          </w:tcPr>
          <w:p w14:paraId="60C6A3D0">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4月</w:t>
            </w:r>
          </w:p>
        </w:tc>
        <w:tc>
          <w:tcPr>
            <w:tcW w:w="1218" w:type="dxa"/>
            <w:noWrap w:val="0"/>
            <w:vAlign w:val="top"/>
          </w:tcPr>
          <w:p w14:paraId="594812A7">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5月</w:t>
            </w:r>
          </w:p>
        </w:tc>
        <w:tc>
          <w:tcPr>
            <w:tcW w:w="1218" w:type="dxa"/>
            <w:noWrap w:val="0"/>
            <w:vAlign w:val="top"/>
          </w:tcPr>
          <w:p w14:paraId="52D1FC85">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6月</w:t>
            </w:r>
          </w:p>
        </w:tc>
      </w:tr>
      <w:tr w14:paraId="3FB97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62296C93">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出现频率</w:t>
            </w:r>
            <w:r>
              <w:rPr>
                <w:rFonts w:ascii="Times New Roman" w:hAnsi="Times New Roman" w:eastAsia="宋体" w:cs="Times New Roman"/>
                <w:sz w:val="21"/>
                <w:szCs w:val="21"/>
                <w:vertAlign w:val="baseline"/>
                <w:lang w:val="en-US" w:eastAsia="zh-CN" w:bidi="ar-SA"/>
              </w:rPr>
              <w:t>（</w:t>
            </w:r>
            <w:r>
              <w:rPr>
                <w:rFonts w:hint="eastAsia" w:ascii="Times New Roman" w:hAnsi="Times New Roman" w:eastAsia="宋体" w:cs="Times New Roman"/>
                <w:sz w:val="21"/>
                <w:szCs w:val="21"/>
                <w:vertAlign w:val="baseline"/>
                <w:lang w:val="en-US" w:eastAsia="zh-CN" w:bidi="ar-SA"/>
              </w:rPr>
              <w:t>%</w:t>
            </w:r>
            <w:r>
              <w:rPr>
                <w:rFonts w:ascii="Times New Roman" w:hAnsi="Times New Roman" w:eastAsia="宋体" w:cs="Times New Roman"/>
                <w:sz w:val="21"/>
                <w:szCs w:val="21"/>
                <w:vertAlign w:val="baseline"/>
                <w:lang w:val="en-US" w:eastAsia="zh-CN" w:bidi="ar-SA"/>
              </w:rPr>
              <w:t>）</w:t>
            </w:r>
          </w:p>
        </w:tc>
        <w:tc>
          <w:tcPr>
            <w:tcW w:w="1217" w:type="dxa"/>
            <w:noWrap w:val="0"/>
            <w:vAlign w:val="center"/>
          </w:tcPr>
          <w:p w14:paraId="0AF3D71A">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60.75</w:t>
            </w:r>
          </w:p>
        </w:tc>
        <w:tc>
          <w:tcPr>
            <w:tcW w:w="1217" w:type="dxa"/>
            <w:noWrap w:val="0"/>
            <w:vAlign w:val="center"/>
          </w:tcPr>
          <w:p w14:paraId="6A698E69">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58.33</w:t>
            </w:r>
          </w:p>
        </w:tc>
        <w:tc>
          <w:tcPr>
            <w:tcW w:w="1217" w:type="dxa"/>
            <w:noWrap w:val="0"/>
            <w:vAlign w:val="center"/>
          </w:tcPr>
          <w:p w14:paraId="27AE7177">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35.62</w:t>
            </w:r>
          </w:p>
        </w:tc>
        <w:tc>
          <w:tcPr>
            <w:tcW w:w="1218" w:type="dxa"/>
            <w:noWrap w:val="0"/>
            <w:vAlign w:val="center"/>
          </w:tcPr>
          <w:p w14:paraId="5BA5D698">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31.25</w:t>
            </w:r>
          </w:p>
        </w:tc>
        <w:tc>
          <w:tcPr>
            <w:tcW w:w="1218" w:type="dxa"/>
            <w:noWrap w:val="0"/>
            <w:vAlign w:val="center"/>
          </w:tcPr>
          <w:p w14:paraId="14868E68">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33.33</w:t>
            </w:r>
          </w:p>
        </w:tc>
        <w:tc>
          <w:tcPr>
            <w:tcW w:w="1218" w:type="dxa"/>
            <w:noWrap w:val="0"/>
            <w:vAlign w:val="center"/>
          </w:tcPr>
          <w:p w14:paraId="5DC1DCC5">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15.14</w:t>
            </w:r>
          </w:p>
        </w:tc>
      </w:tr>
      <w:tr w14:paraId="6D209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64EE5D49">
            <w:pPr>
              <w:widowControl w:val="0"/>
              <w:spacing w:line="360" w:lineRule="auto"/>
              <w:ind w:left="0" w:firstLine="0"/>
              <w:jc w:val="center"/>
              <w:rPr>
                <w:rFonts w:hint="eastAsia" w:ascii="Times New Roman" w:hAnsi="Times New Roman" w:eastAsia="宋体" w:cs="Times New Roman"/>
                <w:sz w:val="21"/>
                <w:szCs w:val="21"/>
                <w:vertAlign w:val="baseline"/>
                <w:lang w:val="en-US" w:eastAsia="zh-CN" w:bidi="ar-SA"/>
              </w:rPr>
            </w:pPr>
            <w:r>
              <w:rPr>
                <w:rFonts w:ascii="Times New Roman" w:hAnsi="Times New Roman" w:eastAsia="宋体" w:cs="Times New Roman"/>
                <w:sz w:val="21"/>
                <w:szCs w:val="21"/>
                <w:vertAlign w:val="baseline"/>
                <w:lang w:val="en-US" w:eastAsia="zh-CN" w:bidi="ar-SA"/>
              </w:rPr>
              <w:t>月份</w:t>
            </w:r>
          </w:p>
        </w:tc>
        <w:tc>
          <w:tcPr>
            <w:tcW w:w="1217" w:type="dxa"/>
            <w:noWrap w:val="0"/>
            <w:vAlign w:val="top"/>
          </w:tcPr>
          <w:p w14:paraId="5626D2F2">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7月</w:t>
            </w:r>
          </w:p>
        </w:tc>
        <w:tc>
          <w:tcPr>
            <w:tcW w:w="1217" w:type="dxa"/>
            <w:noWrap w:val="0"/>
            <w:vAlign w:val="top"/>
          </w:tcPr>
          <w:p w14:paraId="293DEF28">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8月</w:t>
            </w:r>
          </w:p>
        </w:tc>
        <w:tc>
          <w:tcPr>
            <w:tcW w:w="1217" w:type="dxa"/>
            <w:noWrap w:val="0"/>
            <w:vAlign w:val="top"/>
          </w:tcPr>
          <w:p w14:paraId="21B0817C">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9月</w:t>
            </w:r>
          </w:p>
        </w:tc>
        <w:tc>
          <w:tcPr>
            <w:tcW w:w="1218" w:type="dxa"/>
            <w:noWrap w:val="0"/>
            <w:vAlign w:val="top"/>
          </w:tcPr>
          <w:p w14:paraId="290E01F1">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10月</w:t>
            </w:r>
          </w:p>
        </w:tc>
        <w:tc>
          <w:tcPr>
            <w:tcW w:w="1218" w:type="dxa"/>
            <w:noWrap w:val="0"/>
            <w:vAlign w:val="top"/>
          </w:tcPr>
          <w:p w14:paraId="37461D9C">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11月</w:t>
            </w:r>
          </w:p>
        </w:tc>
        <w:tc>
          <w:tcPr>
            <w:tcW w:w="1218" w:type="dxa"/>
            <w:noWrap w:val="0"/>
            <w:vAlign w:val="top"/>
          </w:tcPr>
          <w:p w14:paraId="3361090A">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12月</w:t>
            </w:r>
          </w:p>
        </w:tc>
      </w:tr>
      <w:tr w14:paraId="3652C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7" w:type="dxa"/>
            <w:noWrap w:val="0"/>
            <w:vAlign w:val="center"/>
          </w:tcPr>
          <w:p w14:paraId="0550B1FD">
            <w:pPr>
              <w:widowControl w:val="0"/>
              <w:spacing w:line="360" w:lineRule="auto"/>
              <w:ind w:left="0" w:firstLine="0"/>
              <w:jc w:val="center"/>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出现频率</w:t>
            </w:r>
            <w:r>
              <w:rPr>
                <w:rFonts w:ascii="Times New Roman" w:hAnsi="Times New Roman" w:eastAsia="宋体" w:cs="Times New Roman"/>
                <w:sz w:val="21"/>
                <w:szCs w:val="21"/>
                <w:vertAlign w:val="baseline"/>
                <w:lang w:val="en-US" w:eastAsia="zh-CN" w:bidi="ar-SA"/>
              </w:rPr>
              <w:t>（</w:t>
            </w:r>
            <w:r>
              <w:rPr>
                <w:rFonts w:hint="eastAsia" w:ascii="Times New Roman" w:hAnsi="Times New Roman" w:eastAsia="宋体" w:cs="Times New Roman"/>
                <w:sz w:val="21"/>
                <w:szCs w:val="21"/>
                <w:vertAlign w:val="baseline"/>
                <w:lang w:val="en-US" w:eastAsia="zh-CN" w:bidi="ar-SA"/>
              </w:rPr>
              <w:t>%</w:t>
            </w:r>
            <w:r>
              <w:rPr>
                <w:rFonts w:ascii="Times New Roman" w:hAnsi="Times New Roman" w:eastAsia="宋体" w:cs="Times New Roman"/>
                <w:sz w:val="21"/>
                <w:szCs w:val="21"/>
                <w:vertAlign w:val="baseline"/>
                <w:lang w:val="en-US" w:eastAsia="zh-CN" w:bidi="ar-SA"/>
              </w:rPr>
              <w:t>）</w:t>
            </w:r>
          </w:p>
        </w:tc>
        <w:tc>
          <w:tcPr>
            <w:tcW w:w="1217" w:type="dxa"/>
            <w:noWrap w:val="0"/>
            <w:vAlign w:val="center"/>
          </w:tcPr>
          <w:p w14:paraId="5CF4DA20">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12.37</w:t>
            </w:r>
          </w:p>
        </w:tc>
        <w:tc>
          <w:tcPr>
            <w:tcW w:w="1217" w:type="dxa"/>
            <w:noWrap w:val="0"/>
            <w:vAlign w:val="center"/>
          </w:tcPr>
          <w:p w14:paraId="28832EDF">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14.78</w:t>
            </w:r>
          </w:p>
        </w:tc>
        <w:tc>
          <w:tcPr>
            <w:tcW w:w="1217" w:type="dxa"/>
            <w:noWrap w:val="0"/>
            <w:vAlign w:val="center"/>
          </w:tcPr>
          <w:p w14:paraId="327332DD">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23.19</w:t>
            </w:r>
          </w:p>
        </w:tc>
        <w:tc>
          <w:tcPr>
            <w:tcW w:w="1218" w:type="dxa"/>
            <w:noWrap w:val="0"/>
            <w:vAlign w:val="center"/>
          </w:tcPr>
          <w:p w14:paraId="69DD3A54">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38.71</w:t>
            </w:r>
          </w:p>
        </w:tc>
        <w:tc>
          <w:tcPr>
            <w:tcW w:w="1218" w:type="dxa"/>
            <w:noWrap w:val="0"/>
            <w:vAlign w:val="center"/>
          </w:tcPr>
          <w:p w14:paraId="11D92E0E">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48.75</w:t>
            </w:r>
          </w:p>
        </w:tc>
        <w:tc>
          <w:tcPr>
            <w:tcW w:w="1218" w:type="dxa"/>
            <w:noWrap w:val="0"/>
            <w:vAlign w:val="center"/>
          </w:tcPr>
          <w:p w14:paraId="59F008A7">
            <w:pPr>
              <w:widowControl w:val="0"/>
              <w:spacing w:line="360" w:lineRule="auto"/>
              <w:ind w:left="0" w:firstLine="0"/>
              <w:jc w:val="center"/>
              <w:rPr>
                <w:rFonts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55.91</w:t>
            </w:r>
          </w:p>
        </w:tc>
      </w:tr>
    </w:tbl>
    <w:p w14:paraId="12542BD7">
      <w:pPr>
        <w:spacing w:line="360" w:lineRule="auto"/>
        <w:ind w:firstLine="482"/>
        <w:jc w:val="center"/>
        <w:rPr>
          <w:rFonts w:ascii="Times New Roman" w:hAnsi="Times New Roman" w:eastAsia="宋体" w:cs="Times New Roman"/>
          <w:b/>
          <w:bCs/>
          <w:sz w:val="24"/>
          <w:szCs w:val="24"/>
          <w:lang w:val="en-US" w:eastAsia="zh-CN" w:bidi="ar-SA"/>
        </w:rPr>
      </w:pPr>
      <w:r>
        <w:rPr>
          <w:rFonts w:ascii="Times New Roman" w:hAnsi="Times New Roman" w:eastAsia="宋体" w:cs="Times New Roman"/>
          <w:b/>
          <w:bCs/>
          <w:sz w:val="24"/>
          <w:szCs w:val="24"/>
          <w:lang w:val="en-US" w:eastAsia="zh-CN" w:bidi="ar-SA"/>
        </w:rPr>
        <w:t>表6.2-1</w:t>
      </w:r>
      <w:r>
        <w:rPr>
          <w:rFonts w:hint="eastAsia" w:ascii="Times New Roman" w:hAnsi="Times New Roman" w:eastAsia="宋体" w:cs="Times New Roman"/>
          <w:b/>
          <w:bCs/>
          <w:sz w:val="24"/>
          <w:szCs w:val="24"/>
          <w:lang w:val="en-US" w:eastAsia="zh-CN" w:bidi="ar-SA"/>
        </w:rPr>
        <w:t>1 季逆温频率变化</w:t>
      </w:r>
      <w:r>
        <w:rPr>
          <w:rFonts w:ascii="Times New Roman" w:hAnsi="Times New Roman" w:eastAsia="宋体" w:cs="Times New Roman"/>
          <w:b/>
          <w:bCs/>
          <w:sz w:val="24"/>
          <w:szCs w:val="24"/>
          <w:lang w:val="en-US" w:eastAsia="zh-CN" w:bidi="ar-SA"/>
        </w:rPr>
        <w:t>统计结果</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1704"/>
        <w:gridCol w:w="1704"/>
        <w:gridCol w:w="1705"/>
        <w:gridCol w:w="1705"/>
      </w:tblGrid>
      <w:tr w14:paraId="677CF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71C085D6">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季节</w:t>
            </w:r>
          </w:p>
        </w:tc>
        <w:tc>
          <w:tcPr>
            <w:tcW w:w="1704" w:type="dxa"/>
            <w:noWrap w:val="0"/>
            <w:vAlign w:val="top"/>
          </w:tcPr>
          <w:p w14:paraId="6A029F37">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春季</w:t>
            </w:r>
          </w:p>
        </w:tc>
        <w:tc>
          <w:tcPr>
            <w:tcW w:w="1704" w:type="dxa"/>
            <w:noWrap w:val="0"/>
            <w:vAlign w:val="top"/>
          </w:tcPr>
          <w:p w14:paraId="0EBA67C9">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夏季</w:t>
            </w:r>
          </w:p>
        </w:tc>
        <w:tc>
          <w:tcPr>
            <w:tcW w:w="1705" w:type="dxa"/>
            <w:noWrap w:val="0"/>
            <w:vAlign w:val="top"/>
          </w:tcPr>
          <w:p w14:paraId="06B28B84">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秋季</w:t>
            </w:r>
          </w:p>
        </w:tc>
        <w:tc>
          <w:tcPr>
            <w:tcW w:w="1705" w:type="dxa"/>
            <w:noWrap w:val="0"/>
            <w:vAlign w:val="top"/>
          </w:tcPr>
          <w:p w14:paraId="00311137">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冬季</w:t>
            </w:r>
          </w:p>
        </w:tc>
      </w:tr>
      <w:tr w14:paraId="053C1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19945C62">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bidi="ar-SA"/>
              </w:rPr>
              <w:t>出现频率</w:t>
            </w:r>
            <w:r>
              <w:rPr>
                <w:rFonts w:ascii="Times New Roman" w:hAnsi="Times New Roman" w:eastAsia="宋体" w:cs="Times New Roman"/>
                <w:sz w:val="21"/>
                <w:szCs w:val="21"/>
                <w:vertAlign w:val="baseline"/>
                <w:lang w:val="en-US" w:eastAsia="zh-CN" w:bidi="ar-SA"/>
              </w:rPr>
              <w:t>（</w:t>
            </w:r>
            <w:r>
              <w:rPr>
                <w:rFonts w:hint="eastAsia" w:ascii="Times New Roman" w:hAnsi="Times New Roman" w:eastAsia="宋体" w:cs="Times New Roman"/>
                <w:sz w:val="21"/>
                <w:szCs w:val="21"/>
                <w:vertAlign w:val="baseline"/>
                <w:lang w:val="en-US" w:eastAsia="zh-CN" w:bidi="ar-SA"/>
              </w:rPr>
              <w:t>%</w:t>
            </w:r>
            <w:r>
              <w:rPr>
                <w:rFonts w:ascii="Times New Roman" w:hAnsi="Times New Roman" w:eastAsia="宋体" w:cs="Times New Roman"/>
                <w:sz w:val="21"/>
                <w:szCs w:val="21"/>
                <w:vertAlign w:val="baseline"/>
                <w:lang w:val="en-US" w:eastAsia="zh-CN" w:bidi="ar-SA"/>
              </w:rPr>
              <w:t>）</w:t>
            </w:r>
          </w:p>
        </w:tc>
        <w:tc>
          <w:tcPr>
            <w:tcW w:w="1704" w:type="dxa"/>
            <w:noWrap w:val="0"/>
            <w:vAlign w:val="top"/>
          </w:tcPr>
          <w:p w14:paraId="14AEEA7A">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33.42</w:t>
            </w:r>
          </w:p>
        </w:tc>
        <w:tc>
          <w:tcPr>
            <w:tcW w:w="1704" w:type="dxa"/>
            <w:noWrap w:val="0"/>
            <w:vAlign w:val="top"/>
          </w:tcPr>
          <w:p w14:paraId="37F4DB3A">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14.09</w:t>
            </w:r>
          </w:p>
        </w:tc>
        <w:tc>
          <w:tcPr>
            <w:tcW w:w="1705" w:type="dxa"/>
            <w:noWrap w:val="0"/>
            <w:vAlign w:val="top"/>
          </w:tcPr>
          <w:p w14:paraId="50EE6529">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36.90</w:t>
            </w:r>
          </w:p>
        </w:tc>
        <w:tc>
          <w:tcPr>
            <w:tcW w:w="1705" w:type="dxa"/>
            <w:noWrap w:val="0"/>
            <w:vAlign w:val="top"/>
          </w:tcPr>
          <w:p w14:paraId="38352D7D">
            <w:pPr>
              <w:pStyle w:val="2"/>
              <w:widowControl w:val="0"/>
              <w:ind w:left="0" w:firstLine="0"/>
              <w:jc w:val="center"/>
              <w:rPr>
                <w:rFonts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58.33</w:t>
            </w:r>
          </w:p>
        </w:tc>
      </w:tr>
    </w:tbl>
    <w:p w14:paraId="46FB2B59">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hint="eastAsia" w:ascii="宋体" w:hAnsi="宋体" w:eastAsia="宋体" w:cs="宋体"/>
          <w:color w:val="000000"/>
          <w:sz w:val="24"/>
          <w:szCs w:val="24"/>
          <w:lang w:val="en-US" w:eastAsia="zh-CN" w:bidi="ar"/>
        </w:rPr>
        <w:t>⑥</w:t>
      </w:r>
      <w:r>
        <w:rPr>
          <w:rFonts w:hint="eastAsia" w:ascii="Times New Roman" w:hAnsi="Times New Roman" w:eastAsia="宋体" w:cs="Times New Roman"/>
          <w:color w:val="000000"/>
          <w:sz w:val="24"/>
          <w:szCs w:val="24"/>
          <w:lang w:val="en-US" w:eastAsia="zh-CN" w:bidi="ar"/>
        </w:rPr>
        <w:t>大气稳定度</w:t>
      </w:r>
    </w:p>
    <w:p w14:paraId="56907195">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2017 </w:t>
      </w:r>
      <w:r>
        <w:rPr>
          <w:rFonts w:hint="eastAsia" w:ascii="Times New Roman" w:hAnsi="Times New Roman" w:eastAsia="宋体" w:cs="Times New Roman"/>
          <w:color w:val="000000"/>
          <w:sz w:val="24"/>
          <w:szCs w:val="24"/>
          <w:lang w:val="en-US" w:eastAsia="zh-CN" w:bidi="ar"/>
        </w:rPr>
        <w:t>年的各级稳定度出现频率统计结果见表 6</w:t>
      </w:r>
      <w:r>
        <w:rPr>
          <w:rFonts w:ascii="Times New Roman" w:hAnsi="Times New Roman" w:eastAsia="宋体" w:cs="Times New Roman"/>
          <w:color w:val="000000"/>
          <w:sz w:val="24"/>
          <w:szCs w:val="24"/>
          <w:lang w:val="en-US" w:eastAsia="zh-CN" w:bidi="ar"/>
        </w:rPr>
        <w:t>.2-1</w:t>
      </w:r>
      <w:r>
        <w:rPr>
          <w:rFonts w:hint="eastAsia" w:ascii="Times New Roman" w:hAnsi="Times New Roman" w:eastAsia="宋体" w:cs="Times New Roman"/>
          <w:color w:val="000000"/>
          <w:sz w:val="24"/>
          <w:szCs w:val="24"/>
          <w:lang w:val="en-US" w:eastAsia="zh-CN" w:bidi="ar"/>
        </w:rPr>
        <w:t xml:space="preserve">2。 </w:t>
      </w:r>
    </w:p>
    <w:p w14:paraId="17AAF1B5">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A.</w:t>
      </w:r>
      <w:r>
        <w:rPr>
          <w:rFonts w:ascii="Times New Roman" w:hAnsi="Times New Roman" w:eastAsia="宋体" w:cs="Times New Roman"/>
          <w:color w:val="000000"/>
          <w:sz w:val="24"/>
          <w:szCs w:val="24"/>
          <w:lang w:val="en-US" w:eastAsia="zh-CN" w:bidi="ar"/>
        </w:rPr>
        <w:t xml:space="preserve">2017 </w:t>
      </w:r>
      <w:r>
        <w:rPr>
          <w:rFonts w:hint="eastAsia" w:ascii="Times New Roman" w:hAnsi="Times New Roman" w:eastAsia="宋体" w:cs="Times New Roman"/>
          <w:color w:val="000000"/>
          <w:sz w:val="24"/>
          <w:szCs w:val="24"/>
          <w:lang w:val="en-US" w:eastAsia="zh-CN" w:bidi="ar"/>
        </w:rPr>
        <w:t xml:space="preserve">年全年及各季均以 </w:t>
      </w:r>
      <w:r>
        <w:rPr>
          <w:rFonts w:ascii="Times New Roman" w:hAnsi="Times New Roman" w:eastAsia="宋体" w:cs="Times New Roman"/>
          <w:color w:val="000000"/>
          <w:sz w:val="24"/>
          <w:szCs w:val="24"/>
          <w:lang w:val="en-US" w:eastAsia="zh-CN" w:bidi="ar"/>
        </w:rPr>
        <w:t xml:space="preserve">D </w:t>
      </w:r>
      <w:r>
        <w:rPr>
          <w:rFonts w:hint="eastAsia" w:ascii="Times New Roman" w:hAnsi="Times New Roman" w:eastAsia="宋体" w:cs="Times New Roman"/>
          <w:color w:val="000000"/>
          <w:sz w:val="24"/>
          <w:szCs w:val="24"/>
          <w:lang w:val="en-US" w:eastAsia="zh-CN" w:bidi="ar"/>
        </w:rPr>
        <w:t xml:space="preserve">类稳定度（中性）为主。全年 </w:t>
      </w:r>
      <w:r>
        <w:rPr>
          <w:rFonts w:ascii="Times New Roman" w:hAnsi="Times New Roman" w:eastAsia="宋体" w:cs="Times New Roman"/>
          <w:color w:val="000000"/>
          <w:sz w:val="24"/>
          <w:szCs w:val="24"/>
          <w:lang w:val="en-US" w:eastAsia="zh-CN" w:bidi="ar"/>
        </w:rPr>
        <w:t xml:space="preserve">D </w:t>
      </w:r>
      <w:r>
        <w:rPr>
          <w:rFonts w:hint="eastAsia" w:ascii="Times New Roman" w:hAnsi="Times New Roman" w:eastAsia="宋体" w:cs="Times New Roman"/>
          <w:color w:val="000000"/>
          <w:sz w:val="24"/>
          <w:szCs w:val="24"/>
          <w:lang w:val="en-US" w:eastAsia="zh-CN" w:bidi="ar"/>
        </w:rPr>
        <w:t xml:space="preserve">类稳定度出现频率为 </w:t>
      </w:r>
      <w:r>
        <w:rPr>
          <w:rFonts w:ascii="Times New Roman" w:hAnsi="Times New Roman" w:eastAsia="宋体" w:cs="Times New Roman"/>
          <w:color w:val="000000"/>
          <w:sz w:val="24"/>
          <w:szCs w:val="24"/>
          <w:lang w:val="en-US" w:eastAsia="zh-CN" w:bidi="ar"/>
        </w:rPr>
        <w:t>45.16%</w:t>
      </w:r>
      <w:r>
        <w:rPr>
          <w:rFonts w:hint="eastAsia" w:ascii="Times New Roman" w:hAnsi="Times New Roman" w:eastAsia="宋体" w:cs="Times New Roman"/>
          <w:color w:val="000000"/>
          <w:sz w:val="24"/>
          <w:szCs w:val="24"/>
          <w:lang w:val="en-US" w:eastAsia="zh-CN" w:bidi="ar"/>
        </w:rPr>
        <w:t xml:space="preserve">。 </w:t>
      </w:r>
    </w:p>
    <w:p w14:paraId="78E64A4A">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B.</w:t>
      </w:r>
      <w:r>
        <w:rPr>
          <w:rFonts w:ascii="Times New Roman" w:hAnsi="Times New Roman" w:eastAsia="宋体" w:cs="Times New Roman"/>
          <w:color w:val="000000"/>
          <w:sz w:val="24"/>
          <w:szCs w:val="24"/>
          <w:lang w:val="en-US" w:eastAsia="zh-CN" w:bidi="ar"/>
        </w:rPr>
        <w:t xml:space="preserve">2017 </w:t>
      </w:r>
      <w:r>
        <w:rPr>
          <w:rFonts w:hint="eastAsia" w:ascii="Times New Roman" w:hAnsi="Times New Roman" w:eastAsia="宋体" w:cs="Times New Roman"/>
          <w:color w:val="000000"/>
          <w:sz w:val="24"/>
          <w:szCs w:val="24"/>
          <w:lang w:val="en-US" w:eastAsia="zh-CN" w:bidi="ar"/>
        </w:rPr>
        <w:t>年全年和各季稳定类天气多于不稳定类。全年强不稳定类（</w:t>
      </w:r>
      <w:r>
        <w:rPr>
          <w:rFonts w:ascii="Times New Roman" w:hAnsi="Times New Roman" w:eastAsia="宋体" w:cs="Times New Roman"/>
          <w:color w:val="000000"/>
          <w:sz w:val="24"/>
          <w:szCs w:val="24"/>
          <w:lang w:val="en-US" w:eastAsia="zh-CN" w:bidi="ar"/>
        </w:rPr>
        <w:t>A</w:t>
      </w:r>
      <w:r>
        <w:rPr>
          <w:rFonts w:hint="eastAsia" w:ascii="Times New Roman" w:hAnsi="Times New Roman" w:eastAsia="宋体" w:cs="Times New Roman"/>
          <w:color w:val="000000"/>
          <w:sz w:val="24"/>
          <w:szCs w:val="24"/>
          <w:lang w:val="en-US" w:eastAsia="zh-CN" w:bidi="ar"/>
        </w:rPr>
        <w:t xml:space="preserve">）天气出现频率为 </w:t>
      </w:r>
      <w:r>
        <w:rPr>
          <w:rFonts w:ascii="Times New Roman" w:hAnsi="Times New Roman" w:eastAsia="宋体" w:cs="Times New Roman"/>
          <w:color w:val="000000"/>
          <w:sz w:val="24"/>
          <w:szCs w:val="24"/>
          <w:lang w:val="en-US" w:eastAsia="zh-CN" w:bidi="ar"/>
        </w:rPr>
        <w:t>1.24%</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B </w:t>
      </w:r>
      <w:r>
        <w:rPr>
          <w:rFonts w:hint="eastAsia" w:ascii="Times New Roman" w:hAnsi="Times New Roman" w:eastAsia="宋体" w:cs="Times New Roman"/>
          <w:color w:val="000000"/>
          <w:sz w:val="24"/>
          <w:szCs w:val="24"/>
          <w:lang w:val="en-US" w:eastAsia="zh-CN" w:bidi="ar"/>
        </w:rPr>
        <w:t xml:space="preserve">类稳定度出现频率为 </w:t>
      </w:r>
      <w:r>
        <w:rPr>
          <w:rFonts w:ascii="Times New Roman" w:hAnsi="Times New Roman" w:eastAsia="宋体" w:cs="Times New Roman"/>
          <w:color w:val="000000"/>
          <w:sz w:val="24"/>
          <w:szCs w:val="24"/>
          <w:lang w:val="en-US" w:eastAsia="zh-CN" w:bidi="ar"/>
        </w:rPr>
        <w:t>15.96%</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C </w:t>
      </w:r>
      <w:r>
        <w:rPr>
          <w:rFonts w:hint="eastAsia" w:ascii="Times New Roman" w:hAnsi="Times New Roman" w:eastAsia="宋体" w:cs="Times New Roman"/>
          <w:color w:val="000000"/>
          <w:sz w:val="24"/>
          <w:szCs w:val="24"/>
          <w:lang w:val="en-US" w:eastAsia="zh-CN" w:bidi="ar"/>
        </w:rPr>
        <w:t xml:space="preserve">类稳定度出现频率为 </w:t>
      </w:r>
      <w:r>
        <w:rPr>
          <w:rFonts w:ascii="Times New Roman" w:hAnsi="Times New Roman" w:eastAsia="宋体" w:cs="Times New Roman"/>
          <w:color w:val="000000"/>
          <w:sz w:val="24"/>
          <w:szCs w:val="24"/>
          <w:lang w:val="en-US" w:eastAsia="zh-CN" w:bidi="ar"/>
        </w:rPr>
        <w:t>1.54%</w:t>
      </w:r>
      <w:r>
        <w:rPr>
          <w:rFonts w:hint="eastAsia" w:ascii="Times New Roman" w:hAnsi="Times New Roman" w:eastAsia="宋体" w:cs="Times New Roman"/>
          <w:color w:val="000000"/>
          <w:sz w:val="24"/>
          <w:szCs w:val="24"/>
          <w:lang w:val="en-US" w:eastAsia="zh-CN" w:bidi="ar"/>
        </w:rPr>
        <w:t>，强稳定类（</w:t>
      </w:r>
      <w:r>
        <w:rPr>
          <w:rFonts w:ascii="Times New Roman" w:hAnsi="Times New Roman" w:eastAsia="宋体" w:cs="Times New Roman"/>
          <w:color w:val="000000"/>
          <w:sz w:val="24"/>
          <w:szCs w:val="24"/>
          <w:lang w:val="en-US" w:eastAsia="zh-CN" w:bidi="ar"/>
        </w:rPr>
        <w:t>F</w:t>
      </w:r>
      <w:r>
        <w:rPr>
          <w:rFonts w:hint="eastAsia" w:ascii="Times New Roman" w:hAnsi="Times New Roman" w:eastAsia="宋体" w:cs="Times New Roman"/>
          <w:color w:val="000000"/>
          <w:sz w:val="24"/>
          <w:szCs w:val="24"/>
          <w:lang w:val="en-US" w:eastAsia="zh-CN" w:bidi="ar"/>
        </w:rPr>
        <w:t xml:space="preserve">）天气出现频率为 </w:t>
      </w:r>
      <w:r>
        <w:rPr>
          <w:rFonts w:ascii="Times New Roman" w:hAnsi="Times New Roman" w:eastAsia="宋体" w:cs="Times New Roman"/>
          <w:color w:val="000000"/>
          <w:sz w:val="24"/>
          <w:szCs w:val="24"/>
          <w:lang w:val="en-US" w:eastAsia="zh-CN" w:bidi="ar"/>
        </w:rPr>
        <w:t>5.22%</w:t>
      </w:r>
      <w:r>
        <w:rPr>
          <w:rFonts w:hint="eastAsia" w:ascii="Times New Roman" w:hAnsi="Times New Roman" w:eastAsia="宋体" w:cs="Times New Roman"/>
          <w:color w:val="000000"/>
          <w:sz w:val="24"/>
          <w:szCs w:val="24"/>
          <w:lang w:val="en-US" w:eastAsia="zh-CN" w:bidi="ar"/>
        </w:rPr>
        <w:t>，稳定类（</w:t>
      </w:r>
      <w:r>
        <w:rPr>
          <w:rFonts w:ascii="Times New Roman" w:hAnsi="Times New Roman" w:eastAsia="宋体" w:cs="Times New Roman"/>
          <w:color w:val="000000"/>
          <w:sz w:val="24"/>
          <w:szCs w:val="24"/>
          <w:lang w:val="en-US" w:eastAsia="zh-CN" w:bidi="ar"/>
        </w:rPr>
        <w:t>E</w:t>
      </w:r>
      <w:r>
        <w:rPr>
          <w:rFonts w:hint="eastAsia" w:ascii="Times New Roman" w:hAnsi="Times New Roman" w:eastAsia="宋体" w:cs="Times New Roman"/>
          <w:color w:val="000000"/>
          <w:sz w:val="24"/>
          <w:szCs w:val="24"/>
          <w:lang w:val="en-US" w:eastAsia="zh-CN" w:bidi="ar"/>
        </w:rPr>
        <w:t xml:space="preserve">）天气出现频率为 </w:t>
      </w:r>
      <w:r>
        <w:rPr>
          <w:rFonts w:ascii="Times New Roman" w:hAnsi="Times New Roman" w:eastAsia="宋体" w:cs="Times New Roman"/>
          <w:color w:val="000000"/>
          <w:sz w:val="24"/>
          <w:szCs w:val="24"/>
          <w:lang w:val="en-US" w:eastAsia="zh-CN" w:bidi="ar"/>
        </w:rPr>
        <w:t>30.34%</w:t>
      </w:r>
      <w:r>
        <w:rPr>
          <w:rFonts w:hint="eastAsia" w:ascii="Times New Roman" w:hAnsi="Times New Roman" w:eastAsia="宋体" w:cs="Times New Roman"/>
          <w:color w:val="000000"/>
          <w:sz w:val="24"/>
          <w:szCs w:val="24"/>
          <w:lang w:val="en-US" w:eastAsia="zh-CN" w:bidi="ar"/>
        </w:rPr>
        <w:t>。</w:t>
      </w:r>
    </w:p>
    <w:p w14:paraId="6FBDB68D">
      <w:pPr>
        <w:pStyle w:val="2"/>
        <w:ind w:firstLine="480"/>
        <w:jc w:val="center"/>
        <w:rPr>
          <w:rFonts w:ascii="Times New Roman" w:hAnsi="Times New Roman" w:eastAsia="宋体" w:cs="Times New Roman"/>
          <w:b/>
          <w:bCs/>
          <w:sz w:val="24"/>
          <w:szCs w:val="24"/>
          <w:lang w:val="en-US" w:eastAsia="zh-CN"/>
        </w:rPr>
      </w:pPr>
      <w:r>
        <w:rPr>
          <w:rFonts w:ascii="Times New Roman" w:hAnsi="Times New Roman" w:cs="Times New Roman"/>
          <w:b/>
          <w:bCs/>
          <w:sz w:val="24"/>
          <w:szCs w:val="24"/>
          <w:lang w:val="en-US" w:eastAsia="zh-CN"/>
        </w:rPr>
        <w:t>表6.2-1</w:t>
      </w:r>
      <w:r>
        <w:rPr>
          <w:rFonts w:hint="eastAsia" w:ascii="Times New Roman" w:hAnsi="Times New Roman" w:cs="Times New Roman"/>
          <w:b/>
          <w:bCs/>
          <w:sz w:val="24"/>
          <w:szCs w:val="24"/>
          <w:lang w:val="en-US" w:eastAsia="zh-CN"/>
        </w:rPr>
        <w:t xml:space="preserve">2 </w:t>
      </w:r>
      <w:r>
        <w:rPr>
          <w:rFonts w:ascii="Times New Roman" w:hAnsi="Times New Roman" w:cs="Times New Roman"/>
          <w:b/>
          <w:bCs/>
          <w:sz w:val="24"/>
          <w:szCs w:val="24"/>
          <w:lang w:val="en-US" w:eastAsia="zh-CN"/>
        </w:rPr>
        <w:t xml:space="preserve"> 2017年大气稳定度频率（%）</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14:paraId="62D65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6A994852">
            <w:pPr>
              <w:pStyle w:val="2"/>
              <w:widowControl w:val="0"/>
              <w:ind w:left="0" w:firstLine="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月份</w:t>
            </w:r>
          </w:p>
        </w:tc>
        <w:tc>
          <w:tcPr>
            <w:tcW w:w="852" w:type="dxa"/>
            <w:noWrap w:val="0"/>
            <w:vAlign w:val="center"/>
          </w:tcPr>
          <w:p w14:paraId="510592EF">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A</w:t>
            </w:r>
          </w:p>
        </w:tc>
        <w:tc>
          <w:tcPr>
            <w:tcW w:w="852" w:type="dxa"/>
            <w:noWrap w:val="0"/>
            <w:vAlign w:val="center"/>
          </w:tcPr>
          <w:p w14:paraId="6C757EF2">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B</w:t>
            </w:r>
          </w:p>
        </w:tc>
        <w:tc>
          <w:tcPr>
            <w:tcW w:w="852" w:type="dxa"/>
            <w:noWrap w:val="0"/>
            <w:vAlign w:val="center"/>
          </w:tcPr>
          <w:p w14:paraId="3A4D1B6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B-C</w:t>
            </w:r>
          </w:p>
        </w:tc>
        <w:tc>
          <w:tcPr>
            <w:tcW w:w="852" w:type="dxa"/>
            <w:noWrap w:val="0"/>
            <w:vAlign w:val="center"/>
          </w:tcPr>
          <w:p w14:paraId="67FCF011">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C</w:t>
            </w:r>
          </w:p>
        </w:tc>
        <w:tc>
          <w:tcPr>
            <w:tcW w:w="852" w:type="dxa"/>
            <w:noWrap w:val="0"/>
            <w:vAlign w:val="center"/>
          </w:tcPr>
          <w:p w14:paraId="6A12743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C-D</w:t>
            </w:r>
          </w:p>
        </w:tc>
        <w:tc>
          <w:tcPr>
            <w:tcW w:w="852" w:type="dxa"/>
            <w:noWrap w:val="0"/>
            <w:vAlign w:val="center"/>
          </w:tcPr>
          <w:p w14:paraId="57491E83">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D</w:t>
            </w:r>
          </w:p>
        </w:tc>
        <w:tc>
          <w:tcPr>
            <w:tcW w:w="852" w:type="dxa"/>
            <w:noWrap w:val="0"/>
            <w:vAlign w:val="center"/>
          </w:tcPr>
          <w:p w14:paraId="11BFB25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D-E</w:t>
            </w:r>
          </w:p>
        </w:tc>
        <w:tc>
          <w:tcPr>
            <w:tcW w:w="853" w:type="dxa"/>
            <w:noWrap w:val="0"/>
            <w:vAlign w:val="center"/>
          </w:tcPr>
          <w:p w14:paraId="7308D8E5">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E</w:t>
            </w:r>
          </w:p>
        </w:tc>
        <w:tc>
          <w:tcPr>
            <w:tcW w:w="853" w:type="dxa"/>
            <w:noWrap w:val="0"/>
            <w:vAlign w:val="center"/>
          </w:tcPr>
          <w:p w14:paraId="53FD1710">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F</w:t>
            </w:r>
          </w:p>
        </w:tc>
      </w:tr>
      <w:tr w14:paraId="0A017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3402B3D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w:t>
            </w:r>
          </w:p>
        </w:tc>
        <w:tc>
          <w:tcPr>
            <w:tcW w:w="852" w:type="dxa"/>
            <w:noWrap w:val="0"/>
            <w:vAlign w:val="center"/>
          </w:tcPr>
          <w:p w14:paraId="19915BA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4103B78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27.55</w:t>
            </w:r>
          </w:p>
        </w:tc>
        <w:tc>
          <w:tcPr>
            <w:tcW w:w="852" w:type="dxa"/>
            <w:noWrap w:val="0"/>
            <w:vAlign w:val="center"/>
          </w:tcPr>
          <w:p w14:paraId="30A51D6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591C9ADD">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2.15</w:t>
            </w:r>
          </w:p>
        </w:tc>
        <w:tc>
          <w:tcPr>
            <w:tcW w:w="852" w:type="dxa"/>
            <w:noWrap w:val="0"/>
            <w:vAlign w:val="center"/>
          </w:tcPr>
          <w:p w14:paraId="2D0D83F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5953C85C">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9.54</w:t>
            </w:r>
          </w:p>
        </w:tc>
        <w:tc>
          <w:tcPr>
            <w:tcW w:w="852" w:type="dxa"/>
            <w:noWrap w:val="0"/>
            <w:vAlign w:val="center"/>
          </w:tcPr>
          <w:p w14:paraId="4CE2C95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4B8561C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7.93</w:t>
            </w:r>
          </w:p>
        </w:tc>
        <w:tc>
          <w:tcPr>
            <w:tcW w:w="853" w:type="dxa"/>
            <w:noWrap w:val="0"/>
            <w:vAlign w:val="center"/>
          </w:tcPr>
          <w:p w14:paraId="663FA53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52.82</w:t>
            </w:r>
          </w:p>
        </w:tc>
      </w:tr>
      <w:tr w14:paraId="4E3C3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01E9D2A3">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w:t>
            </w:r>
          </w:p>
        </w:tc>
        <w:tc>
          <w:tcPr>
            <w:tcW w:w="852" w:type="dxa"/>
            <w:noWrap w:val="0"/>
            <w:vAlign w:val="center"/>
          </w:tcPr>
          <w:p w14:paraId="642A62F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630B4351">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26.34</w:t>
            </w:r>
          </w:p>
        </w:tc>
        <w:tc>
          <w:tcPr>
            <w:tcW w:w="852" w:type="dxa"/>
            <w:noWrap w:val="0"/>
            <w:vAlign w:val="center"/>
          </w:tcPr>
          <w:p w14:paraId="4752486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1.19</w:t>
            </w:r>
          </w:p>
        </w:tc>
        <w:tc>
          <w:tcPr>
            <w:tcW w:w="852" w:type="dxa"/>
            <w:noWrap w:val="0"/>
            <w:vAlign w:val="center"/>
          </w:tcPr>
          <w:p w14:paraId="1EDD749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2.98</w:t>
            </w:r>
          </w:p>
        </w:tc>
        <w:tc>
          <w:tcPr>
            <w:tcW w:w="852" w:type="dxa"/>
            <w:noWrap w:val="0"/>
            <w:vAlign w:val="center"/>
          </w:tcPr>
          <w:p w14:paraId="7781D53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629A53C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11.16</w:t>
            </w:r>
          </w:p>
        </w:tc>
        <w:tc>
          <w:tcPr>
            <w:tcW w:w="852" w:type="dxa"/>
            <w:noWrap w:val="0"/>
            <w:vAlign w:val="center"/>
          </w:tcPr>
          <w:p w14:paraId="7A9D114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6911296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9.82</w:t>
            </w:r>
          </w:p>
        </w:tc>
        <w:tc>
          <w:tcPr>
            <w:tcW w:w="853" w:type="dxa"/>
            <w:noWrap w:val="0"/>
            <w:vAlign w:val="center"/>
          </w:tcPr>
          <w:p w14:paraId="04D4AFC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48.51</w:t>
            </w:r>
          </w:p>
        </w:tc>
      </w:tr>
      <w:tr w14:paraId="0734A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7434D924">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w:t>
            </w:r>
          </w:p>
        </w:tc>
        <w:tc>
          <w:tcPr>
            <w:tcW w:w="852" w:type="dxa"/>
            <w:noWrap w:val="0"/>
            <w:vAlign w:val="center"/>
          </w:tcPr>
          <w:p w14:paraId="45893F9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0.81</w:t>
            </w:r>
          </w:p>
        </w:tc>
        <w:tc>
          <w:tcPr>
            <w:tcW w:w="852" w:type="dxa"/>
            <w:noWrap w:val="0"/>
            <w:vAlign w:val="center"/>
          </w:tcPr>
          <w:p w14:paraId="7095F3B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15.05</w:t>
            </w:r>
          </w:p>
        </w:tc>
        <w:tc>
          <w:tcPr>
            <w:tcW w:w="852" w:type="dxa"/>
            <w:noWrap w:val="0"/>
            <w:vAlign w:val="center"/>
          </w:tcPr>
          <w:p w14:paraId="793AB36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0.94</w:t>
            </w:r>
          </w:p>
        </w:tc>
        <w:tc>
          <w:tcPr>
            <w:tcW w:w="852" w:type="dxa"/>
            <w:noWrap w:val="0"/>
            <w:vAlign w:val="center"/>
          </w:tcPr>
          <w:p w14:paraId="0F4C7EF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2.82</w:t>
            </w:r>
          </w:p>
        </w:tc>
        <w:tc>
          <w:tcPr>
            <w:tcW w:w="852" w:type="dxa"/>
            <w:noWrap w:val="0"/>
            <w:vAlign w:val="center"/>
          </w:tcPr>
          <w:p w14:paraId="0141AE1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16F0739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44.76</w:t>
            </w:r>
          </w:p>
        </w:tc>
        <w:tc>
          <w:tcPr>
            <w:tcW w:w="852" w:type="dxa"/>
            <w:noWrap w:val="0"/>
            <w:vAlign w:val="center"/>
          </w:tcPr>
          <w:p w14:paraId="4F8CF9D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0B05DCE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4.44</w:t>
            </w:r>
          </w:p>
        </w:tc>
        <w:tc>
          <w:tcPr>
            <w:tcW w:w="853" w:type="dxa"/>
            <w:noWrap w:val="0"/>
            <w:vAlign w:val="center"/>
          </w:tcPr>
          <w:p w14:paraId="0E99048C">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31.18</w:t>
            </w:r>
          </w:p>
        </w:tc>
      </w:tr>
      <w:tr w14:paraId="26B2E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53CAC78A">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w:t>
            </w:r>
          </w:p>
        </w:tc>
        <w:tc>
          <w:tcPr>
            <w:tcW w:w="852" w:type="dxa"/>
            <w:noWrap w:val="0"/>
            <w:vAlign w:val="center"/>
          </w:tcPr>
          <w:p w14:paraId="511D582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1.53</w:t>
            </w:r>
          </w:p>
        </w:tc>
        <w:tc>
          <w:tcPr>
            <w:tcW w:w="852" w:type="dxa"/>
            <w:noWrap w:val="0"/>
            <w:vAlign w:val="center"/>
          </w:tcPr>
          <w:p w14:paraId="3BF60F0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9.58</w:t>
            </w:r>
          </w:p>
        </w:tc>
        <w:tc>
          <w:tcPr>
            <w:tcW w:w="852" w:type="dxa"/>
            <w:noWrap w:val="0"/>
            <w:vAlign w:val="center"/>
          </w:tcPr>
          <w:p w14:paraId="202205A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0.97</w:t>
            </w:r>
          </w:p>
        </w:tc>
        <w:tc>
          <w:tcPr>
            <w:tcW w:w="852" w:type="dxa"/>
            <w:noWrap w:val="0"/>
            <w:vAlign w:val="center"/>
          </w:tcPr>
          <w:p w14:paraId="7B7BB01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0.97</w:t>
            </w:r>
          </w:p>
        </w:tc>
        <w:tc>
          <w:tcPr>
            <w:tcW w:w="852" w:type="dxa"/>
            <w:noWrap w:val="0"/>
            <w:vAlign w:val="center"/>
          </w:tcPr>
          <w:p w14:paraId="6147CEE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0.69</w:t>
            </w:r>
          </w:p>
        </w:tc>
        <w:tc>
          <w:tcPr>
            <w:tcW w:w="852" w:type="dxa"/>
            <w:noWrap w:val="0"/>
            <w:vAlign w:val="center"/>
          </w:tcPr>
          <w:p w14:paraId="7354A07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55.00</w:t>
            </w:r>
          </w:p>
        </w:tc>
        <w:tc>
          <w:tcPr>
            <w:tcW w:w="852" w:type="dxa"/>
            <w:noWrap w:val="0"/>
            <w:vAlign w:val="center"/>
          </w:tcPr>
          <w:p w14:paraId="02EAEE4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6D1B723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3.61</w:t>
            </w:r>
          </w:p>
        </w:tc>
        <w:tc>
          <w:tcPr>
            <w:tcW w:w="853" w:type="dxa"/>
            <w:noWrap w:val="0"/>
            <w:vAlign w:val="center"/>
          </w:tcPr>
          <w:p w14:paraId="32B399CC">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27.64</w:t>
            </w:r>
          </w:p>
        </w:tc>
      </w:tr>
      <w:tr w14:paraId="5587E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6062AE3B">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5</w:t>
            </w:r>
          </w:p>
        </w:tc>
        <w:tc>
          <w:tcPr>
            <w:tcW w:w="852" w:type="dxa"/>
            <w:noWrap w:val="0"/>
            <w:vAlign w:val="center"/>
          </w:tcPr>
          <w:p w14:paraId="7F6B7EA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4.03</w:t>
            </w:r>
          </w:p>
        </w:tc>
        <w:tc>
          <w:tcPr>
            <w:tcW w:w="852" w:type="dxa"/>
            <w:noWrap w:val="0"/>
            <w:vAlign w:val="center"/>
          </w:tcPr>
          <w:p w14:paraId="6CABD81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13.58</w:t>
            </w:r>
          </w:p>
        </w:tc>
        <w:tc>
          <w:tcPr>
            <w:tcW w:w="852" w:type="dxa"/>
            <w:noWrap w:val="0"/>
            <w:vAlign w:val="center"/>
          </w:tcPr>
          <w:p w14:paraId="3C31796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0.81</w:t>
            </w:r>
          </w:p>
        </w:tc>
        <w:tc>
          <w:tcPr>
            <w:tcW w:w="852" w:type="dxa"/>
            <w:noWrap w:val="0"/>
            <w:vAlign w:val="center"/>
          </w:tcPr>
          <w:p w14:paraId="5929A39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2.15</w:t>
            </w:r>
          </w:p>
        </w:tc>
        <w:tc>
          <w:tcPr>
            <w:tcW w:w="852" w:type="dxa"/>
            <w:noWrap w:val="0"/>
            <w:vAlign w:val="center"/>
          </w:tcPr>
          <w:p w14:paraId="62EBBA3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0.13</w:t>
            </w:r>
          </w:p>
        </w:tc>
        <w:tc>
          <w:tcPr>
            <w:tcW w:w="852" w:type="dxa"/>
            <w:noWrap w:val="0"/>
            <w:vAlign w:val="center"/>
          </w:tcPr>
          <w:p w14:paraId="420E352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45.97</w:t>
            </w:r>
          </w:p>
        </w:tc>
        <w:tc>
          <w:tcPr>
            <w:tcW w:w="852" w:type="dxa"/>
            <w:noWrap w:val="0"/>
            <w:vAlign w:val="center"/>
          </w:tcPr>
          <w:p w14:paraId="1179155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00035E0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6.71</w:t>
            </w:r>
          </w:p>
        </w:tc>
        <w:tc>
          <w:tcPr>
            <w:tcW w:w="853" w:type="dxa"/>
            <w:noWrap w:val="0"/>
            <w:vAlign w:val="center"/>
          </w:tcPr>
          <w:p w14:paraId="6606B6D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26.61</w:t>
            </w:r>
          </w:p>
        </w:tc>
      </w:tr>
      <w:tr w14:paraId="4C216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39D332F6">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6</w:t>
            </w:r>
          </w:p>
        </w:tc>
        <w:tc>
          <w:tcPr>
            <w:tcW w:w="852" w:type="dxa"/>
            <w:noWrap w:val="0"/>
            <w:vAlign w:val="center"/>
          </w:tcPr>
          <w:p w14:paraId="76CD23A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2.64</w:t>
            </w:r>
          </w:p>
        </w:tc>
        <w:tc>
          <w:tcPr>
            <w:tcW w:w="852" w:type="dxa"/>
            <w:noWrap w:val="0"/>
            <w:vAlign w:val="center"/>
          </w:tcPr>
          <w:p w14:paraId="63FCE70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6.81</w:t>
            </w:r>
          </w:p>
        </w:tc>
        <w:tc>
          <w:tcPr>
            <w:tcW w:w="852" w:type="dxa"/>
            <w:noWrap w:val="0"/>
            <w:vAlign w:val="center"/>
          </w:tcPr>
          <w:p w14:paraId="31BFE781">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0.14</w:t>
            </w:r>
          </w:p>
        </w:tc>
        <w:tc>
          <w:tcPr>
            <w:tcW w:w="852" w:type="dxa"/>
            <w:noWrap w:val="0"/>
            <w:vAlign w:val="center"/>
          </w:tcPr>
          <w:p w14:paraId="6274A89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0.28</w:t>
            </w:r>
          </w:p>
        </w:tc>
        <w:tc>
          <w:tcPr>
            <w:tcW w:w="852" w:type="dxa"/>
            <w:noWrap w:val="0"/>
            <w:vAlign w:val="center"/>
          </w:tcPr>
          <w:p w14:paraId="24EF48A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1FBF78B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75.00</w:t>
            </w:r>
          </w:p>
        </w:tc>
        <w:tc>
          <w:tcPr>
            <w:tcW w:w="852" w:type="dxa"/>
            <w:noWrap w:val="0"/>
            <w:vAlign w:val="center"/>
          </w:tcPr>
          <w:p w14:paraId="041426D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447A2F0D">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2.64</w:t>
            </w:r>
          </w:p>
        </w:tc>
        <w:tc>
          <w:tcPr>
            <w:tcW w:w="853" w:type="dxa"/>
            <w:noWrap w:val="0"/>
            <w:vAlign w:val="center"/>
          </w:tcPr>
          <w:p w14:paraId="32AA0CD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12.50</w:t>
            </w:r>
          </w:p>
        </w:tc>
      </w:tr>
      <w:tr w14:paraId="7F538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4FFBF8C1">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w:t>
            </w:r>
          </w:p>
        </w:tc>
        <w:tc>
          <w:tcPr>
            <w:tcW w:w="852" w:type="dxa"/>
            <w:noWrap w:val="0"/>
            <w:vAlign w:val="center"/>
          </w:tcPr>
          <w:p w14:paraId="0B1B334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2.69</w:t>
            </w:r>
          </w:p>
        </w:tc>
        <w:tc>
          <w:tcPr>
            <w:tcW w:w="852" w:type="dxa"/>
            <w:noWrap w:val="0"/>
            <w:vAlign w:val="center"/>
          </w:tcPr>
          <w:p w14:paraId="7204209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8.74</w:t>
            </w:r>
          </w:p>
        </w:tc>
        <w:tc>
          <w:tcPr>
            <w:tcW w:w="852" w:type="dxa"/>
            <w:noWrap w:val="0"/>
            <w:vAlign w:val="center"/>
          </w:tcPr>
          <w:p w14:paraId="4F95789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2F35255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0.40</w:t>
            </w:r>
          </w:p>
        </w:tc>
        <w:tc>
          <w:tcPr>
            <w:tcW w:w="852" w:type="dxa"/>
            <w:noWrap w:val="0"/>
            <w:vAlign w:val="center"/>
          </w:tcPr>
          <w:p w14:paraId="03EC272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2FA4FCB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75.81</w:t>
            </w:r>
          </w:p>
        </w:tc>
        <w:tc>
          <w:tcPr>
            <w:tcW w:w="852" w:type="dxa"/>
            <w:noWrap w:val="0"/>
            <w:vAlign w:val="center"/>
          </w:tcPr>
          <w:p w14:paraId="4CA61BA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4D83F45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2.69</w:t>
            </w:r>
          </w:p>
        </w:tc>
        <w:tc>
          <w:tcPr>
            <w:tcW w:w="853" w:type="dxa"/>
            <w:noWrap w:val="0"/>
            <w:vAlign w:val="center"/>
          </w:tcPr>
          <w:p w14:paraId="4BE99AF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9.68</w:t>
            </w:r>
          </w:p>
        </w:tc>
      </w:tr>
      <w:tr w14:paraId="23337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7B9B3148">
            <w:pPr>
              <w:pStyle w:val="2"/>
              <w:widowControl w:val="0"/>
              <w:ind w:left="0" w:firstLine="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8</w:t>
            </w:r>
          </w:p>
        </w:tc>
        <w:tc>
          <w:tcPr>
            <w:tcW w:w="852" w:type="dxa"/>
            <w:noWrap w:val="0"/>
            <w:vAlign w:val="center"/>
          </w:tcPr>
          <w:p w14:paraId="1CA5881C">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2.55</w:t>
            </w:r>
          </w:p>
        </w:tc>
        <w:tc>
          <w:tcPr>
            <w:tcW w:w="852" w:type="dxa"/>
            <w:noWrap w:val="0"/>
            <w:vAlign w:val="center"/>
          </w:tcPr>
          <w:p w14:paraId="27B245F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8.33</w:t>
            </w:r>
          </w:p>
        </w:tc>
        <w:tc>
          <w:tcPr>
            <w:tcW w:w="852" w:type="dxa"/>
            <w:noWrap w:val="0"/>
            <w:vAlign w:val="center"/>
          </w:tcPr>
          <w:p w14:paraId="5C946E4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0.27</w:t>
            </w:r>
          </w:p>
        </w:tc>
        <w:tc>
          <w:tcPr>
            <w:tcW w:w="852" w:type="dxa"/>
            <w:noWrap w:val="0"/>
            <w:vAlign w:val="center"/>
          </w:tcPr>
          <w:p w14:paraId="4DFD83A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0.54</w:t>
            </w:r>
          </w:p>
        </w:tc>
        <w:tc>
          <w:tcPr>
            <w:tcW w:w="852" w:type="dxa"/>
            <w:noWrap w:val="0"/>
            <w:vAlign w:val="center"/>
          </w:tcPr>
          <w:p w14:paraId="0381FD0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6C0A16D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73.52</w:t>
            </w:r>
          </w:p>
        </w:tc>
        <w:tc>
          <w:tcPr>
            <w:tcW w:w="852" w:type="dxa"/>
            <w:noWrap w:val="0"/>
            <w:vAlign w:val="center"/>
          </w:tcPr>
          <w:p w14:paraId="17BD812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7FAC6C9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2.42</w:t>
            </w:r>
          </w:p>
        </w:tc>
        <w:tc>
          <w:tcPr>
            <w:tcW w:w="853" w:type="dxa"/>
            <w:noWrap w:val="0"/>
            <w:vAlign w:val="center"/>
          </w:tcPr>
          <w:p w14:paraId="34C8A58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12.37</w:t>
            </w:r>
          </w:p>
        </w:tc>
      </w:tr>
      <w:tr w14:paraId="6D7D9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3DBDB7C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9</w:t>
            </w:r>
          </w:p>
        </w:tc>
        <w:tc>
          <w:tcPr>
            <w:tcW w:w="852" w:type="dxa"/>
            <w:noWrap w:val="0"/>
            <w:vAlign w:val="center"/>
          </w:tcPr>
          <w:p w14:paraId="2EBB3AB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0.56</w:t>
            </w:r>
          </w:p>
        </w:tc>
        <w:tc>
          <w:tcPr>
            <w:tcW w:w="852" w:type="dxa"/>
            <w:noWrap w:val="0"/>
            <w:vAlign w:val="center"/>
          </w:tcPr>
          <w:p w14:paraId="0C3D500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10.00</w:t>
            </w:r>
          </w:p>
        </w:tc>
        <w:tc>
          <w:tcPr>
            <w:tcW w:w="852" w:type="dxa"/>
            <w:noWrap w:val="0"/>
            <w:vAlign w:val="center"/>
          </w:tcPr>
          <w:p w14:paraId="4FE9976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7CAE6E3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1.11</w:t>
            </w:r>
          </w:p>
        </w:tc>
        <w:tc>
          <w:tcPr>
            <w:tcW w:w="852" w:type="dxa"/>
            <w:noWrap w:val="0"/>
            <w:vAlign w:val="center"/>
          </w:tcPr>
          <w:p w14:paraId="70953CF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0.14</w:t>
            </w:r>
          </w:p>
        </w:tc>
        <w:tc>
          <w:tcPr>
            <w:tcW w:w="852" w:type="dxa"/>
            <w:noWrap w:val="0"/>
            <w:vAlign w:val="center"/>
          </w:tcPr>
          <w:p w14:paraId="1518265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65.00</w:t>
            </w:r>
          </w:p>
        </w:tc>
        <w:tc>
          <w:tcPr>
            <w:tcW w:w="852" w:type="dxa"/>
            <w:noWrap w:val="0"/>
            <w:vAlign w:val="center"/>
          </w:tcPr>
          <w:p w14:paraId="4522A04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1BCB51F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2.78</w:t>
            </w:r>
          </w:p>
        </w:tc>
        <w:tc>
          <w:tcPr>
            <w:tcW w:w="853" w:type="dxa"/>
            <w:noWrap w:val="0"/>
            <w:vAlign w:val="center"/>
          </w:tcPr>
          <w:p w14:paraId="7C89651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20.42</w:t>
            </w:r>
          </w:p>
        </w:tc>
      </w:tr>
      <w:tr w14:paraId="67ABB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6B810ED1">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10</w:t>
            </w:r>
          </w:p>
        </w:tc>
        <w:tc>
          <w:tcPr>
            <w:tcW w:w="852" w:type="dxa"/>
            <w:noWrap w:val="0"/>
            <w:vAlign w:val="center"/>
          </w:tcPr>
          <w:p w14:paraId="0BDEE2E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59C3E55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20.43</w:t>
            </w:r>
          </w:p>
        </w:tc>
        <w:tc>
          <w:tcPr>
            <w:tcW w:w="852" w:type="dxa"/>
            <w:noWrap w:val="0"/>
            <w:vAlign w:val="center"/>
          </w:tcPr>
          <w:p w14:paraId="613DDAA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31B08D3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1.75</w:t>
            </w:r>
          </w:p>
        </w:tc>
        <w:tc>
          <w:tcPr>
            <w:tcW w:w="852" w:type="dxa"/>
            <w:noWrap w:val="0"/>
            <w:vAlign w:val="center"/>
          </w:tcPr>
          <w:p w14:paraId="261B182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02CEFA0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39.11</w:t>
            </w:r>
          </w:p>
        </w:tc>
        <w:tc>
          <w:tcPr>
            <w:tcW w:w="852" w:type="dxa"/>
            <w:noWrap w:val="0"/>
            <w:vAlign w:val="center"/>
          </w:tcPr>
          <w:p w14:paraId="0C25D35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0221776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5.51</w:t>
            </w:r>
          </w:p>
        </w:tc>
        <w:tc>
          <w:tcPr>
            <w:tcW w:w="853" w:type="dxa"/>
            <w:noWrap w:val="0"/>
            <w:vAlign w:val="center"/>
          </w:tcPr>
          <w:p w14:paraId="3E7F4BC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33.20</w:t>
            </w:r>
          </w:p>
        </w:tc>
      </w:tr>
      <w:tr w14:paraId="0BDB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50CE5D9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11</w:t>
            </w:r>
          </w:p>
        </w:tc>
        <w:tc>
          <w:tcPr>
            <w:tcW w:w="852" w:type="dxa"/>
            <w:noWrap w:val="0"/>
            <w:vAlign w:val="center"/>
          </w:tcPr>
          <w:p w14:paraId="3166424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6CF7AD4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20.69</w:t>
            </w:r>
          </w:p>
        </w:tc>
        <w:tc>
          <w:tcPr>
            <w:tcW w:w="852" w:type="dxa"/>
            <w:noWrap w:val="0"/>
            <w:vAlign w:val="center"/>
          </w:tcPr>
          <w:p w14:paraId="27A6BC6C">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0.69</w:t>
            </w:r>
          </w:p>
        </w:tc>
        <w:tc>
          <w:tcPr>
            <w:tcW w:w="852" w:type="dxa"/>
            <w:noWrap w:val="0"/>
            <w:vAlign w:val="center"/>
          </w:tcPr>
          <w:p w14:paraId="2310D58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2.22</w:t>
            </w:r>
          </w:p>
        </w:tc>
        <w:tc>
          <w:tcPr>
            <w:tcW w:w="852" w:type="dxa"/>
            <w:noWrap w:val="0"/>
            <w:vAlign w:val="center"/>
          </w:tcPr>
          <w:p w14:paraId="6064E00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391773F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27.64</w:t>
            </w:r>
          </w:p>
        </w:tc>
        <w:tc>
          <w:tcPr>
            <w:tcW w:w="852" w:type="dxa"/>
            <w:noWrap w:val="0"/>
            <w:vAlign w:val="center"/>
          </w:tcPr>
          <w:p w14:paraId="30C47C5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475FA962">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7.50</w:t>
            </w:r>
          </w:p>
        </w:tc>
        <w:tc>
          <w:tcPr>
            <w:tcW w:w="853" w:type="dxa"/>
            <w:noWrap w:val="0"/>
            <w:vAlign w:val="center"/>
          </w:tcPr>
          <w:p w14:paraId="6734340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41.25</w:t>
            </w:r>
          </w:p>
        </w:tc>
      </w:tr>
      <w:tr w14:paraId="5F14E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7477E08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12</w:t>
            </w:r>
          </w:p>
        </w:tc>
        <w:tc>
          <w:tcPr>
            <w:tcW w:w="852" w:type="dxa"/>
            <w:noWrap w:val="0"/>
            <w:vAlign w:val="center"/>
          </w:tcPr>
          <w:p w14:paraId="7F32AE8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27A5AC2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24.87</w:t>
            </w:r>
          </w:p>
        </w:tc>
        <w:tc>
          <w:tcPr>
            <w:tcW w:w="852" w:type="dxa"/>
            <w:noWrap w:val="0"/>
            <w:vAlign w:val="center"/>
          </w:tcPr>
          <w:p w14:paraId="335A1FE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0.54</w:t>
            </w:r>
          </w:p>
        </w:tc>
        <w:tc>
          <w:tcPr>
            <w:tcW w:w="852" w:type="dxa"/>
            <w:noWrap w:val="0"/>
            <w:vAlign w:val="center"/>
          </w:tcPr>
          <w:p w14:paraId="5924D7C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1.21</w:t>
            </w:r>
          </w:p>
        </w:tc>
        <w:tc>
          <w:tcPr>
            <w:tcW w:w="852" w:type="dxa"/>
            <w:noWrap w:val="0"/>
            <w:vAlign w:val="center"/>
          </w:tcPr>
          <w:p w14:paraId="0ED35B0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650E262C">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17.47</w:t>
            </w:r>
          </w:p>
        </w:tc>
        <w:tc>
          <w:tcPr>
            <w:tcW w:w="852" w:type="dxa"/>
            <w:noWrap w:val="0"/>
            <w:vAlign w:val="center"/>
          </w:tcPr>
          <w:p w14:paraId="48EE261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78BFD23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6.85</w:t>
            </w:r>
          </w:p>
        </w:tc>
        <w:tc>
          <w:tcPr>
            <w:tcW w:w="853" w:type="dxa"/>
            <w:noWrap w:val="0"/>
            <w:vAlign w:val="center"/>
          </w:tcPr>
          <w:p w14:paraId="4E0A031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49.06</w:t>
            </w:r>
          </w:p>
        </w:tc>
      </w:tr>
      <w:tr w14:paraId="7317D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79D1976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全年</w:t>
            </w:r>
          </w:p>
        </w:tc>
        <w:tc>
          <w:tcPr>
            <w:tcW w:w="852" w:type="dxa"/>
            <w:noWrap w:val="0"/>
            <w:vAlign w:val="center"/>
          </w:tcPr>
          <w:p w14:paraId="7BF28A1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1.24</w:t>
            </w:r>
          </w:p>
        </w:tc>
        <w:tc>
          <w:tcPr>
            <w:tcW w:w="852" w:type="dxa"/>
            <w:noWrap w:val="0"/>
            <w:vAlign w:val="center"/>
          </w:tcPr>
          <w:p w14:paraId="7971DA0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15.96</w:t>
            </w:r>
          </w:p>
        </w:tc>
        <w:tc>
          <w:tcPr>
            <w:tcW w:w="852" w:type="dxa"/>
            <w:noWrap w:val="0"/>
            <w:vAlign w:val="center"/>
          </w:tcPr>
          <w:p w14:paraId="11EF5F41">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0.46</w:t>
            </w:r>
          </w:p>
        </w:tc>
        <w:tc>
          <w:tcPr>
            <w:tcW w:w="852" w:type="dxa"/>
            <w:noWrap w:val="0"/>
            <w:vAlign w:val="center"/>
          </w:tcPr>
          <w:p w14:paraId="27F1B88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1.54</w:t>
            </w:r>
          </w:p>
        </w:tc>
        <w:tc>
          <w:tcPr>
            <w:tcW w:w="852" w:type="dxa"/>
            <w:noWrap w:val="0"/>
            <w:vAlign w:val="center"/>
          </w:tcPr>
          <w:p w14:paraId="064926D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0.08</w:t>
            </w:r>
          </w:p>
        </w:tc>
        <w:tc>
          <w:tcPr>
            <w:tcW w:w="852" w:type="dxa"/>
            <w:noWrap w:val="0"/>
            <w:vAlign w:val="center"/>
          </w:tcPr>
          <w:p w14:paraId="0B8B44DD">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45.16</w:t>
            </w:r>
          </w:p>
        </w:tc>
        <w:tc>
          <w:tcPr>
            <w:tcW w:w="852" w:type="dxa"/>
            <w:noWrap w:val="0"/>
            <w:vAlign w:val="center"/>
          </w:tcPr>
          <w:p w14:paraId="072DC8F1">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4255A42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5.22</w:t>
            </w:r>
          </w:p>
        </w:tc>
        <w:tc>
          <w:tcPr>
            <w:tcW w:w="853" w:type="dxa"/>
            <w:noWrap w:val="0"/>
            <w:vAlign w:val="center"/>
          </w:tcPr>
          <w:p w14:paraId="737CB90D">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30.34</w:t>
            </w:r>
          </w:p>
        </w:tc>
      </w:tr>
      <w:tr w14:paraId="01761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7488C1F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春季</w:t>
            </w:r>
          </w:p>
        </w:tc>
        <w:tc>
          <w:tcPr>
            <w:tcW w:w="852" w:type="dxa"/>
            <w:noWrap w:val="0"/>
            <w:vAlign w:val="center"/>
          </w:tcPr>
          <w:p w14:paraId="72E0C66D">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2.13</w:t>
            </w:r>
          </w:p>
        </w:tc>
        <w:tc>
          <w:tcPr>
            <w:tcW w:w="852" w:type="dxa"/>
            <w:noWrap w:val="0"/>
            <w:vAlign w:val="center"/>
          </w:tcPr>
          <w:p w14:paraId="5BED376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12.77</w:t>
            </w:r>
          </w:p>
        </w:tc>
        <w:tc>
          <w:tcPr>
            <w:tcW w:w="852" w:type="dxa"/>
            <w:noWrap w:val="0"/>
            <w:vAlign w:val="center"/>
          </w:tcPr>
          <w:p w14:paraId="1181F34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0.91</w:t>
            </w:r>
          </w:p>
        </w:tc>
        <w:tc>
          <w:tcPr>
            <w:tcW w:w="852" w:type="dxa"/>
            <w:noWrap w:val="0"/>
            <w:vAlign w:val="center"/>
          </w:tcPr>
          <w:p w14:paraId="0AA7E9B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1.99</w:t>
            </w:r>
          </w:p>
        </w:tc>
        <w:tc>
          <w:tcPr>
            <w:tcW w:w="852" w:type="dxa"/>
            <w:noWrap w:val="0"/>
            <w:vAlign w:val="center"/>
          </w:tcPr>
          <w:p w14:paraId="02BBF48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0.27</w:t>
            </w:r>
          </w:p>
        </w:tc>
        <w:tc>
          <w:tcPr>
            <w:tcW w:w="852" w:type="dxa"/>
            <w:noWrap w:val="0"/>
            <w:vAlign w:val="center"/>
          </w:tcPr>
          <w:p w14:paraId="5EB9CF1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48.51</w:t>
            </w:r>
          </w:p>
        </w:tc>
        <w:tc>
          <w:tcPr>
            <w:tcW w:w="852" w:type="dxa"/>
            <w:noWrap w:val="0"/>
            <w:vAlign w:val="center"/>
          </w:tcPr>
          <w:p w14:paraId="049DB2D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10BBF5C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4.94</w:t>
            </w:r>
          </w:p>
        </w:tc>
        <w:tc>
          <w:tcPr>
            <w:tcW w:w="853" w:type="dxa"/>
            <w:noWrap w:val="0"/>
            <w:vAlign w:val="center"/>
          </w:tcPr>
          <w:p w14:paraId="2058D624">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28.49</w:t>
            </w:r>
          </w:p>
        </w:tc>
      </w:tr>
      <w:tr w14:paraId="4C554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4AA4D8E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夏季</w:t>
            </w:r>
          </w:p>
        </w:tc>
        <w:tc>
          <w:tcPr>
            <w:tcW w:w="852" w:type="dxa"/>
            <w:noWrap w:val="0"/>
            <w:vAlign w:val="center"/>
          </w:tcPr>
          <w:p w14:paraId="2CA4573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2.63</w:t>
            </w:r>
          </w:p>
        </w:tc>
        <w:tc>
          <w:tcPr>
            <w:tcW w:w="852" w:type="dxa"/>
            <w:noWrap w:val="0"/>
            <w:vAlign w:val="center"/>
          </w:tcPr>
          <w:p w14:paraId="76FAF26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7.97</w:t>
            </w:r>
          </w:p>
        </w:tc>
        <w:tc>
          <w:tcPr>
            <w:tcW w:w="852" w:type="dxa"/>
            <w:noWrap w:val="0"/>
            <w:vAlign w:val="center"/>
          </w:tcPr>
          <w:p w14:paraId="33BC3183">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0.14</w:t>
            </w:r>
          </w:p>
        </w:tc>
        <w:tc>
          <w:tcPr>
            <w:tcW w:w="852" w:type="dxa"/>
            <w:noWrap w:val="0"/>
            <w:vAlign w:val="center"/>
          </w:tcPr>
          <w:p w14:paraId="4133D1A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0.41</w:t>
            </w:r>
          </w:p>
        </w:tc>
        <w:tc>
          <w:tcPr>
            <w:tcW w:w="852" w:type="dxa"/>
            <w:noWrap w:val="0"/>
            <w:vAlign w:val="center"/>
          </w:tcPr>
          <w:p w14:paraId="2B55070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56C5262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74.77</w:t>
            </w:r>
          </w:p>
        </w:tc>
        <w:tc>
          <w:tcPr>
            <w:tcW w:w="852" w:type="dxa"/>
            <w:noWrap w:val="0"/>
            <w:vAlign w:val="center"/>
          </w:tcPr>
          <w:p w14:paraId="7D9C501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72B7FF9F">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2.58</w:t>
            </w:r>
          </w:p>
        </w:tc>
        <w:tc>
          <w:tcPr>
            <w:tcW w:w="853" w:type="dxa"/>
            <w:noWrap w:val="0"/>
            <w:vAlign w:val="center"/>
          </w:tcPr>
          <w:p w14:paraId="2F3F60D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11.50</w:t>
            </w:r>
          </w:p>
        </w:tc>
      </w:tr>
      <w:tr w14:paraId="7FE47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48F73BF0">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秋季</w:t>
            </w:r>
          </w:p>
        </w:tc>
        <w:tc>
          <w:tcPr>
            <w:tcW w:w="852" w:type="dxa"/>
            <w:noWrap w:val="0"/>
            <w:vAlign w:val="center"/>
          </w:tcPr>
          <w:p w14:paraId="7F4083B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0.18</w:t>
            </w:r>
          </w:p>
        </w:tc>
        <w:tc>
          <w:tcPr>
            <w:tcW w:w="852" w:type="dxa"/>
            <w:noWrap w:val="0"/>
            <w:vAlign w:val="center"/>
          </w:tcPr>
          <w:p w14:paraId="0841EA4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17.08</w:t>
            </w:r>
          </w:p>
        </w:tc>
        <w:tc>
          <w:tcPr>
            <w:tcW w:w="852" w:type="dxa"/>
            <w:noWrap w:val="0"/>
            <w:vAlign w:val="center"/>
          </w:tcPr>
          <w:p w14:paraId="750EC89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0.23</w:t>
            </w:r>
          </w:p>
        </w:tc>
        <w:tc>
          <w:tcPr>
            <w:tcW w:w="852" w:type="dxa"/>
            <w:noWrap w:val="0"/>
            <w:vAlign w:val="center"/>
          </w:tcPr>
          <w:p w14:paraId="6AB5267D">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1.69</w:t>
            </w:r>
          </w:p>
        </w:tc>
        <w:tc>
          <w:tcPr>
            <w:tcW w:w="852" w:type="dxa"/>
            <w:noWrap w:val="0"/>
            <w:vAlign w:val="center"/>
          </w:tcPr>
          <w:p w14:paraId="6E7F14F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0.05</w:t>
            </w:r>
          </w:p>
        </w:tc>
        <w:tc>
          <w:tcPr>
            <w:tcW w:w="852" w:type="dxa"/>
            <w:noWrap w:val="0"/>
            <w:vAlign w:val="center"/>
          </w:tcPr>
          <w:p w14:paraId="113034E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43.86</w:t>
            </w:r>
          </w:p>
        </w:tc>
        <w:tc>
          <w:tcPr>
            <w:tcW w:w="852" w:type="dxa"/>
            <w:noWrap w:val="0"/>
            <w:vAlign w:val="center"/>
          </w:tcPr>
          <w:p w14:paraId="39B3BBD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64464CE5">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5.27</w:t>
            </w:r>
          </w:p>
        </w:tc>
        <w:tc>
          <w:tcPr>
            <w:tcW w:w="853" w:type="dxa"/>
            <w:noWrap w:val="0"/>
            <w:vAlign w:val="center"/>
          </w:tcPr>
          <w:p w14:paraId="308C7221">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31.64</w:t>
            </w:r>
          </w:p>
        </w:tc>
      </w:tr>
      <w:tr w14:paraId="439B5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 w:type="dxa"/>
            <w:noWrap w:val="0"/>
            <w:vAlign w:val="center"/>
          </w:tcPr>
          <w:p w14:paraId="35DB046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冬季</w:t>
            </w:r>
          </w:p>
        </w:tc>
        <w:tc>
          <w:tcPr>
            <w:tcW w:w="852" w:type="dxa"/>
            <w:noWrap w:val="0"/>
            <w:vAlign w:val="center"/>
          </w:tcPr>
          <w:p w14:paraId="63B9E6AB">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41055436">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26.25</w:t>
            </w:r>
          </w:p>
        </w:tc>
        <w:tc>
          <w:tcPr>
            <w:tcW w:w="852" w:type="dxa"/>
            <w:noWrap w:val="0"/>
            <w:vAlign w:val="center"/>
          </w:tcPr>
          <w:p w14:paraId="4B01E0D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0.56</w:t>
            </w:r>
          </w:p>
        </w:tc>
        <w:tc>
          <w:tcPr>
            <w:tcW w:w="852" w:type="dxa"/>
            <w:noWrap w:val="0"/>
            <w:vAlign w:val="center"/>
          </w:tcPr>
          <w:p w14:paraId="620ADC7A">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2.08</w:t>
            </w:r>
          </w:p>
        </w:tc>
        <w:tc>
          <w:tcPr>
            <w:tcW w:w="852" w:type="dxa"/>
            <w:noWrap w:val="0"/>
            <w:vAlign w:val="center"/>
          </w:tcPr>
          <w:p w14:paraId="3CAC57F9">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2" w:type="dxa"/>
            <w:noWrap w:val="0"/>
            <w:vAlign w:val="center"/>
          </w:tcPr>
          <w:p w14:paraId="522B77C8">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12.78</w:t>
            </w:r>
          </w:p>
        </w:tc>
        <w:tc>
          <w:tcPr>
            <w:tcW w:w="852" w:type="dxa"/>
            <w:noWrap w:val="0"/>
            <w:vAlign w:val="center"/>
          </w:tcPr>
          <w:p w14:paraId="38F986EE">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0.00</w:t>
            </w:r>
          </w:p>
        </w:tc>
        <w:tc>
          <w:tcPr>
            <w:tcW w:w="853" w:type="dxa"/>
            <w:noWrap w:val="0"/>
            <w:vAlign w:val="center"/>
          </w:tcPr>
          <w:p w14:paraId="2FA79A3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8.15</w:t>
            </w:r>
          </w:p>
        </w:tc>
        <w:tc>
          <w:tcPr>
            <w:tcW w:w="853" w:type="dxa"/>
            <w:noWrap w:val="0"/>
            <w:vAlign w:val="center"/>
          </w:tcPr>
          <w:p w14:paraId="73B11DB7">
            <w:pPr>
              <w:pStyle w:val="2"/>
              <w:widowControl w:val="0"/>
              <w:ind w:left="0" w:firstLine="0"/>
              <w:jc w:val="center"/>
              <w:rPr>
                <w:rFonts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50.19</w:t>
            </w:r>
          </w:p>
        </w:tc>
      </w:tr>
    </w:tbl>
    <w:p w14:paraId="1B6A4862">
      <w:pPr>
        <w:pStyle w:val="282"/>
        <w:rPr>
          <w:rFonts w:hint="eastAsia" w:ascii="Times New Roman" w:hAnsi="Times New Roman"/>
          <w:b w:val="0"/>
          <w:bCs/>
          <w:lang w:val="en-US" w:eastAsia="zh-CN"/>
        </w:rPr>
      </w:pPr>
      <w:r>
        <w:rPr>
          <w:rFonts w:hint="eastAsia" w:ascii="Times New Roman" w:hAnsi="Times New Roman"/>
          <w:b w:val="0"/>
          <w:bCs/>
          <w:lang w:val="en-US" w:eastAsia="zh-CN"/>
        </w:rPr>
        <w:t>6.2.1.2有组织废气预测分析</w:t>
      </w:r>
    </w:p>
    <w:p w14:paraId="768AAADA">
      <w:pPr>
        <w:pStyle w:val="2"/>
        <w:keepLines w:val="0"/>
        <w:pageBreakBefore w:val="0"/>
        <w:numPr>
          <w:ilvl w:val="0"/>
          <w:numId w:val="0"/>
        </w:numPr>
        <w:spacing w:line="360" w:lineRule="auto"/>
        <w:ind w:firstLine="480"/>
        <w:rPr>
          <w:rFonts w:ascii="Times New Roman" w:hAnsi="Times New Roman" w:cs="Times New Roman"/>
          <w:color w:val="000000"/>
          <w:sz w:val="24"/>
          <w:lang w:val="en-US" w:eastAsia="zh-CN"/>
        </w:rPr>
      </w:pPr>
      <w:r>
        <w:rPr>
          <w:rFonts w:ascii="Times New Roman" w:hAnsi="Times New Roman" w:eastAsia="华文宋体" w:cs="Times New Roman"/>
          <w:color w:val="000000"/>
          <w:sz w:val="24"/>
          <w:lang w:val="en-US" w:eastAsia="zh-CN"/>
        </w:rPr>
        <w:t>（1）</w:t>
      </w:r>
      <w:r>
        <w:rPr>
          <w:rFonts w:ascii="Times New Roman" w:hAnsi="Times New Roman" w:cs="Times New Roman"/>
          <w:color w:val="000000"/>
          <w:sz w:val="24"/>
          <w:lang w:val="en-US" w:eastAsia="zh-CN"/>
        </w:rPr>
        <w:t>大气污染物</w:t>
      </w:r>
      <w:r>
        <w:rPr>
          <w:rFonts w:hint="eastAsia" w:ascii="Times New Roman" w:hAnsi="Times New Roman" w:cs="Times New Roman"/>
          <w:color w:val="000000"/>
          <w:sz w:val="24"/>
          <w:lang w:val="en-US" w:eastAsia="zh-CN"/>
        </w:rPr>
        <w:t>有组织</w:t>
      </w:r>
      <w:r>
        <w:rPr>
          <w:rFonts w:ascii="Times New Roman" w:hAnsi="Times New Roman" w:cs="Times New Roman"/>
          <w:color w:val="000000"/>
          <w:sz w:val="24"/>
          <w:lang w:val="en-US" w:eastAsia="zh-CN"/>
        </w:rPr>
        <w:t>排放量汇总</w:t>
      </w:r>
    </w:p>
    <w:p w14:paraId="635CE2A2">
      <w:pPr>
        <w:pStyle w:val="212"/>
        <w:keepLines w:val="0"/>
        <w:pageBreakBefore w:val="0"/>
        <w:spacing w:before="0"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hint="eastAsia" w:ascii="Times New Roman" w:hAnsi="Times New Roman" w:eastAsia="宋体" w:cs="Times New Roman"/>
          <w:b/>
          <w:bCs/>
          <w:sz w:val="24"/>
          <w:lang w:val="en-US" w:eastAsia="zh-CN"/>
        </w:rPr>
        <w:t>6.2</w:t>
      </w:r>
      <w:r>
        <w:rPr>
          <w:rFonts w:ascii="Times New Roman" w:hAnsi="Times New Roman" w:eastAsia="宋体" w:cs="Times New Roman"/>
          <w:b/>
          <w:bCs/>
          <w:sz w:val="24"/>
        </w:rPr>
        <w:t>-</w:t>
      </w:r>
      <w:r>
        <w:rPr>
          <w:rFonts w:hint="eastAsia" w:ascii="Times New Roman" w:hAnsi="Times New Roman" w:eastAsia="宋体" w:cs="Times New Roman"/>
          <w:b/>
          <w:bCs/>
          <w:sz w:val="24"/>
          <w:lang w:val="en-US" w:eastAsia="zh-CN"/>
        </w:rPr>
        <w:t xml:space="preserve">13 </w:t>
      </w:r>
      <w:r>
        <w:rPr>
          <w:rFonts w:ascii="Times New Roman" w:hAnsi="Times New Roman" w:eastAsia="宋体" w:cs="Times New Roman"/>
          <w:b/>
          <w:bCs/>
          <w:sz w:val="24"/>
        </w:rPr>
        <w:t xml:space="preserve"> 大气污染物有组织排放量核算表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455"/>
        <w:gridCol w:w="1329"/>
        <w:gridCol w:w="1137"/>
        <w:gridCol w:w="1841"/>
        <w:gridCol w:w="1645"/>
        <w:gridCol w:w="1643"/>
      </w:tblGrid>
      <w:tr w14:paraId="3D0CA48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455" w:type="dxa"/>
            <w:shd w:val="clear" w:color="auto" w:fill="FFFFFF"/>
            <w:noWrap w:val="0"/>
            <w:vAlign w:val="center"/>
          </w:tcPr>
          <w:p w14:paraId="2A3E136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序号</w:t>
            </w:r>
          </w:p>
        </w:tc>
        <w:tc>
          <w:tcPr>
            <w:tcW w:w="1329" w:type="dxa"/>
            <w:shd w:val="clear" w:color="auto" w:fill="FFFFFF"/>
            <w:noWrap w:val="0"/>
            <w:vAlign w:val="center"/>
          </w:tcPr>
          <w:p w14:paraId="5FACAA5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排放口编号</w:t>
            </w:r>
          </w:p>
        </w:tc>
        <w:tc>
          <w:tcPr>
            <w:tcW w:w="1137" w:type="dxa"/>
            <w:shd w:val="clear" w:color="auto" w:fill="FFFFFF"/>
            <w:noWrap w:val="0"/>
            <w:vAlign w:val="center"/>
          </w:tcPr>
          <w:p w14:paraId="2F0815F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污染物</w:t>
            </w:r>
          </w:p>
        </w:tc>
        <w:tc>
          <w:tcPr>
            <w:tcW w:w="1841" w:type="dxa"/>
            <w:shd w:val="clear" w:color="auto" w:fill="FFFFFF"/>
            <w:noWrap w:val="0"/>
            <w:vAlign w:val="center"/>
          </w:tcPr>
          <w:p w14:paraId="39136BF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核算排放浓度/</w:t>
            </w:r>
          </w:p>
          <w:p w14:paraId="16D9C9A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w:t>
            </w:r>
            <w:r>
              <w:rPr>
                <w:rFonts w:hint="eastAsia" w:ascii="Times New Roman" w:hAnsi="Times New Roman" w:eastAsia="宋体" w:cs="Times New Roman"/>
                <w:color w:val="000000"/>
                <w:sz w:val="21"/>
                <w:szCs w:val="21"/>
                <w:vertAlign w:val="baseline"/>
                <w:lang w:val="en-US" w:eastAsia="zh-CN" w:bidi="ar"/>
              </w:rPr>
              <w:t>mg</w:t>
            </w:r>
            <w:r>
              <w:rPr>
                <w:rFonts w:ascii="Times New Roman" w:hAnsi="Times New Roman" w:eastAsia="宋体" w:cs="Times New Roman"/>
                <w:color w:val="000000"/>
                <w:sz w:val="21"/>
                <w:szCs w:val="21"/>
                <w:vertAlign w:val="baseline"/>
                <w:lang w:val="en-US" w:eastAsia="zh-CN" w:bidi="ar"/>
              </w:rPr>
              <w:t>/m</w:t>
            </w:r>
            <w:r>
              <w:rPr>
                <w:rFonts w:ascii="Times New Roman" w:hAnsi="Times New Roman" w:eastAsia="宋体" w:cs="Times New Roman"/>
                <w:color w:val="000000"/>
                <w:sz w:val="21"/>
                <w:szCs w:val="21"/>
                <w:vertAlign w:val="superscript"/>
                <w:lang w:val="en-US" w:eastAsia="zh-CN" w:bidi="ar"/>
              </w:rPr>
              <w:t>3</w:t>
            </w:r>
            <w:r>
              <w:rPr>
                <w:rFonts w:ascii="Times New Roman" w:hAnsi="Times New Roman" w:eastAsia="宋体" w:cs="Times New Roman"/>
                <w:color w:val="000000"/>
                <w:sz w:val="21"/>
                <w:szCs w:val="21"/>
                <w:vertAlign w:val="baseline"/>
                <w:lang w:val="en-US" w:eastAsia="zh-CN" w:bidi="ar"/>
              </w:rPr>
              <w:t>）</w:t>
            </w:r>
          </w:p>
        </w:tc>
        <w:tc>
          <w:tcPr>
            <w:tcW w:w="1645" w:type="dxa"/>
            <w:shd w:val="clear" w:color="auto" w:fill="FFFFFF"/>
            <w:noWrap w:val="0"/>
            <w:vAlign w:val="center"/>
          </w:tcPr>
          <w:p w14:paraId="6379D7D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核算排放速率/</w:t>
            </w:r>
          </w:p>
          <w:p w14:paraId="340699B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（kg/h）</w:t>
            </w:r>
          </w:p>
        </w:tc>
        <w:tc>
          <w:tcPr>
            <w:tcW w:w="1643" w:type="dxa"/>
            <w:shd w:val="clear" w:color="auto" w:fill="FFFFFF"/>
            <w:noWrap w:val="0"/>
            <w:vAlign w:val="center"/>
          </w:tcPr>
          <w:p w14:paraId="021C1BD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核算年排放量/</w:t>
            </w:r>
          </w:p>
          <w:p w14:paraId="69963D6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（t/a）</w:t>
            </w:r>
          </w:p>
        </w:tc>
      </w:tr>
      <w:tr w14:paraId="47F8E4E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3" w:hRule="atLeast"/>
          <w:jc w:val="center"/>
        </w:trPr>
        <w:tc>
          <w:tcPr>
            <w:tcW w:w="8050" w:type="dxa"/>
            <w:gridSpan w:val="6"/>
            <w:shd w:val="clear" w:color="auto" w:fill="FFFFFF"/>
            <w:noWrap w:val="0"/>
            <w:vAlign w:val="center"/>
          </w:tcPr>
          <w:p w14:paraId="00CAE0A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主要排放口</w:t>
            </w:r>
          </w:p>
        </w:tc>
      </w:tr>
      <w:tr w14:paraId="0C06495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shd w:val="clear" w:color="auto" w:fill="FFFFFF"/>
            <w:noWrap w:val="0"/>
            <w:vAlign w:val="center"/>
          </w:tcPr>
          <w:p w14:paraId="11BD17D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w:t>
            </w:r>
          </w:p>
        </w:tc>
        <w:tc>
          <w:tcPr>
            <w:tcW w:w="1329" w:type="dxa"/>
            <w:shd w:val="clear" w:color="auto" w:fill="FFFFFF"/>
            <w:noWrap w:val="0"/>
            <w:vAlign w:val="center"/>
          </w:tcPr>
          <w:p w14:paraId="2AFFB4A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P1（</w:t>
            </w:r>
            <w:r>
              <w:rPr>
                <w:rFonts w:ascii="Times New Roman" w:hAnsi="Times New Roman" w:eastAsia="宋体" w:cs="Times New Roman"/>
                <w:color w:val="FF0000"/>
                <w:sz w:val="21"/>
                <w:szCs w:val="21"/>
                <w:lang w:val="en-US" w:eastAsia="zh-CN" w:bidi="ar-SA"/>
              </w:rPr>
              <w:t>干燥、筛选、铺装工序</w:t>
            </w:r>
            <w:r>
              <w:rPr>
                <w:rFonts w:hint="eastAsia" w:ascii="Times New Roman" w:hAnsi="Times New Roman" w:eastAsia="宋体" w:cs="Times New Roman"/>
                <w:color w:val="FF0000"/>
                <w:sz w:val="21"/>
                <w:szCs w:val="21"/>
                <w:vertAlign w:val="baseline"/>
                <w:lang w:val="en-US" w:eastAsia="zh-CN" w:bidi="ar"/>
              </w:rPr>
              <w:t>）</w:t>
            </w:r>
          </w:p>
        </w:tc>
        <w:tc>
          <w:tcPr>
            <w:tcW w:w="1137" w:type="dxa"/>
            <w:shd w:val="clear" w:color="auto" w:fill="FFFFFF"/>
            <w:noWrap w:val="0"/>
            <w:vAlign w:val="center"/>
          </w:tcPr>
          <w:p w14:paraId="4388F3B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粉尘</w:t>
            </w:r>
          </w:p>
        </w:tc>
        <w:tc>
          <w:tcPr>
            <w:tcW w:w="1841" w:type="dxa"/>
            <w:shd w:val="clear" w:color="auto" w:fill="FFFFFF"/>
            <w:noWrap w:val="0"/>
            <w:vAlign w:val="center"/>
          </w:tcPr>
          <w:p w14:paraId="2C72744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59.9</w:t>
            </w:r>
          </w:p>
        </w:tc>
        <w:tc>
          <w:tcPr>
            <w:tcW w:w="1645" w:type="dxa"/>
            <w:shd w:val="clear" w:color="auto" w:fill="FFFFFF"/>
            <w:noWrap w:val="0"/>
            <w:vAlign w:val="center"/>
          </w:tcPr>
          <w:p w14:paraId="1646107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w:t>
            </w:r>
          </w:p>
        </w:tc>
        <w:tc>
          <w:tcPr>
            <w:tcW w:w="1643" w:type="dxa"/>
            <w:shd w:val="clear" w:color="auto" w:fill="FFFFFF"/>
            <w:noWrap w:val="0"/>
            <w:vAlign w:val="center"/>
          </w:tcPr>
          <w:p w14:paraId="6BDE089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8.64</w:t>
            </w:r>
          </w:p>
        </w:tc>
      </w:tr>
      <w:tr w14:paraId="46ECF09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restart"/>
            <w:shd w:val="clear" w:color="auto" w:fill="FFFFFF"/>
            <w:noWrap w:val="0"/>
            <w:vAlign w:val="center"/>
          </w:tcPr>
          <w:p w14:paraId="65CD926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w:t>
            </w:r>
          </w:p>
        </w:tc>
        <w:tc>
          <w:tcPr>
            <w:tcW w:w="1329" w:type="dxa"/>
            <w:vMerge w:val="restart"/>
            <w:shd w:val="clear" w:color="auto" w:fill="FFFFFF"/>
            <w:noWrap w:val="0"/>
            <w:vAlign w:val="center"/>
          </w:tcPr>
          <w:p w14:paraId="6E657AB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P2（热压、贴面工序）</w:t>
            </w:r>
          </w:p>
        </w:tc>
        <w:tc>
          <w:tcPr>
            <w:tcW w:w="1137" w:type="dxa"/>
            <w:shd w:val="clear" w:color="auto" w:fill="FFFFFF"/>
            <w:noWrap w:val="0"/>
            <w:vAlign w:val="center"/>
          </w:tcPr>
          <w:p w14:paraId="34B60A9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甲醛</w:t>
            </w:r>
          </w:p>
        </w:tc>
        <w:tc>
          <w:tcPr>
            <w:tcW w:w="1841" w:type="dxa"/>
            <w:shd w:val="clear" w:color="auto" w:fill="FFFFFF"/>
            <w:noWrap w:val="0"/>
            <w:vAlign w:val="center"/>
          </w:tcPr>
          <w:p w14:paraId="04E46FC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w:t>
            </w:r>
          </w:p>
        </w:tc>
        <w:tc>
          <w:tcPr>
            <w:tcW w:w="1645" w:type="dxa"/>
            <w:shd w:val="clear" w:color="auto" w:fill="FFFFFF"/>
            <w:noWrap w:val="0"/>
            <w:vAlign w:val="center"/>
          </w:tcPr>
          <w:p w14:paraId="00A91C6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c>
          <w:tcPr>
            <w:tcW w:w="1643" w:type="dxa"/>
            <w:shd w:val="clear" w:color="auto" w:fill="FFFFFF"/>
            <w:noWrap w:val="0"/>
            <w:vAlign w:val="center"/>
          </w:tcPr>
          <w:p w14:paraId="5B95E93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0.81</w:t>
            </w:r>
          </w:p>
        </w:tc>
      </w:tr>
      <w:tr w14:paraId="06E34E4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continue"/>
            <w:shd w:val="clear" w:color="auto" w:fill="FFFFFF"/>
            <w:noWrap w:val="0"/>
            <w:vAlign w:val="center"/>
          </w:tcPr>
          <w:p w14:paraId="7D0E183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329" w:type="dxa"/>
            <w:vMerge w:val="continue"/>
            <w:shd w:val="clear" w:color="auto" w:fill="FFFFFF"/>
            <w:noWrap w:val="0"/>
            <w:vAlign w:val="center"/>
          </w:tcPr>
          <w:p w14:paraId="5C5A364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p>
        </w:tc>
        <w:tc>
          <w:tcPr>
            <w:tcW w:w="1137" w:type="dxa"/>
            <w:shd w:val="clear" w:color="auto" w:fill="FFFFFF"/>
            <w:noWrap w:val="0"/>
            <w:vAlign w:val="center"/>
          </w:tcPr>
          <w:p w14:paraId="0BC1B08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酚类</w:t>
            </w:r>
          </w:p>
        </w:tc>
        <w:tc>
          <w:tcPr>
            <w:tcW w:w="1841" w:type="dxa"/>
            <w:shd w:val="clear" w:color="auto" w:fill="FFFFFF"/>
            <w:noWrap w:val="0"/>
            <w:vAlign w:val="center"/>
          </w:tcPr>
          <w:p w14:paraId="55518D6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w:t>
            </w:r>
          </w:p>
        </w:tc>
        <w:tc>
          <w:tcPr>
            <w:tcW w:w="1645" w:type="dxa"/>
            <w:shd w:val="clear" w:color="auto" w:fill="FFFFFF"/>
            <w:noWrap w:val="0"/>
            <w:vAlign w:val="center"/>
          </w:tcPr>
          <w:p w14:paraId="19875366">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w:t>
            </w:r>
          </w:p>
        </w:tc>
        <w:tc>
          <w:tcPr>
            <w:tcW w:w="1643" w:type="dxa"/>
            <w:shd w:val="clear" w:color="auto" w:fill="FFFFFF"/>
            <w:noWrap w:val="0"/>
            <w:vAlign w:val="center"/>
          </w:tcPr>
          <w:p w14:paraId="7981FC2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0.9</w:t>
            </w:r>
          </w:p>
        </w:tc>
      </w:tr>
      <w:tr w14:paraId="3A0B6CA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continue"/>
            <w:shd w:val="clear" w:color="auto" w:fill="FFFFFF"/>
            <w:noWrap w:val="0"/>
            <w:vAlign w:val="center"/>
          </w:tcPr>
          <w:p w14:paraId="5ED2518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329" w:type="dxa"/>
            <w:vMerge w:val="continue"/>
            <w:shd w:val="clear" w:color="auto" w:fill="FFFFFF"/>
            <w:noWrap w:val="0"/>
            <w:vAlign w:val="center"/>
          </w:tcPr>
          <w:p w14:paraId="4EDBD14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p>
        </w:tc>
        <w:tc>
          <w:tcPr>
            <w:tcW w:w="1137" w:type="dxa"/>
            <w:shd w:val="clear" w:color="auto" w:fill="FFFFFF"/>
            <w:noWrap w:val="0"/>
            <w:vAlign w:val="center"/>
          </w:tcPr>
          <w:p w14:paraId="4D89742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VOCs</w:t>
            </w:r>
          </w:p>
        </w:tc>
        <w:tc>
          <w:tcPr>
            <w:tcW w:w="1841" w:type="dxa"/>
            <w:shd w:val="clear" w:color="auto" w:fill="FFFFFF"/>
            <w:noWrap w:val="0"/>
            <w:vAlign w:val="center"/>
          </w:tcPr>
          <w:p w14:paraId="4C4E270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w:t>
            </w:r>
          </w:p>
        </w:tc>
        <w:tc>
          <w:tcPr>
            <w:tcW w:w="1645" w:type="dxa"/>
            <w:shd w:val="clear" w:color="auto" w:fill="FFFFFF"/>
            <w:noWrap w:val="0"/>
            <w:vAlign w:val="center"/>
          </w:tcPr>
          <w:p w14:paraId="4B4A4EA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0.025</w:t>
            </w:r>
          </w:p>
        </w:tc>
        <w:tc>
          <w:tcPr>
            <w:tcW w:w="1643" w:type="dxa"/>
            <w:shd w:val="clear" w:color="auto" w:fill="FFFFFF"/>
            <w:noWrap w:val="0"/>
            <w:vAlign w:val="center"/>
          </w:tcPr>
          <w:p w14:paraId="01BEC56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0.18</w:t>
            </w:r>
          </w:p>
        </w:tc>
      </w:tr>
      <w:tr w14:paraId="2D1283F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restart"/>
            <w:shd w:val="clear" w:color="auto" w:fill="FFFFFF"/>
            <w:noWrap w:val="0"/>
            <w:vAlign w:val="center"/>
          </w:tcPr>
          <w:p w14:paraId="313DEDD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w:t>
            </w:r>
          </w:p>
        </w:tc>
        <w:tc>
          <w:tcPr>
            <w:tcW w:w="1329" w:type="dxa"/>
            <w:vMerge w:val="restart"/>
            <w:shd w:val="clear" w:color="auto" w:fill="FFFFFF"/>
            <w:noWrap w:val="0"/>
            <w:vAlign w:val="center"/>
          </w:tcPr>
          <w:p w14:paraId="0C65646A">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P3（热载体炉）</w:t>
            </w:r>
          </w:p>
        </w:tc>
        <w:tc>
          <w:tcPr>
            <w:tcW w:w="1137" w:type="dxa"/>
            <w:shd w:val="clear" w:color="auto" w:fill="FFFFFF"/>
            <w:noWrap w:val="0"/>
            <w:vAlign w:val="center"/>
          </w:tcPr>
          <w:p w14:paraId="1E39DAA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烟尘</w:t>
            </w:r>
          </w:p>
        </w:tc>
        <w:tc>
          <w:tcPr>
            <w:tcW w:w="1841" w:type="dxa"/>
            <w:shd w:val="clear" w:color="auto" w:fill="FFFFFF"/>
            <w:noWrap w:val="0"/>
            <w:vAlign w:val="center"/>
          </w:tcPr>
          <w:p w14:paraId="3069F3D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43.3</w:t>
            </w:r>
          </w:p>
        </w:tc>
        <w:tc>
          <w:tcPr>
            <w:tcW w:w="1645" w:type="dxa"/>
            <w:shd w:val="clear" w:color="auto" w:fill="FFFFFF"/>
            <w:noWrap w:val="0"/>
            <w:vAlign w:val="center"/>
          </w:tcPr>
          <w:p w14:paraId="68BA969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0.55</w:t>
            </w:r>
          </w:p>
        </w:tc>
        <w:tc>
          <w:tcPr>
            <w:tcW w:w="1643" w:type="dxa"/>
            <w:shd w:val="clear" w:color="auto" w:fill="FFFFFF"/>
            <w:noWrap w:val="0"/>
            <w:vAlign w:val="center"/>
          </w:tcPr>
          <w:p w14:paraId="454F458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3.96</w:t>
            </w:r>
          </w:p>
        </w:tc>
      </w:tr>
      <w:tr w14:paraId="19D9550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continue"/>
            <w:shd w:val="clear" w:color="auto" w:fill="FFFFFF"/>
            <w:noWrap w:val="0"/>
            <w:vAlign w:val="center"/>
          </w:tcPr>
          <w:p w14:paraId="2A3D1EC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329" w:type="dxa"/>
            <w:vMerge w:val="continue"/>
            <w:shd w:val="clear" w:color="auto" w:fill="FFFFFF"/>
            <w:noWrap w:val="0"/>
            <w:vAlign w:val="center"/>
          </w:tcPr>
          <w:p w14:paraId="7008BAF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p>
        </w:tc>
        <w:tc>
          <w:tcPr>
            <w:tcW w:w="1137" w:type="dxa"/>
            <w:shd w:val="clear" w:color="auto" w:fill="FFFFFF"/>
            <w:noWrap w:val="0"/>
            <w:vAlign w:val="center"/>
          </w:tcPr>
          <w:p w14:paraId="4D883B3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SO</w:t>
            </w:r>
            <w:r>
              <w:rPr>
                <w:rFonts w:ascii="Times New Roman" w:hAnsi="Times New Roman" w:eastAsia="宋体" w:cs="Times New Roman"/>
                <w:color w:val="000000"/>
                <w:sz w:val="21"/>
                <w:szCs w:val="21"/>
                <w:vertAlign w:val="subscript"/>
                <w:lang w:val="en-US" w:eastAsia="zh-CN" w:bidi="ar"/>
              </w:rPr>
              <w:t>2</w:t>
            </w:r>
          </w:p>
        </w:tc>
        <w:tc>
          <w:tcPr>
            <w:tcW w:w="1841" w:type="dxa"/>
            <w:shd w:val="clear" w:color="auto" w:fill="FFFFFF"/>
            <w:noWrap w:val="0"/>
            <w:vAlign w:val="center"/>
          </w:tcPr>
          <w:p w14:paraId="1B9E824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w:t>
            </w:r>
          </w:p>
        </w:tc>
        <w:tc>
          <w:tcPr>
            <w:tcW w:w="1645" w:type="dxa"/>
            <w:shd w:val="clear" w:color="auto" w:fill="FFFFFF"/>
            <w:noWrap w:val="0"/>
            <w:vAlign w:val="center"/>
          </w:tcPr>
          <w:p w14:paraId="12231D7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0.14</w:t>
            </w:r>
          </w:p>
        </w:tc>
        <w:tc>
          <w:tcPr>
            <w:tcW w:w="1643" w:type="dxa"/>
            <w:shd w:val="clear" w:color="auto" w:fill="FFFFFF"/>
            <w:noWrap w:val="0"/>
            <w:vAlign w:val="center"/>
          </w:tcPr>
          <w:p w14:paraId="3ACD7FC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w:t>
            </w:r>
          </w:p>
        </w:tc>
      </w:tr>
      <w:tr w14:paraId="42A1661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continue"/>
            <w:shd w:val="clear" w:color="auto" w:fill="FFFFFF"/>
            <w:noWrap w:val="0"/>
            <w:vAlign w:val="center"/>
          </w:tcPr>
          <w:p w14:paraId="6F54360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329" w:type="dxa"/>
            <w:vMerge w:val="continue"/>
            <w:shd w:val="clear" w:color="auto" w:fill="FFFFFF"/>
            <w:noWrap w:val="0"/>
            <w:vAlign w:val="center"/>
          </w:tcPr>
          <w:p w14:paraId="027952E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p>
        </w:tc>
        <w:tc>
          <w:tcPr>
            <w:tcW w:w="1137" w:type="dxa"/>
            <w:shd w:val="clear" w:color="auto" w:fill="FFFFFF"/>
            <w:noWrap w:val="0"/>
            <w:vAlign w:val="center"/>
          </w:tcPr>
          <w:p w14:paraId="3CFE55D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NOx</w:t>
            </w:r>
          </w:p>
        </w:tc>
        <w:tc>
          <w:tcPr>
            <w:tcW w:w="1841" w:type="dxa"/>
            <w:shd w:val="clear" w:color="auto" w:fill="FFFFFF"/>
            <w:noWrap w:val="0"/>
            <w:vAlign w:val="center"/>
          </w:tcPr>
          <w:p w14:paraId="4757E936">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w:t>
            </w:r>
          </w:p>
        </w:tc>
        <w:tc>
          <w:tcPr>
            <w:tcW w:w="1645" w:type="dxa"/>
            <w:shd w:val="clear" w:color="auto" w:fill="FFFFFF"/>
            <w:noWrap w:val="0"/>
            <w:vAlign w:val="center"/>
          </w:tcPr>
          <w:p w14:paraId="2E328E8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0.83</w:t>
            </w:r>
          </w:p>
        </w:tc>
        <w:tc>
          <w:tcPr>
            <w:tcW w:w="1643" w:type="dxa"/>
            <w:shd w:val="clear" w:color="auto" w:fill="FFFFFF"/>
            <w:noWrap w:val="0"/>
            <w:vAlign w:val="center"/>
          </w:tcPr>
          <w:p w14:paraId="4F33E9D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5.976</w:t>
            </w:r>
          </w:p>
        </w:tc>
      </w:tr>
      <w:tr w14:paraId="2156C3E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restart"/>
            <w:shd w:val="clear" w:color="auto" w:fill="FFFFFF"/>
            <w:noWrap w:val="0"/>
            <w:vAlign w:val="center"/>
          </w:tcPr>
          <w:p w14:paraId="14978F9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w:t>
            </w:r>
          </w:p>
        </w:tc>
        <w:tc>
          <w:tcPr>
            <w:tcW w:w="1329" w:type="dxa"/>
            <w:vMerge w:val="restart"/>
            <w:shd w:val="clear" w:color="auto" w:fill="FFFFFF"/>
            <w:noWrap w:val="0"/>
            <w:vAlign w:val="center"/>
          </w:tcPr>
          <w:p w14:paraId="3861FC1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P2（制胶工序）</w:t>
            </w:r>
          </w:p>
        </w:tc>
        <w:tc>
          <w:tcPr>
            <w:tcW w:w="1137" w:type="dxa"/>
            <w:shd w:val="clear" w:color="auto" w:fill="FFFFFF"/>
            <w:noWrap w:val="0"/>
            <w:vAlign w:val="center"/>
          </w:tcPr>
          <w:p w14:paraId="4E29AEE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甲醛</w:t>
            </w:r>
          </w:p>
        </w:tc>
        <w:tc>
          <w:tcPr>
            <w:tcW w:w="1841" w:type="dxa"/>
            <w:shd w:val="clear" w:color="auto" w:fill="FFFFFF"/>
            <w:noWrap w:val="0"/>
            <w:vAlign w:val="center"/>
          </w:tcPr>
          <w:p w14:paraId="6183CC6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2.81</w:t>
            </w:r>
          </w:p>
        </w:tc>
        <w:tc>
          <w:tcPr>
            <w:tcW w:w="1645" w:type="dxa"/>
            <w:shd w:val="clear" w:color="auto" w:fill="FFFFFF"/>
            <w:noWrap w:val="0"/>
            <w:vAlign w:val="center"/>
          </w:tcPr>
          <w:p w14:paraId="5D14D2A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0.01405</w:t>
            </w:r>
          </w:p>
        </w:tc>
        <w:tc>
          <w:tcPr>
            <w:tcW w:w="1643" w:type="dxa"/>
            <w:shd w:val="clear" w:color="auto" w:fill="FFFFFF"/>
            <w:noWrap w:val="0"/>
            <w:vAlign w:val="center"/>
          </w:tcPr>
          <w:p w14:paraId="5183B54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0.09835</w:t>
            </w:r>
          </w:p>
        </w:tc>
      </w:tr>
      <w:tr w14:paraId="11AD605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continue"/>
            <w:shd w:val="clear" w:color="auto" w:fill="FFFFFF"/>
            <w:noWrap w:val="0"/>
            <w:vAlign w:val="center"/>
          </w:tcPr>
          <w:p w14:paraId="1A1D884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329" w:type="dxa"/>
            <w:vMerge w:val="continue"/>
            <w:shd w:val="clear" w:color="auto" w:fill="FFFFFF"/>
            <w:noWrap w:val="0"/>
            <w:vAlign w:val="center"/>
          </w:tcPr>
          <w:p w14:paraId="19E5C6A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1137" w:type="dxa"/>
            <w:shd w:val="clear" w:color="auto" w:fill="FFFFFF"/>
            <w:noWrap w:val="0"/>
            <w:vAlign w:val="center"/>
          </w:tcPr>
          <w:p w14:paraId="154F46E3">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氨</w:t>
            </w:r>
          </w:p>
        </w:tc>
        <w:tc>
          <w:tcPr>
            <w:tcW w:w="1841" w:type="dxa"/>
            <w:shd w:val="clear" w:color="auto" w:fill="FFFFFF"/>
            <w:noWrap w:val="0"/>
            <w:vAlign w:val="center"/>
          </w:tcPr>
          <w:p w14:paraId="10631AD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0.052</w:t>
            </w:r>
          </w:p>
        </w:tc>
        <w:tc>
          <w:tcPr>
            <w:tcW w:w="1645" w:type="dxa"/>
            <w:shd w:val="clear" w:color="auto" w:fill="FFFFFF"/>
            <w:noWrap w:val="0"/>
            <w:vAlign w:val="center"/>
          </w:tcPr>
          <w:p w14:paraId="31C607F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0.00026</w:t>
            </w:r>
          </w:p>
        </w:tc>
        <w:tc>
          <w:tcPr>
            <w:tcW w:w="1643" w:type="dxa"/>
            <w:shd w:val="clear" w:color="auto" w:fill="FFFFFF"/>
            <w:noWrap w:val="0"/>
            <w:vAlign w:val="center"/>
          </w:tcPr>
          <w:p w14:paraId="436F754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0.00185</w:t>
            </w:r>
          </w:p>
        </w:tc>
      </w:tr>
      <w:tr w14:paraId="5801508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continue"/>
            <w:shd w:val="clear" w:color="auto" w:fill="FFFFFF"/>
            <w:noWrap w:val="0"/>
            <w:vAlign w:val="center"/>
          </w:tcPr>
          <w:p w14:paraId="192D41E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329" w:type="dxa"/>
            <w:vMerge w:val="continue"/>
            <w:shd w:val="clear" w:color="auto" w:fill="FFFFFF"/>
            <w:noWrap w:val="0"/>
            <w:vAlign w:val="center"/>
          </w:tcPr>
          <w:p w14:paraId="4D818A2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1137" w:type="dxa"/>
            <w:shd w:val="clear" w:color="auto" w:fill="FFFFFF"/>
            <w:noWrap w:val="0"/>
            <w:vAlign w:val="center"/>
          </w:tcPr>
          <w:p w14:paraId="7A424B3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VOCs</w:t>
            </w:r>
          </w:p>
        </w:tc>
        <w:tc>
          <w:tcPr>
            <w:tcW w:w="1841" w:type="dxa"/>
            <w:shd w:val="clear" w:color="auto" w:fill="FFFFFF"/>
            <w:noWrap w:val="0"/>
            <w:vAlign w:val="center"/>
          </w:tcPr>
          <w:p w14:paraId="645C8AC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w:t>
            </w:r>
          </w:p>
        </w:tc>
        <w:tc>
          <w:tcPr>
            <w:tcW w:w="1645" w:type="dxa"/>
            <w:shd w:val="clear" w:color="auto" w:fill="FFFFFF"/>
            <w:noWrap w:val="0"/>
            <w:vAlign w:val="center"/>
          </w:tcPr>
          <w:p w14:paraId="6A114246">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0.014</w:t>
            </w:r>
          </w:p>
        </w:tc>
        <w:tc>
          <w:tcPr>
            <w:tcW w:w="1643" w:type="dxa"/>
            <w:shd w:val="clear" w:color="auto" w:fill="FFFFFF"/>
            <w:noWrap w:val="0"/>
            <w:vAlign w:val="center"/>
          </w:tcPr>
          <w:p w14:paraId="28872EC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w:t>
            </w:r>
          </w:p>
        </w:tc>
      </w:tr>
      <w:tr w14:paraId="2330380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455" w:type="dxa"/>
            <w:vMerge w:val="continue"/>
            <w:shd w:val="clear" w:color="auto" w:fill="FFFFFF"/>
            <w:noWrap w:val="0"/>
            <w:vAlign w:val="center"/>
          </w:tcPr>
          <w:p w14:paraId="0F509CE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329" w:type="dxa"/>
            <w:vMerge w:val="continue"/>
            <w:shd w:val="clear" w:color="auto" w:fill="FFFFFF"/>
            <w:noWrap w:val="0"/>
            <w:vAlign w:val="center"/>
          </w:tcPr>
          <w:p w14:paraId="55D32CD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1137" w:type="dxa"/>
            <w:shd w:val="clear" w:color="auto" w:fill="FFFFFF"/>
            <w:noWrap w:val="0"/>
            <w:vAlign w:val="center"/>
          </w:tcPr>
          <w:p w14:paraId="7228774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酚类</w:t>
            </w:r>
          </w:p>
        </w:tc>
        <w:tc>
          <w:tcPr>
            <w:tcW w:w="1841" w:type="dxa"/>
            <w:shd w:val="clear" w:color="auto" w:fill="FFFFFF"/>
            <w:noWrap w:val="0"/>
            <w:vAlign w:val="center"/>
          </w:tcPr>
          <w:p w14:paraId="32F209F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c>
          <w:tcPr>
            <w:tcW w:w="1645" w:type="dxa"/>
            <w:shd w:val="clear" w:color="auto" w:fill="FFFFFF"/>
            <w:noWrap w:val="0"/>
            <w:vAlign w:val="center"/>
          </w:tcPr>
          <w:p w14:paraId="2E9CC82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0.0054</w:t>
            </w:r>
          </w:p>
        </w:tc>
        <w:tc>
          <w:tcPr>
            <w:tcW w:w="1643" w:type="dxa"/>
            <w:shd w:val="clear" w:color="auto" w:fill="FFFFFF"/>
            <w:noWrap w:val="0"/>
            <w:vAlign w:val="center"/>
          </w:tcPr>
          <w:p w14:paraId="672F205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0.039</w:t>
            </w:r>
          </w:p>
        </w:tc>
      </w:tr>
      <w:tr w14:paraId="7FB5063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2" w:hRule="atLeast"/>
          <w:jc w:val="center"/>
        </w:trPr>
        <w:tc>
          <w:tcPr>
            <w:tcW w:w="8050" w:type="dxa"/>
            <w:gridSpan w:val="6"/>
            <w:shd w:val="clear" w:color="auto" w:fill="FFFFFF"/>
            <w:noWrap w:val="0"/>
            <w:vAlign w:val="center"/>
          </w:tcPr>
          <w:p w14:paraId="3F87F2B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有组织排放总计</w:t>
            </w:r>
          </w:p>
        </w:tc>
      </w:tr>
      <w:tr w14:paraId="048ED39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2" w:hRule="atLeast"/>
          <w:jc w:val="center"/>
        </w:trPr>
        <w:tc>
          <w:tcPr>
            <w:tcW w:w="1784" w:type="dxa"/>
            <w:gridSpan w:val="2"/>
            <w:vMerge w:val="restart"/>
            <w:shd w:val="clear" w:color="auto" w:fill="FFFFFF"/>
            <w:noWrap w:val="0"/>
            <w:vAlign w:val="center"/>
          </w:tcPr>
          <w:p w14:paraId="0CE4DA02">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有组织排放总计</w:t>
            </w:r>
          </w:p>
        </w:tc>
        <w:tc>
          <w:tcPr>
            <w:tcW w:w="4623" w:type="dxa"/>
            <w:gridSpan w:val="3"/>
            <w:shd w:val="clear" w:color="auto" w:fill="FFFFFF"/>
            <w:noWrap w:val="0"/>
            <w:vAlign w:val="center"/>
          </w:tcPr>
          <w:p w14:paraId="0DB9346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SO</w:t>
            </w:r>
            <w:r>
              <w:rPr>
                <w:rFonts w:ascii="Times New Roman" w:hAnsi="Times New Roman" w:eastAsia="宋体" w:cs="Times New Roman"/>
                <w:color w:val="000000"/>
                <w:sz w:val="21"/>
                <w:szCs w:val="21"/>
                <w:vertAlign w:val="subscript"/>
                <w:lang w:val="en-US" w:eastAsia="zh-CN" w:bidi="ar"/>
              </w:rPr>
              <w:t>2</w:t>
            </w:r>
          </w:p>
        </w:tc>
        <w:tc>
          <w:tcPr>
            <w:tcW w:w="1643" w:type="dxa"/>
            <w:shd w:val="clear" w:color="auto" w:fill="FFFFFF"/>
            <w:noWrap w:val="0"/>
            <w:vAlign w:val="center"/>
          </w:tcPr>
          <w:p w14:paraId="4F14C1A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w:t>
            </w:r>
          </w:p>
        </w:tc>
      </w:tr>
      <w:tr w14:paraId="7511F3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2" w:hRule="atLeast"/>
          <w:jc w:val="center"/>
        </w:trPr>
        <w:tc>
          <w:tcPr>
            <w:tcW w:w="1784" w:type="dxa"/>
            <w:gridSpan w:val="2"/>
            <w:vMerge w:val="continue"/>
            <w:shd w:val="clear" w:color="auto" w:fill="FFFFFF"/>
            <w:noWrap w:val="0"/>
            <w:vAlign w:val="center"/>
          </w:tcPr>
          <w:p w14:paraId="7C90BCA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4623" w:type="dxa"/>
            <w:gridSpan w:val="3"/>
            <w:shd w:val="clear" w:color="auto" w:fill="FFFFFF"/>
            <w:noWrap w:val="0"/>
            <w:vAlign w:val="center"/>
          </w:tcPr>
          <w:p w14:paraId="4E8029F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NOx</w:t>
            </w:r>
          </w:p>
        </w:tc>
        <w:tc>
          <w:tcPr>
            <w:tcW w:w="1643" w:type="dxa"/>
            <w:shd w:val="clear" w:color="auto" w:fill="FFFFFF"/>
            <w:noWrap w:val="0"/>
            <w:vAlign w:val="center"/>
          </w:tcPr>
          <w:p w14:paraId="0C8B371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5.976</w:t>
            </w:r>
          </w:p>
        </w:tc>
      </w:tr>
      <w:tr w14:paraId="1617C4D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1784" w:type="dxa"/>
            <w:gridSpan w:val="2"/>
            <w:vMerge w:val="continue"/>
            <w:shd w:val="clear" w:color="auto" w:fill="FFFFFF"/>
            <w:noWrap w:val="0"/>
            <w:vAlign w:val="center"/>
          </w:tcPr>
          <w:p w14:paraId="36B2065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4623" w:type="dxa"/>
            <w:gridSpan w:val="3"/>
            <w:shd w:val="clear" w:color="auto" w:fill="FFFFFF"/>
            <w:noWrap w:val="0"/>
            <w:vAlign w:val="center"/>
          </w:tcPr>
          <w:p w14:paraId="4E5781A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颗粒物</w:t>
            </w:r>
          </w:p>
        </w:tc>
        <w:tc>
          <w:tcPr>
            <w:tcW w:w="1643" w:type="dxa"/>
            <w:shd w:val="clear" w:color="auto" w:fill="FFFFFF"/>
            <w:noWrap w:val="0"/>
            <w:vAlign w:val="center"/>
          </w:tcPr>
          <w:p w14:paraId="52C18D2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w:t>
            </w:r>
          </w:p>
        </w:tc>
      </w:tr>
      <w:tr w14:paraId="495300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1784" w:type="dxa"/>
            <w:gridSpan w:val="2"/>
            <w:vMerge w:val="continue"/>
            <w:shd w:val="clear" w:color="auto" w:fill="FFFFFF"/>
            <w:noWrap w:val="0"/>
            <w:vAlign w:val="center"/>
          </w:tcPr>
          <w:p w14:paraId="3031231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4623" w:type="dxa"/>
            <w:gridSpan w:val="3"/>
            <w:shd w:val="clear" w:color="auto" w:fill="FFFFFF"/>
            <w:noWrap w:val="0"/>
            <w:vAlign w:val="center"/>
          </w:tcPr>
          <w:p w14:paraId="42F6FAB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VOCs</w:t>
            </w:r>
          </w:p>
        </w:tc>
        <w:tc>
          <w:tcPr>
            <w:tcW w:w="1643" w:type="dxa"/>
            <w:shd w:val="clear" w:color="auto" w:fill="FFFFFF"/>
            <w:noWrap w:val="0"/>
            <w:vAlign w:val="center"/>
          </w:tcPr>
          <w:p w14:paraId="2E72D38D">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0.28</w:t>
            </w:r>
          </w:p>
        </w:tc>
      </w:tr>
      <w:tr w14:paraId="18FA09D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1784" w:type="dxa"/>
            <w:gridSpan w:val="2"/>
            <w:vMerge w:val="continue"/>
            <w:shd w:val="clear" w:color="auto" w:fill="FFFFFF"/>
            <w:noWrap w:val="0"/>
            <w:vAlign w:val="center"/>
          </w:tcPr>
          <w:p w14:paraId="3EDD7AB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4623" w:type="dxa"/>
            <w:gridSpan w:val="3"/>
            <w:shd w:val="clear" w:color="auto" w:fill="FFFFFF"/>
            <w:noWrap w:val="0"/>
            <w:vAlign w:val="center"/>
          </w:tcPr>
          <w:p w14:paraId="692BF4A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甲醛</w:t>
            </w:r>
          </w:p>
        </w:tc>
        <w:tc>
          <w:tcPr>
            <w:tcW w:w="1643" w:type="dxa"/>
            <w:shd w:val="clear" w:color="auto" w:fill="FFFFFF"/>
            <w:noWrap w:val="0"/>
            <w:vAlign w:val="center"/>
          </w:tcPr>
          <w:p w14:paraId="649E644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0.90835</w:t>
            </w:r>
          </w:p>
        </w:tc>
      </w:tr>
      <w:tr w14:paraId="4332B4D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1784" w:type="dxa"/>
            <w:gridSpan w:val="2"/>
            <w:vMerge w:val="continue"/>
            <w:shd w:val="clear" w:color="auto" w:fill="FFFFFF"/>
            <w:noWrap w:val="0"/>
            <w:vAlign w:val="center"/>
          </w:tcPr>
          <w:p w14:paraId="308CECE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4623" w:type="dxa"/>
            <w:gridSpan w:val="3"/>
            <w:shd w:val="clear" w:color="auto" w:fill="FFFFFF"/>
            <w:noWrap w:val="0"/>
            <w:vAlign w:val="center"/>
          </w:tcPr>
          <w:p w14:paraId="088C2A6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酚类</w:t>
            </w:r>
          </w:p>
        </w:tc>
        <w:tc>
          <w:tcPr>
            <w:tcW w:w="1643" w:type="dxa"/>
            <w:shd w:val="clear" w:color="auto" w:fill="FFFFFF"/>
            <w:noWrap w:val="0"/>
            <w:vAlign w:val="center"/>
          </w:tcPr>
          <w:p w14:paraId="01137C9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0.939</w:t>
            </w:r>
          </w:p>
        </w:tc>
      </w:tr>
      <w:tr w14:paraId="4AB9D5C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1784" w:type="dxa"/>
            <w:gridSpan w:val="2"/>
            <w:vMerge w:val="continue"/>
            <w:shd w:val="clear" w:color="auto" w:fill="FFFFFF"/>
            <w:noWrap w:val="0"/>
            <w:vAlign w:val="center"/>
          </w:tcPr>
          <w:p w14:paraId="2304351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p>
        </w:tc>
        <w:tc>
          <w:tcPr>
            <w:tcW w:w="4623" w:type="dxa"/>
            <w:gridSpan w:val="3"/>
            <w:shd w:val="clear" w:color="auto" w:fill="FFFFFF"/>
            <w:noWrap w:val="0"/>
            <w:vAlign w:val="center"/>
          </w:tcPr>
          <w:p w14:paraId="6E4A325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氨</w:t>
            </w:r>
          </w:p>
        </w:tc>
        <w:tc>
          <w:tcPr>
            <w:tcW w:w="1643" w:type="dxa"/>
            <w:shd w:val="clear" w:color="auto" w:fill="FFFFFF"/>
            <w:noWrap w:val="0"/>
            <w:vAlign w:val="center"/>
          </w:tcPr>
          <w:p w14:paraId="2EDD7BA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0.00185</w:t>
            </w:r>
          </w:p>
        </w:tc>
      </w:tr>
    </w:tbl>
    <w:p w14:paraId="123DF563">
      <w:pPr>
        <w:pStyle w:val="2"/>
        <w:keepLines w:val="0"/>
        <w:pageBreakBefore w:val="0"/>
        <w:numPr>
          <w:ilvl w:val="0"/>
          <w:numId w:val="9"/>
        </w:numPr>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大气预测分析</w:t>
      </w:r>
    </w:p>
    <w:p w14:paraId="5A1ADDD6">
      <w:pPr>
        <w:pStyle w:val="2"/>
        <w:keepLines w:val="0"/>
        <w:pageBreakBefore w:val="0"/>
        <w:numPr>
          <w:ilvl w:val="0"/>
          <w:numId w:val="0"/>
        </w:numPr>
        <w:spacing w:line="360" w:lineRule="auto"/>
        <w:ind w:firstLine="720"/>
        <w:rPr>
          <w:color w:val="000000"/>
          <w:sz w:val="24"/>
          <w:szCs w:val="22"/>
        </w:rPr>
      </w:pPr>
      <w:r>
        <w:rPr>
          <w:color w:val="000000"/>
          <w:sz w:val="24"/>
          <w:szCs w:val="22"/>
        </w:rPr>
        <w:t>预测根据《环境影响评价技术导则大气环境》（HJ 2.2-2018）中推荐的AerScreen估算模式进行估算，预测情景为正常排放</w:t>
      </w:r>
      <w:r>
        <w:rPr>
          <w:rFonts w:hint="eastAsia"/>
          <w:color w:val="000000"/>
          <w:sz w:val="24"/>
          <w:szCs w:val="22"/>
          <w:lang w:eastAsia="zh-CN"/>
        </w:rPr>
        <w:t>、</w:t>
      </w:r>
      <w:r>
        <w:rPr>
          <w:rFonts w:hint="eastAsia"/>
          <w:color w:val="000000"/>
          <w:sz w:val="24"/>
          <w:szCs w:val="22"/>
          <w:lang w:val="en-US" w:eastAsia="zh-CN"/>
        </w:rPr>
        <w:t>非正常排放两种</w:t>
      </w:r>
      <w:r>
        <w:rPr>
          <w:color w:val="000000"/>
          <w:sz w:val="24"/>
          <w:szCs w:val="22"/>
        </w:rPr>
        <w:t>。</w:t>
      </w:r>
    </w:p>
    <w:p w14:paraId="4FE9D4B0">
      <w:pPr>
        <w:pStyle w:val="2"/>
        <w:keepLines w:val="0"/>
        <w:pageBreakBefore w:val="0"/>
        <w:numPr>
          <w:ilvl w:val="0"/>
          <w:numId w:val="0"/>
        </w:numPr>
        <w:spacing w:line="360" w:lineRule="auto"/>
        <w:ind w:firstLine="480"/>
        <w:rPr>
          <w:color w:val="000000"/>
          <w:sz w:val="24"/>
          <w:szCs w:val="22"/>
        </w:rPr>
      </w:pPr>
      <w:r>
        <w:rPr>
          <w:color w:val="000000"/>
          <w:sz w:val="24"/>
          <w:szCs w:val="22"/>
        </w:rPr>
        <w:t>①预测因子</w:t>
      </w:r>
    </w:p>
    <w:p w14:paraId="2CC36C0F">
      <w:pPr>
        <w:pStyle w:val="2"/>
        <w:keepLines w:val="0"/>
        <w:pageBreakBefore w:val="0"/>
        <w:numPr>
          <w:ilvl w:val="0"/>
          <w:numId w:val="0"/>
        </w:numPr>
        <w:spacing w:line="360" w:lineRule="auto"/>
        <w:ind w:firstLine="480"/>
        <w:rPr>
          <w:color w:val="000000"/>
          <w:sz w:val="24"/>
          <w:szCs w:val="22"/>
        </w:rPr>
      </w:pPr>
      <w:r>
        <w:rPr>
          <w:color w:val="000000"/>
          <w:sz w:val="24"/>
          <w:szCs w:val="22"/>
        </w:rPr>
        <w:t>评价等级及评价范围确定，选择项目污染源正常</w:t>
      </w:r>
      <w:r>
        <w:rPr>
          <w:rFonts w:hint="eastAsia"/>
          <w:color w:val="000000"/>
          <w:sz w:val="24"/>
          <w:szCs w:val="22"/>
          <w:lang w:eastAsia="zh-CN"/>
        </w:rPr>
        <w:t>、</w:t>
      </w:r>
      <w:r>
        <w:rPr>
          <w:rFonts w:hint="eastAsia"/>
          <w:color w:val="000000"/>
          <w:sz w:val="24"/>
          <w:szCs w:val="22"/>
          <w:lang w:val="en-US" w:eastAsia="zh-CN"/>
        </w:rPr>
        <w:t>非正常</w:t>
      </w:r>
      <w:r>
        <w:rPr>
          <w:color w:val="000000"/>
          <w:sz w:val="24"/>
          <w:szCs w:val="22"/>
        </w:rPr>
        <w:t>排放的主要污染物及排放参数，分别计算项目污染源的最大环境影响，然后按评价工作分级判据进行分级。</w:t>
      </w:r>
    </w:p>
    <w:p w14:paraId="3F47A820">
      <w:pPr>
        <w:keepNext/>
        <w:keepLines w:val="0"/>
        <w:pageBreakBefore w:val="0"/>
        <w:spacing w:line="360" w:lineRule="auto"/>
        <w:ind w:firstLine="480"/>
        <w:rPr>
          <w:color w:val="000000"/>
          <w:sz w:val="24"/>
          <w:szCs w:val="22"/>
        </w:rPr>
      </w:pPr>
      <w:r>
        <w:rPr>
          <w:color w:val="000000"/>
          <w:sz w:val="24"/>
          <w:szCs w:val="22"/>
        </w:rPr>
        <w:t>②预测内容</w:t>
      </w:r>
    </w:p>
    <w:p w14:paraId="77AE24F6">
      <w:pPr>
        <w:keepNext/>
        <w:keepLines w:val="0"/>
        <w:pageBreakBefore w:val="0"/>
        <w:spacing w:line="360" w:lineRule="auto"/>
        <w:ind w:firstLine="480"/>
        <w:rPr>
          <w:color w:val="000000"/>
          <w:sz w:val="24"/>
          <w:szCs w:val="22"/>
        </w:rPr>
      </w:pPr>
      <w:r>
        <w:rPr>
          <w:color w:val="000000"/>
          <w:sz w:val="24"/>
          <w:szCs w:val="22"/>
        </w:rPr>
        <w:t>项目预测内容为有组织</w:t>
      </w:r>
      <w:r>
        <w:rPr>
          <w:rFonts w:hint="eastAsia"/>
          <w:color w:val="000000"/>
          <w:sz w:val="24"/>
          <w:szCs w:val="22"/>
          <w:lang w:val="en-US" w:eastAsia="zh-CN"/>
        </w:rPr>
        <w:t>废气</w:t>
      </w:r>
      <w:r>
        <w:rPr>
          <w:color w:val="000000"/>
          <w:sz w:val="24"/>
          <w:szCs w:val="22"/>
        </w:rPr>
        <w:t>排放的最大落地浓度和距离。</w:t>
      </w:r>
    </w:p>
    <w:p w14:paraId="1ACC8402">
      <w:pPr>
        <w:keepNext/>
        <w:keepLines w:val="0"/>
        <w:pageBreakBefore w:val="0"/>
        <w:spacing w:line="360" w:lineRule="auto"/>
        <w:ind w:firstLine="480"/>
        <w:rPr>
          <w:color w:val="000000"/>
          <w:sz w:val="24"/>
          <w:szCs w:val="22"/>
        </w:rPr>
      </w:pPr>
      <w:r>
        <w:rPr>
          <w:color w:val="000000"/>
          <w:sz w:val="24"/>
          <w:szCs w:val="22"/>
        </w:rPr>
        <w:t>③预测模式</w:t>
      </w:r>
    </w:p>
    <w:p w14:paraId="12D72BC4">
      <w:pPr>
        <w:keepNext/>
        <w:keepLines w:val="0"/>
        <w:pageBreakBefore w:val="0"/>
        <w:widowControl w:val="0"/>
        <w:spacing w:line="360" w:lineRule="auto"/>
        <w:ind w:firstLine="480"/>
        <w:rPr>
          <w:rFonts w:eastAsia="宋体"/>
          <w:color w:val="000000"/>
          <w:sz w:val="24"/>
          <w:szCs w:val="22"/>
          <w:lang w:val="en-US" w:eastAsia="zh-CN"/>
        </w:rPr>
      </w:pPr>
      <w:r>
        <w:rPr>
          <w:color w:val="000000"/>
          <w:sz w:val="24"/>
          <w:szCs w:val="22"/>
        </w:rPr>
        <w:t>根据评价区气象特征和本项目污染源特征，项目营运期主要特征污染因子是烟</w:t>
      </w:r>
      <w:r>
        <w:rPr>
          <w:rFonts w:hint="eastAsia"/>
          <w:color w:val="000000"/>
          <w:sz w:val="24"/>
          <w:szCs w:val="22"/>
          <w:lang w:eastAsia="zh-CN"/>
        </w:rPr>
        <w:t>（</w:t>
      </w:r>
      <w:r>
        <w:rPr>
          <w:rFonts w:hint="eastAsia"/>
          <w:color w:val="000000"/>
          <w:sz w:val="24"/>
          <w:szCs w:val="22"/>
          <w:lang w:val="en-US" w:eastAsia="zh-CN"/>
        </w:rPr>
        <w:t>粉</w:t>
      </w:r>
      <w:r>
        <w:rPr>
          <w:rFonts w:hint="eastAsia"/>
          <w:color w:val="000000"/>
          <w:sz w:val="24"/>
          <w:szCs w:val="22"/>
          <w:lang w:eastAsia="zh-CN"/>
        </w:rPr>
        <w:t>）</w:t>
      </w:r>
      <w:r>
        <w:rPr>
          <w:color w:val="000000"/>
          <w:sz w:val="24"/>
          <w:szCs w:val="22"/>
        </w:rPr>
        <w:t>尘</w:t>
      </w:r>
      <w:r>
        <w:rPr>
          <w:rFonts w:hint="eastAsia"/>
          <w:color w:val="000000"/>
          <w:sz w:val="24"/>
          <w:szCs w:val="22"/>
        </w:rPr>
        <w:t>、SO</w:t>
      </w:r>
      <w:r>
        <w:rPr>
          <w:rFonts w:hint="eastAsia"/>
          <w:color w:val="000000"/>
          <w:sz w:val="24"/>
          <w:szCs w:val="22"/>
          <w:vertAlign w:val="subscript"/>
        </w:rPr>
        <w:t>2</w:t>
      </w:r>
      <w:r>
        <w:rPr>
          <w:rFonts w:hint="eastAsia"/>
          <w:color w:val="000000"/>
          <w:sz w:val="24"/>
          <w:szCs w:val="22"/>
        </w:rPr>
        <w:t>、NO</w:t>
      </w:r>
      <w:r>
        <w:rPr>
          <w:rFonts w:hint="eastAsia"/>
          <w:color w:val="000000"/>
          <w:sz w:val="24"/>
          <w:szCs w:val="22"/>
          <w:vertAlign w:val="subscript"/>
        </w:rPr>
        <w:t>X</w:t>
      </w:r>
      <w:r>
        <w:rPr>
          <w:rFonts w:hint="eastAsia"/>
          <w:color w:val="000000"/>
          <w:sz w:val="24"/>
          <w:szCs w:val="22"/>
          <w:vertAlign w:val="baseline"/>
          <w:lang w:eastAsia="zh-CN"/>
        </w:rPr>
        <w:t>、</w:t>
      </w:r>
      <w:r>
        <w:rPr>
          <w:rFonts w:hint="eastAsia"/>
          <w:color w:val="000000"/>
          <w:sz w:val="24"/>
          <w:szCs w:val="22"/>
          <w:vertAlign w:val="baseline"/>
          <w:lang w:val="en-US" w:eastAsia="zh-CN"/>
        </w:rPr>
        <w:t>甲醛、酚类、氨、非甲烷总烃（VOCs）</w:t>
      </w:r>
      <w:r>
        <w:rPr>
          <w:color w:val="000000"/>
          <w:sz w:val="24"/>
          <w:szCs w:val="22"/>
        </w:rPr>
        <w:t>，属于点源排放。本次大气评价采用《环境影响评价技术导则大气环境》（HJ2.2-2018）中推荐的AerScreen方法预测。</w:t>
      </w:r>
    </w:p>
    <w:p w14:paraId="5935C778">
      <w:pPr>
        <w:keepNext/>
        <w:keepLines w:val="0"/>
        <w:pageBreakBefore w:val="0"/>
        <w:spacing w:line="360" w:lineRule="auto"/>
        <w:ind w:firstLine="480"/>
        <w:rPr>
          <w:color w:val="000000"/>
          <w:sz w:val="24"/>
          <w:szCs w:val="22"/>
        </w:rPr>
      </w:pPr>
      <w:r>
        <w:rPr>
          <w:color w:val="000000"/>
          <w:sz w:val="24"/>
          <w:szCs w:val="22"/>
        </w:rPr>
        <w:t>④大气污染源强</w:t>
      </w:r>
    </w:p>
    <w:p w14:paraId="54CBF4AE">
      <w:pPr>
        <w:keepNext w:val="0"/>
        <w:keepLines w:val="0"/>
        <w:pageBreakBefore w:val="0"/>
        <w:widowControl w:val="0"/>
        <w:spacing w:line="360" w:lineRule="auto"/>
        <w:ind w:firstLine="480"/>
        <w:rPr>
          <w:color w:val="000000"/>
          <w:sz w:val="24"/>
          <w:szCs w:val="22"/>
        </w:rPr>
      </w:pPr>
      <w:r>
        <w:rPr>
          <w:color w:val="000000"/>
          <w:sz w:val="24"/>
          <w:szCs w:val="22"/>
        </w:rPr>
        <w:t>根据本报告工程分析结果，本项目预测因子的</w:t>
      </w:r>
      <w:r>
        <w:rPr>
          <w:rFonts w:hint="eastAsia"/>
          <w:color w:val="000000"/>
          <w:sz w:val="24"/>
          <w:szCs w:val="22"/>
        </w:rPr>
        <w:t>估算模型参数</w:t>
      </w:r>
      <w:r>
        <w:rPr>
          <w:color w:val="000000"/>
          <w:sz w:val="24"/>
          <w:szCs w:val="22"/>
        </w:rPr>
        <w:t>见表</w:t>
      </w:r>
      <w:r>
        <w:rPr>
          <w:rFonts w:hint="eastAsia"/>
          <w:color w:val="000000"/>
          <w:sz w:val="24"/>
          <w:szCs w:val="22"/>
          <w:lang w:val="en-US" w:eastAsia="zh-CN"/>
        </w:rPr>
        <w:t>6.2</w:t>
      </w:r>
      <w:r>
        <w:rPr>
          <w:color w:val="000000"/>
          <w:sz w:val="24"/>
          <w:szCs w:val="22"/>
        </w:rPr>
        <w:t>-</w:t>
      </w:r>
      <w:r>
        <w:rPr>
          <w:rFonts w:hint="eastAsia"/>
          <w:color w:val="000000"/>
          <w:sz w:val="24"/>
          <w:szCs w:val="22"/>
          <w:lang w:val="en-US" w:eastAsia="zh-CN"/>
        </w:rPr>
        <w:t>14</w:t>
      </w:r>
      <w:r>
        <w:rPr>
          <w:color w:val="000000"/>
          <w:sz w:val="24"/>
          <w:szCs w:val="22"/>
        </w:rPr>
        <w:t>。</w:t>
      </w:r>
    </w:p>
    <w:p w14:paraId="67BDDB2F">
      <w:pPr>
        <w:keepNext w:val="0"/>
        <w:keepLines w:val="0"/>
        <w:pageBreakBefore w:val="0"/>
        <w:widowControl w:val="0"/>
        <w:spacing w:line="360" w:lineRule="auto"/>
        <w:ind w:firstLine="2650"/>
        <w:rPr>
          <w:b/>
          <w:color w:val="000000"/>
          <w:sz w:val="24"/>
        </w:rPr>
      </w:pPr>
      <w:r>
        <w:rPr>
          <w:b/>
          <w:color w:val="000000"/>
          <w:sz w:val="24"/>
        </w:rPr>
        <w:t>表</w:t>
      </w:r>
      <w:r>
        <w:rPr>
          <w:rFonts w:hint="eastAsia"/>
          <w:b/>
          <w:color w:val="000000"/>
          <w:sz w:val="24"/>
          <w:lang w:val="en-US" w:eastAsia="zh-CN"/>
        </w:rPr>
        <w:t>6.2</w:t>
      </w:r>
      <w:r>
        <w:rPr>
          <w:b/>
          <w:color w:val="000000"/>
          <w:sz w:val="24"/>
        </w:rPr>
        <w:t>-</w:t>
      </w:r>
      <w:r>
        <w:rPr>
          <w:rFonts w:hint="eastAsia"/>
          <w:b/>
          <w:color w:val="000000"/>
          <w:sz w:val="24"/>
          <w:lang w:val="en-US" w:eastAsia="zh-CN"/>
        </w:rPr>
        <w:t xml:space="preserve">14  </w:t>
      </w:r>
      <w:r>
        <w:rPr>
          <w:b/>
          <w:color w:val="000000"/>
          <w:sz w:val="24"/>
        </w:rPr>
        <w:t>估算模型参数表</w:t>
      </w:r>
    </w:p>
    <w:tbl>
      <w:tblPr>
        <w:tblStyle w:val="487"/>
        <w:tblpPr w:leftFromText="180" w:rightFromText="180" w:vertAnchor="text" w:tblpXSpec="center" w:tblpY="1"/>
        <w:tblW w:w="0" w:type="auto"/>
        <w:tblInd w:w="-108"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623"/>
        <w:gridCol w:w="3089"/>
        <w:gridCol w:w="2635"/>
      </w:tblGrid>
      <w:tr w14:paraId="0F5F9E6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4712" w:type="dxa"/>
            <w:gridSpan w:val="2"/>
            <w:shd w:val="clear" w:color="auto" w:fill="FFFFFF"/>
            <w:noWrap w:val="0"/>
            <w:vAlign w:val="center"/>
          </w:tcPr>
          <w:p w14:paraId="1ED50FC9">
            <w:pPr>
              <w:pStyle w:val="379"/>
              <w:keepNext/>
              <w:keepLines w:val="0"/>
              <w:pageBreakBefore w:val="0"/>
              <w:spacing w:before="0" w:line="360" w:lineRule="auto"/>
              <w:rPr>
                <w:color w:val="000000"/>
                <w:sz w:val="21"/>
                <w:szCs w:val="21"/>
              </w:rPr>
            </w:pPr>
            <w:r>
              <w:rPr>
                <w:rFonts w:hint="eastAsia"/>
                <w:color w:val="000000"/>
                <w:sz w:val="21"/>
                <w:szCs w:val="21"/>
              </w:rPr>
              <w:t>参数</w:t>
            </w:r>
          </w:p>
        </w:tc>
        <w:tc>
          <w:tcPr>
            <w:tcW w:w="2635" w:type="dxa"/>
            <w:shd w:val="clear" w:color="auto" w:fill="FFFFFF"/>
            <w:noWrap w:val="0"/>
            <w:vAlign w:val="center"/>
          </w:tcPr>
          <w:p w14:paraId="169FED25">
            <w:pPr>
              <w:pStyle w:val="379"/>
              <w:keepNext/>
              <w:keepLines w:val="0"/>
              <w:pageBreakBefore w:val="0"/>
              <w:spacing w:before="0" w:line="360" w:lineRule="auto"/>
              <w:rPr>
                <w:color w:val="000000"/>
                <w:sz w:val="21"/>
                <w:szCs w:val="21"/>
              </w:rPr>
            </w:pPr>
            <w:r>
              <w:rPr>
                <w:rFonts w:hint="eastAsia"/>
                <w:color w:val="000000"/>
                <w:sz w:val="21"/>
                <w:szCs w:val="21"/>
              </w:rPr>
              <w:t>取值</w:t>
            </w:r>
          </w:p>
        </w:tc>
      </w:tr>
      <w:tr w14:paraId="42DCD1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8" w:hRule="atLeast"/>
        </w:trPr>
        <w:tc>
          <w:tcPr>
            <w:tcW w:w="1623" w:type="dxa"/>
            <w:vMerge w:val="restart"/>
            <w:shd w:val="clear" w:color="auto" w:fill="FFFFFF"/>
            <w:noWrap w:val="0"/>
            <w:vAlign w:val="center"/>
          </w:tcPr>
          <w:p w14:paraId="3BC636C3">
            <w:pPr>
              <w:pStyle w:val="379"/>
              <w:keepNext/>
              <w:keepLines w:val="0"/>
              <w:pageBreakBefore w:val="0"/>
              <w:spacing w:before="0" w:line="360" w:lineRule="auto"/>
              <w:rPr>
                <w:color w:val="000000"/>
                <w:sz w:val="21"/>
                <w:szCs w:val="21"/>
              </w:rPr>
            </w:pPr>
            <w:r>
              <w:rPr>
                <w:rFonts w:hint="eastAsia"/>
                <w:color w:val="000000"/>
                <w:sz w:val="21"/>
                <w:szCs w:val="21"/>
              </w:rPr>
              <w:t>城市</w:t>
            </w:r>
            <w:r>
              <w:rPr>
                <w:color w:val="000000"/>
                <w:sz w:val="21"/>
                <w:szCs w:val="21"/>
              </w:rPr>
              <w:t>/</w:t>
            </w:r>
            <w:r>
              <w:rPr>
                <w:rFonts w:hint="eastAsia"/>
                <w:color w:val="000000"/>
                <w:sz w:val="21"/>
                <w:szCs w:val="21"/>
              </w:rPr>
              <w:t>农村选项</w:t>
            </w:r>
          </w:p>
        </w:tc>
        <w:tc>
          <w:tcPr>
            <w:tcW w:w="3089" w:type="dxa"/>
            <w:shd w:val="clear" w:color="auto" w:fill="FFFFFF"/>
            <w:noWrap w:val="0"/>
            <w:vAlign w:val="center"/>
          </w:tcPr>
          <w:p w14:paraId="1ECE2C11">
            <w:pPr>
              <w:pStyle w:val="379"/>
              <w:keepNext/>
              <w:keepLines w:val="0"/>
              <w:pageBreakBefore w:val="0"/>
              <w:spacing w:before="0" w:line="360" w:lineRule="auto"/>
              <w:rPr>
                <w:color w:val="000000"/>
                <w:sz w:val="21"/>
                <w:szCs w:val="21"/>
              </w:rPr>
            </w:pPr>
            <w:r>
              <w:rPr>
                <w:rFonts w:hint="eastAsia"/>
                <w:color w:val="000000"/>
                <w:sz w:val="21"/>
                <w:szCs w:val="21"/>
              </w:rPr>
              <w:t>城市</w:t>
            </w:r>
            <w:r>
              <w:rPr>
                <w:color w:val="000000"/>
                <w:sz w:val="21"/>
                <w:szCs w:val="21"/>
              </w:rPr>
              <w:t>/</w:t>
            </w:r>
            <w:r>
              <w:rPr>
                <w:rFonts w:hint="eastAsia"/>
                <w:color w:val="000000"/>
                <w:sz w:val="21"/>
                <w:szCs w:val="21"/>
              </w:rPr>
              <w:t>农村</w:t>
            </w:r>
          </w:p>
        </w:tc>
        <w:tc>
          <w:tcPr>
            <w:tcW w:w="2635" w:type="dxa"/>
            <w:shd w:val="clear" w:color="auto" w:fill="FFFFFF"/>
            <w:noWrap w:val="0"/>
            <w:vAlign w:val="center"/>
          </w:tcPr>
          <w:p w14:paraId="07B4FB38">
            <w:pPr>
              <w:pStyle w:val="379"/>
              <w:keepNext/>
              <w:keepLines w:val="0"/>
              <w:pageBreakBefore w:val="0"/>
              <w:spacing w:before="0" w:line="360" w:lineRule="auto"/>
              <w:rPr>
                <w:rFonts w:hint="eastAsia"/>
                <w:color w:val="000000"/>
                <w:sz w:val="21"/>
                <w:szCs w:val="21"/>
              </w:rPr>
            </w:pPr>
            <w:r>
              <w:rPr>
                <w:rFonts w:hint="eastAsia"/>
                <w:color w:val="000000"/>
                <w:sz w:val="21"/>
                <w:szCs w:val="21"/>
              </w:rPr>
              <w:t>农村</w:t>
            </w:r>
          </w:p>
        </w:tc>
      </w:tr>
      <w:tr w14:paraId="52B2FF6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07" w:hRule="atLeast"/>
        </w:trPr>
        <w:tc>
          <w:tcPr>
            <w:tcW w:w="1623" w:type="dxa"/>
            <w:vMerge w:val="continue"/>
            <w:shd w:val="clear" w:color="auto" w:fill="FFFFFF"/>
            <w:noWrap w:val="0"/>
            <w:vAlign w:val="center"/>
          </w:tcPr>
          <w:p w14:paraId="57A859A5">
            <w:pPr>
              <w:pStyle w:val="379"/>
              <w:keepNext/>
              <w:keepLines w:val="0"/>
              <w:pageBreakBefore w:val="0"/>
              <w:spacing w:before="0" w:line="360" w:lineRule="auto"/>
              <w:rPr>
                <w:color w:val="000000"/>
                <w:sz w:val="21"/>
                <w:szCs w:val="21"/>
              </w:rPr>
            </w:pPr>
          </w:p>
        </w:tc>
        <w:tc>
          <w:tcPr>
            <w:tcW w:w="3089" w:type="dxa"/>
            <w:shd w:val="clear" w:color="auto" w:fill="FFFFFF"/>
            <w:noWrap w:val="0"/>
            <w:vAlign w:val="center"/>
          </w:tcPr>
          <w:p w14:paraId="3EB0EA94">
            <w:pPr>
              <w:pStyle w:val="379"/>
              <w:keepNext/>
              <w:keepLines w:val="0"/>
              <w:pageBreakBefore w:val="0"/>
              <w:spacing w:before="0" w:line="360" w:lineRule="auto"/>
              <w:rPr>
                <w:color w:val="000000"/>
                <w:sz w:val="21"/>
                <w:szCs w:val="21"/>
              </w:rPr>
            </w:pPr>
            <w:r>
              <w:rPr>
                <w:rFonts w:hint="eastAsia"/>
                <w:color w:val="000000"/>
                <w:sz w:val="21"/>
                <w:szCs w:val="21"/>
              </w:rPr>
              <w:t>人口数（城市选项时）</w:t>
            </w:r>
          </w:p>
        </w:tc>
        <w:tc>
          <w:tcPr>
            <w:tcW w:w="2635" w:type="dxa"/>
            <w:shd w:val="clear" w:color="auto" w:fill="FFFFFF"/>
            <w:noWrap w:val="0"/>
            <w:vAlign w:val="center"/>
          </w:tcPr>
          <w:p w14:paraId="4B6ED8B5">
            <w:pPr>
              <w:pStyle w:val="379"/>
              <w:keepNext/>
              <w:keepLines w:val="0"/>
              <w:pageBreakBefore w:val="0"/>
              <w:spacing w:before="0" w:line="360" w:lineRule="auto"/>
              <w:rPr>
                <w:rFonts w:hint="eastAsia"/>
                <w:color w:val="000000"/>
                <w:sz w:val="21"/>
                <w:szCs w:val="21"/>
              </w:rPr>
            </w:pPr>
            <w:r>
              <w:rPr>
                <w:rFonts w:hint="eastAsia"/>
                <w:color w:val="000000"/>
                <w:sz w:val="21"/>
                <w:szCs w:val="21"/>
              </w:rPr>
              <w:t>/</w:t>
            </w:r>
          </w:p>
        </w:tc>
      </w:tr>
      <w:tr w14:paraId="44762D9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4712" w:type="dxa"/>
            <w:gridSpan w:val="2"/>
            <w:shd w:val="clear" w:color="auto" w:fill="FFFFFF"/>
            <w:noWrap w:val="0"/>
            <w:vAlign w:val="center"/>
          </w:tcPr>
          <w:p w14:paraId="3221AE5B">
            <w:pPr>
              <w:pStyle w:val="379"/>
              <w:keepNext/>
              <w:keepLines w:val="0"/>
              <w:pageBreakBefore w:val="0"/>
              <w:spacing w:before="0" w:line="360" w:lineRule="auto"/>
              <w:rPr>
                <w:color w:val="000000"/>
                <w:sz w:val="21"/>
                <w:szCs w:val="21"/>
              </w:rPr>
            </w:pPr>
            <w:r>
              <w:rPr>
                <w:rFonts w:hint="eastAsia"/>
                <w:color w:val="000000"/>
                <w:sz w:val="21"/>
                <w:szCs w:val="21"/>
              </w:rPr>
              <w:t>最高环境温度/</w:t>
            </w:r>
            <w:r>
              <w:rPr>
                <w:color w:val="000000"/>
                <w:sz w:val="21"/>
                <w:szCs w:val="21"/>
              </w:rPr>
              <w:t xml:space="preserve"> </w:t>
            </w:r>
            <w:r>
              <w:rPr>
                <w:rFonts w:hint="eastAsia" w:ascii="宋体" w:hAnsi="宋体" w:cs="宋体"/>
                <w:color w:val="000000"/>
                <w:sz w:val="21"/>
                <w:szCs w:val="21"/>
              </w:rPr>
              <w:t>℃</w:t>
            </w:r>
          </w:p>
        </w:tc>
        <w:tc>
          <w:tcPr>
            <w:tcW w:w="2635" w:type="dxa"/>
            <w:shd w:val="clear" w:color="auto" w:fill="FFFFFF"/>
            <w:noWrap w:val="0"/>
            <w:vAlign w:val="center"/>
          </w:tcPr>
          <w:p w14:paraId="20AF950E">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36.9</w:t>
            </w:r>
          </w:p>
        </w:tc>
      </w:tr>
      <w:tr w14:paraId="3EB133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8" w:hRule="atLeast"/>
        </w:trPr>
        <w:tc>
          <w:tcPr>
            <w:tcW w:w="4712" w:type="dxa"/>
            <w:gridSpan w:val="2"/>
            <w:shd w:val="clear" w:color="auto" w:fill="FFFFFF"/>
            <w:noWrap w:val="0"/>
            <w:vAlign w:val="center"/>
          </w:tcPr>
          <w:p w14:paraId="5937E34A">
            <w:pPr>
              <w:pStyle w:val="379"/>
              <w:keepNext/>
              <w:keepLines w:val="0"/>
              <w:pageBreakBefore w:val="0"/>
              <w:spacing w:before="0" w:line="360" w:lineRule="auto"/>
              <w:rPr>
                <w:color w:val="000000"/>
                <w:sz w:val="21"/>
                <w:szCs w:val="21"/>
              </w:rPr>
            </w:pPr>
            <w:r>
              <w:rPr>
                <w:rFonts w:hint="eastAsia"/>
                <w:color w:val="000000"/>
                <w:sz w:val="21"/>
                <w:szCs w:val="21"/>
              </w:rPr>
              <w:t>最低环境温度/</w:t>
            </w:r>
            <w:r>
              <w:rPr>
                <w:color w:val="000000"/>
                <w:sz w:val="21"/>
                <w:szCs w:val="21"/>
              </w:rPr>
              <w:t xml:space="preserve"> </w:t>
            </w:r>
            <w:r>
              <w:rPr>
                <w:rFonts w:hint="eastAsia" w:ascii="宋体" w:hAnsi="宋体" w:cs="宋体"/>
                <w:color w:val="000000"/>
                <w:sz w:val="21"/>
                <w:szCs w:val="21"/>
              </w:rPr>
              <w:t>℃</w:t>
            </w:r>
          </w:p>
        </w:tc>
        <w:tc>
          <w:tcPr>
            <w:tcW w:w="2635" w:type="dxa"/>
            <w:shd w:val="clear" w:color="auto" w:fill="FFFFFF"/>
            <w:noWrap w:val="0"/>
            <w:vAlign w:val="center"/>
          </w:tcPr>
          <w:p w14:paraId="6AE9243B">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1.0</w:t>
            </w:r>
          </w:p>
        </w:tc>
      </w:tr>
      <w:tr w14:paraId="3508FF7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4712" w:type="dxa"/>
            <w:gridSpan w:val="2"/>
            <w:shd w:val="clear" w:color="auto" w:fill="FFFFFF"/>
            <w:noWrap w:val="0"/>
            <w:vAlign w:val="center"/>
          </w:tcPr>
          <w:p w14:paraId="3DCF64F8">
            <w:pPr>
              <w:pStyle w:val="379"/>
              <w:keepNext/>
              <w:keepLines w:val="0"/>
              <w:pageBreakBefore w:val="0"/>
              <w:spacing w:before="0" w:line="360" w:lineRule="auto"/>
              <w:rPr>
                <w:color w:val="000000"/>
                <w:sz w:val="21"/>
                <w:szCs w:val="21"/>
              </w:rPr>
            </w:pPr>
            <w:r>
              <w:rPr>
                <w:rFonts w:hint="eastAsia"/>
                <w:color w:val="000000"/>
                <w:sz w:val="21"/>
                <w:szCs w:val="21"/>
              </w:rPr>
              <w:t>土地利用类型</w:t>
            </w:r>
          </w:p>
        </w:tc>
        <w:tc>
          <w:tcPr>
            <w:tcW w:w="2635" w:type="dxa"/>
            <w:shd w:val="clear" w:color="auto" w:fill="FFFFFF"/>
            <w:noWrap w:val="0"/>
            <w:vAlign w:val="center"/>
          </w:tcPr>
          <w:p w14:paraId="011C0BE3">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工业用地</w:t>
            </w:r>
          </w:p>
        </w:tc>
      </w:tr>
      <w:tr w14:paraId="756D16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4712" w:type="dxa"/>
            <w:gridSpan w:val="2"/>
            <w:shd w:val="clear" w:color="auto" w:fill="FFFFFF"/>
            <w:noWrap w:val="0"/>
            <w:vAlign w:val="center"/>
          </w:tcPr>
          <w:p w14:paraId="73C50AA2">
            <w:pPr>
              <w:pStyle w:val="379"/>
              <w:keepNext/>
              <w:keepLines w:val="0"/>
              <w:pageBreakBefore w:val="0"/>
              <w:spacing w:before="0" w:line="360" w:lineRule="auto"/>
              <w:rPr>
                <w:color w:val="000000"/>
                <w:sz w:val="21"/>
                <w:szCs w:val="21"/>
              </w:rPr>
            </w:pPr>
            <w:r>
              <w:rPr>
                <w:rFonts w:hint="eastAsia"/>
                <w:color w:val="000000"/>
                <w:sz w:val="21"/>
                <w:szCs w:val="21"/>
              </w:rPr>
              <w:t>区域湿度条件</w:t>
            </w:r>
          </w:p>
        </w:tc>
        <w:tc>
          <w:tcPr>
            <w:tcW w:w="2635" w:type="dxa"/>
            <w:shd w:val="clear" w:color="auto" w:fill="FFFFFF"/>
            <w:noWrap w:val="0"/>
            <w:vAlign w:val="center"/>
          </w:tcPr>
          <w:p w14:paraId="7971F5E8">
            <w:pPr>
              <w:pStyle w:val="379"/>
              <w:keepNext/>
              <w:keepLines w:val="0"/>
              <w:pageBreakBefore w:val="0"/>
              <w:spacing w:before="0" w:line="360" w:lineRule="auto"/>
              <w:rPr>
                <w:rFonts w:hint="eastAsia"/>
                <w:color w:val="000000"/>
                <w:sz w:val="21"/>
                <w:szCs w:val="21"/>
              </w:rPr>
            </w:pPr>
            <w:r>
              <w:rPr>
                <w:rFonts w:hint="eastAsia"/>
                <w:color w:val="000000"/>
                <w:sz w:val="21"/>
                <w:szCs w:val="21"/>
              </w:rPr>
              <w:t>潮湿</w:t>
            </w:r>
          </w:p>
        </w:tc>
      </w:tr>
      <w:tr w14:paraId="1CC426C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63697F6D">
            <w:pPr>
              <w:pStyle w:val="379"/>
              <w:keepNext/>
              <w:keepLines w:val="0"/>
              <w:pageBreakBefore w:val="0"/>
              <w:spacing w:before="0" w:line="360" w:lineRule="auto"/>
              <w:rPr>
                <w:color w:val="000000"/>
                <w:sz w:val="21"/>
                <w:szCs w:val="21"/>
              </w:rPr>
            </w:pPr>
            <w:r>
              <w:rPr>
                <w:rFonts w:hint="eastAsia"/>
                <w:color w:val="000000"/>
                <w:sz w:val="21"/>
                <w:szCs w:val="21"/>
              </w:rPr>
              <w:t>是否考虑地形</w:t>
            </w:r>
          </w:p>
        </w:tc>
        <w:tc>
          <w:tcPr>
            <w:tcW w:w="3089" w:type="dxa"/>
            <w:shd w:val="clear" w:color="auto" w:fill="FFFFFF"/>
            <w:noWrap w:val="0"/>
            <w:vAlign w:val="center"/>
          </w:tcPr>
          <w:p w14:paraId="770FDA85">
            <w:pPr>
              <w:pStyle w:val="379"/>
              <w:keepNext/>
              <w:keepLines w:val="0"/>
              <w:pageBreakBefore w:val="0"/>
              <w:spacing w:before="0" w:line="360" w:lineRule="auto"/>
              <w:rPr>
                <w:color w:val="000000"/>
                <w:sz w:val="21"/>
                <w:szCs w:val="21"/>
              </w:rPr>
            </w:pPr>
            <w:r>
              <w:rPr>
                <w:rFonts w:hint="eastAsia"/>
                <w:color w:val="000000"/>
                <w:sz w:val="21"/>
                <w:szCs w:val="21"/>
              </w:rPr>
              <w:t>考虑地形</w:t>
            </w:r>
          </w:p>
        </w:tc>
        <w:tc>
          <w:tcPr>
            <w:tcW w:w="2635" w:type="dxa"/>
            <w:shd w:val="clear" w:color="auto" w:fill="FFFFFF"/>
            <w:noWrap w:val="0"/>
            <w:vAlign w:val="center"/>
          </w:tcPr>
          <w:p w14:paraId="132CF592">
            <w:pPr>
              <w:pStyle w:val="379"/>
              <w:keepNext/>
              <w:keepLines w:val="0"/>
              <w:pageBreakBefore w:val="0"/>
              <w:spacing w:before="0" w:line="360" w:lineRule="auto"/>
              <w:rPr>
                <w:color w:val="000000"/>
                <w:sz w:val="21"/>
                <w:szCs w:val="21"/>
              </w:rPr>
            </w:pPr>
            <w:r>
              <w:rPr>
                <w:rFonts w:hint="eastAsia" w:ascii="仿宋" w:hAnsi="仿宋" w:eastAsia="仿宋"/>
                <w:color w:val="000000"/>
                <w:sz w:val="21"/>
                <w:szCs w:val="21"/>
              </w:rPr>
              <w:t>□</w:t>
            </w:r>
            <w:r>
              <w:rPr>
                <w:rFonts w:hint="eastAsia"/>
                <w:color w:val="000000"/>
                <w:sz w:val="21"/>
                <w:szCs w:val="21"/>
              </w:rPr>
              <w:t xml:space="preserve">是 </w:t>
            </w:r>
            <w:r>
              <w:rPr>
                <w:color w:val="000000"/>
                <w:sz w:val="21"/>
                <w:szCs w:val="21"/>
              </w:rPr>
              <w:t xml:space="preserve"> </w:t>
            </w:r>
            <w:r>
              <w:rPr>
                <w:rFonts w:hint="eastAsia" w:ascii="仿宋" w:hAnsi="仿宋" w:eastAsia="仿宋"/>
                <w:color w:val="000000"/>
                <w:sz w:val="21"/>
                <w:szCs w:val="21"/>
              </w:rPr>
              <w:t>□</w:t>
            </w:r>
            <w:r>
              <w:rPr>
                <w:rFonts w:hint="eastAsia"/>
                <w:color w:val="000000"/>
                <w:sz w:val="21"/>
                <w:szCs w:val="21"/>
              </w:rPr>
              <w:t>否</w:t>
            </w:r>
          </w:p>
        </w:tc>
      </w:tr>
      <w:tr w14:paraId="31FD06F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5B8F501F">
            <w:pPr>
              <w:pStyle w:val="379"/>
              <w:keepNext/>
              <w:keepLines w:val="0"/>
              <w:pageBreakBefore w:val="0"/>
              <w:spacing w:before="0" w:line="360" w:lineRule="auto"/>
              <w:rPr>
                <w:color w:val="000000"/>
                <w:sz w:val="21"/>
                <w:szCs w:val="21"/>
              </w:rPr>
            </w:pPr>
          </w:p>
        </w:tc>
        <w:tc>
          <w:tcPr>
            <w:tcW w:w="3089" w:type="dxa"/>
            <w:shd w:val="clear" w:color="auto" w:fill="FFFFFF"/>
            <w:noWrap w:val="0"/>
            <w:vAlign w:val="center"/>
          </w:tcPr>
          <w:p w14:paraId="4216309B">
            <w:pPr>
              <w:pStyle w:val="379"/>
              <w:keepNext/>
              <w:keepLines w:val="0"/>
              <w:pageBreakBefore w:val="0"/>
              <w:spacing w:before="0" w:line="360" w:lineRule="auto"/>
              <w:rPr>
                <w:color w:val="000000"/>
                <w:sz w:val="21"/>
                <w:szCs w:val="21"/>
              </w:rPr>
            </w:pPr>
            <w:r>
              <w:rPr>
                <w:rFonts w:hint="eastAsia"/>
                <w:color w:val="000000"/>
                <w:sz w:val="21"/>
                <w:szCs w:val="21"/>
              </w:rPr>
              <w:t xml:space="preserve">地形数据分辨率 </w:t>
            </w:r>
            <w:r>
              <w:rPr>
                <w:color w:val="000000"/>
                <w:sz w:val="21"/>
                <w:szCs w:val="21"/>
              </w:rPr>
              <w:t>/ m</w:t>
            </w:r>
          </w:p>
        </w:tc>
        <w:tc>
          <w:tcPr>
            <w:tcW w:w="2635" w:type="dxa"/>
            <w:shd w:val="clear" w:color="auto" w:fill="FFFFFF"/>
            <w:noWrap w:val="0"/>
            <w:vAlign w:val="center"/>
          </w:tcPr>
          <w:p w14:paraId="12171755">
            <w:pPr>
              <w:pStyle w:val="379"/>
              <w:keepNext/>
              <w:keepLines w:val="0"/>
              <w:pageBreakBefore w:val="0"/>
              <w:spacing w:before="0" w:line="360" w:lineRule="auto"/>
              <w:rPr>
                <w:color w:val="000000"/>
                <w:sz w:val="21"/>
                <w:szCs w:val="21"/>
              </w:rPr>
            </w:pPr>
          </w:p>
        </w:tc>
      </w:tr>
      <w:tr w14:paraId="74C4459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2DACA0CC">
            <w:pPr>
              <w:pStyle w:val="379"/>
              <w:keepNext/>
              <w:keepLines w:val="0"/>
              <w:pageBreakBefore w:val="0"/>
              <w:spacing w:before="0" w:line="360" w:lineRule="auto"/>
              <w:rPr>
                <w:color w:val="000000"/>
                <w:sz w:val="21"/>
                <w:szCs w:val="21"/>
              </w:rPr>
            </w:pPr>
            <w:r>
              <w:rPr>
                <w:rFonts w:hint="eastAsia"/>
                <w:color w:val="000000"/>
                <w:sz w:val="21"/>
                <w:szCs w:val="21"/>
              </w:rPr>
              <w:t>是否考虑岸线熏烟</w:t>
            </w:r>
          </w:p>
        </w:tc>
        <w:tc>
          <w:tcPr>
            <w:tcW w:w="3089" w:type="dxa"/>
            <w:shd w:val="clear" w:color="auto" w:fill="FFFFFF"/>
            <w:noWrap w:val="0"/>
            <w:vAlign w:val="center"/>
          </w:tcPr>
          <w:p w14:paraId="36DA8305">
            <w:pPr>
              <w:pStyle w:val="379"/>
              <w:keepNext/>
              <w:keepLines w:val="0"/>
              <w:pageBreakBefore w:val="0"/>
              <w:spacing w:before="0" w:line="360" w:lineRule="auto"/>
              <w:rPr>
                <w:color w:val="000000"/>
                <w:sz w:val="21"/>
                <w:szCs w:val="21"/>
              </w:rPr>
            </w:pPr>
            <w:r>
              <w:rPr>
                <w:rFonts w:hint="eastAsia"/>
                <w:color w:val="000000"/>
                <w:sz w:val="21"/>
                <w:szCs w:val="21"/>
              </w:rPr>
              <w:t>考虑岸线熏烟</w:t>
            </w:r>
          </w:p>
        </w:tc>
        <w:tc>
          <w:tcPr>
            <w:tcW w:w="2635" w:type="dxa"/>
            <w:shd w:val="clear" w:color="auto" w:fill="FFFFFF"/>
            <w:noWrap w:val="0"/>
            <w:vAlign w:val="center"/>
          </w:tcPr>
          <w:p w14:paraId="664DBE48">
            <w:pPr>
              <w:pStyle w:val="379"/>
              <w:keepNext/>
              <w:keepLines w:val="0"/>
              <w:pageBreakBefore w:val="0"/>
              <w:spacing w:before="0" w:line="360" w:lineRule="auto"/>
              <w:rPr>
                <w:color w:val="000000"/>
                <w:sz w:val="21"/>
                <w:szCs w:val="21"/>
              </w:rPr>
            </w:pPr>
            <w:r>
              <w:rPr>
                <w:rFonts w:hint="eastAsia" w:ascii="仿宋" w:hAnsi="仿宋" w:eastAsia="仿宋"/>
                <w:color w:val="000000"/>
                <w:sz w:val="21"/>
                <w:szCs w:val="21"/>
              </w:rPr>
              <w:t>□</w:t>
            </w:r>
            <w:r>
              <w:rPr>
                <w:rFonts w:hint="eastAsia"/>
                <w:color w:val="000000"/>
                <w:sz w:val="21"/>
                <w:szCs w:val="21"/>
              </w:rPr>
              <w:t xml:space="preserve">是 </w:t>
            </w:r>
            <w:r>
              <w:rPr>
                <w:color w:val="000000"/>
                <w:sz w:val="21"/>
                <w:szCs w:val="21"/>
              </w:rPr>
              <w:t xml:space="preserve"> </w:t>
            </w:r>
            <w:r>
              <w:rPr>
                <w:rFonts w:hint="eastAsia" w:ascii="仿宋" w:hAnsi="仿宋" w:eastAsia="仿宋"/>
                <w:color w:val="000000"/>
                <w:sz w:val="21"/>
                <w:szCs w:val="21"/>
              </w:rPr>
              <w:t>□</w:t>
            </w:r>
            <w:r>
              <w:rPr>
                <w:rFonts w:hint="eastAsia"/>
                <w:color w:val="000000"/>
                <w:sz w:val="21"/>
                <w:szCs w:val="21"/>
              </w:rPr>
              <w:t>否</w:t>
            </w:r>
          </w:p>
        </w:tc>
      </w:tr>
      <w:tr w14:paraId="0AB5434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07" w:hRule="atLeast"/>
        </w:trPr>
        <w:tc>
          <w:tcPr>
            <w:tcW w:w="1623" w:type="dxa"/>
            <w:vMerge w:val="continue"/>
            <w:shd w:val="clear" w:color="auto" w:fill="FFFFFF"/>
            <w:noWrap w:val="0"/>
            <w:vAlign w:val="center"/>
          </w:tcPr>
          <w:p w14:paraId="77BA0976">
            <w:pPr>
              <w:pStyle w:val="379"/>
              <w:keepNext/>
              <w:keepLines w:val="0"/>
              <w:pageBreakBefore w:val="0"/>
              <w:spacing w:before="0" w:line="360" w:lineRule="auto"/>
              <w:rPr>
                <w:color w:val="000000"/>
                <w:sz w:val="21"/>
                <w:szCs w:val="21"/>
              </w:rPr>
            </w:pPr>
          </w:p>
        </w:tc>
        <w:tc>
          <w:tcPr>
            <w:tcW w:w="3089" w:type="dxa"/>
            <w:shd w:val="clear" w:color="auto" w:fill="FFFFFF"/>
            <w:noWrap w:val="0"/>
            <w:vAlign w:val="center"/>
          </w:tcPr>
          <w:p w14:paraId="59DD6030">
            <w:pPr>
              <w:pStyle w:val="379"/>
              <w:keepNext/>
              <w:keepLines w:val="0"/>
              <w:pageBreakBefore w:val="0"/>
              <w:spacing w:before="0" w:line="360" w:lineRule="auto"/>
              <w:rPr>
                <w:color w:val="000000"/>
                <w:sz w:val="21"/>
                <w:szCs w:val="21"/>
              </w:rPr>
            </w:pPr>
            <w:r>
              <w:rPr>
                <w:rFonts w:hint="eastAsia"/>
                <w:color w:val="000000"/>
                <w:sz w:val="21"/>
                <w:szCs w:val="21"/>
              </w:rPr>
              <w:t>岸线距离/</w:t>
            </w:r>
            <w:r>
              <w:rPr>
                <w:color w:val="000000"/>
                <w:sz w:val="21"/>
                <w:szCs w:val="21"/>
              </w:rPr>
              <w:t xml:space="preserve"> km</w:t>
            </w:r>
          </w:p>
        </w:tc>
        <w:tc>
          <w:tcPr>
            <w:tcW w:w="2635" w:type="dxa"/>
            <w:shd w:val="clear" w:color="auto" w:fill="FFFFFF"/>
            <w:noWrap w:val="0"/>
            <w:vAlign w:val="center"/>
          </w:tcPr>
          <w:p w14:paraId="48B89749">
            <w:pPr>
              <w:pStyle w:val="379"/>
              <w:keepNext/>
              <w:keepLines w:val="0"/>
              <w:pageBreakBefore w:val="0"/>
              <w:spacing w:before="0" w:line="360" w:lineRule="auto"/>
              <w:rPr>
                <w:rFonts w:hint="eastAsia"/>
                <w:color w:val="000000"/>
                <w:sz w:val="21"/>
                <w:szCs w:val="21"/>
              </w:rPr>
            </w:pPr>
            <w:r>
              <w:rPr>
                <w:rFonts w:hint="eastAsia"/>
                <w:color w:val="000000"/>
                <w:sz w:val="21"/>
                <w:szCs w:val="21"/>
              </w:rPr>
              <w:t>/</w:t>
            </w:r>
          </w:p>
        </w:tc>
      </w:tr>
      <w:tr w14:paraId="19E5262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1DD019F4">
            <w:pPr>
              <w:pStyle w:val="379"/>
              <w:keepNext/>
              <w:keepLines w:val="0"/>
              <w:pageBreakBefore w:val="0"/>
              <w:spacing w:before="0" w:line="360" w:lineRule="auto"/>
              <w:rPr>
                <w:color w:val="000000"/>
                <w:sz w:val="21"/>
                <w:szCs w:val="21"/>
              </w:rPr>
            </w:pPr>
          </w:p>
        </w:tc>
        <w:tc>
          <w:tcPr>
            <w:tcW w:w="3089" w:type="dxa"/>
            <w:shd w:val="clear" w:color="auto" w:fill="FFFFFF"/>
            <w:noWrap w:val="0"/>
            <w:vAlign w:val="center"/>
          </w:tcPr>
          <w:p w14:paraId="54EF1343">
            <w:pPr>
              <w:pStyle w:val="379"/>
              <w:keepNext/>
              <w:keepLines w:val="0"/>
              <w:pageBreakBefore w:val="0"/>
              <w:spacing w:before="0" w:line="360" w:lineRule="auto"/>
              <w:rPr>
                <w:color w:val="000000"/>
                <w:sz w:val="21"/>
                <w:szCs w:val="21"/>
              </w:rPr>
            </w:pPr>
            <w:r>
              <w:rPr>
                <w:rFonts w:hint="eastAsia"/>
                <w:color w:val="000000"/>
                <w:sz w:val="21"/>
                <w:szCs w:val="21"/>
              </w:rPr>
              <w:t>岸线方向/</w:t>
            </w:r>
            <w:r>
              <w:rPr>
                <w:color w:val="000000"/>
                <w:sz w:val="21"/>
                <w:szCs w:val="21"/>
              </w:rPr>
              <w:t xml:space="preserve"> °</w:t>
            </w:r>
          </w:p>
        </w:tc>
        <w:tc>
          <w:tcPr>
            <w:tcW w:w="2635" w:type="dxa"/>
            <w:shd w:val="clear" w:color="auto" w:fill="FFFFFF"/>
            <w:noWrap w:val="0"/>
            <w:vAlign w:val="center"/>
          </w:tcPr>
          <w:p w14:paraId="4965D644">
            <w:pPr>
              <w:pStyle w:val="379"/>
              <w:keepNext/>
              <w:keepLines w:val="0"/>
              <w:pageBreakBefore w:val="0"/>
              <w:spacing w:before="0" w:line="360" w:lineRule="auto"/>
              <w:rPr>
                <w:rFonts w:hint="eastAsia"/>
                <w:color w:val="000000"/>
                <w:sz w:val="21"/>
                <w:szCs w:val="21"/>
              </w:rPr>
            </w:pPr>
            <w:r>
              <w:rPr>
                <w:rFonts w:hint="eastAsia"/>
                <w:color w:val="000000"/>
                <w:sz w:val="21"/>
                <w:szCs w:val="21"/>
              </w:rPr>
              <w:t>/</w:t>
            </w:r>
          </w:p>
        </w:tc>
      </w:tr>
      <w:tr w14:paraId="3BB84E0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5A8E2F41">
            <w:pPr>
              <w:pStyle w:val="379"/>
              <w:keepNext/>
              <w:keepLines w:val="0"/>
              <w:pageBreakBefore w:val="0"/>
              <w:spacing w:before="0" w:line="360" w:lineRule="auto"/>
              <w:rPr>
                <w:rFonts w:eastAsia="宋体"/>
                <w:color w:val="FF0000"/>
                <w:sz w:val="21"/>
                <w:szCs w:val="21"/>
                <w:lang w:val="en-US" w:eastAsia="zh-CN"/>
              </w:rPr>
            </w:pPr>
            <w:r>
              <w:rPr>
                <w:rFonts w:hint="eastAsia"/>
                <w:color w:val="FF0000"/>
                <w:sz w:val="21"/>
                <w:szCs w:val="21"/>
                <w:lang w:val="en-US" w:eastAsia="zh-CN"/>
              </w:rPr>
              <w:t>P3烟囱（预测SO</w:t>
            </w:r>
            <w:r>
              <w:rPr>
                <w:rFonts w:hint="eastAsia"/>
                <w:color w:val="FF0000"/>
                <w:sz w:val="21"/>
                <w:szCs w:val="21"/>
                <w:vertAlign w:val="subscript"/>
                <w:lang w:val="en-US" w:eastAsia="zh-CN"/>
              </w:rPr>
              <w:t>2</w:t>
            </w:r>
            <w:r>
              <w:rPr>
                <w:rFonts w:hint="eastAsia"/>
                <w:color w:val="FF0000"/>
                <w:sz w:val="21"/>
                <w:szCs w:val="21"/>
                <w:lang w:val="en-US" w:eastAsia="zh-CN"/>
              </w:rPr>
              <w:t>、NO</w:t>
            </w:r>
            <w:r>
              <w:rPr>
                <w:rFonts w:hint="eastAsia"/>
                <w:color w:val="FF0000"/>
                <w:sz w:val="21"/>
                <w:szCs w:val="21"/>
                <w:vertAlign w:val="subscript"/>
                <w:lang w:val="en-US" w:eastAsia="zh-CN"/>
              </w:rPr>
              <w:t>X</w:t>
            </w:r>
            <w:r>
              <w:rPr>
                <w:rFonts w:hint="eastAsia"/>
                <w:color w:val="FF0000"/>
                <w:sz w:val="21"/>
                <w:szCs w:val="21"/>
                <w:lang w:val="en-US" w:eastAsia="zh-CN"/>
              </w:rPr>
              <w:t>）</w:t>
            </w:r>
          </w:p>
        </w:tc>
        <w:tc>
          <w:tcPr>
            <w:tcW w:w="3089" w:type="dxa"/>
            <w:shd w:val="clear" w:color="auto" w:fill="FFFFFF"/>
            <w:noWrap w:val="0"/>
            <w:vAlign w:val="center"/>
          </w:tcPr>
          <w:p w14:paraId="2EC3E42D">
            <w:pPr>
              <w:pStyle w:val="379"/>
              <w:keepNext/>
              <w:keepLines w:val="0"/>
              <w:pageBreakBefore w:val="0"/>
              <w:spacing w:before="0" w:line="360" w:lineRule="auto"/>
              <w:rPr>
                <w:rFonts w:hint="eastAsia"/>
                <w:color w:val="000000"/>
                <w:sz w:val="21"/>
                <w:szCs w:val="21"/>
              </w:rPr>
            </w:pPr>
            <w:r>
              <w:rPr>
                <w:rFonts w:hint="eastAsia"/>
                <w:color w:val="000000"/>
                <w:sz w:val="21"/>
                <w:szCs w:val="21"/>
              </w:rPr>
              <w:t>烟囱内径</w:t>
            </w:r>
          </w:p>
        </w:tc>
        <w:tc>
          <w:tcPr>
            <w:tcW w:w="2635" w:type="dxa"/>
            <w:shd w:val="clear" w:color="auto" w:fill="FFFFFF"/>
            <w:noWrap w:val="0"/>
            <w:vAlign w:val="center"/>
          </w:tcPr>
          <w:p w14:paraId="5D281128">
            <w:pPr>
              <w:pStyle w:val="379"/>
              <w:keepNext/>
              <w:keepLines w:val="0"/>
              <w:pageBreakBefore w:val="0"/>
              <w:spacing w:before="0" w:line="360" w:lineRule="auto"/>
              <w:rPr>
                <w:color w:val="FF0000"/>
                <w:sz w:val="21"/>
                <w:szCs w:val="21"/>
              </w:rPr>
            </w:pPr>
            <w:r>
              <w:rPr>
                <w:rFonts w:hint="eastAsia"/>
                <w:color w:val="FF0000"/>
                <w:sz w:val="21"/>
                <w:szCs w:val="21"/>
                <w:lang w:val="en-US" w:eastAsia="zh-CN"/>
              </w:rPr>
              <w:t>0.5</w:t>
            </w:r>
            <w:r>
              <w:rPr>
                <w:rFonts w:hint="eastAsia"/>
                <w:color w:val="FF0000"/>
                <w:sz w:val="21"/>
                <w:szCs w:val="21"/>
              </w:rPr>
              <w:t>m</w:t>
            </w:r>
          </w:p>
        </w:tc>
      </w:tr>
      <w:tr w14:paraId="4929682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1E4142E4">
            <w:pPr>
              <w:pStyle w:val="379"/>
              <w:keepNext/>
              <w:keepLines w:val="0"/>
              <w:pageBreakBefore w:val="0"/>
              <w:spacing w:before="0" w:line="360" w:lineRule="auto"/>
              <w:rPr>
                <w:rFonts w:hint="eastAsia"/>
                <w:color w:val="FF0000"/>
                <w:sz w:val="21"/>
                <w:szCs w:val="21"/>
              </w:rPr>
            </w:pPr>
          </w:p>
        </w:tc>
        <w:tc>
          <w:tcPr>
            <w:tcW w:w="3089" w:type="dxa"/>
            <w:shd w:val="clear" w:color="auto" w:fill="FFFFFF"/>
            <w:noWrap w:val="0"/>
            <w:vAlign w:val="center"/>
          </w:tcPr>
          <w:p w14:paraId="3A3C60BA">
            <w:pPr>
              <w:pStyle w:val="379"/>
              <w:keepNext/>
              <w:keepLines w:val="0"/>
              <w:pageBreakBefore w:val="0"/>
              <w:spacing w:before="0" w:line="360" w:lineRule="auto"/>
              <w:rPr>
                <w:rFonts w:hint="eastAsia"/>
                <w:color w:val="000000"/>
                <w:sz w:val="21"/>
                <w:szCs w:val="21"/>
              </w:rPr>
            </w:pPr>
            <w:r>
              <w:rPr>
                <w:rFonts w:hint="eastAsia"/>
                <w:color w:val="000000"/>
                <w:sz w:val="21"/>
                <w:szCs w:val="21"/>
              </w:rPr>
              <w:t>烟气流量</w:t>
            </w:r>
          </w:p>
        </w:tc>
        <w:tc>
          <w:tcPr>
            <w:tcW w:w="2635" w:type="dxa"/>
            <w:shd w:val="clear" w:color="auto" w:fill="FFFFFF"/>
            <w:noWrap w:val="0"/>
            <w:vAlign w:val="center"/>
          </w:tcPr>
          <w:p w14:paraId="6101B921">
            <w:pPr>
              <w:pStyle w:val="379"/>
              <w:keepNext/>
              <w:keepLines w:val="0"/>
              <w:pageBreakBefore w:val="0"/>
              <w:spacing w:before="0" w:line="360" w:lineRule="auto"/>
              <w:rPr>
                <w:color w:val="FF0000"/>
                <w:sz w:val="21"/>
                <w:szCs w:val="21"/>
              </w:rPr>
            </w:pPr>
            <w:r>
              <w:rPr>
                <w:rFonts w:hint="eastAsia"/>
                <w:color w:val="FF0000"/>
                <w:sz w:val="21"/>
                <w:szCs w:val="21"/>
                <w:lang w:val="en-US" w:eastAsia="zh-CN"/>
              </w:rPr>
              <w:t>33964</w:t>
            </w:r>
            <w:r>
              <w:rPr>
                <w:rFonts w:hint="eastAsia"/>
                <w:color w:val="FF0000"/>
                <w:sz w:val="21"/>
                <w:szCs w:val="21"/>
              </w:rPr>
              <w:t>m</w:t>
            </w:r>
            <w:r>
              <w:rPr>
                <w:rFonts w:hint="eastAsia"/>
                <w:color w:val="FF0000"/>
                <w:sz w:val="21"/>
                <w:szCs w:val="21"/>
                <w:vertAlign w:val="superscript"/>
              </w:rPr>
              <w:t>3</w:t>
            </w:r>
            <w:r>
              <w:rPr>
                <w:rFonts w:hint="eastAsia"/>
                <w:color w:val="FF0000"/>
                <w:sz w:val="21"/>
                <w:szCs w:val="21"/>
              </w:rPr>
              <w:t>/h</w:t>
            </w:r>
          </w:p>
        </w:tc>
      </w:tr>
      <w:tr w14:paraId="5AF898A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17D6C09E">
            <w:pPr>
              <w:pStyle w:val="379"/>
              <w:keepNext/>
              <w:keepLines w:val="0"/>
              <w:pageBreakBefore w:val="0"/>
              <w:spacing w:before="0" w:line="360" w:lineRule="auto"/>
              <w:rPr>
                <w:rFonts w:hint="eastAsia"/>
                <w:color w:val="FF0000"/>
                <w:sz w:val="21"/>
                <w:szCs w:val="21"/>
              </w:rPr>
            </w:pPr>
          </w:p>
        </w:tc>
        <w:tc>
          <w:tcPr>
            <w:tcW w:w="3089" w:type="dxa"/>
            <w:shd w:val="clear" w:color="auto" w:fill="FFFFFF"/>
            <w:noWrap w:val="0"/>
            <w:vAlign w:val="center"/>
          </w:tcPr>
          <w:p w14:paraId="29AF0212">
            <w:pPr>
              <w:pStyle w:val="379"/>
              <w:keepNext/>
              <w:keepLines w:val="0"/>
              <w:pageBreakBefore w:val="0"/>
              <w:spacing w:before="0" w:line="360" w:lineRule="auto"/>
              <w:rPr>
                <w:rFonts w:hint="eastAsia"/>
                <w:color w:val="000000"/>
                <w:sz w:val="21"/>
                <w:szCs w:val="21"/>
              </w:rPr>
            </w:pPr>
            <w:r>
              <w:rPr>
                <w:rFonts w:hint="eastAsia"/>
                <w:color w:val="000000"/>
                <w:sz w:val="21"/>
                <w:szCs w:val="21"/>
              </w:rPr>
              <w:t>源高</w:t>
            </w:r>
          </w:p>
        </w:tc>
        <w:tc>
          <w:tcPr>
            <w:tcW w:w="2635" w:type="dxa"/>
            <w:shd w:val="clear" w:color="auto" w:fill="FFFFFF"/>
            <w:noWrap w:val="0"/>
            <w:vAlign w:val="center"/>
          </w:tcPr>
          <w:p w14:paraId="4ED05D03">
            <w:pPr>
              <w:pStyle w:val="379"/>
              <w:keepNext/>
              <w:keepLines w:val="0"/>
              <w:pageBreakBefore w:val="0"/>
              <w:spacing w:before="0" w:line="360" w:lineRule="auto"/>
              <w:rPr>
                <w:color w:val="FF0000"/>
                <w:sz w:val="21"/>
                <w:szCs w:val="21"/>
              </w:rPr>
            </w:pPr>
            <w:r>
              <w:rPr>
                <w:rFonts w:hint="eastAsia"/>
                <w:color w:val="FF0000"/>
                <w:sz w:val="21"/>
                <w:szCs w:val="21"/>
                <w:lang w:val="en-US" w:eastAsia="zh-CN"/>
              </w:rPr>
              <w:t>25</w:t>
            </w:r>
            <w:r>
              <w:rPr>
                <w:rFonts w:hint="eastAsia"/>
                <w:color w:val="FF0000"/>
                <w:sz w:val="21"/>
                <w:szCs w:val="21"/>
              </w:rPr>
              <w:t>m</w:t>
            </w:r>
          </w:p>
        </w:tc>
      </w:tr>
      <w:tr w14:paraId="6074430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68B5EA48">
            <w:pPr>
              <w:pStyle w:val="379"/>
              <w:keepNext/>
              <w:keepLines w:val="0"/>
              <w:pageBreakBefore w:val="0"/>
              <w:spacing w:before="0" w:line="360" w:lineRule="auto"/>
              <w:rPr>
                <w:rFonts w:eastAsia="宋体"/>
                <w:color w:val="FF0000"/>
                <w:sz w:val="21"/>
                <w:szCs w:val="21"/>
                <w:lang w:val="en-US" w:eastAsia="zh-CN"/>
              </w:rPr>
            </w:pPr>
            <w:r>
              <w:rPr>
                <w:rFonts w:hint="eastAsia"/>
                <w:color w:val="FF0000"/>
                <w:sz w:val="21"/>
                <w:szCs w:val="21"/>
                <w:lang w:val="en-US" w:eastAsia="zh-CN"/>
              </w:rPr>
              <w:t>P1、P3等效排气筒（预测TSP）</w:t>
            </w:r>
          </w:p>
        </w:tc>
        <w:tc>
          <w:tcPr>
            <w:tcW w:w="3089" w:type="dxa"/>
            <w:shd w:val="clear" w:color="auto" w:fill="FFFFFF"/>
            <w:noWrap w:val="0"/>
            <w:vAlign w:val="center"/>
          </w:tcPr>
          <w:p w14:paraId="6AB7D771">
            <w:pPr>
              <w:pStyle w:val="379"/>
              <w:keepNext/>
              <w:keepLines w:val="0"/>
              <w:pageBreakBefore w:val="0"/>
              <w:spacing w:before="0" w:line="360" w:lineRule="auto"/>
              <w:rPr>
                <w:rFonts w:hint="eastAsia"/>
                <w:color w:val="000000"/>
                <w:sz w:val="21"/>
                <w:szCs w:val="21"/>
              </w:rPr>
            </w:pPr>
            <w:r>
              <w:rPr>
                <w:rFonts w:hint="eastAsia"/>
                <w:color w:val="000000"/>
                <w:sz w:val="21"/>
                <w:szCs w:val="21"/>
              </w:rPr>
              <w:t>烟囱内径</w:t>
            </w:r>
          </w:p>
        </w:tc>
        <w:tc>
          <w:tcPr>
            <w:tcW w:w="2635" w:type="dxa"/>
            <w:shd w:val="clear" w:color="auto" w:fill="FFFFFF"/>
            <w:noWrap w:val="0"/>
            <w:vAlign w:val="center"/>
          </w:tcPr>
          <w:p w14:paraId="67C0943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0.63</w:t>
            </w:r>
            <w:r>
              <w:rPr>
                <w:rFonts w:hint="eastAsia"/>
                <w:color w:val="000000"/>
                <w:sz w:val="21"/>
                <w:szCs w:val="21"/>
              </w:rPr>
              <w:t>m</w:t>
            </w:r>
          </w:p>
        </w:tc>
      </w:tr>
      <w:tr w14:paraId="680936A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74341CA9">
            <w:pPr>
              <w:pStyle w:val="379"/>
              <w:keepNext/>
              <w:keepLines w:val="0"/>
              <w:pageBreakBefore w:val="0"/>
              <w:spacing w:before="0" w:line="360" w:lineRule="auto"/>
              <w:rPr>
                <w:rFonts w:hint="eastAsia"/>
                <w:color w:val="FF0000"/>
                <w:sz w:val="21"/>
                <w:szCs w:val="21"/>
              </w:rPr>
            </w:pPr>
          </w:p>
        </w:tc>
        <w:tc>
          <w:tcPr>
            <w:tcW w:w="3089" w:type="dxa"/>
            <w:shd w:val="clear" w:color="auto" w:fill="FFFFFF"/>
            <w:noWrap w:val="0"/>
            <w:vAlign w:val="center"/>
          </w:tcPr>
          <w:p w14:paraId="57AC0D48">
            <w:pPr>
              <w:pStyle w:val="379"/>
              <w:keepNext/>
              <w:keepLines w:val="0"/>
              <w:pageBreakBefore w:val="0"/>
              <w:spacing w:before="0" w:line="360" w:lineRule="auto"/>
              <w:rPr>
                <w:rFonts w:hint="eastAsia"/>
                <w:color w:val="000000"/>
                <w:sz w:val="21"/>
                <w:szCs w:val="21"/>
              </w:rPr>
            </w:pPr>
            <w:r>
              <w:rPr>
                <w:rFonts w:hint="eastAsia"/>
                <w:color w:val="000000"/>
                <w:sz w:val="21"/>
                <w:szCs w:val="21"/>
              </w:rPr>
              <w:t>烟气流量</w:t>
            </w:r>
          </w:p>
        </w:tc>
        <w:tc>
          <w:tcPr>
            <w:tcW w:w="2635" w:type="dxa"/>
            <w:shd w:val="clear" w:color="auto" w:fill="FFFFFF"/>
            <w:noWrap w:val="0"/>
            <w:vAlign w:val="center"/>
          </w:tcPr>
          <w:p w14:paraId="2178119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53964.0</w:t>
            </w:r>
            <w:r>
              <w:rPr>
                <w:rFonts w:hint="eastAsia"/>
                <w:color w:val="000000"/>
                <w:sz w:val="21"/>
                <w:szCs w:val="21"/>
              </w:rPr>
              <w:t>m</w:t>
            </w:r>
            <w:r>
              <w:rPr>
                <w:rFonts w:hint="eastAsia"/>
                <w:color w:val="000000"/>
                <w:sz w:val="21"/>
                <w:szCs w:val="21"/>
                <w:vertAlign w:val="superscript"/>
              </w:rPr>
              <w:t>3</w:t>
            </w:r>
            <w:r>
              <w:rPr>
                <w:rFonts w:hint="eastAsia"/>
                <w:color w:val="000000"/>
                <w:sz w:val="21"/>
                <w:szCs w:val="21"/>
              </w:rPr>
              <w:t>/h</w:t>
            </w:r>
          </w:p>
        </w:tc>
      </w:tr>
      <w:tr w14:paraId="68105E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185BF93D">
            <w:pPr>
              <w:pStyle w:val="379"/>
              <w:keepNext/>
              <w:keepLines w:val="0"/>
              <w:pageBreakBefore w:val="0"/>
              <w:spacing w:before="0" w:line="360" w:lineRule="auto"/>
              <w:rPr>
                <w:rFonts w:hint="eastAsia"/>
                <w:color w:val="FF0000"/>
                <w:sz w:val="21"/>
                <w:szCs w:val="21"/>
              </w:rPr>
            </w:pPr>
          </w:p>
        </w:tc>
        <w:tc>
          <w:tcPr>
            <w:tcW w:w="3089" w:type="dxa"/>
            <w:shd w:val="clear" w:color="auto" w:fill="FFFFFF"/>
            <w:noWrap w:val="0"/>
            <w:vAlign w:val="center"/>
          </w:tcPr>
          <w:p w14:paraId="6192D425">
            <w:pPr>
              <w:pStyle w:val="379"/>
              <w:keepNext/>
              <w:keepLines w:val="0"/>
              <w:pageBreakBefore w:val="0"/>
              <w:spacing w:before="0" w:line="360" w:lineRule="auto"/>
              <w:rPr>
                <w:rFonts w:hint="eastAsia"/>
                <w:color w:val="000000"/>
                <w:sz w:val="21"/>
                <w:szCs w:val="21"/>
              </w:rPr>
            </w:pPr>
            <w:r>
              <w:rPr>
                <w:rFonts w:hint="eastAsia"/>
                <w:color w:val="000000"/>
                <w:sz w:val="21"/>
                <w:szCs w:val="21"/>
              </w:rPr>
              <w:t>源高</w:t>
            </w:r>
          </w:p>
        </w:tc>
        <w:tc>
          <w:tcPr>
            <w:tcW w:w="2635" w:type="dxa"/>
            <w:shd w:val="clear" w:color="auto" w:fill="FFFFFF"/>
            <w:noWrap w:val="0"/>
            <w:vAlign w:val="center"/>
          </w:tcPr>
          <w:p w14:paraId="6DB422BB">
            <w:pPr>
              <w:pStyle w:val="379"/>
              <w:keepNext/>
              <w:keepLines w:val="0"/>
              <w:pageBreakBefore w:val="0"/>
              <w:spacing w:before="0" w:line="360" w:lineRule="auto"/>
              <w:rPr>
                <w:rFonts w:hint="eastAsia"/>
                <w:color w:val="000000"/>
                <w:sz w:val="21"/>
                <w:szCs w:val="21"/>
                <w:lang w:val="en-US" w:eastAsia="zh-CN"/>
              </w:rPr>
            </w:pPr>
            <w:r>
              <w:rPr>
                <w:rFonts w:hint="eastAsia"/>
                <w:color w:val="FF0000"/>
                <w:sz w:val="21"/>
                <w:szCs w:val="21"/>
                <w:lang w:val="en-US" w:eastAsia="zh-CN"/>
              </w:rPr>
              <w:t>20.6</w:t>
            </w:r>
            <w:r>
              <w:rPr>
                <w:rFonts w:hint="eastAsia"/>
                <w:color w:val="FF0000"/>
                <w:sz w:val="21"/>
                <w:szCs w:val="21"/>
              </w:rPr>
              <w:t>m</w:t>
            </w:r>
          </w:p>
        </w:tc>
      </w:tr>
      <w:tr w14:paraId="5E0F8B2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1E39F61A">
            <w:pPr>
              <w:pStyle w:val="379"/>
              <w:keepNext/>
              <w:keepLines w:val="0"/>
              <w:pageBreakBefore w:val="0"/>
              <w:spacing w:before="0" w:line="360" w:lineRule="auto"/>
              <w:rPr>
                <w:rFonts w:eastAsia="宋体"/>
                <w:color w:val="FF0000"/>
                <w:sz w:val="21"/>
                <w:szCs w:val="21"/>
                <w:lang w:val="en-US" w:eastAsia="zh-CN"/>
              </w:rPr>
            </w:pPr>
            <w:r>
              <w:rPr>
                <w:rFonts w:hint="eastAsia"/>
                <w:color w:val="FF0000"/>
                <w:sz w:val="21"/>
                <w:szCs w:val="21"/>
                <w:lang w:val="en-US" w:eastAsia="zh-CN"/>
              </w:rPr>
              <w:t>P2（预测甲醛、氨、酚类、非甲烷总烃）</w:t>
            </w:r>
          </w:p>
        </w:tc>
        <w:tc>
          <w:tcPr>
            <w:tcW w:w="3089" w:type="dxa"/>
            <w:shd w:val="clear" w:color="auto" w:fill="FFFFFF"/>
            <w:noWrap w:val="0"/>
            <w:vAlign w:val="center"/>
          </w:tcPr>
          <w:p w14:paraId="088FE4D8">
            <w:pPr>
              <w:pStyle w:val="379"/>
              <w:keepNext/>
              <w:keepLines w:val="0"/>
              <w:pageBreakBefore w:val="0"/>
              <w:spacing w:before="0" w:line="360" w:lineRule="auto"/>
              <w:rPr>
                <w:rFonts w:hint="eastAsia"/>
                <w:color w:val="000000"/>
                <w:sz w:val="21"/>
                <w:szCs w:val="21"/>
              </w:rPr>
            </w:pPr>
            <w:r>
              <w:rPr>
                <w:rFonts w:hint="eastAsia"/>
                <w:color w:val="000000"/>
                <w:sz w:val="21"/>
                <w:szCs w:val="21"/>
              </w:rPr>
              <w:t>烟囱内径</w:t>
            </w:r>
          </w:p>
        </w:tc>
        <w:tc>
          <w:tcPr>
            <w:tcW w:w="2635" w:type="dxa"/>
            <w:shd w:val="clear" w:color="auto" w:fill="FFFFFF"/>
            <w:noWrap w:val="0"/>
            <w:vAlign w:val="center"/>
          </w:tcPr>
          <w:p w14:paraId="09A86AF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0.33</w:t>
            </w:r>
            <w:r>
              <w:rPr>
                <w:rFonts w:hint="eastAsia"/>
                <w:color w:val="000000"/>
                <w:sz w:val="21"/>
                <w:szCs w:val="21"/>
              </w:rPr>
              <w:t>m</w:t>
            </w:r>
          </w:p>
        </w:tc>
      </w:tr>
      <w:tr w14:paraId="1A07D3F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71D4F28A">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18B10FA8">
            <w:pPr>
              <w:pStyle w:val="379"/>
              <w:keepNext/>
              <w:keepLines w:val="0"/>
              <w:pageBreakBefore w:val="0"/>
              <w:spacing w:before="0" w:line="360" w:lineRule="auto"/>
              <w:rPr>
                <w:rFonts w:hint="eastAsia"/>
                <w:color w:val="000000"/>
                <w:sz w:val="21"/>
                <w:szCs w:val="21"/>
              </w:rPr>
            </w:pPr>
            <w:r>
              <w:rPr>
                <w:rFonts w:hint="eastAsia"/>
                <w:color w:val="000000"/>
                <w:sz w:val="21"/>
                <w:szCs w:val="21"/>
              </w:rPr>
              <w:t>烟气流量</w:t>
            </w:r>
          </w:p>
        </w:tc>
        <w:tc>
          <w:tcPr>
            <w:tcW w:w="2635" w:type="dxa"/>
            <w:shd w:val="clear" w:color="auto" w:fill="FFFFFF"/>
            <w:noWrap w:val="0"/>
            <w:vAlign w:val="center"/>
          </w:tcPr>
          <w:p w14:paraId="3CBAB37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15000</w:t>
            </w:r>
            <w:r>
              <w:rPr>
                <w:rFonts w:hint="eastAsia"/>
                <w:color w:val="000000"/>
                <w:sz w:val="21"/>
                <w:szCs w:val="21"/>
              </w:rPr>
              <w:t>m</w:t>
            </w:r>
            <w:r>
              <w:rPr>
                <w:rFonts w:hint="eastAsia"/>
                <w:color w:val="000000"/>
                <w:sz w:val="21"/>
                <w:szCs w:val="21"/>
                <w:vertAlign w:val="superscript"/>
              </w:rPr>
              <w:t>3</w:t>
            </w:r>
            <w:r>
              <w:rPr>
                <w:rFonts w:hint="eastAsia"/>
                <w:color w:val="000000"/>
                <w:sz w:val="21"/>
                <w:szCs w:val="21"/>
              </w:rPr>
              <w:t>/h</w:t>
            </w:r>
          </w:p>
        </w:tc>
      </w:tr>
      <w:tr w14:paraId="10FD818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15914F3A">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2C5CB2B2">
            <w:pPr>
              <w:pStyle w:val="379"/>
              <w:keepNext/>
              <w:keepLines w:val="0"/>
              <w:pageBreakBefore w:val="0"/>
              <w:spacing w:before="0" w:line="360" w:lineRule="auto"/>
              <w:rPr>
                <w:rFonts w:hint="eastAsia"/>
                <w:color w:val="000000"/>
                <w:sz w:val="21"/>
                <w:szCs w:val="21"/>
              </w:rPr>
            </w:pPr>
            <w:r>
              <w:rPr>
                <w:rFonts w:hint="eastAsia"/>
                <w:color w:val="000000"/>
                <w:sz w:val="21"/>
                <w:szCs w:val="21"/>
              </w:rPr>
              <w:t>源高</w:t>
            </w:r>
          </w:p>
        </w:tc>
        <w:tc>
          <w:tcPr>
            <w:tcW w:w="2635" w:type="dxa"/>
            <w:shd w:val="clear" w:color="auto" w:fill="FFFFFF"/>
            <w:noWrap w:val="0"/>
            <w:vAlign w:val="center"/>
          </w:tcPr>
          <w:p w14:paraId="07FC43C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15</w:t>
            </w:r>
            <w:r>
              <w:rPr>
                <w:rFonts w:hint="eastAsia"/>
                <w:color w:val="000000"/>
                <w:sz w:val="21"/>
                <w:szCs w:val="21"/>
              </w:rPr>
              <w:t>m</w:t>
            </w:r>
          </w:p>
        </w:tc>
      </w:tr>
      <w:tr w14:paraId="1D0E92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4712" w:type="dxa"/>
            <w:gridSpan w:val="2"/>
            <w:shd w:val="clear" w:color="auto" w:fill="FFFFFF"/>
            <w:noWrap w:val="0"/>
            <w:vAlign w:val="center"/>
          </w:tcPr>
          <w:p w14:paraId="7622231E">
            <w:pPr>
              <w:pStyle w:val="379"/>
              <w:keepNext/>
              <w:keepLines w:val="0"/>
              <w:pageBreakBefore w:val="0"/>
              <w:spacing w:before="0" w:line="360" w:lineRule="auto"/>
              <w:rPr>
                <w:rFonts w:hint="eastAsia"/>
                <w:color w:val="000000"/>
                <w:sz w:val="21"/>
                <w:szCs w:val="21"/>
              </w:rPr>
            </w:pPr>
            <w:r>
              <w:rPr>
                <w:rFonts w:hint="eastAsia"/>
                <w:color w:val="000000"/>
                <w:sz w:val="21"/>
                <w:szCs w:val="21"/>
              </w:rPr>
              <w:t>烟气温度</w:t>
            </w:r>
          </w:p>
        </w:tc>
        <w:tc>
          <w:tcPr>
            <w:tcW w:w="2635" w:type="dxa"/>
            <w:shd w:val="clear" w:color="auto" w:fill="FFFFFF"/>
            <w:noWrap w:val="0"/>
            <w:vAlign w:val="center"/>
          </w:tcPr>
          <w:p w14:paraId="6273692A">
            <w:pPr>
              <w:pStyle w:val="379"/>
              <w:keepNext/>
              <w:keepLines w:val="0"/>
              <w:pageBreakBefore w:val="0"/>
              <w:spacing w:before="0" w:line="360" w:lineRule="auto"/>
              <w:rPr>
                <w:color w:val="000000"/>
                <w:sz w:val="21"/>
                <w:szCs w:val="21"/>
              </w:rPr>
            </w:pPr>
            <w:r>
              <w:rPr>
                <w:rFonts w:hint="eastAsia"/>
                <w:color w:val="000000"/>
                <w:sz w:val="21"/>
                <w:szCs w:val="21"/>
              </w:rPr>
              <w:t>100度</w:t>
            </w:r>
          </w:p>
        </w:tc>
      </w:tr>
      <w:tr w14:paraId="735EF6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4712" w:type="dxa"/>
            <w:gridSpan w:val="2"/>
            <w:shd w:val="clear" w:color="auto" w:fill="FFFFFF"/>
            <w:noWrap w:val="0"/>
            <w:vAlign w:val="center"/>
          </w:tcPr>
          <w:p w14:paraId="7DEA78B5">
            <w:pPr>
              <w:pStyle w:val="379"/>
              <w:keepNext/>
              <w:keepLines w:val="0"/>
              <w:pageBreakBefore w:val="0"/>
              <w:spacing w:before="0" w:line="360" w:lineRule="auto"/>
              <w:rPr>
                <w:rFonts w:hint="eastAsia"/>
                <w:color w:val="000000"/>
                <w:sz w:val="21"/>
                <w:szCs w:val="21"/>
              </w:rPr>
            </w:pPr>
            <w:r>
              <w:rPr>
                <w:rFonts w:hint="eastAsia"/>
                <w:color w:val="000000"/>
                <w:sz w:val="21"/>
                <w:szCs w:val="21"/>
              </w:rPr>
              <w:t>污染源类型</w:t>
            </w:r>
          </w:p>
        </w:tc>
        <w:tc>
          <w:tcPr>
            <w:tcW w:w="2635" w:type="dxa"/>
            <w:shd w:val="clear" w:color="auto" w:fill="FFFFFF"/>
            <w:noWrap w:val="0"/>
            <w:vAlign w:val="center"/>
          </w:tcPr>
          <w:p w14:paraId="7CC3BE64">
            <w:pPr>
              <w:pStyle w:val="379"/>
              <w:keepNext/>
              <w:keepLines w:val="0"/>
              <w:pageBreakBefore w:val="0"/>
              <w:spacing w:before="0" w:line="360" w:lineRule="auto"/>
              <w:rPr>
                <w:rFonts w:hint="eastAsia"/>
                <w:color w:val="000000"/>
                <w:sz w:val="21"/>
                <w:szCs w:val="21"/>
              </w:rPr>
            </w:pPr>
            <w:r>
              <w:rPr>
                <w:rFonts w:hint="eastAsia"/>
                <w:color w:val="000000"/>
                <w:sz w:val="21"/>
                <w:szCs w:val="21"/>
              </w:rPr>
              <w:t>点源</w:t>
            </w:r>
          </w:p>
        </w:tc>
      </w:tr>
      <w:tr w14:paraId="3FE9CFE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3719C9F8">
            <w:pPr>
              <w:keepNext/>
              <w:keepLines w:val="0"/>
              <w:pageBreakBefore w:val="0"/>
              <w:spacing w:before="0" w:line="360" w:lineRule="auto"/>
              <w:ind w:left="0" w:firstLine="0"/>
              <w:jc w:val="center"/>
              <w:rPr>
                <w:rFonts w:hint="eastAsia"/>
                <w:color w:val="000000"/>
                <w:sz w:val="21"/>
                <w:szCs w:val="21"/>
              </w:rPr>
            </w:pPr>
            <w:r>
              <w:rPr>
                <w:rFonts w:hint="eastAsia"/>
                <w:color w:val="000000"/>
                <w:sz w:val="21"/>
                <w:szCs w:val="21"/>
              </w:rPr>
              <w:t>SO</w:t>
            </w:r>
            <w:r>
              <w:rPr>
                <w:rFonts w:hint="eastAsia"/>
                <w:color w:val="000000"/>
                <w:sz w:val="21"/>
                <w:szCs w:val="21"/>
                <w:vertAlign w:val="subscript"/>
              </w:rPr>
              <w:t>2</w:t>
            </w:r>
          </w:p>
        </w:tc>
        <w:tc>
          <w:tcPr>
            <w:tcW w:w="3089" w:type="dxa"/>
            <w:shd w:val="clear" w:color="auto" w:fill="FFFFFF"/>
            <w:noWrap w:val="0"/>
            <w:vAlign w:val="center"/>
          </w:tcPr>
          <w:p w14:paraId="1B0C8110">
            <w:pPr>
              <w:pStyle w:val="379"/>
              <w:keepNext/>
              <w:keepLines w:val="0"/>
              <w:pageBreakBefore w:val="0"/>
              <w:spacing w:before="0" w:line="360" w:lineRule="auto"/>
              <w:rPr>
                <w:rFonts w:hint="eastAsia"/>
                <w:color w:val="000000"/>
                <w:sz w:val="21"/>
                <w:szCs w:val="21"/>
              </w:rPr>
            </w:pPr>
            <w:r>
              <w:rPr>
                <w:rFonts w:hint="eastAsia"/>
                <w:color w:val="000000"/>
                <w:sz w:val="21"/>
                <w:szCs w:val="21"/>
              </w:rPr>
              <w:t>污染物标准</w:t>
            </w:r>
          </w:p>
        </w:tc>
        <w:tc>
          <w:tcPr>
            <w:tcW w:w="2635" w:type="dxa"/>
            <w:shd w:val="clear" w:color="auto" w:fill="FFFFFF"/>
            <w:noWrap w:val="0"/>
            <w:vAlign w:val="center"/>
          </w:tcPr>
          <w:p w14:paraId="36F94DDD">
            <w:pPr>
              <w:pStyle w:val="379"/>
              <w:keepNext/>
              <w:keepLines w:val="0"/>
              <w:pageBreakBefore w:val="0"/>
              <w:spacing w:before="0" w:line="360" w:lineRule="auto"/>
              <w:rPr>
                <w:rFonts w:hint="eastAsia"/>
                <w:color w:val="000000"/>
                <w:sz w:val="21"/>
                <w:szCs w:val="21"/>
              </w:rPr>
            </w:pPr>
            <w:r>
              <w:rPr>
                <w:rFonts w:hint="eastAsia"/>
                <w:color w:val="000000"/>
                <w:sz w:val="21"/>
                <w:szCs w:val="21"/>
              </w:rPr>
              <w:t>0.5mg/m</w:t>
            </w:r>
            <w:r>
              <w:rPr>
                <w:rFonts w:hint="eastAsia"/>
                <w:color w:val="000000"/>
                <w:sz w:val="21"/>
                <w:szCs w:val="21"/>
                <w:vertAlign w:val="superscript"/>
              </w:rPr>
              <w:t>3</w:t>
            </w:r>
          </w:p>
        </w:tc>
      </w:tr>
      <w:tr w14:paraId="61BF4D5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28BC821C">
            <w:pPr>
              <w:pStyle w:val="379"/>
              <w:keepNext/>
              <w:keepLines w:val="0"/>
              <w:pageBreakBefore w:val="0"/>
              <w:spacing w:before="0" w:line="360" w:lineRule="auto"/>
              <w:jc w:val="center"/>
              <w:rPr>
                <w:rFonts w:hint="eastAsia"/>
                <w:color w:val="000000"/>
                <w:sz w:val="21"/>
                <w:szCs w:val="21"/>
              </w:rPr>
            </w:pPr>
          </w:p>
        </w:tc>
        <w:tc>
          <w:tcPr>
            <w:tcW w:w="3089" w:type="dxa"/>
            <w:shd w:val="clear" w:color="auto" w:fill="FFFFFF"/>
            <w:noWrap w:val="0"/>
            <w:vAlign w:val="center"/>
          </w:tcPr>
          <w:p w14:paraId="75242DA0">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正常</w:t>
            </w:r>
            <w:r>
              <w:rPr>
                <w:rFonts w:hint="eastAsia"/>
                <w:color w:val="000000"/>
                <w:sz w:val="21"/>
                <w:szCs w:val="21"/>
              </w:rPr>
              <w:t>释放速率</w:t>
            </w:r>
          </w:p>
        </w:tc>
        <w:tc>
          <w:tcPr>
            <w:tcW w:w="2635" w:type="dxa"/>
            <w:shd w:val="clear" w:color="auto" w:fill="FFFFFF"/>
            <w:noWrap w:val="0"/>
            <w:vAlign w:val="center"/>
          </w:tcPr>
          <w:p w14:paraId="2D207059">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0.039</w:t>
            </w:r>
            <w:r>
              <w:rPr>
                <w:rFonts w:hint="eastAsia"/>
                <w:color w:val="000000"/>
                <w:sz w:val="21"/>
                <w:szCs w:val="21"/>
              </w:rPr>
              <w:t>g/s</w:t>
            </w:r>
          </w:p>
        </w:tc>
      </w:tr>
      <w:tr w14:paraId="5725539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0D4A9FED">
            <w:pPr>
              <w:pStyle w:val="379"/>
              <w:keepNext/>
              <w:keepLines w:val="0"/>
              <w:pageBreakBefore w:val="0"/>
              <w:spacing w:before="0" w:line="360" w:lineRule="auto"/>
              <w:jc w:val="center"/>
              <w:rPr>
                <w:rFonts w:hint="eastAsia"/>
                <w:color w:val="FF0000"/>
                <w:sz w:val="21"/>
                <w:szCs w:val="21"/>
              </w:rPr>
            </w:pPr>
          </w:p>
        </w:tc>
        <w:tc>
          <w:tcPr>
            <w:tcW w:w="3089" w:type="dxa"/>
            <w:shd w:val="clear" w:color="auto" w:fill="FFFFFF"/>
            <w:noWrap w:val="0"/>
            <w:vAlign w:val="center"/>
          </w:tcPr>
          <w:p w14:paraId="0D5E56A8">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非正常</w:t>
            </w:r>
            <w:r>
              <w:rPr>
                <w:rFonts w:hint="eastAsia"/>
                <w:color w:val="000000"/>
                <w:sz w:val="21"/>
                <w:szCs w:val="21"/>
              </w:rPr>
              <w:t>释放速率</w:t>
            </w:r>
            <w:r>
              <w:rPr>
                <w:rFonts w:hint="eastAsia"/>
                <w:color w:val="000000"/>
                <w:sz w:val="21"/>
                <w:szCs w:val="21"/>
                <w:lang w:eastAsia="zh-CN"/>
              </w:rPr>
              <w:t>（</w:t>
            </w:r>
            <w:r>
              <w:rPr>
                <w:rFonts w:hint="eastAsia"/>
                <w:color w:val="000000"/>
                <w:sz w:val="21"/>
                <w:szCs w:val="21"/>
                <w:lang w:val="en-US" w:eastAsia="zh-CN"/>
              </w:rPr>
              <w:t>脱硫效率下降为50%</w:t>
            </w:r>
            <w:r>
              <w:rPr>
                <w:rFonts w:hint="eastAsia"/>
                <w:color w:val="000000"/>
                <w:sz w:val="21"/>
                <w:szCs w:val="21"/>
                <w:lang w:eastAsia="zh-CN"/>
              </w:rPr>
              <w:t>）</w:t>
            </w:r>
          </w:p>
        </w:tc>
        <w:tc>
          <w:tcPr>
            <w:tcW w:w="2635" w:type="dxa"/>
            <w:shd w:val="clear" w:color="auto" w:fill="FFFFFF"/>
            <w:noWrap w:val="0"/>
            <w:vAlign w:val="center"/>
          </w:tcPr>
          <w:p w14:paraId="7FD858DF">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0.077</w:t>
            </w:r>
            <w:r>
              <w:rPr>
                <w:rFonts w:hint="eastAsia"/>
                <w:color w:val="000000"/>
                <w:sz w:val="21"/>
                <w:szCs w:val="21"/>
              </w:rPr>
              <w:t>g/s</w:t>
            </w:r>
          </w:p>
        </w:tc>
      </w:tr>
      <w:tr w14:paraId="064D79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623" w:type="dxa"/>
            <w:vMerge w:val="restart"/>
            <w:shd w:val="clear" w:color="auto" w:fill="FFFFFF"/>
            <w:noWrap w:val="0"/>
            <w:vAlign w:val="center"/>
          </w:tcPr>
          <w:p w14:paraId="7FE23BE4">
            <w:pPr>
              <w:keepNext/>
              <w:keepLines w:val="0"/>
              <w:pageBreakBefore w:val="0"/>
              <w:spacing w:before="0" w:line="360" w:lineRule="auto"/>
              <w:ind w:left="0" w:firstLine="0"/>
              <w:jc w:val="center"/>
              <w:rPr>
                <w:rFonts w:hint="eastAsia"/>
                <w:color w:val="000000"/>
                <w:sz w:val="21"/>
                <w:szCs w:val="21"/>
              </w:rPr>
            </w:pPr>
            <w:r>
              <w:rPr>
                <w:rFonts w:hint="eastAsia"/>
                <w:color w:val="000000"/>
                <w:sz w:val="21"/>
                <w:szCs w:val="21"/>
              </w:rPr>
              <w:t>NO</w:t>
            </w:r>
            <w:r>
              <w:rPr>
                <w:rFonts w:hint="eastAsia"/>
                <w:color w:val="000000"/>
                <w:sz w:val="21"/>
                <w:szCs w:val="21"/>
                <w:vertAlign w:val="subscript"/>
              </w:rPr>
              <w:t>x</w:t>
            </w:r>
          </w:p>
        </w:tc>
        <w:tc>
          <w:tcPr>
            <w:tcW w:w="3089" w:type="dxa"/>
            <w:shd w:val="clear" w:color="auto" w:fill="FFFFFF"/>
            <w:noWrap w:val="0"/>
            <w:vAlign w:val="center"/>
          </w:tcPr>
          <w:p w14:paraId="6EE3753E">
            <w:pPr>
              <w:pStyle w:val="379"/>
              <w:keepNext/>
              <w:keepLines w:val="0"/>
              <w:pageBreakBefore w:val="0"/>
              <w:spacing w:before="0" w:line="360" w:lineRule="auto"/>
              <w:rPr>
                <w:rFonts w:hint="eastAsia"/>
                <w:color w:val="000000"/>
                <w:sz w:val="21"/>
                <w:szCs w:val="21"/>
              </w:rPr>
            </w:pPr>
            <w:r>
              <w:rPr>
                <w:rFonts w:hint="eastAsia"/>
                <w:color w:val="000000"/>
                <w:sz w:val="21"/>
                <w:szCs w:val="21"/>
              </w:rPr>
              <w:t>污染物标准</w:t>
            </w:r>
          </w:p>
        </w:tc>
        <w:tc>
          <w:tcPr>
            <w:tcW w:w="2635" w:type="dxa"/>
            <w:shd w:val="clear" w:color="auto" w:fill="FFFFFF"/>
            <w:noWrap w:val="0"/>
            <w:vAlign w:val="center"/>
          </w:tcPr>
          <w:p w14:paraId="294BF33D">
            <w:pPr>
              <w:pStyle w:val="379"/>
              <w:keepNext/>
              <w:keepLines w:val="0"/>
              <w:pageBreakBefore w:val="0"/>
              <w:spacing w:before="0" w:line="360" w:lineRule="auto"/>
              <w:rPr>
                <w:rFonts w:hint="eastAsia"/>
                <w:color w:val="000000"/>
                <w:sz w:val="21"/>
                <w:szCs w:val="21"/>
              </w:rPr>
            </w:pPr>
            <w:r>
              <w:rPr>
                <w:rFonts w:hint="eastAsia"/>
                <w:color w:val="000000"/>
                <w:sz w:val="21"/>
                <w:szCs w:val="21"/>
              </w:rPr>
              <w:t>0.25mg/m</w:t>
            </w:r>
            <w:r>
              <w:rPr>
                <w:rFonts w:hint="eastAsia"/>
                <w:color w:val="000000"/>
                <w:sz w:val="21"/>
                <w:szCs w:val="21"/>
                <w:vertAlign w:val="superscript"/>
              </w:rPr>
              <w:t>3</w:t>
            </w:r>
          </w:p>
        </w:tc>
      </w:tr>
      <w:tr w14:paraId="7741437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5B534765">
            <w:pPr>
              <w:pStyle w:val="379"/>
              <w:keepNext/>
              <w:keepLines w:val="0"/>
              <w:pageBreakBefore w:val="0"/>
              <w:spacing w:before="0" w:line="360" w:lineRule="auto"/>
              <w:jc w:val="center"/>
              <w:rPr>
                <w:rFonts w:hint="eastAsia"/>
                <w:color w:val="000000"/>
                <w:sz w:val="21"/>
                <w:szCs w:val="21"/>
              </w:rPr>
            </w:pPr>
          </w:p>
        </w:tc>
        <w:tc>
          <w:tcPr>
            <w:tcW w:w="3089" w:type="dxa"/>
            <w:shd w:val="clear" w:color="auto" w:fill="FFFFFF"/>
            <w:noWrap w:val="0"/>
            <w:vAlign w:val="center"/>
          </w:tcPr>
          <w:p w14:paraId="37FCE64F">
            <w:pPr>
              <w:pStyle w:val="379"/>
              <w:keepNext/>
              <w:keepLines w:val="0"/>
              <w:pageBreakBefore w:val="0"/>
              <w:spacing w:before="0" w:line="360" w:lineRule="auto"/>
              <w:rPr>
                <w:rFonts w:hint="eastAsia"/>
                <w:color w:val="000000"/>
                <w:sz w:val="21"/>
                <w:szCs w:val="21"/>
              </w:rPr>
            </w:pPr>
            <w:r>
              <w:rPr>
                <w:rFonts w:hint="eastAsia"/>
                <w:color w:val="000000"/>
                <w:sz w:val="21"/>
                <w:szCs w:val="21"/>
              </w:rPr>
              <w:t>释放速率</w:t>
            </w:r>
          </w:p>
        </w:tc>
        <w:tc>
          <w:tcPr>
            <w:tcW w:w="2635" w:type="dxa"/>
            <w:shd w:val="clear" w:color="auto" w:fill="FFFFFF"/>
            <w:noWrap w:val="0"/>
            <w:vAlign w:val="center"/>
          </w:tcPr>
          <w:p w14:paraId="308BCE60">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0.23</w:t>
            </w:r>
            <w:r>
              <w:rPr>
                <w:rFonts w:hint="eastAsia"/>
                <w:color w:val="000000"/>
                <w:sz w:val="21"/>
                <w:szCs w:val="21"/>
              </w:rPr>
              <w:t>g/s</w:t>
            </w:r>
          </w:p>
        </w:tc>
      </w:tr>
      <w:tr w14:paraId="062266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130F9600">
            <w:pPr>
              <w:pStyle w:val="379"/>
              <w:keepNext/>
              <w:keepLines w:val="0"/>
              <w:pageBreakBefore w:val="0"/>
              <w:spacing w:before="0" w:line="360" w:lineRule="auto"/>
              <w:jc w:val="center"/>
              <w:rPr>
                <w:rFonts w:hint="eastAsia"/>
                <w:color w:val="000000"/>
                <w:sz w:val="21"/>
                <w:szCs w:val="21"/>
              </w:rPr>
            </w:pPr>
          </w:p>
        </w:tc>
        <w:tc>
          <w:tcPr>
            <w:tcW w:w="3089" w:type="dxa"/>
            <w:shd w:val="clear" w:color="auto" w:fill="FFFFFF"/>
            <w:noWrap w:val="0"/>
            <w:vAlign w:val="center"/>
          </w:tcPr>
          <w:p w14:paraId="4E10EFA0">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非正常</w:t>
            </w:r>
            <w:r>
              <w:rPr>
                <w:rFonts w:hint="eastAsia"/>
                <w:color w:val="000000"/>
                <w:sz w:val="21"/>
                <w:szCs w:val="21"/>
              </w:rPr>
              <w:t>释放速率</w:t>
            </w:r>
            <w:r>
              <w:rPr>
                <w:rFonts w:hint="eastAsia"/>
                <w:color w:val="000000"/>
                <w:sz w:val="21"/>
                <w:szCs w:val="21"/>
                <w:lang w:eastAsia="zh-CN"/>
              </w:rPr>
              <w:t>（</w:t>
            </w:r>
            <w:r>
              <w:rPr>
                <w:rFonts w:hint="eastAsia"/>
                <w:color w:val="000000"/>
                <w:sz w:val="21"/>
                <w:szCs w:val="21"/>
                <w:lang w:val="en-US" w:eastAsia="zh-CN"/>
              </w:rPr>
              <w:t>脱除效率下降为50%</w:t>
            </w:r>
            <w:r>
              <w:rPr>
                <w:rFonts w:hint="eastAsia"/>
                <w:color w:val="000000"/>
                <w:sz w:val="21"/>
                <w:szCs w:val="21"/>
                <w:lang w:eastAsia="zh-CN"/>
              </w:rPr>
              <w:t>）</w:t>
            </w:r>
          </w:p>
        </w:tc>
        <w:tc>
          <w:tcPr>
            <w:tcW w:w="2635" w:type="dxa"/>
            <w:shd w:val="clear" w:color="auto" w:fill="FFFFFF"/>
            <w:noWrap w:val="0"/>
            <w:vAlign w:val="center"/>
          </w:tcPr>
          <w:p w14:paraId="15823C33">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0.29g/s</w:t>
            </w:r>
          </w:p>
        </w:tc>
      </w:tr>
      <w:tr w14:paraId="6A71DB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418BB71E">
            <w:pPr>
              <w:keepNext/>
              <w:keepLines w:val="0"/>
              <w:pageBreakBefore w:val="0"/>
              <w:spacing w:before="0" w:line="360" w:lineRule="auto"/>
              <w:ind w:left="0" w:firstLine="0"/>
              <w:jc w:val="center"/>
              <w:rPr>
                <w:rFonts w:hint="eastAsia"/>
                <w:color w:val="000000"/>
                <w:sz w:val="21"/>
                <w:szCs w:val="21"/>
              </w:rPr>
            </w:pPr>
            <w:r>
              <w:rPr>
                <w:rFonts w:hint="eastAsia"/>
                <w:color w:val="000000"/>
                <w:sz w:val="21"/>
                <w:szCs w:val="21"/>
              </w:rPr>
              <w:t>TSP</w:t>
            </w:r>
          </w:p>
        </w:tc>
        <w:tc>
          <w:tcPr>
            <w:tcW w:w="3089" w:type="dxa"/>
            <w:shd w:val="clear" w:color="auto" w:fill="FFFFFF"/>
            <w:noWrap w:val="0"/>
            <w:vAlign w:val="center"/>
          </w:tcPr>
          <w:p w14:paraId="4C7CF621">
            <w:pPr>
              <w:pStyle w:val="379"/>
              <w:keepNext/>
              <w:keepLines w:val="0"/>
              <w:pageBreakBefore w:val="0"/>
              <w:spacing w:before="0" w:line="360" w:lineRule="auto"/>
              <w:rPr>
                <w:rFonts w:hint="eastAsia"/>
                <w:color w:val="000000"/>
                <w:sz w:val="21"/>
                <w:szCs w:val="21"/>
              </w:rPr>
            </w:pPr>
            <w:r>
              <w:rPr>
                <w:rFonts w:hint="eastAsia"/>
                <w:color w:val="000000"/>
                <w:sz w:val="21"/>
                <w:szCs w:val="21"/>
              </w:rPr>
              <w:t>污染物标准</w:t>
            </w:r>
          </w:p>
        </w:tc>
        <w:tc>
          <w:tcPr>
            <w:tcW w:w="2635" w:type="dxa"/>
            <w:shd w:val="clear" w:color="auto" w:fill="FFFFFF"/>
            <w:noWrap w:val="0"/>
            <w:vAlign w:val="center"/>
          </w:tcPr>
          <w:p w14:paraId="1FF6360E">
            <w:pPr>
              <w:pStyle w:val="379"/>
              <w:keepNext/>
              <w:keepLines w:val="0"/>
              <w:pageBreakBefore w:val="0"/>
              <w:spacing w:before="0" w:line="360" w:lineRule="auto"/>
              <w:rPr>
                <w:rFonts w:hint="eastAsia"/>
                <w:color w:val="000000"/>
                <w:sz w:val="21"/>
                <w:szCs w:val="21"/>
              </w:rPr>
            </w:pPr>
            <w:r>
              <w:rPr>
                <w:rFonts w:hint="eastAsia"/>
                <w:color w:val="000000"/>
                <w:sz w:val="21"/>
                <w:szCs w:val="21"/>
              </w:rPr>
              <w:t>0.9mg/m</w:t>
            </w:r>
            <w:r>
              <w:rPr>
                <w:rFonts w:hint="eastAsia"/>
                <w:color w:val="000000"/>
                <w:sz w:val="21"/>
                <w:szCs w:val="21"/>
                <w:vertAlign w:val="superscript"/>
              </w:rPr>
              <w:t>3</w:t>
            </w:r>
          </w:p>
        </w:tc>
      </w:tr>
      <w:tr w14:paraId="171CDEF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4FEAA276">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3F6ABFA1">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正常</w:t>
            </w:r>
            <w:r>
              <w:rPr>
                <w:rFonts w:hint="eastAsia"/>
                <w:color w:val="000000"/>
                <w:sz w:val="21"/>
                <w:szCs w:val="21"/>
              </w:rPr>
              <w:t>释放速率</w:t>
            </w:r>
          </w:p>
        </w:tc>
        <w:tc>
          <w:tcPr>
            <w:tcW w:w="2635" w:type="dxa"/>
            <w:shd w:val="clear" w:color="auto" w:fill="FFFFFF"/>
            <w:noWrap w:val="0"/>
            <w:vAlign w:val="center"/>
          </w:tcPr>
          <w:p w14:paraId="08E96265">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0.486</w:t>
            </w:r>
            <w:r>
              <w:rPr>
                <w:rFonts w:hint="eastAsia"/>
                <w:color w:val="000000"/>
                <w:sz w:val="21"/>
                <w:szCs w:val="21"/>
              </w:rPr>
              <w:t>g/s</w:t>
            </w:r>
          </w:p>
        </w:tc>
      </w:tr>
      <w:tr w14:paraId="4CF33BA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40E78F9B">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0F1569EE">
            <w:pPr>
              <w:pStyle w:val="379"/>
              <w:keepNext/>
              <w:keepLines w:val="0"/>
              <w:pageBreakBefore w:val="0"/>
              <w:spacing w:before="0" w:line="360" w:lineRule="auto"/>
              <w:rPr>
                <w:rFonts w:hint="eastAsia" w:eastAsia="宋体"/>
                <w:color w:val="000000"/>
                <w:sz w:val="21"/>
                <w:szCs w:val="21"/>
                <w:lang w:eastAsia="zh-CN"/>
              </w:rPr>
            </w:pPr>
            <w:r>
              <w:rPr>
                <w:rFonts w:hint="eastAsia"/>
                <w:color w:val="000000"/>
                <w:sz w:val="21"/>
                <w:szCs w:val="21"/>
                <w:lang w:val="en-US" w:eastAsia="zh-CN"/>
              </w:rPr>
              <w:t>非正常</w:t>
            </w:r>
            <w:r>
              <w:rPr>
                <w:rFonts w:hint="eastAsia"/>
                <w:color w:val="000000"/>
                <w:sz w:val="21"/>
                <w:szCs w:val="21"/>
              </w:rPr>
              <w:t>释放速率</w:t>
            </w:r>
            <w:r>
              <w:rPr>
                <w:rFonts w:hint="eastAsia"/>
                <w:color w:val="000000"/>
                <w:sz w:val="21"/>
                <w:szCs w:val="21"/>
                <w:lang w:eastAsia="zh-CN"/>
              </w:rPr>
              <w:t>（</w:t>
            </w:r>
            <w:r>
              <w:rPr>
                <w:rFonts w:hint="eastAsia"/>
                <w:color w:val="000000"/>
                <w:sz w:val="21"/>
                <w:szCs w:val="21"/>
                <w:lang w:val="en-US" w:eastAsia="zh-CN"/>
              </w:rPr>
              <w:t>除尘效率下降为50%</w:t>
            </w:r>
            <w:r>
              <w:rPr>
                <w:rFonts w:hint="eastAsia"/>
                <w:color w:val="000000"/>
                <w:sz w:val="21"/>
                <w:szCs w:val="21"/>
                <w:lang w:eastAsia="zh-CN"/>
              </w:rPr>
              <w:t>）</w:t>
            </w:r>
          </w:p>
        </w:tc>
        <w:tc>
          <w:tcPr>
            <w:tcW w:w="2635" w:type="dxa"/>
            <w:shd w:val="clear" w:color="auto" w:fill="FFFFFF"/>
            <w:noWrap w:val="0"/>
            <w:vAlign w:val="center"/>
          </w:tcPr>
          <w:p w14:paraId="65F3A80A">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38.825g/s</w:t>
            </w:r>
          </w:p>
        </w:tc>
      </w:tr>
      <w:tr w14:paraId="33626BE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46E4BD1B">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甲醛</w:t>
            </w:r>
          </w:p>
        </w:tc>
        <w:tc>
          <w:tcPr>
            <w:tcW w:w="3089" w:type="dxa"/>
            <w:shd w:val="clear" w:color="auto" w:fill="FFFFFF"/>
            <w:noWrap w:val="0"/>
            <w:vAlign w:val="center"/>
          </w:tcPr>
          <w:p w14:paraId="06C0B3D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rPr>
              <w:t>污染物标准</w:t>
            </w:r>
          </w:p>
        </w:tc>
        <w:tc>
          <w:tcPr>
            <w:tcW w:w="2635" w:type="dxa"/>
            <w:shd w:val="clear" w:color="auto" w:fill="FFFFFF"/>
            <w:noWrap w:val="0"/>
            <w:vAlign w:val="center"/>
          </w:tcPr>
          <w:p w14:paraId="38FF970A">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0.05</w:t>
            </w:r>
            <w:r>
              <w:rPr>
                <w:rFonts w:hint="eastAsia"/>
                <w:color w:val="000000"/>
                <w:sz w:val="21"/>
                <w:szCs w:val="21"/>
              </w:rPr>
              <w:t>mg/m</w:t>
            </w:r>
            <w:r>
              <w:rPr>
                <w:rFonts w:hint="eastAsia"/>
                <w:color w:val="000000"/>
                <w:sz w:val="21"/>
                <w:szCs w:val="21"/>
                <w:vertAlign w:val="superscript"/>
              </w:rPr>
              <w:t>3</w:t>
            </w:r>
          </w:p>
        </w:tc>
      </w:tr>
      <w:tr w14:paraId="66E9E2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492DAC37">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3D377EF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正常</w:t>
            </w:r>
            <w:r>
              <w:rPr>
                <w:rFonts w:hint="eastAsia"/>
                <w:color w:val="000000"/>
                <w:sz w:val="21"/>
                <w:szCs w:val="21"/>
              </w:rPr>
              <w:t>释放速率</w:t>
            </w:r>
          </w:p>
        </w:tc>
        <w:tc>
          <w:tcPr>
            <w:tcW w:w="2635" w:type="dxa"/>
            <w:shd w:val="clear" w:color="auto" w:fill="FFFFFF"/>
            <w:noWrap w:val="0"/>
            <w:vAlign w:val="center"/>
          </w:tcPr>
          <w:p w14:paraId="536145DB">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0.035g/s</w:t>
            </w:r>
          </w:p>
        </w:tc>
      </w:tr>
      <w:tr w14:paraId="59D56DA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2E584F95">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483F5B3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非正常</w:t>
            </w:r>
            <w:r>
              <w:rPr>
                <w:rFonts w:hint="eastAsia"/>
                <w:color w:val="000000"/>
                <w:sz w:val="21"/>
                <w:szCs w:val="21"/>
              </w:rPr>
              <w:t>释放速率</w:t>
            </w:r>
            <w:r>
              <w:rPr>
                <w:rFonts w:hint="eastAsia"/>
                <w:color w:val="000000"/>
                <w:sz w:val="21"/>
                <w:szCs w:val="21"/>
                <w:lang w:eastAsia="zh-CN"/>
              </w:rPr>
              <w:t>（</w:t>
            </w:r>
            <w:r>
              <w:rPr>
                <w:rFonts w:hint="eastAsia"/>
                <w:color w:val="000000"/>
                <w:sz w:val="21"/>
                <w:szCs w:val="21"/>
                <w:lang w:val="en-US" w:eastAsia="zh-CN"/>
              </w:rPr>
              <w:t>净化效率下降为50%</w:t>
            </w:r>
            <w:r>
              <w:rPr>
                <w:rFonts w:hint="eastAsia"/>
                <w:color w:val="000000"/>
                <w:sz w:val="21"/>
                <w:szCs w:val="21"/>
                <w:lang w:eastAsia="zh-CN"/>
              </w:rPr>
              <w:t>）</w:t>
            </w:r>
          </w:p>
        </w:tc>
        <w:tc>
          <w:tcPr>
            <w:tcW w:w="2635" w:type="dxa"/>
            <w:shd w:val="clear" w:color="auto" w:fill="FFFFFF"/>
            <w:noWrap w:val="0"/>
            <w:vAlign w:val="center"/>
          </w:tcPr>
          <w:p w14:paraId="183014BC">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0.172g/s</w:t>
            </w:r>
          </w:p>
        </w:tc>
      </w:tr>
      <w:tr w14:paraId="540831A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6FADA1C1">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酚类</w:t>
            </w:r>
          </w:p>
        </w:tc>
        <w:tc>
          <w:tcPr>
            <w:tcW w:w="3089" w:type="dxa"/>
            <w:shd w:val="clear" w:color="auto" w:fill="FFFFFF"/>
            <w:noWrap w:val="0"/>
            <w:vAlign w:val="center"/>
          </w:tcPr>
          <w:p w14:paraId="716E030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rPr>
              <w:t>污染物标准</w:t>
            </w:r>
          </w:p>
        </w:tc>
        <w:tc>
          <w:tcPr>
            <w:tcW w:w="2635" w:type="dxa"/>
            <w:shd w:val="clear" w:color="auto" w:fill="FFFFFF"/>
            <w:noWrap w:val="0"/>
            <w:vAlign w:val="center"/>
          </w:tcPr>
          <w:p w14:paraId="1D590490">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0.02</w:t>
            </w:r>
            <w:r>
              <w:rPr>
                <w:rFonts w:hint="eastAsia"/>
                <w:color w:val="000000"/>
                <w:sz w:val="21"/>
                <w:szCs w:val="21"/>
              </w:rPr>
              <w:t>mg/m</w:t>
            </w:r>
            <w:r>
              <w:rPr>
                <w:rFonts w:hint="eastAsia"/>
                <w:color w:val="000000"/>
                <w:sz w:val="21"/>
                <w:szCs w:val="21"/>
                <w:vertAlign w:val="superscript"/>
              </w:rPr>
              <w:t>3</w:t>
            </w:r>
          </w:p>
        </w:tc>
      </w:tr>
      <w:tr w14:paraId="6E676E6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71345984">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0A990B8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正常</w:t>
            </w:r>
            <w:r>
              <w:rPr>
                <w:rFonts w:hint="eastAsia"/>
                <w:color w:val="000000"/>
                <w:sz w:val="21"/>
                <w:szCs w:val="21"/>
              </w:rPr>
              <w:t>释放速率</w:t>
            </w:r>
          </w:p>
        </w:tc>
        <w:tc>
          <w:tcPr>
            <w:tcW w:w="2635" w:type="dxa"/>
            <w:shd w:val="clear" w:color="auto" w:fill="FFFFFF"/>
            <w:noWrap w:val="0"/>
            <w:vAlign w:val="center"/>
          </w:tcPr>
          <w:p w14:paraId="6C3D8660">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0.036g/s</w:t>
            </w:r>
          </w:p>
        </w:tc>
      </w:tr>
      <w:tr w14:paraId="179E93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097CC133">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040701F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非正常</w:t>
            </w:r>
            <w:r>
              <w:rPr>
                <w:rFonts w:hint="eastAsia"/>
                <w:color w:val="000000"/>
                <w:sz w:val="21"/>
                <w:szCs w:val="21"/>
              </w:rPr>
              <w:t>释放速率</w:t>
            </w:r>
            <w:r>
              <w:rPr>
                <w:rFonts w:hint="eastAsia"/>
                <w:color w:val="000000"/>
                <w:sz w:val="21"/>
                <w:szCs w:val="21"/>
                <w:lang w:eastAsia="zh-CN"/>
              </w:rPr>
              <w:t>（</w:t>
            </w:r>
            <w:r>
              <w:rPr>
                <w:rFonts w:hint="eastAsia"/>
                <w:color w:val="000000"/>
                <w:sz w:val="21"/>
                <w:szCs w:val="21"/>
                <w:lang w:val="en-US" w:eastAsia="zh-CN"/>
              </w:rPr>
              <w:t>净化效率下降为50%</w:t>
            </w:r>
            <w:r>
              <w:rPr>
                <w:rFonts w:hint="eastAsia"/>
                <w:color w:val="000000"/>
                <w:sz w:val="21"/>
                <w:szCs w:val="21"/>
                <w:lang w:eastAsia="zh-CN"/>
              </w:rPr>
              <w:t>）</w:t>
            </w:r>
          </w:p>
        </w:tc>
        <w:tc>
          <w:tcPr>
            <w:tcW w:w="2635" w:type="dxa"/>
            <w:shd w:val="clear" w:color="auto" w:fill="FFFFFF"/>
            <w:noWrap w:val="0"/>
            <w:vAlign w:val="center"/>
          </w:tcPr>
          <w:p w14:paraId="1512EE99">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0.18g/s</w:t>
            </w:r>
          </w:p>
        </w:tc>
      </w:tr>
      <w:tr w14:paraId="6C7395D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447BAEEB">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氨</w:t>
            </w:r>
          </w:p>
        </w:tc>
        <w:tc>
          <w:tcPr>
            <w:tcW w:w="3089" w:type="dxa"/>
            <w:shd w:val="clear" w:color="auto" w:fill="FFFFFF"/>
            <w:noWrap w:val="0"/>
            <w:vAlign w:val="center"/>
          </w:tcPr>
          <w:p w14:paraId="6A6BFB3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rPr>
              <w:t>污染物标准</w:t>
            </w:r>
          </w:p>
        </w:tc>
        <w:tc>
          <w:tcPr>
            <w:tcW w:w="2635" w:type="dxa"/>
            <w:shd w:val="clear" w:color="auto" w:fill="FFFFFF"/>
            <w:noWrap w:val="0"/>
            <w:vAlign w:val="center"/>
          </w:tcPr>
          <w:p w14:paraId="668414BE">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0.2</w:t>
            </w:r>
            <w:r>
              <w:rPr>
                <w:rFonts w:hint="eastAsia"/>
                <w:color w:val="000000"/>
                <w:sz w:val="21"/>
                <w:szCs w:val="21"/>
              </w:rPr>
              <w:t>mg/m</w:t>
            </w:r>
            <w:r>
              <w:rPr>
                <w:rFonts w:hint="eastAsia"/>
                <w:color w:val="000000"/>
                <w:sz w:val="21"/>
                <w:szCs w:val="21"/>
                <w:vertAlign w:val="superscript"/>
              </w:rPr>
              <w:t>3</w:t>
            </w:r>
          </w:p>
        </w:tc>
      </w:tr>
      <w:tr w14:paraId="0BD647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7785BE67">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7C180D5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正常</w:t>
            </w:r>
            <w:r>
              <w:rPr>
                <w:rFonts w:hint="eastAsia"/>
                <w:color w:val="000000"/>
                <w:sz w:val="21"/>
                <w:szCs w:val="21"/>
              </w:rPr>
              <w:t>释放速率</w:t>
            </w:r>
          </w:p>
        </w:tc>
        <w:tc>
          <w:tcPr>
            <w:tcW w:w="2635" w:type="dxa"/>
            <w:shd w:val="clear" w:color="auto" w:fill="FFFFFF"/>
            <w:noWrap w:val="0"/>
            <w:vAlign w:val="center"/>
          </w:tcPr>
          <w:p w14:paraId="38D8BA3F">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0.00007g/s</w:t>
            </w:r>
          </w:p>
        </w:tc>
      </w:tr>
      <w:tr w14:paraId="4CA6282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1ECC66F2">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4C5BAD3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非正常</w:t>
            </w:r>
            <w:r>
              <w:rPr>
                <w:rFonts w:hint="eastAsia"/>
                <w:color w:val="000000"/>
                <w:sz w:val="21"/>
                <w:szCs w:val="21"/>
              </w:rPr>
              <w:t>释放速率</w:t>
            </w:r>
            <w:r>
              <w:rPr>
                <w:rFonts w:hint="eastAsia"/>
                <w:color w:val="000000"/>
                <w:sz w:val="21"/>
                <w:szCs w:val="21"/>
                <w:lang w:eastAsia="zh-CN"/>
              </w:rPr>
              <w:t>（</w:t>
            </w:r>
            <w:r>
              <w:rPr>
                <w:rFonts w:hint="eastAsia"/>
                <w:color w:val="000000"/>
                <w:sz w:val="21"/>
                <w:szCs w:val="21"/>
                <w:lang w:val="en-US" w:eastAsia="zh-CN"/>
              </w:rPr>
              <w:t>净化效率下降为50%</w:t>
            </w:r>
            <w:r>
              <w:rPr>
                <w:rFonts w:hint="eastAsia"/>
                <w:color w:val="000000"/>
                <w:sz w:val="21"/>
                <w:szCs w:val="21"/>
                <w:lang w:eastAsia="zh-CN"/>
              </w:rPr>
              <w:t>）</w:t>
            </w:r>
          </w:p>
        </w:tc>
        <w:tc>
          <w:tcPr>
            <w:tcW w:w="2635" w:type="dxa"/>
            <w:shd w:val="clear" w:color="auto" w:fill="FFFFFF"/>
            <w:noWrap w:val="0"/>
            <w:vAlign w:val="center"/>
          </w:tcPr>
          <w:p w14:paraId="10BECCFE">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0.00035g/s</w:t>
            </w:r>
          </w:p>
        </w:tc>
      </w:tr>
      <w:tr w14:paraId="6FE4AC0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75234C8A">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非甲烷总烃</w:t>
            </w:r>
          </w:p>
        </w:tc>
        <w:tc>
          <w:tcPr>
            <w:tcW w:w="3089" w:type="dxa"/>
            <w:shd w:val="clear" w:color="auto" w:fill="FFFFFF"/>
            <w:noWrap w:val="0"/>
            <w:vAlign w:val="center"/>
          </w:tcPr>
          <w:p w14:paraId="5148DA6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rPr>
              <w:t>污染物标准</w:t>
            </w:r>
          </w:p>
        </w:tc>
        <w:tc>
          <w:tcPr>
            <w:tcW w:w="2635" w:type="dxa"/>
            <w:shd w:val="clear" w:color="auto" w:fill="FFFFFF"/>
            <w:noWrap w:val="0"/>
            <w:vAlign w:val="center"/>
          </w:tcPr>
          <w:p w14:paraId="7CD364AE">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2.0</w:t>
            </w:r>
            <w:r>
              <w:rPr>
                <w:rFonts w:hint="eastAsia"/>
                <w:color w:val="000000"/>
                <w:sz w:val="21"/>
                <w:szCs w:val="21"/>
              </w:rPr>
              <w:t>mg/m</w:t>
            </w:r>
            <w:r>
              <w:rPr>
                <w:rFonts w:hint="eastAsia"/>
                <w:color w:val="000000"/>
                <w:sz w:val="21"/>
                <w:szCs w:val="21"/>
                <w:vertAlign w:val="superscript"/>
              </w:rPr>
              <w:t>3</w:t>
            </w:r>
          </w:p>
        </w:tc>
      </w:tr>
      <w:tr w14:paraId="3ACC93F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79382069">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7147C9C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正常</w:t>
            </w:r>
            <w:r>
              <w:rPr>
                <w:rFonts w:hint="eastAsia"/>
                <w:color w:val="000000"/>
                <w:sz w:val="21"/>
                <w:szCs w:val="21"/>
              </w:rPr>
              <w:t>释放速率</w:t>
            </w:r>
          </w:p>
        </w:tc>
        <w:tc>
          <w:tcPr>
            <w:tcW w:w="2635" w:type="dxa"/>
            <w:shd w:val="clear" w:color="auto" w:fill="FFFFFF"/>
            <w:noWrap w:val="0"/>
            <w:vAlign w:val="center"/>
          </w:tcPr>
          <w:p w14:paraId="20DBA81A">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0.0108g/s</w:t>
            </w:r>
          </w:p>
        </w:tc>
      </w:tr>
      <w:tr w14:paraId="627C2B8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610EBF2A">
            <w:pPr>
              <w:pStyle w:val="379"/>
              <w:keepNext/>
              <w:keepLines w:val="0"/>
              <w:pageBreakBefore w:val="0"/>
              <w:spacing w:before="0" w:line="360" w:lineRule="auto"/>
              <w:rPr>
                <w:rFonts w:hint="eastAsia"/>
                <w:color w:val="000000"/>
                <w:sz w:val="21"/>
                <w:szCs w:val="21"/>
              </w:rPr>
            </w:pPr>
          </w:p>
        </w:tc>
        <w:tc>
          <w:tcPr>
            <w:tcW w:w="3089" w:type="dxa"/>
            <w:shd w:val="clear" w:color="auto" w:fill="FFFFFF"/>
            <w:noWrap w:val="0"/>
            <w:vAlign w:val="center"/>
          </w:tcPr>
          <w:p w14:paraId="3ABE3DF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非正常</w:t>
            </w:r>
            <w:r>
              <w:rPr>
                <w:rFonts w:hint="eastAsia"/>
                <w:color w:val="000000"/>
                <w:sz w:val="21"/>
                <w:szCs w:val="21"/>
              </w:rPr>
              <w:t>释放速率</w:t>
            </w:r>
            <w:r>
              <w:rPr>
                <w:rFonts w:hint="eastAsia"/>
                <w:color w:val="000000"/>
                <w:sz w:val="21"/>
                <w:szCs w:val="21"/>
                <w:lang w:eastAsia="zh-CN"/>
              </w:rPr>
              <w:t>（</w:t>
            </w:r>
            <w:r>
              <w:rPr>
                <w:rFonts w:hint="eastAsia"/>
                <w:color w:val="000000"/>
                <w:sz w:val="21"/>
                <w:szCs w:val="21"/>
                <w:lang w:val="en-US" w:eastAsia="zh-CN"/>
              </w:rPr>
              <w:t>除尘效率下降为50%</w:t>
            </w:r>
            <w:r>
              <w:rPr>
                <w:rFonts w:hint="eastAsia"/>
                <w:color w:val="000000"/>
                <w:sz w:val="21"/>
                <w:szCs w:val="21"/>
                <w:lang w:eastAsia="zh-CN"/>
              </w:rPr>
              <w:t>）</w:t>
            </w:r>
          </w:p>
        </w:tc>
        <w:tc>
          <w:tcPr>
            <w:tcW w:w="2635" w:type="dxa"/>
            <w:shd w:val="clear" w:color="auto" w:fill="FFFFFF"/>
            <w:noWrap w:val="0"/>
            <w:vAlign w:val="center"/>
          </w:tcPr>
          <w:p w14:paraId="3BFC6510">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0.054g/s</w:t>
            </w:r>
          </w:p>
        </w:tc>
      </w:tr>
    </w:tbl>
    <w:p w14:paraId="6572982F">
      <w:pPr>
        <w:pStyle w:val="2"/>
      </w:pPr>
    </w:p>
    <w:p w14:paraId="63B33964">
      <w:pPr>
        <w:keepNext/>
        <w:keepLines w:val="0"/>
        <w:pageBreakBefore w:val="0"/>
        <w:widowControl/>
        <w:spacing w:line="360" w:lineRule="auto"/>
        <w:jc w:val="left"/>
        <w:rPr>
          <w:rFonts w:eastAsia="宋体"/>
          <w:b/>
          <w:color w:val="FF0000"/>
          <w:sz w:val="24"/>
          <w:lang w:val="en-US" w:eastAsia="zh-CN"/>
        </w:rPr>
      </w:pPr>
      <w:r>
        <w:rPr>
          <w:rFonts w:hint="eastAsia"/>
          <w:color w:val="000000"/>
          <w:sz w:val="24"/>
          <w:szCs w:val="22"/>
        </w:rPr>
        <w:t>估算模式计算结果</w:t>
      </w:r>
      <w:r>
        <w:rPr>
          <w:rFonts w:hint="eastAsia"/>
          <w:color w:val="000000"/>
          <w:sz w:val="24"/>
          <w:szCs w:val="22"/>
          <w:lang w:val="en-US" w:eastAsia="zh-CN"/>
        </w:rPr>
        <w:t>见表6.2-15、6.2-16、6.2-17。</w:t>
      </w:r>
    </w:p>
    <w:p w14:paraId="2D479114">
      <w:pPr>
        <w:keepNext/>
        <w:keepLines w:val="0"/>
        <w:pageBreakBefore w:val="0"/>
        <w:widowControl/>
        <w:spacing w:line="360" w:lineRule="auto"/>
        <w:ind w:firstLine="1446"/>
        <w:jc w:val="both"/>
        <w:rPr>
          <w:rFonts w:hint="eastAsia" w:eastAsia="宋体"/>
          <w:b/>
          <w:color w:val="FF0000"/>
          <w:sz w:val="24"/>
          <w:lang w:eastAsia="zh-CN"/>
        </w:rPr>
      </w:pPr>
      <w:r>
        <w:rPr>
          <w:b/>
          <w:color w:val="FF0000"/>
          <w:sz w:val="24"/>
        </w:rPr>
        <w:t>表</w:t>
      </w:r>
      <w:r>
        <w:rPr>
          <w:rFonts w:hint="eastAsia"/>
          <w:b/>
          <w:bCs/>
          <w:color w:val="FF0000"/>
          <w:sz w:val="24"/>
          <w:lang w:val="en-US" w:eastAsia="zh-CN"/>
        </w:rPr>
        <w:t>6.2</w:t>
      </w:r>
      <w:r>
        <w:rPr>
          <w:b/>
          <w:bCs/>
          <w:color w:val="FF0000"/>
          <w:sz w:val="24"/>
        </w:rPr>
        <w:t>-</w:t>
      </w:r>
      <w:r>
        <w:rPr>
          <w:rFonts w:hint="eastAsia"/>
          <w:b/>
          <w:bCs/>
          <w:color w:val="FF0000"/>
          <w:sz w:val="24"/>
          <w:lang w:val="en-US" w:eastAsia="zh-CN"/>
        </w:rPr>
        <w:t>15</w:t>
      </w:r>
      <w:r>
        <w:rPr>
          <w:b/>
          <w:bCs/>
          <w:color w:val="FF0000"/>
          <w:sz w:val="24"/>
        </w:rPr>
        <w:t xml:space="preserve"> </w:t>
      </w:r>
      <w:r>
        <w:rPr>
          <w:b/>
          <w:color w:val="FF0000"/>
          <w:sz w:val="24"/>
        </w:rPr>
        <w:t>项目</w:t>
      </w:r>
      <w:r>
        <w:rPr>
          <w:rFonts w:hint="eastAsia"/>
          <w:b/>
          <w:color w:val="FF0000"/>
          <w:sz w:val="24"/>
          <w:lang w:val="en-US" w:eastAsia="zh-CN"/>
        </w:rPr>
        <w:t>有组织废气烟（粉）尘</w:t>
      </w:r>
      <w:r>
        <w:rPr>
          <w:rFonts w:hint="eastAsia"/>
          <w:b/>
          <w:color w:val="FF0000"/>
          <w:sz w:val="24"/>
        </w:rPr>
        <w:t>估算模型计算结果</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1"/>
        <w:gridCol w:w="1626"/>
        <w:gridCol w:w="1381"/>
        <w:gridCol w:w="1445"/>
        <w:gridCol w:w="1407"/>
      </w:tblGrid>
      <w:tr w14:paraId="415E2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vMerge w:val="restart"/>
            <w:noWrap w:val="0"/>
            <w:vAlign w:val="center"/>
          </w:tcPr>
          <w:p w14:paraId="3203F5D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ascii="Times New Roman" w:hAnsi="Times New Roman" w:eastAsia="宋体" w:cs="Times New Roman"/>
                <w:color w:val="FF0000"/>
                <w:sz w:val="21"/>
                <w:szCs w:val="21"/>
                <w:vertAlign w:val="baseline"/>
                <w:lang w:val="en-US" w:eastAsia="zh-CN" w:bidi="ar"/>
              </w:rPr>
              <w:t>距源中心下风向距离D/m</w:t>
            </w:r>
          </w:p>
        </w:tc>
        <w:tc>
          <w:tcPr>
            <w:tcW w:w="3007" w:type="dxa"/>
            <w:gridSpan w:val="2"/>
            <w:noWrap w:val="0"/>
            <w:vAlign w:val="center"/>
          </w:tcPr>
          <w:p w14:paraId="4FA65C0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TSP（正常情况）</w:t>
            </w:r>
          </w:p>
        </w:tc>
        <w:tc>
          <w:tcPr>
            <w:tcW w:w="2852" w:type="dxa"/>
            <w:gridSpan w:val="2"/>
            <w:noWrap w:val="0"/>
            <w:vAlign w:val="center"/>
          </w:tcPr>
          <w:p w14:paraId="49508C8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TSP（非正情况）</w:t>
            </w:r>
          </w:p>
        </w:tc>
      </w:tr>
      <w:tr w14:paraId="273E7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5" w:hRule="atLeast"/>
          <w:jc w:val="center"/>
        </w:trPr>
        <w:tc>
          <w:tcPr>
            <w:tcW w:w="2061" w:type="dxa"/>
            <w:vMerge w:val="continue"/>
            <w:noWrap w:val="0"/>
            <w:vAlign w:val="center"/>
          </w:tcPr>
          <w:p w14:paraId="69C7260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p>
        </w:tc>
        <w:tc>
          <w:tcPr>
            <w:tcW w:w="1626" w:type="dxa"/>
            <w:noWrap w:val="0"/>
            <w:vAlign w:val="center"/>
          </w:tcPr>
          <w:p w14:paraId="2D457DD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小时</w:t>
            </w:r>
            <w:r>
              <w:rPr>
                <w:rFonts w:ascii="Times New Roman" w:hAnsi="Times New Roman" w:eastAsia="宋体" w:cs="Times New Roman"/>
                <w:color w:val="FF0000"/>
                <w:sz w:val="21"/>
                <w:szCs w:val="21"/>
                <w:vertAlign w:val="baseline"/>
                <w:lang w:val="en-US" w:eastAsia="zh-CN" w:bidi="ar"/>
              </w:rPr>
              <w:t>浓度mg/m</w:t>
            </w:r>
            <w:r>
              <w:rPr>
                <w:rFonts w:ascii="Times New Roman" w:hAnsi="Times New Roman" w:eastAsia="宋体" w:cs="Times New Roman"/>
                <w:color w:val="FF0000"/>
                <w:sz w:val="21"/>
                <w:szCs w:val="21"/>
                <w:vertAlign w:val="superscript"/>
                <w:lang w:val="en-US" w:eastAsia="zh-CN" w:bidi="ar"/>
              </w:rPr>
              <w:t>3</w:t>
            </w:r>
          </w:p>
        </w:tc>
        <w:tc>
          <w:tcPr>
            <w:tcW w:w="1381" w:type="dxa"/>
            <w:noWrap w:val="0"/>
            <w:vAlign w:val="center"/>
          </w:tcPr>
          <w:p w14:paraId="52D1313E">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ascii="Times New Roman" w:hAnsi="Times New Roman" w:eastAsia="宋体" w:cs="Times New Roman"/>
                <w:color w:val="FF0000"/>
                <w:sz w:val="21"/>
                <w:szCs w:val="21"/>
                <w:vertAlign w:val="baseline"/>
                <w:lang w:val="en-US" w:eastAsia="zh-CN" w:bidi="ar"/>
              </w:rPr>
              <w:t>占标率%</w:t>
            </w:r>
          </w:p>
        </w:tc>
        <w:tc>
          <w:tcPr>
            <w:tcW w:w="1445" w:type="dxa"/>
            <w:noWrap w:val="0"/>
            <w:vAlign w:val="center"/>
          </w:tcPr>
          <w:p w14:paraId="2C357E0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小时</w:t>
            </w:r>
            <w:r>
              <w:rPr>
                <w:rFonts w:ascii="Times New Roman" w:hAnsi="Times New Roman" w:eastAsia="宋体" w:cs="Times New Roman"/>
                <w:color w:val="FF0000"/>
                <w:sz w:val="21"/>
                <w:szCs w:val="21"/>
                <w:vertAlign w:val="baseline"/>
                <w:lang w:val="en-US" w:eastAsia="zh-CN" w:bidi="ar"/>
              </w:rPr>
              <w:t>浓度mg/m</w:t>
            </w:r>
            <w:r>
              <w:rPr>
                <w:rFonts w:ascii="Times New Roman" w:hAnsi="Times New Roman" w:eastAsia="宋体" w:cs="Times New Roman"/>
                <w:color w:val="FF0000"/>
                <w:sz w:val="21"/>
                <w:szCs w:val="21"/>
                <w:vertAlign w:val="superscript"/>
                <w:lang w:val="en-US" w:eastAsia="zh-CN" w:bidi="ar"/>
              </w:rPr>
              <w:t>3</w:t>
            </w:r>
          </w:p>
        </w:tc>
        <w:tc>
          <w:tcPr>
            <w:tcW w:w="1407" w:type="dxa"/>
            <w:noWrap w:val="0"/>
            <w:vAlign w:val="center"/>
          </w:tcPr>
          <w:p w14:paraId="7A2BAEC8">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ascii="Times New Roman" w:hAnsi="Times New Roman" w:eastAsia="宋体" w:cs="Times New Roman"/>
                <w:color w:val="FF0000"/>
                <w:sz w:val="21"/>
                <w:szCs w:val="21"/>
                <w:vertAlign w:val="baseline"/>
                <w:lang w:val="en-US" w:eastAsia="zh-CN" w:bidi="ar"/>
              </w:rPr>
              <w:t>占标率%</w:t>
            </w:r>
          </w:p>
        </w:tc>
      </w:tr>
      <w:tr w14:paraId="2D1AC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612020D8">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w:t>
            </w:r>
          </w:p>
        </w:tc>
        <w:tc>
          <w:tcPr>
            <w:tcW w:w="1626" w:type="dxa"/>
            <w:noWrap w:val="0"/>
            <w:vAlign w:val="center"/>
          </w:tcPr>
          <w:p w14:paraId="7F9D5BD8">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9.41E-06</w:t>
            </w:r>
          </w:p>
        </w:tc>
        <w:tc>
          <w:tcPr>
            <w:tcW w:w="1381" w:type="dxa"/>
            <w:noWrap w:val="0"/>
            <w:vAlign w:val="center"/>
          </w:tcPr>
          <w:p w14:paraId="0172CFE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0.00</w:t>
            </w:r>
          </w:p>
        </w:tc>
        <w:tc>
          <w:tcPr>
            <w:tcW w:w="1445" w:type="dxa"/>
            <w:noWrap w:val="0"/>
            <w:vAlign w:val="center"/>
          </w:tcPr>
          <w:p w14:paraId="1EEF8AB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7.52E-04</w:t>
            </w:r>
          </w:p>
        </w:tc>
        <w:tc>
          <w:tcPr>
            <w:tcW w:w="1407" w:type="dxa"/>
            <w:noWrap w:val="0"/>
            <w:vAlign w:val="center"/>
          </w:tcPr>
          <w:p w14:paraId="376D8F0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0.08</w:t>
            </w:r>
          </w:p>
        </w:tc>
      </w:tr>
      <w:tr w14:paraId="3B0AD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24CFE2C">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w:t>
            </w:r>
          </w:p>
        </w:tc>
        <w:tc>
          <w:tcPr>
            <w:tcW w:w="1626" w:type="dxa"/>
            <w:noWrap w:val="0"/>
            <w:vAlign w:val="center"/>
          </w:tcPr>
          <w:p w14:paraId="4C8A3C4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6.06E-04</w:t>
            </w:r>
          </w:p>
        </w:tc>
        <w:tc>
          <w:tcPr>
            <w:tcW w:w="1381" w:type="dxa"/>
            <w:noWrap w:val="0"/>
            <w:vAlign w:val="center"/>
          </w:tcPr>
          <w:p w14:paraId="31C8A59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0.07</w:t>
            </w:r>
          </w:p>
        </w:tc>
        <w:tc>
          <w:tcPr>
            <w:tcW w:w="1445" w:type="dxa"/>
            <w:noWrap w:val="0"/>
            <w:vAlign w:val="center"/>
          </w:tcPr>
          <w:p w14:paraId="1B35791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4.85E-02</w:t>
            </w:r>
          </w:p>
        </w:tc>
        <w:tc>
          <w:tcPr>
            <w:tcW w:w="1407" w:type="dxa"/>
            <w:noWrap w:val="0"/>
            <w:vAlign w:val="center"/>
          </w:tcPr>
          <w:p w14:paraId="3D766AE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5.38</w:t>
            </w:r>
          </w:p>
        </w:tc>
      </w:tr>
      <w:tr w14:paraId="0ED7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1EEDA44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w:t>
            </w:r>
          </w:p>
        </w:tc>
        <w:tc>
          <w:tcPr>
            <w:tcW w:w="1626" w:type="dxa"/>
            <w:noWrap w:val="0"/>
            <w:vAlign w:val="center"/>
          </w:tcPr>
          <w:p w14:paraId="0CA07036">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2.37E-03</w:t>
            </w:r>
          </w:p>
        </w:tc>
        <w:tc>
          <w:tcPr>
            <w:tcW w:w="1381" w:type="dxa"/>
            <w:noWrap w:val="0"/>
            <w:vAlign w:val="center"/>
          </w:tcPr>
          <w:p w14:paraId="5E95545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0.26</w:t>
            </w:r>
          </w:p>
        </w:tc>
        <w:tc>
          <w:tcPr>
            <w:tcW w:w="1445" w:type="dxa"/>
            <w:noWrap w:val="0"/>
            <w:vAlign w:val="center"/>
          </w:tcPr>
          <w:p w14:paraId="650CA0E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1.89E-01</w:t>
            </w:r>
          </w:p>
        </w:tc>
        <w:tc>
          <w:tcPr>
            <w:tcW w:w="1407" w:type="dxa"/>
            <w:noWrap w:val="0"/>
            <w:vAlign w:val="center"/>
          </w:tcPr>
          <w:p w14:paraId="15AFCBF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21.00</w:t>
            </w:r>
          </w:p>
        </w:tc>
      </w:tr>
      <w:tr w14:paraId="5313C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shd w:val="clear" w:color="auto" w:fill="FFFFFF"/>
            <w:noWrap w:val="0"/>
            <w:vAlign w:val="center"/>
          </w:tcPr>
          <w:p w14:paraId="5E7AEB5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w:t>
            </w:r>
          </w:p>
        </w:tc>
        <w:tc>
          <w:tcPr>
            <w:tcW w:w="1626" w:type="dxa"/>
            <w:shd w:val="clear" w:color="auto" w:fill="FFFFFF"/>
            <w:noWrap w:val="0"/>
            <w:vAlign w:val="center"/>
          </w:tcPr>
          <w:p w14:paraId="3444887B">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4.14E-03</w:t>
            </w:r>
          </w:p>
        </w:tc>
        <w:tc>
          <w:tcPr>
            <w:tcW w:w="1381" w:type="dxa"/>
            <w:shd w:val="clear" w:color="auto" w:fill="FFFFFF"/>
            <w:noWrap w:val="0"/>
            <w:vAlign w:val="center"/>
          </w:tcPr>
          <w:p w14:paraId="2402C927">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0.46</w:t>
            </w:r>
          </w:p>
        </w:tc>
        <w:tc>
          <w:tcPr>
            <w:tcW w:w="1445" w:type="dxa"/>
            <w:shd w:val="clear" w:color="auto" w:fill="FFFFFF"/>
            <w:noWrap w:val="0"/>
            <w:vAlign w:val="center"/>
          </w:tcPr>
          <w:p w14:paraId="004EB4A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3.31E-01</w:t>
            </w:r>
          </w:p>
        </w:tc>
        <w:tc>
          <w:tcPr>
            <w:tcW w:w="1407" w:type="dxa"/>
            <w:shd w:val="clear" w:color="auto" w:fill="FFFFFF"/>
            <w:noWrap w:val="0"/>
            <w:vAlign w:val="center"/>
          </w:tcPr>
          <w:p w14:paraId="269A01C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36.76</w:t>
            </w:r>
          </w:p>
        </w:tc>
      </w:tr>
      <w:tr w14:paraId="5AA28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3F32B9A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w:t>
            </w:r>
          </w:p>
        </w:tc>
        <w:tc>
          <w:tcPr>
            <w:tcW w:w="1626" w:type="dxa"/>
            <w:noWrap w:val="0"/>
            <w:vAlign w:val="center"/>
          </w:tcPr>
          <w:p w14:paraId="0553AE0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5.09E-03</w:t>
            </w:r>
          </w:p>
        </w:tc>
        <w:tc>
          <w:tcPr>
            <w:tcW w:w="1381" w:type="dxa"/>
            <w:noWrap w:val="0"/>
            <w:vAlign w:val="center"/>
          </w:tcPr>
          <w:p w14:paraId="433A2039">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0.57</w:t>
            </w:r>
          </w:p>
        </w:tc>
        <w:tc>
          <w:tcPr>
            <w:tcW w:w="1445" w:type="dxa"/>
            <w:noWrap w:val="0"/>
            <w:vAlign w:val="center"/>
          </w:tcPr>
          <w:p w14:paraId="6F910B5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4.07E-01</w:t>
            </w:r>
          </w:p>
        </w:tc>
        <w:tc>
          <w:tcPr>
            <w:tcW w:w="1407" w:type="dxa"/>
            <w:noWrap w:val="0"/>
            <w:vAlign w:val="center"/>
          </w:tcPr>
          <w:p w14:paraId="11A704C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45.20</w:t>
            </w:r>
          </w:p>
        </w:tc>
      </w:tr>
      <w:tr w14:paraId="7F7B1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shd w:val="clear" w:color="auto" w:fill="FFFFFF"/>
            <w:noWrap w:val="0"/>
            <w:vAlign w:val="center"/>
          </w:tcPr>
          <w:p w14:paraId="37722FC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125</w:t>
            </w:r>
          </w:p>
        </w:tc>
        <w:tc>
          <w:tcPr>
            <w:tcW w:w="1626" w:type="dxa"/>
            <w:shd w:val="clear" w:color="auto" w:fill="FFFFFF"/>
            <w:noWrap w:val="0"/>
            <w:vAlign w:val="center"/>
          </w:tcPr>
          <w:p w14:paraId="47B5BA17">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5.93E-03</w:t>
            </w:r>
          </w:p>
        </w:tc>
        <w:tc>
          <w:tcPr>
            <w:tcW w:w="1381" w:type="dxa"/>
            <w:shd w:val="clear" w:color="auto" w:fill="FFFFFF"/>
            <w:noWrap w:val="0"/>
            <w:vAlign w:val="center"/>
          </w:tcPr>
          <w:p w14:paraId="15F5F6F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0.66</w:t>
            </w:r>
          </w:p>
        </w:tc>
        <w:tc>
          <w:tcPr>
            <w:tcW w:w="1445" w:type="dxa"/>
            <w:shd w:val="clear" w:color="auto" w:fill="FFFFFF"/>
            <w:noWrap w:val="0"/>
            <w:vAlign w:val="center"/>
          </w:tcPr>
          <w:p w14:paraId="5CD7694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4.74E-01</w:t>
            </w:r>
          </w:p>
        </w:tc>
        <w:tc>
          <w:tcPr>
            <w:tcW w:w="1407" w:type="dxa"/>
            <w:shd w:val="clear" w:color="auto" w:fill="FFFFFF"/>
            <w:noWrap w:val="0"/>
            <w:vAlign w:val="center"/>
          </w:tcPr>
          <w:p w14:paraId="1FB3B95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52.62</w:t>
            </w:r>
          </w:p>
        </w:tc>
      </w:tr>
      <w:tr w14:paraId="276E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7C09FF9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150</w:t>
            </w:r>
          </w:p>
        </w:tc>
        <w:tc>
          <w:tcPr>
            <w:tcW w:w="1626" w:type="dxa"/>
            <w:noWrap w:val="0"/>
            <w:vAlign w:val="center"/>
          </w:tcPr>
          <w:p w14:paraId="7F31DE8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6.35E-03</w:t>
            </w:r>
          </w:p>
        </w:tc>
        <w:tc>
          <w:tcPr>
            <w:tcW w:w="1381" w:type="dxa"/>
            <w:noWrap w:val="0"/>
            <w:vAlign w:val="center"/>
          </w:tcPr>
          <w:p w14:paraId="6BEC8C29">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0.71</w:t>
            </w:r>
          </w:p>
        </w:tc>
        <w:tc>
          <w:tcPr>
            <w:tcW w:w="1445" w:type="dxa"/>
            <w:noWrap w:val="0"/>
            <w:vAlign w:val="center"/>
          </w:tcPr>
          <w:p w14:paraId="56B60C6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5.07E-01</w:t>
            </w:r>
          </w:p>
        </w:tc>
        <w:tc>
          <w:tcPr>
            <w:tcW w:w="1407" w:type="dxa"/>
            <w:noWrap w:val="0"/>
            <w:vAlign w:val="center"/>
          </w:tcPr>
          <w:p w14:paraId="49546B3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56.34</w:t>
            </w:r>
          </w:p>
        </w:tc>
      </w:tr>
      <w:tr w14:paraId="5C755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396ACF8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175</w:t>
            </w:r>
          </w:p>
        </w:tc>
        <w:tc>
          <w:tcPr>
            <w:tcW w:w="1626" w:type="dxa"/>
            <w:noWrap w:val="0"/>
            <w:vAlign w:val="center"/>
          </w:tcPr>
          <w:p w14:paraId="0E202FB7">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6.56E-03</w:t>
            </w:r>
          </w:p>
        </w:tc>
        <w:tc>
          <w:tcPr>
            <w:tcW w:w="1381" w:type="dxa"/>
            <w:noWrap w:val="0"/>
            <w:vAlign w:val="center"/>
          </w:tcPr>
          <w:p w14:paraId="64281D67">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0.73</w:t>
            </w:r>
          </w:p>
        </w:tc>
        <w:tc>
          <w:tcPr>
            <w:tcW w:w="1445" w:type="dxa"/>
            <w:noWrap w:val="0"/>
            <w:vAlign w:val="center"/>
          </w:tcPr>
          <w:p w14:paraId="11E07C0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5.24E-01</w:t>
            </w:r>
          </w:p>
        </w:tc>
        <w:tc>
          <w:tcPr>
            <w:tcW w:w="1407" w:type="dxa"/>
            <w:noWrap w:val="0"/>
            <w:vAlign w:val="center"/>
          </w:tcPr>
          <w:p w14:paraId="4B86EED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58.21</w:t>
            </w:r>
          </w:p>
        </w:tc>
      </w:tr>
      <w:tr w14:paraId="20905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345FBD5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200</w:t>
            </w:r>
          </w:p>
        </w:tc>
        <w:tc>
          <w:tcPr>
            <w:tcW w:w="1626" w:type="dxa"/>
            <w:noWrap w:val="0"/>
            <w:vAlign w:val="center"/>
          </w:tcPr>
          <w:p w14:paraId="5ED983E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6.58E-03</w:t>
            </w:r>
          </w:p>
        </w:tc>
        <w:tc>
          <w:tcPr>
            <w:tcW w:w="1381" w:type="dxa"/>
            <w:noWrap w:val="0"/>
            <w:vAlign w:val="center"/>
          </w:tcPr>
          <w:p w14:paraId="14DB835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0.73</w:t>
            </w:r>
          </w:p>
        </w:tc>
        <w:tc>
          <w:tcPr>
            <w:tcW w:w="1445" w:type="dxa"/>
            <w:noWrap w:val="0"/>
            <w:vAlign w:val="center"/>
          </w:tcPr>
          <w:p w14:paraId="1C8A45B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5.26E-01</w:t>
            </w:r>
          </w:p>
        </w:tc>
        <w:tc>
          <w:tcPr>
            <w:tcW w:w="1407" w:type="dxa"/>
            <w:noWrap w:val="0"/>
            <w:vAlign w:val="center"/>
          </w:tcPr>
          <w:p w14:paraId="5D6BA9B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58.44</w:t>
            </w:r>
          </w:p>
        </w:tc>
      </w:tr>
      <w:tr w14:paraId="375A2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BC6853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225</w:t>
            </w:r>
          </w:p>
        </w:tc>
        <w:tc>
          <w:tcPr>
            <w:tcW w:w="1626" w:type="dxa"/>
            <w:noWrap w:val="0"/>
            <w:vAlign w:val="center"/>
          </w:tcPr>
          <w:p w14:paraId="66C7646E">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6.96E-03</w:t>
            </w:r>
          </w:p>
        </w:tc>
        <w:tc>
          <w:tcPr>
            <w:tcW w:w="1381" w:type="dxa"/>
            <w:noWrap w:val="0"/>
            <w:vAlign w:val="center"/>
          </w:tcPr>
          <w:p w14:paraId="70A8567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0.77</w:t>
            </w:r>
          </w:p>
        </w:tc>
        <w:tc>
          <w:tcPr>
            <w:tcW w:w="1445" w:type="dxa"/>
            <w:noWrap w:val="0"/>
            <w:vAlign w:val="center"/>
          </w:tcPr>
          <w:p w14:paraId="6309696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5.56E-01</w:t>
            </w:r>
          </w:p>
        </w:tc>
        <w:tc>
          <w:tcPr>
            <w:tcW w:w="1407" w:type="dxa"/>
            <w:noWrap w:val="0"/>
            <w:vAlign w:val="center"/>
          </w:tcPr>
          <w:p w14:paraId="23FE901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61.79</w:t>
            </w:r>
          </w:p>
        </w:tc>
      </w:tr>
      <w:tr w14:paraId="0CE22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641873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250</w:t>
            </w:r>
          </w:p>
        </w:tc>
        <w:tc>
          <w:tcPr>
            <w:tcW w:w="1626" w:type="dxa"/>
            <w:noWrap w:val="0"/>
            <w:vAlign w:val="center"/>
          </w:tcPr>
          <w:p w14:paraId="65A3095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7.27E-03</w:t>
            </w:r>
          </w:p>
        </w:tc>
        <w:tc>
          <w:tcPr>
            <w:tcW w:w="1381" w:type="dxa"/>
            <w:noWrap w:val="0"/>
            <w:vAlign w:val="center"/>
          </w:tcPr>
          <w:p w14:paraId="381771E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0.81</w:t>
            </w:r>
          </w:p>
        </w:tc>
        <w:tc>
          <w:tcPr>
            <w:tcW w:w="1445" w:type="dxa"/>
            <w:noWrap w:val="0"/>
            <w:vAlign w:val="center"/>
          </w:tcPr>
          <w:p w14:paraId="5B2F564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5.81E-01</w:t>
            </w:r>
          </w:p>
        </w:tc>
        <w:tc>
          <w:tcPr>
            <w:tcW w:w="1407" w:type="dxa"/>
            <w:noWrap w:val="0"/>
            <w:vAlign w:val="center"/>
          </w:tcPr>
          <w:p w14:paraId="332C8E2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64.51</w:t>
            </w:r>
          </w:p>
        </w:tc>
      </w:tr>
      <w:tr w14:paraId="64A3B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1FBD165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275</w:t>
            </w:r>
          </w:p>
        </w:tc>
        <w:tc>
          <w:tcPr>
            <w:tcW w:w="1626" w:type="dxa"/>
            <w:noWrap w:val="0"/>
            <w:vAlign w:val="center"/>
          </w:tcPr>
          <w:p w14:paraId="6553C3CF">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7.27E-03</w:t>
            </w:r>
          </w:p>
        </w:tc>
        <w:tc>
          <w:tcPr>
            <w:tcW w:w="1381" w:type="dxa"/>
            <w:noWrap w:val="0"/>
            <w:vAlign w:val="center"/>
          </w:tcPr>
          <w:p w14:paraId="07499D1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0.81</w:t>
            </w:r>
          </w:p>
        </w:tc>
        <w:tc>
          <w:tcPr>
            <w:tcW w:w="1445" w:type="dxa"/>
            <w:noWrap w:val="0"/>
            <w:vAlign w:val="center"/>
          </w:tcPr>
          <w:p w14:paraId="316C239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5.81E-01</w:t>
            </w:r>
          </w:p>
        </w:tc>
        <w:tc>
          <w:tcPr>
            <w:tcW w:w="1407" w:type="dxa"/>
            <w:noWrap w:val="0"/>
            <w:vAlign w:val="center"/>
          </w:tcPr>
          <w:p w14:paraId="5E36B1E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64.53</w:t>
            </w:r>
          </w:p>
        </w:tc>
      </w:tr>
      <w:tr w14:paraId="7CC02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1F3DA3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300</w:t>
            </w:r>
          </w:p>
        </w:tc>
        <w:tc>
          <w:tcPr>
            <w:tcW w:w="1626" w:type="dxa"/>
            <w:noWrap w:val="0"/>
            <w:vAlign w:val="center"/>
          </w:tcPr>
          <w:p w14:paraId="5B70613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7.08E-03</w:t>
            </w:r>
          </w:p>
        </w:tc>
        <w:tc>
          <w:tcPr>
            <w:tcW w:w="1381" w:type="dxa"/>
            <w:noWrap w:val="0"/>
            <w:vAlign w:val="center"/>
          </w:tcPr>
          <w:p w14:paraId="019FEB4F">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0.79</w:t>
            </w:r>
          </w:p>
        </w:tc>
        <w:tc>
          <w:tcPr>
            <w:tcW w:w="1445" w:type="dxa"/>
            <w:noWrap w:val="0"/>
            <w:vAlign w:val="center"/>
          </w:tcPr>
          <w:p w14:paraId="0DC5D6D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5.66E-01</w:t>
            </w:r>
          </w:p>
        </w:tc>
        <w:tc>
          <w:tcPr>
            <w:tcW w:w="1407" w:type="dxa"/>
            <w:noWrap w:val="0"/>
            <w:vAlign w:val="center"/>
          </w:tcPr>
          <w:p w14:paraId="1FF9D22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62.85</w:t>
            </w:r>
          </w:p>
        </w:tc>
      </w:tr>
      <w:tr w14:paraId="0B9F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6FF0CFC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325</w:t>
            </w:r>
          </w:p>
        </w:tc>
        <w:tc>
          <w:tcPr>
            <w:tcW w:w="1626" w:type="dxa"/>
            <w:noWrap w:val="0"/>
            <w:vAlign w:val="center"/>
          </w:tcPr>
          <w:p w14:paraId="1C69F85A">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6.87E-03</w:t>
            </w:r>
          </w:p>
        </w:tc>
        <w:tc>
          <w:tcPr>
            <w:tcW w:w="1381" w:type="dxa"/>
            <w:noWrap w:val="0"/>
            <w:vAlign w:val="center"/>
          </w:tcPr>
          <w:p w14:paraId="65B4D12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0.76</w:t>
            </w:r>
          </w:p>
        </w:tc>
        <w:tc>
          <w:tcPr>
            <w:tcW w:w="1445" w:type="dxa"/>
            <w:noWrap w:val="0"/>
            <w:vAlign w:val="center"/>
          </w:tcPr>
          <w:p w14:paraId="7C0D909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5.49E-01</w:t>
            </w:r>
          </w:p>
        </w:tc>
        <w:tc>
          <w:tcPr>
            <w:tcW w:w="1407" w:type="dxa"/>
            <w:noWrap w:val="0"/>
            <w:vAlign w:val="center"/>
          </w:tcPr>
          <w:p w14:paraId="532B88E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60.97</w:t>
            </w:r>
          </w:p>
        </w:tc>
      </w:tr>
      <w:tr w14:paraId="1C7E2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53DD56A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350</w:t>
            </w:r>
          </w:p>
        </w:tc>
        <w:tc>
          <w:tcPr>
            <w:tcW w:w="1626" w:type="dxa"/>
            <w:noWrap w:val="0"/>
            <w:vAlign w:val="center"/>
          </w:tcPr>
          <w:p w14:paraId="3164A1B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6.89E-03</w:t>
            </w:r>
          </w:p>
        </w:tc>
        <w:tc>
          <w:tcPr>
            <w:tcW w:w="1381" w:type="dxa"/>
            <w:noWrap w:val="0"/>
            <w:vAlign w:val="center"/>
          </w:tcPr>
          <w:p w14:paraId="71ACFDF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0.77</w:t>
            </w:r>
          </w:p>
        </w:tc>
        <w:tc>
          <w:tcPr>
            <w:tcW w:w="1445" w:type="dxa"/>
            <w:noWrap w:val="0"/>
            <w:vAlign w:val="center"/>
          </w:tcPr>
          <w:p w14:paraId="63531F3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5.50E-01</w:t>
            </w:r>
          </w:p>
        </w:tc>
        <w:tc>
          <w:tcPr>
            <w:tcW w:w="1407" w:type="dxa"/>
            <w:noWrap w:val="0"/>
            <w:vAlign w:val="center"/>
          </w:tcPr>
          <w:p w14:paraId="1A8E1CF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61.13</w:t>
            </w:r>
          </w:p>
        </w:tc>
      </w:tr>
      <w:tr w14:paraId="406D3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0EFBF7C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375</w:t>
            </w:r>
          </w:p>
        </w:tc>
        <w:tc>
          <w:tcPr>
            <w:tcW w:w="1626" w:type="dxa"/>
            <w:noWrap w:val="0"/>
            <w:vAlign w:val="center"/>
          </w:tcPr>
          <w:p w14:paraId="30F7D617">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6.80E-03</w:t>
            </w:r>
          </w:p>
        </w:tc>
        <w:tc>
          <w:tcPr>
            <w:tcW w:w="1381" w:type="dxa"/>
            <w:noWrap w:val="0"/>
            <w:vAlign w:val="center"/>
          </w:tcPr>
          <w:p w14:paraId="2DB2DDCE">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0.76</w:t>
            </w:r>
          </w:p>
        </w:tc>
        <w:tc>
          <w:tcPr>
            <w:tcW w:w="1445" w:type="dxa"/>
            <w:noWrap w:val="0"/>
            <w:vAlign w:val="center"/>
          </w:tcPr>
          <w:p w14:paraId="0E947C5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5.43E-01</w:t>
            </w:r>
          </w:p>
        </w:tc>
        <w:tc>
          <w:tcPr>
            <w:tcW w:w="1407" w:type="dxa"/>
            <w:noWrap w:val="0"/>
            <w:vAlign w:val="center"/>
          </w:tcPr>
          <w:p w14:paraId="7795539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60.38</w:t>
            </w:r>
          </w:p>
        </w:tc>
      </w:tr>
      <w:tr w14:paraId="119A7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0C490A1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400</w:t>
            </w:r>
          </w:p>
        </w:tc>
        <w:tc>
          <w:tcPr>
            <w:tcW w:w="1626" w:type="dxa"/>
            <w:noWrap w:val="0"/>
            <w:vAlign w:val="center"/>
          </w:tcPr>
          <w:p w14:paraId="5AF509B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6.65E-03</w:t>
            </w:r>
          </w:p>
        </w:tc>
        <w:tc>
          <w:tcPr>
            <w:tcW w:w="1381" w:type="dxa"/>
            <w:noWrap w:val="0"/>
            <w:vAlign w:val="center"/>
          </w:tcPr>
          <w:p w14:paraId="4216618A">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0.74</w:t>
            </w:r>
          </w:p>
        </w:tc>
        <w:tc>
          <w:tcPr>
            <w:tcW w:w="1445" w:type="dxa"/>
            <w:noWrap w:val="0"/>
            <w:vAlign w:val="center"/>
          </w:tcPr>
          <w:p w14:paraId="6643BDB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5.31E-01</w:t>
            </w:r>
          </w:p>
        </w:tc>
        <w:tc>
          <w:tcPr>
            <w:tcW w:w="1407" w:type="dxa"/>
            <w:noWrap w:val="0"/>
            <w:vAlign w:val="center"/>
          </w:tcPr>
          <w:p w14:paraId="02B318F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59.00</w:t>
            </w:r>
          </w:p>
        </w:tc>
      </w:tr>
      <w:tr w14:paraId="6B4A5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507F7E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425</w:t>
            </w:r>
          </w:p>
        </w:tc>
        <w:tc>
          <w:tcPr>
            <w:tcW w:w="1626" w:type="dxa"/>
            <w:noWrap w:val="0"/>
            <w:vAlign w:val="center"/>
          </w:tcPr>
          <w:p w14:paraId="3DF123C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6.45E-03</w:t>
            </w:r>
          </w:p>
        </w:tc>
        <w:tc>
          <w:tcPr>
            <w:tcW w:w="1381" w:type="dxa"/>
            <w:noWrap w:val="0"/>
            <w:vAlign w:val="center"/>
          </w:tcPr>
          <w:p w14:paraId="10CFA58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0.72</w:t>
            </w:r>
          </w:p>
        </w:tc>
        <w:tc>
          <w:tcPr>
            <w:tcW w:w="1445" w:type="dxa"/>
            <w:noWrap w:val="0"/>
            <w:vAlign w:val="center"/>
          </w:tcPr>
          <w:p w14:paraId="7AE0B0D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5.15E-01</w:t>
            </w:r>
          </w:p>
        </w:tc>
        <w:tc>
          <w:tcPr>
            <w:tcW w:w="1407" w:type="dxa"/>
            <w:noWrap w:val="0"/>
            <w:vAlign w:val="center"/>
          </w:tcPr>
          <w:p w14:paraId="768B4A8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57.22</w:t>
            </w:r>
          </w:p>
        </w:tc>
      </w:tr>
      <w:tr w14:paraId="2C4AA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330C9B3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450</w:t>
            </w:r>
          </w:p>
        </w:tc>
        <w:tc>
          <w:tcPr>
            <w:tcW w:w="1626" w:type="dxa"/>
            <w:noWrap w:val="0"/>
            <w:vAlign w:val="center"/>
          </w:tcPr>
          <w:p w14:paraId="433DD0E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6.44E-03</w:t>
            </w:r>
          </w:p>
        </w:tc>
        <w:tc>
          <w:tcPr>
            <w:tcW w:w="1381" w:type="dxa"/>
            <w:noWrap w:val="0"/>
            <w:vAlign w:val="center"/>
          </w:tcPr>
          <w:p w14:paraId="3DCB546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0.72</w:t>
            </w:r>
          </w:p>
        </w:tc>
        <w:tc>
          <w:tcPr>
            <w:tcW w:w="1445" w:type="dxa"/>
            <w:noWrap w:val="0"/>
            <w:vAlign w:val="center"/>
          </w:tcPr>
          <w:p w14:paraId="5E7E2DB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5.14E-01</w:t>
            </w:r>
          </w:p>
        </w:tc>
        <w:tc>
          <w:tcPr>
            <w:tcW w:w="1407" w:type="dxa"/>
            <w:noWrap w:val="0"/>
            <w:vAlign w:val="center"/>
          </w:tcPr>
          <w:p w14:paraId="1F4D904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57.13</w:t>
            </w:r>
          </w:p>
        </w:tc>
      </w:tr>
      <w:tr w14:paraId="2506B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1D0C27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475</w:t>
            </w:r>
          </w:p>
        </w:tc>
        <w:tc>
          <w:tcPr>
            <w:tcW w:w="1626" w:type="dxa"/>
            <w:noWrap w:val="0"/>
            <w:vAlign w:val="center"/>
          </w:tcPr>
          <w:p w14:paraId="06B68D7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6.87E-03</w:t>
            </w:r>
          </w:p>
        </w:tc>
        <w:tc>
          <w:tcPr>
            <w:tcW w:w="1381" w:type="dxa"/>
            <w:noWrap w:val="0"/>
            <w:vAlign w:val="center"/>
          </w:tcPr>
          <w:p w14:paraId="2D7F197C">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0.76</w:t>
            </w:r>
          </w:p>
        </w:tc>
        <w:tc>
          <w:tcPr>
            <w:tcW w:w="1445" w:type="dxa"/>
            <w:noWrap w:val="0"/>
            <w:vAlign w:val="center"/>
          </w:tcPr>
          <w:p w14:paraId="4567052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5.49E-01</w:t>
            </w:r>
          </w:p>
        </w:tc>
        <w:tc>
          <w:tcPr>
            <w:tcW w:w="1407" w:type="dxa"/>
            <w:noWrap w:val="0"/>
            <w:vAlign w:val="center"/>
          </w:tcPr>
          <w:p w14:paraId="30CEFF4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61.00</w:t>
            </w:r>
          </w:p>
        </w:tc>
      </w:tr>
      <w:tr w14:paraId="5973F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5FB7DAC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500</w:t>
            </w:r>
          </w:p>
        </w:tc>
        <w:tc>
          <w:tcPr>
            <w:tcW w:w="1626" w:type="dxa"/>
            <w:noWrap w:val="0"/>
            <w:vAlign w:val="center"/>
          </w:tcPr>
          <w:p w14:paraId="088C9EA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7.25E-03</w:t>
            </w:r>
          </w:p>
        </w:tc>
        <w:tc>
          <w:tcPr>
            <w:tcW w:w="1381" w:type="dxa"/>
            <w:noWrap w:val="0"/>
            <w:vAlign w:val="center"/>
          </w:tcPr>
          <w:p w14:paraId="5372D142">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0.81</w:t>
            </w:r>
          </w:p>
        </w:tc>
        <w:tc>
          <w:tcPr>
            <w:tcW w:w="1445" w:type="dxa"/>
            <w:noWrap w:val="0"/>
            <w:vAlign w:val="center"/>
          </w:tcPr>
          <w:p w14:paraId="25B6225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5.79E-01</w:t>
            </w:r>
          </w:p>
        </w:tc>
        <w:tc>
          <w:tcPr>
            <w:tcW w:w="1407" w:type="dxa"/>
            <w:noWrap w:val="0"/>
            <w:vAlign w:val="center"/>
          </w:tcPr>
          <w:p w14:paraId="4934AEC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64.37</w:t>
            </w:r>
          </w:p>
        </w:tc>
      </w:tr>
      <w:tr w14:paraId="5656A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550B3FD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525</w:t>
            </w:r>
          </w:p>
        </w:tc>
        <w:tc>
          <w:tcPr>
            <w:tcW w:w="1626" w:type="dxa"/>
            <w:noWrap w:val="0"/>
            <w:vAlign w:val="center"/>
          </w:tcPr>
          <w:p w14:paraId="7A550DE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7.58E-03</w:t>
            </w:r>
          </w:p>
        </w:tc>
        <w:tc>
          <w:tcPr>
            <w:tcW w:w="1381" w:type="dxa"/>
            <w:noWrap w:val="0"/>
            <w:vAlign w:val="center"/>
          </w:tcPr>
          <w:p w14:paraId="3F08DA3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0.84</w:t>
            </w:r>
          </w:p>
        </w:tc>
        <w:tc>
          <w:tcPr>
            <w:tcW w:w="1445" w:type="dxa"/>
            <w:noWrap w:val="0"/>
            <w:vAlign w:val="center"/>
          </w:tcPr>
          <w:p w14:paraId="006F349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6.05E-01</w:t>
            </w:r>
          </w:p>
        </w:tc>
        <w:tc>
          <w:tcPr>
            <w:tcW w:w="1407" w:type="dxa"/>
            <w:noWrap w:val="0"/>
            <w:vAlign w:val="center"/>
          </w:tcPr>
          <w:p w14:paraId="416F5FC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67.27</w:t>
            </w:r>
          </w:p>
        </w:tc>
      </w:tr>
      <w:tr w14:paraId="6583C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29907BE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550</w:t>
            </w:r>
          </w:p>
        </w:tc>
        <w:tc>
          <w:tcPr>
            <w:tcW w:w="1626" w:type="dxa"/>
            <w:noWrap w:val="0"/>
            <w:vAlign w:val="center"/>
          </w:tcPr>
          <w:p w14:paraId="169FB86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7.86E-03</w:t>
            </w:r>
          </w:p>
        </w:tc>
        <w:tc>
          <w:tcPr>
            <w:tcW w:w="1381" w:type="dxa"/>
            <w:noWrap w:val="0"/>
            <w:vAlign w:val="center"/>
          </w:tcPr>
          <w:p w14:paraId="2ED9BA5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0.87</w:t>
            </w:r>
          </w:p>
        </w:tc>
        <w:tc>
          <w:tcPr>
            <w:tcW w:w="1445" w:type="dxa"/>
            <w:noWrap w:val="0"/>
            <w:vAlign w:val="center"/>
          </w:tcPr>
          <w:p w14:paraId="3B20331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6.28E-01</w:t>
            </w:r>
          </w:p>
        </w:tc>
        <w:tc>
          <w:tcPr>
            <w:tcW w:w="1407" w:type="dxa"/>
            <w:noWrap w:val="0"/>
            <w:vAlign w:val="center"/>
          </w:tcPr>
          <w:p w14:paraId="3147697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69.75</w:t>
            </w:r>
          </w:p>
        </w:tc>
      </w:tr>
      <w:tr w14:paraId="3EEC5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1EDD966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575</w:t>
            </w:r>
          </w:p>
        </w:tc>
        <w:tc>
          <w:tcPr>
            <w:tcW w:w="1626" w:type="dxa"/>
            <w:noWrap w:val="0"/>
            <w:vAlign w:val="center"/>
          </w:tcPr>
          <w:p w14:paraId="62C4926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8.09E-03</w:t>
            </w:r>
          </w:p>
        </w:tc>
        <w:tc>
          <w:tcPr>
            <w:tcW w:w="1381" w:type="dxa"/>
            <w:noWrap w:val="0"/>
            <w:vAlign w:val="center"/>
          </w:tcPr>
          <w:p w14:paraId="6B09D52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0.90</w:t>
            </w:r>
          </w:p>
        </w:tc>
        <w:tc>
          <w:tcPr>
            <w:tcW w:w="1445" w:type="dxa"/>
            <w:noWrap w:val="0"/>
            <w:vAlign w:val="center"/>
          </w:tcPr>
          <w:p w14:paraId="4856FCD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6.47E-01</w:t>
            </w:r>
          </w:p>
        </w:tc>
        <w:tc>
          <w:tcPr>
            <w:tcW w:w="1407" w:type="dxa"/>
            <w:noWrap w:val="0"/>
            <w:vAlign w:val="center"/>
          </w:tcPr>
          <w:p w14:paraId="4383AFD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71.85</w:t>
            </w:r>
          </w:p>
        </w:tc>
      </w:tr>
      <w:tr w14:paraId="74057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AA0610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600</w:t>
            </w:r>
          </w:p>
        </w:tc>
        <w:tc>
          <w:tcPr>
            <w:tcW w:w="1626" w:type="dxa"/>
            <w:noWrap w:val="0"/>
            <w:vAlign w:val="center"/>
          </w:tcPr>
          <w:p w14:paraId="0D6C4D5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8.29E-03</w:t>
            </w:r>
          </w:p>
        </w:tc>
        <w:tc>
          <w:tcPr>
            <w:tcW w:w="1381" w:type="dxa"/>
            <w:noWrap w:val="0"/>
            <w:vAlign w:val="center"/>
          </w:tcPr>
          <w:p w14:paraId="2C178B6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0.92</w:t>
            </w:r>
          </w:p>
        </w:tc>
        <w:tc>
          <w:tcPr>
            <w:tcW w:w="1445" w:type="dxa"/>
            <w:noWrap w:val="0"/>
            <w:vAlign w:val="center"/>
          </w:tcPr>
          <w:p w14:paraId="3847711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6.63E-01</w:t>
            </w:r>
          </w:p>
        </w:tc>
        <w:tc>
          <w:tcPr>
            <w:tcW w:w="1407" w:type="dxa"/>
            <w:noWrap w:val="0"/>
            <w:vAlign w:val="center"/>
          </w:tcPr>
          <w:p w14:paraId="700548A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73.62</w:t>
            </w:r>
          </w:p>
        </w:tc>
      </w:tr>
      <w:tr w14:paraId="7E0D4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1C261C9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625</w:t>
            </w:r>
          </w:p>
        </w:tc>
        <w:tc>
          <w:tcPr>
            <w:tcW w:w="1626" w:type="dxa"/>
            <w:noWrap w:val="0"/>
            <w:vAlign w:val="center"/>
          </w:tcPr>
          <w:p w14:paraId="5184B79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8.46E-03</w:t>
            </w:r>
          </w:p>
        </w:tc>
        <w:tc>
          <w:tcPr>
            <w:tcW w:w="1381" w:type="dxa"/>
            <w:noWrap w:val="0"/>
            <w:vAlign w:val="center"/>
          </w:tcPr>
          <w:p w14:paraId="263AF99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0.94</w:t>
            </w:r>
          </w:p>
        </w:tc>
        <w:tc>
          <w:tcPr>
            <w:tcW w:w="1445" w:type="dxa"/>
            <w:noWrap w:val="0"/>
            <w:vAlign w:val="center"/>
          </w:tcPr>
          <w:p w14:paraId="014D1F0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6.76E-01</w:t>
            </w:r>
          </w:p>
        </w:tc>
        <w:tc>
          <w:tcPr>
            <w:tcW w:w="1407" w:type="dxa"/>
            <w:noWrap w:val="0"/>
            <w:vAlign w:val="center"/>
          </w:tcPr>
          <w:p w14:paraId="220FFED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75.12</w:t>
            </w:r>
          </w:p>
        </w:tc>
      </w:tr>
      <w:tr w14:paraId="71B32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6C2292E">
            <w:pPr>
              <w:keepNext w:val="0"/>
              <w:keepLines w:val="0"/>
              <w:widowControl/>
              <w:suppressLineNumbers w:val="0"/>
              <w:ind w:left="0" w:firstLine="0"/>
              <w:jc w:val="center"/>
              <w:rPr>
                <w:rFonts w:hint="eastAsia" w:ascii="Times New Roman" w:hAnsi="Times New Roman" w:eastAsia="宋体" w:cs="Times New Roman"/>
                <w:b w:val="0"/>
                <w:bCs w:val="0"/>
                <w:color w:val="FF0000"/>
                <w:sz w:val="21"/>
                <w:szCs w:val="21"/>
                <w:vertAlign w:val="baseline"/>
                <w:lang w:val="en-US" w:eastAsia="zh-CN" w:bidi="ar"/>
              </w:rPr>
            </w:pPr>
            <w:r>
              <w:rPr>
                <w:rFonts w:hint="eastAsia" w:ascii="Times New Roman" w:hAnsi="Times New Roman" w:eastAsia="宋体" w:cs="Times New Roman"/>
                <w:b w:val="0"/>
                <w:bCs w:val="0"/>
                <w:color w:val="FF0000"/>
                <w:sz w:val="21"/>
                <w:szCs w:val="21"/>
                <w:vertAlign w:val="baseline"/>
                <w:lang w:val="en-US" w:eastAsia="zh-CN" w:bidi="ar"/>
              </w:rPr>
              <w:t>650</w:t>
            </w:r>
          </w:p>
        </w:tc>
        <w:tc>
          <w:tcPr>
            <w:tcW w:w="1626" w:type="dxa"/>
            <w:noWrap w:val="0"/>
            <w:vAlign w:val="center"/>
          </w:tcPr>
          <w:p w14:paraId="2BC55AE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8.61E-03</w:t>
            </w:r>
          </w:p>
        </w:tc>
        <w:tc>
          <w:tcPr>
            <w:tcW w:w="1381" w:type="dxa"/>
            <w:noWrap w:val="0"/>
            <w:vAlign w:val="center"/>
          </w:tcPr>
          <w:p w14:paraId="19D8FF0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0.96</w:t>
            </w:r>
          </w:p>
        </w:tc>
        <w:tc>
          <w:tcPr>
            <w:tcW w:w="1445" w:type="dxa"/>
            <w:noWrap w:val="0"/>
            <w:vAlign w:val="center"/>
          </w:tcPr>
          <w:p w14:paraId="63BE408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6.88E-01</w:t>
            </w:r>
          </w:p>
        </w:tc>
        <w:tc>
          <w:tcPr>
            <w:tcW w:w="1407" w:type="dxa"/>
            <w:noWrap w:val="0"/>
            <w:vAlign w:val="center"/>
          </w:tcPr>
          <w:p w14:paraId="3BEB070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76.43</w:t>
            </w:r>
          </w:p>
        </w:tc>
      </w:tr>
      <w:tr w14:paraId="2828F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2DB0DF3A">
            <w:pPr>
              <w:keepNext w:val="0"/>
              <w:keepLines w:val="0"/>
              <w:widowControl/>
              <w:suppressLineNumbers w:val="0"/>
              <w:ind w:left="0" w:firstLine="0"/>
              <w:jc w:val="center"/>
              <w:rPr>
                <w:rFonts w:hint="eastAsia" w:ascii="Times New Roman" w:hAnsi="Times New Roman" w:eastAsia="宋体" w:cs="Times New Roman"/>
                <w:b w:val="0"/>
                <w:bCs w:val="0"/>
                <w:color w:val="FF0000"/>
                <w:sz w:val="21"/>
                <w:szCs w:val="21"/>
                <w:vertAlign w:val="baseline"/>
                <w:lang w:val="en-US" w:eastAsia="zh-CN" w:bidi="ar"/>
              </w:rPr>
            </w:pPr>
            <w:r>
              <w:rPr>
                <w:rFonts w:hint="eastAsia" w:ascii="Times New Roman" w:hAnsi="Times New Roman" w:eastAsia="宋体" w:cs="Times New Roman"/>
                <w:b w:val="0"/>
                <w:bCs w:val="0"/>
                <w:color w:val="FF0000"/>
                <w:sz w:val="21"/>
                <w:szCs w:val="21"/>
                <w:vertAlign w:val="baseline"/>
                <w:lang w:val="en-US" w:eastAsia="zh-CN" w:bidi="ar"/>
              </w:rPr>
              <w:t>675</w:t>
            </w:r>
          </w:p>
        </w:tc>
        <w:tc>
          <w:tcPr>
            <w:tcW w:w="1626" w:type="dxa"/>
            <w:noWrap w:val="0"/>
            <w:vAlign w:val="center"/>
          </w:tcPr>
          <w:p w14:paraId="4DE386E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8.73E-03</w:t>
            </w:r>
          </w:p>
        </w:tc>
        <w:tc>
          <w:tcPr>
            <w:tcW w:w="1381" w:type="dxa"/>
            <w:noWrap w:val="0"/>
            <w:vAlign w:val="center"/>
          </w:tcPr>
          <w:p w14:paraId="3917CE9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0.97</w:t>
            </w:r>
          </w:p>
        </w:tc>
        <w:tc>
          <w:tcPr>
            <w:tcW w:w="1445" w:type="dxa"/>
            <w:noWrap w:val="0"/>
            <w:vAlign w:val="center"/>
          </w:tcPr>
          <w:p w14:paraId="748A56C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6.97E-01</w:t>
            </w:r>
          </w:p>
        </w:tc>
        <w:tc>
          <w:tcPr>
            <w:tcW w:w="1407" w:type="dxa"/>
            <w:noWrap w:val="0"/>
            <w:vAlign w:val="center"/>
          </w:tcPr>
          <w:p w14:paraId="498F30D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77.47</w:t>
            </w:r>
          </w:p>
        </w:tc>
      </w:tr>
      <w:tr w14:paraId="00DDB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233C120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700</w:t>
            </w:r>
          </w:p>
        </w:tc>
        <w:tc>
          <w:tcPr>
            <w:tcW w:w="1626" w:type="dxa"/>
            <w:noWrap w:val="0"/>
            <w:vAlign w:val="center"/>
          </w:tcPr>
          <w:p w14:paraId="50C8524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8.82E-03</w:t>
            </w:r>
          </w:p>
        </w:tc>
        <w:tc>
          <w:tcPr>
            <w:tcW w:w="1381" w:type="dxa"/>
            <w:noWrap w:val="0"/>
            <w:vAlign w:val="center"/>
          </w:tcPr>
          <w:p w14:paraId="275F082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0.98</w:t>
            </w:r>
          </w:p>
        </w:tc>
        <w:tc>
          <w:tcPr>
            <w:tcW w:w="1445" w:type="dxa"/>
            <w:noWrap w:val="0"/>
            <w:vAlign w:val="center"/>
          </w:tcPr>
          <w:p w14:paraId="7AB8362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7.05E-01</w:t>
            </w:r>
          </w:p>
        </w:tc>
        <w:tc>
          <w:tcPr>
            <w:tcW w:w="1407" w:type="dxa"/>
            <w:noWrap w:val="0"/>
            <w:vAlign w:val="center"/>
          </w:tcPr>
          <w:p w14:paraId="0E18234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78.28</w:t>
            </w:r>
          </w:p>
        </w:tc>
      </w:tr>
      <w:tr w14:paraId="4F025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6533DE6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725</w:t>
            </w:r>
          </w:p>
        </w:tc>
        <w:tc>
          <w:tcPr>
            <w:tcW w:w="1626" w:type="dxa"/>
            <w:noWrap w:val="0"/>
            <w:vAlign w:val="center"/>
          </w:tcPr>
          <w:p w14:paraId="6D439F2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8.89E-03</w:t>
            </w:r>
          </w:p>
        </w:tc>
        <w:tc>
          <w:tcPr>
            <w:tcW w:w="1381" w:type="dxa"/>
            <w:noWrap w:val="0"/>
            <w:vAlign w:val="center"/>
          </w:tcPr>
          <w:p w14:paraId="506974A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0.99</w:t>
            </w:r>
          </w:p>
        </w:tc>
        <w:tc>
          <w:tcPr>
            <w:tcW w:w="1445" w:type="dxa"/>
            <w:noWrap w:val="0"/>
            <w:vAlign w:val="center"/>
          </w:tcPr>
          <w:p w14:paraId="2E0C489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7.10E-01</w:t>
            </w:r>
          </w:p>
        </w:tc>
        <w:tc>
          <w:tcPr>
            <w:tcW w:w="1407" w:type="dxa"/>
            <w:noWrap w:val="0"/>
            <w:vAlign w:val="center"/>
          </w:tcPr>
          <w:p w14:paraId="6342EAA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78.88</w:t>
            </w:r>
          </w:p>
        </w:tc>
      </w:tr>
      <w:tr w14:paraId="6EB24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0C7CD82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750</w:t>
            </w:r>
          </w:p>
        </w:tc>
        <w:tc>
          <w:tcPr>
            <w:tcW w:w="1626" w:type="dxa"/>
            <w:noWrap w:val="0"/>
            <w:vAlign w:val="center"/>
          </w:tcPr>
          <w:p w14:paraId="7EDAF3C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8.93E-03</w:t>
            </w:r>
          </w:p>
        </w:tc>
        <w:tc>
          <w:tcPr>
            <w:tcW w:w="1381" w:type="dxa"/>
            <w:noWrap w:val="0"/>
            <w:vAlign w:val="center"/>
          </w:tcPr>
          <w:p w14:paraId="77979C1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0.99</w:t>
            </w:r>
          </w:p>
        </w:tc>
        <w:tc>
          <w:tcPr>
            <w:tcW w:w="1445" w:type="dxa"/>
            <w:noWrap w:val="0"/>
            <w:vAlign w:val="center"/>
          </w:tcPr>
          <w:p w14:paraId="54D2D6E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7.14E-01</w:t>
            </w:r>
          </w:p>
        </w:tc>
        <w:tc>
          <w:tcPr>
            <w:tcW w:w="1407" w:type="dxa"/>
            <w:noWrap w:val="0"/>
            <w:vAlign w:val="center"/>
          </w:tcPr>
          <w:p w14:paraId="1E23726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79.31</w:t>
            </w:r>
          </w:p>
        </w:tc>
      </w:tr>
      <w:tr w14:paraId="5FFBB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81ABA6E">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775</w:t>
            </w:r>
          </w:p>
        </w:tc>
        <w:tc>
          <w:tcPr>
            <w:tcW w:w="1626" w:type="dxa"/>
            <w:noWrap w:val="0"/>
            <w:vAlign w:val="center"/>
          </w:tcPr>
          <w:p w14:paraId="701C575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8.96E-03</w:t>
            </w:r>
          </w:p>
        </w:tc>
        <w:tc>
          <w:tcPr>
            <w:tcW w:w="1381" w:type="dxa"/>
            <w:noWrap w:val="0"/>
            <w:vAlign w:val="center"/>
          </w:tcPr>
          <w:p w14:paraId="53CEBC6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w:t>
            </w:r>
          </w:p>
        </w:tc>
        <w:tc>
          <w:tcPr>
            <w:tcW w:w="1445" w:type="dxa"/>
            <w:noWrap w:val="0"/>
            <w:vAlign w:val="center"/>
          </w:tcPr>
          <w:p w14:paraId="365941D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7.16E-01</w:t>
            </w:r>
          </w:p>
        </w:tc>
        <w:tc>
          <w:tcPr>
            <w:tcW w:w="1407" w:type="dxa"/>
            <w:noWrap w:val="0"/>
            <w:vAlign w:val="center"/>
          </w:tcPr>
          <w:p w14:paraId="21CA0B9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79.57</w:t>
            </w:r>
          </w:p>
        </w:tc>
      </w:tr>
      <w:tr w14:paraId="706D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76717AA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900</w:t>
            </w:r>
          </w:p>
        </w:tc>
        <w:tc>
          <w:tcPr>
            <w:tcW w:w="1626" w:type="dxa"/>
            <w:noWrap w:val="0"/>
            <w:vAlign w:val="center"/>
          </w:tcPr>
          <w:p w14:paraId="7DEF054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8.98E-03</w:t>
            </w:r>
          </w:p>
        </w:tc>
        <w:tc>
          <w:tcPr>
            <w:tcW w:w="1381" w:type="dxa"/>
            <w:noWrap w:val="0"/>
            <w:vAlign w:val="center"/>
          </w:tcPr>
          <w:p w14:paraId="493B778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w:t>
            </w:r>
          </w:p>
        </w:tc>
        <w:tc>
          <w:tcPr>
            <w:tcW w:w="1445" w:type="dxa"/>
            <w:noWrap w:val="0"/>
            <w:vAlign w:val="center"/>
          </w:tcPr>
          <w:p w14:paraId="2BD329D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7.17E-01</w:t>
            </w:r>
          </w:p>
        </w:tc>
        <w:tc>
          <w:tcPr>
            <w:tcW w:w="1407" w:type="dxa"/>
            <w:noWrap w:val="0"/>
            <w:vAlign w:val="center"/>
          </w:tcPr>
          <w:p w14:paraId="0DA59CE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79.71</w:t>
            </w:r>
          </w:p>
        </w:tc>
      </w:tr>
      <w:tr w14:paraId="31BF5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7B5008E">
            <w:pPr>
              <w:keepNext w:val="0"/>
              <w:keepLines w:val="0"/>
              <w:widowControl/>
              <w:suppressLineNumbers w:val="0"/>
              <w:ind w:left="0" w:firstLine="0"/>
              <w:jc w:val="center"/>
              <w:rPr>
                <w:rFonts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815</w:t>
            </w:r>
          </w:p>
        </w:tc>
        <w:tc>
          <w:tcPr>
            <w:tcW w:w="1626" w:type="dxa"/>
            <w:noWrap w:val="0"/>
            <w:vAlign w:val="center"/>
          </w:tcPr>
          <w:p w14:paraId="76789BBD">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8.98E-03</w:t>
            </w:r>
          </w:p>
        </w:tc>
        <w:tc>
          <w:tcPr>
            <w:tcW w:w="1381" w:type="dxa"/>
            <w:noWrap w:val="0"/>
            <w:vAlign w:val="center"/>
          </w:tcPr>
          <w:p w14:paraId="513B1FD3">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1.00</w:t>
            </w:r>
          </w:p>
        </w:tc>
        <w:tc>
          <w:tcPr>
            <w:tcW w:w="1445" w:type="dxa"/>
            <w:noWrap w:val="0"/>
            <w:vAlign w:val="center"/>
          </w:tcPr>
          <w:p w14:paraId="6C8CFDA1">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7.18E-01</w:t>
            </w:r>
          </w:p>
        </w:tc>
        <w:tc>
          <w:tcPr>
            <w:tcW w:w="1407" w:type="dxa"/>
            <w:noWrap w:val="0"/>
            <w:vAlign w:val="center"/>
          </w:tcPr>
          <w:p w14:paraId="285E3E16">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79.73</w:t>
            </w:r>
          </w:p>
        </w:tc>
      </w:tr>
      <w:tr w14:paraId="47650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7C369D6C">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825</w:t>
            </w:r>
          </w:p>
        </w:tc>
        <w:tc>
          <w:tcPr>
            <w:tcW w:w="1626" w:type="dxa"/>
            <w:noWrap w:val="0"/>
            <w:vAlign w:val="center"/>
          </w:tcPr>
          <w:p w14:paraId="3C85F06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8.98E-03</w:t>
            </w:r>
          </w:p>
        </w:tc>
        <w:tc>
          <w:tcPr>
            <w:tcW w:w="1381" w:type="dxa"/>
            <w:noWrap w:val="0"/>
            <w:vAlign w:val="center"/>
          </w:tcPr>
          <w:p w14:paraId="479C6DF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w:t>
            </w:r>
          </w:p>
        </w:tc>
        <w:tc>
          <w:tcPr>
            <w:tcW w:w="1445" w:type="dxa"/>
            <w:noWrap w:val="0"/>
            <w:vAlign w:val="center"/>
          </w:tcPr>
          <w:p w14:paraId="6E7FA18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7.17E-01</w:t>
            </w:r>
          </w:p>
        </w:tc>
        <w:tc>
          <w:tcPr>
            <w:tcW w:w="1407" w:type="dxa"/>
            <w:noWrap w:val="0"/>
            <w:vAlign w:val="center"/>
          </w:tcPr>
          <w:p w14:paraId="7801011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79.72</w:t>
            </w:r>
          </w:p>
        </w:tc>
      </w:tr>
      <w:tr w14:paraId="0A19E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52F8DCD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850</w:t>
            </w:r>
          </w:p>
        </w:tc>
        <w:tc>
          <w:tcPr>
            <w:tcW w:w="1626" w:type="dxa"/>
            <w:noWrap w:val="0"/>
            <w:vAlign w:val="center"/>
          </w:tcPr>
          <w:p w14:paraId="35036A8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8.97E-03</w:t>
            </w:r>
          </w:p>
        </w:tc>
        <w:tc>
          <w:tcPr>
            <w:tcW w:w="1381" w:type="dxa"/>
            <w:noWrap w:val="0"/>
            <w:vAlign w:val="center"/>
          </w:tcPr>
          <w:p w14:paraId="6B4D322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w:t>
            </w:r>
          </w:p>
        </w:tc>
        <w:tc>
          <w:tcPr>
            <w:tcW w:w="1445" w:type="dxa"/>
            <w:noWrap w:val="0"/>
            <w:vAlign w:val="center"/>
          </w:tcPr>
          <w:p w14:paraId="30CBC79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7.17E-01</w:t>
            </w:r>
          </w:p>
        </w:tc>
        <w:tc>
          <w:tcPr>
            <w:tcW w:w="1407" w:type="dxa"/>
            <w:noWrap w:val="0"/>
            <w:vAlign w:val="center"/>
          </w:tcPr>
          <w:p w14:paraId="19E4A4B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79.62</w:t>
            </w:r>
          </w:p>
        </w:tc>
      </w:tr>
      <w:tr w14:paraId="2D648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45E42B08">
            <w:pPr>
              <w:keepNext w:val="0"/>
              <w:keepLines w:val="0"/>
              <w:widowControl/>
              <w:suppressLineNumbers w:val="0"/>
              <w:ind w:left="0" w:firstLine="0"/>
              <w:jc w:val="center"/>
              <w:rPr>
                <w:rFonts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val="0"/>
                <w:bCs w:val="0"/>
                <w:color w:val="FF0000"/>
                <w:sz w:val="21"/>
                <w:szCs w:val="21"/>
                <w:vertAlign w:val="baseline"/>
                <w:lang w:val="en-US" w:eastAsia="zh-CN" w:bidi="ar"/>
              </w:rPr>
              <w:t>875</w:t>
            </w:r>
          </w:p>
        </w:tc>
        <w:tc>
          <w:tcPr>
            <w:tcW w:w="1626" w:type="dxa"/>
            <w:noWrap w:val="0"/>
            <w:vAlign w:val="center"/>
          </w:tcPr>
          <w:p w14:paraId="52E1A00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8.95E-03</w:t>
            </w:r>
          </w:p>
        </w:tc>
        <w:tc>
          <w:tcPr>
            <w:tcW w:w="1381" w:type="dxa"/>
            <w:noWrap w:val="0"/>
            <w:vAlign w:val="center"/>
          </w:tcPr>
          <w:p w14:paraId="5D23102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0.99</w:t>
            </w:r>
          </w:p>
        </w:tc>
        <w:tc>
          <w:tcPr>
            <w:tcW w:w="1445" w:type="dxa"/>
            <w:noWrap w:val="0"/>
            <w:vAlign w:val="center"/>
          </w:tcPr>
          <w:p w14:paraId="535084C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7.15E-01</w:t>
            </w:r>
          </w:p>
        </w:tc>
        <w:tc>
          <w:tcPr>
            <w:tcW w:w="1407" w:type="dxa"/>
            <w:noWrap w:val="0"/>
            <w:vAlign w:val="center"/>
          </w:tcPr>
          <w:p w14:paraId="7EAF59C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79.44</w:t>
            </w:r>
          </w:p>
        </w:tc>
      </w:tr>
      <w:tr w14:paraId="63F95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19FD738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900</w:t>
            </w:r>
          </w:p>
        </w:tc>
        <w:tc>
          <w:tcPr>
            <w:tcW w:w="1626" w:type="dxa"/>
            <w:noWrap w:val="0"/>
            <w:vAlign w:val="center"/>
          </w:tcPr>
          <w:p w14:paraId="6F2861F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8.92E-03</w:t>
            </w:r>
          </w:p>
        </w:tc>
        <w:tc>
          <w:tcPr>
            <w:tcW w:w="1381" w:type="dxa"/>
            <w:noWrap w:val="0"/>
            <w:vAlign w:val="center"/>
          </w:tcPr>
          <w:p w14:paraId="2ACC8D0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0.99</w:t>
            </w:r>
          </w:p>
        </w:tc>
        <w:tc>
          <w:tcPr>
            <w:tcW w:w="1445" w:type="dxa"/>
            <w:noWrap w:val="0"/>
            <w:vAlign w:val="center"/>
          </w:tcPr>
          <w:p w14:paraId="33629F7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7.13E-01</w:t>
            </w:r>
          </w:p>
        </w:tc>
        <w:tc>
          <w:tcPr>
            <w:tcW w:w="1407" w:type="dxa"/>
            <w:noWrap w:val="0"/>
            <w:vAlign w:val="center"/>
          </w:tcPr>
          <w:p w14:paraId="7544786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79.18</w:t>
            </w:r>
          </w:p>
        </w:tc>
      </w:tr>
      <w:tr w14:paraId="42906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15A6FE3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925</w:t>
            </w:r>
          </w:p>
        </w:tc>
        <w:tc>
          <w:tcPr>
            <w:tcW w:w="1626" w:type="dxa"/>
            <w:noWrap w:val="0"/>
            <w:vAlign w:val="center"/>
          </w:tcPr>
          <w:p w14:paraId="2A3F234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8.88E-03</w:t>
            </w:r>
          </w:p>
        </w:tc>
        <w:tc>
          <w:tcPr>
            <w:tcW w:w="1381" w:type="dxa"/>
            <w:noWrap w:val="0"/>
            <w:vAlign w:val="center"/>
          </w:tcPr>
          <w:p w14:paraId="02966CC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0.99</w:t>
            </w:r>
          </w:p>
        </w:tc>
        <w:tc>
          <w:tcPr>
            <w:tcW w:w="1445" w:type="dxa"/>
            <w:noWrap w:val="0"/>
            <w:vAlign w:val="center"/>
          </w:tcPr>
          <w:p w14:paraId="1EB5702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7.10E-01</w:t>
            </w:r>
          </w:p>
        </w:tc>
        <w:tc>
          <w:tcPr>
            <w:tcW w:w="1407" w:type="dxa"/>
            <w:noWrap w:val="0"/>
            <w:vAlign w:val="center"/>
          </w:tcPr>
          <w:p w14:paraId="07D05E1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78.84</w:t>
            </w:r>
          </w:p>
        </w:tc>
      </w:tr>
      <w:tr w14:paraId="174EF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1B9AD386">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950</w:t>
            </w:r>
          </w:p>
        </w:tc>
        <w:tc>
          <w:tcPr>
            <w:tcW w:w="1626" w:type="dxa"/>
            <w:noWrap w:val="0"/>
            <w:vAlign w:val="center"/>
          </w:tcPr>
          <w:p w14:paraId="315B582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8.84E-03</w:t>
            </w:r>
          </w:p>
        </w:tc>
        <w:tc>
          <w:tcPr>
            <w:tcW w:w="1381" w:type="dxa"/>
            <w:noWrap w:val="0"/>
            <w:vAlign w:val="center"/>
          </w:tcPr>
          <w:p w14:paraId="4C2EAB4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0.98</w:t>
            </w:r>
          </w:p>
        </w:tc>
        <w:tc>
          <w:tcPr>
            <w:tcW w:w="1445" w:type="dxa"/>
            <w:noWrap w:val="0"/>
            <w:vAlign w:val="center"/>
          </w:tcPr>
          <w:p w14:paraId="4C8CD11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7.06E-01</w:t>
            </w:r>
          </w:p>
        </w:tc>
        <w:tc>
          <w:tcPr>
            <w:tcW w:w="1407" w:type="dxa"/>
            <w:noWrap w:val="0"/>
            <w:vAlign w:val="center"/>
          </w:tcPr>
          <w:p w14:paraId="5EB7690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78.45</w:t>
            </w:r>
          </w:p>
        </w:tc>
      </w:tr>
      <w:tr w14:paraId="1B011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390784F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975</w:t>
            </w:r>
          </w:p>
        </w:tc>
        <w:tc>
          <w:tcPr>
            <w:tcW w:w="1626" w:type="dxa"/>
            <w:noWrap w:val="0"/>
            <w:vAlign w:val="center"/>
          </w:tcPr>
          <w:p w14:paraId="69B6920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8.79E-03</w:t>
            </w:r>
          </w:p>
        </w:tc>
        <w:tc>
          <w:tcPr>
            <w:tcW w:w="1381" w:type="dxa"/>
            <w:noWrap w:val="0"/>
            <w:vAlign w:val="center"/>
          </w:tcPr>
          <w:p w14:paraId="2A0E936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0.98</w:t>
            </w:r>
          </w:p>
        </w:tc>
        <w:tc>
          <w:tcPr>
            <w:tcW w:w="1445" w:type="dxa"/>
            <w:noWrap w:val="0"/>
            <w:vAlign w:val="center"/>
          </w:tcPr>
          <w:p w14:paraId="45D2D9D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7.02E-01</w:t>
            </w:r>
          </w:p>
        </w:tc>
        <w:tc>
          <w:tcPr>
            <w:tcW w:w="1407" w:type="dxa"/>
            <w:noWrap w:val="0"/>
            <w:vAlign w:val="center"/>
          </w:tcPr>
          <w:p w14:paraId="0843128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78.00</w:t>
            </w:r>
          </w:p>
        </w:tc>
      </w:tr>
      <w:tr w14:paraId="726FA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0DBF4AC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1000</w:t>
            </w:r>
          </w:p>
        </w:tc>
        <w:tc>
          <w:tcPr>
            <w:tcW w:w="1626" w:type="dxa"/>
            <w:noWrap w:val="0"/>
            <w:vAlign w:val="center"/>
          </w:tcPr>
          <w:p w14:paraId="362AAF6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8.73E-03</w:t>
            </w:r>
          </w:p>
        </w:tc>
        <w:tc>
          <w:tcPr>
            <w:tcW w:w="1381" w:type="dxa"/>
            <w:noWrap w:val="0"/>
            <w:vAlign w:val="center"/>
          </w:tcPr>
          <w:p w14:paraId="399721F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0.97</w:t>
            </w:r>
          </w:p>
        </w:tc>
        <w:tc>
          <w:tcPr>
            <w:tcW w:w="1445" w:type="dxa"/>
            <w:noWrap w:val="0"/>
            <w:vAlign w:val="center"/>
          </w:tcPr>
          <w:p w14:paraId="47F68C7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6.98E-01</w:t>
            </w:r>
          </w:p>
        </w:tc>
        <w:tc>
          <w:tcPr>
            <w:tcW w:w="1407" w:type="dxa"/>
            <w:noWrap w:val="0"/>
            <w:vAlign w:val="center"/>
          </w:tcPr>
          <w:p w14:paraId="5BB7D6B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77.51</w:t>
            </w:r>
          </w:p>
        </w:tc>
      </w:tr>
      <w:tr w14:paraId="56105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679B81D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1500</w:t>
            </w:r>
          </w:p>
        </w:tc>
        <w:tc>
          <w:tcPr>
            <w:tcW w:w="1626" w:type="dxa"/>
            <w:noWrap w:val="0"/>
            <w:vAlign w:val="center"/>
          </w:tcPr>
          <w:p w14:paraId="23BC110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7.20E-03</w:t>
            </w:r>
          </w:p>
        </w:tc>
        <w:tc>
          <w:tcPr>
            <w:tcW w:w="1381" w:type="dxa"/>
            <w:noWrap w:val="0"/>
            <w:vAlign w:val="center"/>
          </w:tcPr>
          <w:p w14:paraId="5AC2C75F">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0.80</w:t>
            </w:r>
          </w:p>
        </w:tc>
        <w:tc>
          <w:tcPr>
            <w:tcW w:w="1445" w:type="dxa"/>
            <w:noWrap w:val="0"/>
            <w:vAlign w:val="center"/>
          </w:tcPr>
          <w:p w14:paraId="242F5D0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5.75E-01</w:t>
            </w:r>
          </w:p>
        </w:tc>
        <w:tc>
          <w:tcPr>
            <w:tcW w:w="1407" w:type="dxa"/>
            <w:noWrap w:val="0"/>
            <w:vAlign w:val="center"/>
          </w:tcPr>
          <w:p w14:paraId="438CF4B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63.94</w:t>
            </w:r>
          </w:p>
        </w:tc>
      </w:tr>
      <w:tr w14:paraId="14A2B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08B7BCF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2000</w:t>
            </w:r>
          </w:p>
        </w:tc>
        <w:tc>
          <w:tcPr>
            <w:tcW w:w="1626" w:type="dxa"/>
            <w:noWrap w:val="0"/>
            <w:vAlign w:val="center"/>
          </w:tcPr>
          <w:p w14:paraId="4F61D6C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6.00E-03</w:t>
            </w:r>
          </w:p>
        </w:tc>
        <w:tc>
          <w:tcPr>
            <w:tcW w:w="1381" w:type="dxa"/>
            <w:noWrap w:val="0"/>
            <w:vAlign w:val="center"/>
          </w:tcPr>
          <w:p w14:paraId="73802A79">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0.67</w:t>
            </w:r>
          </w:p>
        </w:tc>
        <w:tc>
          <w:tcPr>
            <w:tcW w:w="1445" w:type="dxa"/>
            <w:noWrap w:val="0"/>
            <w:vAlign w:val="center"/>
          </w:tcPr>
          <w:p w14:paraId="3B972D2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4.80E-01</w:t>
            </w:r>
          </w:p>
        </w:tc>
        <w:tc>
          <w:tcPr>
            <w:tcW w:w="1407" w:type="dxa"/>
            <w:noWrap w:val="0"/>
            <w:vAlign w:val="center"/>
          </w:tcPr>
          <w:p w14:paraId="09D3378A">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53.3</w:t>
            </w:r>
          </w:p>
        </w:tc>
      </w:tr>
      <w:tr w14:paraId="26D6D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6DF7114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2500</w:t>
            </w:r>
          </w:p>
        </w:tc>
        <w:tc>
          <w:tcPr>
            <w:tcW w:w="1626" w:type="dxa"/>
            <w:noWrap w:val="0"/>
            <w:vAlign w:val="center"/>
          </w:tcPr>
          <w:p w14:paraId="4810AEF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5.13E-03</w:t>
            </w:r>
          </w:p>
        </w:tc>
        <w:tc>
          <w:tcPr>
            <w:tcW w:w="1381" w:type="dxa"/>
            <w:noWrap w:val="0"/>
            <w:vAlign w:val="center"/>
          </w:tcPr>
          <w:p w14:paraId="5C09C636">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0.57</w:t>
            </w:r>
          </w:p>
        </w:tc>
        <w:tc>
          <w:tcPr>
            <w:tcW w:w="1445" w:type="dxa"/>
            <w:noWrap w:val="0"/>
            <w:vAlign w:val="center"/>
          </w:tcPr>
          <w:p w14:paraId="28FC9A1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4.10E-01</w:t>
            </w:r>
          </w:p>
        </w:tc>
        <w:tc>
          <w:tcPr>
            <w:tcW w:w="1407" w:type="dxa"/>
            <w:noWrap w:val="0"/>
            <w:vAlign w:val="center"/>
          </w:tcPr>
          <w:p w14:paraId="53F6983B">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45.53</w:t>
            </w:r>
          </w:p>
        </w:tc>
      </w:tr>
      <w:tr w14:paraId="1D6E4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2061" w:type="dxa"/>
            <w:noWrap w:val="0"/>
            <w:vAlign w:val="center"/>
          </w:tcPr>
          <w:p w14:paraId="5F34679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最大占标距离m</w:t>
            </w:r>
          </w:p>
        </w:tc>
        <w:tc>
          <w:tcPr>
            <w:tcW w:w="5859" w:type="dxa"/>
            <w:gridSpan w:val="4"/>
            <w:noWrap w:val="0"/>
            <w:vAlign w:val="center"/>
          </w:tcPr>
          <w:p w14:paraId="48F5392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815</w:t>
            </w:r>
          </w:p>
        </w:tc>
      </w:tr>
      <w:tr w14:paraId="35D96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061" w:type="dxa"/>
            <w:noWrap w:val="0"/>
            <w:vAlign w:val="center"/>
          </w:tcPr>
          <w:p w14:paraId="2137397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ascii="Times New Roman" w:hAnsi="Times New Roman" w:eastAsia="宋体" w:cs="Times New Roman"/>
                <w:color w:val="FF0000"/>
                <w:sz w:val="21"/>
                <w:szCs w:val="21"/>
                <w:vertAlign w:val="baseline"/>
                <w:lang w:val="en-US" w:eastAsia="zh-CN" w:bidi="ar"/>
              </w:rPr>
              <w:t>最大占标率</w:t>
            </w:r>
            <w:r>
              <w:rPr>
                <w:rFonts w:hint="eastAsia" w:ascii="Times New Roman" w:hAnsi="Times New Roman" w:eastAsia="宋体" w:cs="Times New Roman"/>
                <w:color w:val="FF0000"/>
                <w:sz w:val="21"/>
                <w:szCs w:val="21"/>
                <w:vertAlign w:val="baseline"/>
                <w:lang w:val="en-US" w:eastAsia="zh-CN" w:bidi="ar"/>
              </w:rPr>
              <w:t>%</w:t>
            </w:r>
          </w:p>
        </w:tc>
        <w:tc>
          <w:tcPr>
            <w:tcW w:w="3007" w:type="dxa"/>
            <w:gridSpan w:val="2"/>
            <w:noWrap w:val="0"/>
            <w:vAlign w:val="center"/>
          </w:tcPr>
          <w:p w14:paraId="7E85B15E">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w:t>
            </w:r>
          </w:p>
        </w:tc>
        <w:tc>
          <w:tcPr>
            <w:tcW w:w="2852" w:type="dxa"/>
            <w:gridSpan w:val="2"/>
            <w:noWrap w:val="0"/>
            <w:vAlign w:val="center"/>
          </w:tcPr>
          <w:p w14:paraId="4123301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79.73</w:t>
            </w:r>
          </w:p>
        </w:tc>
      </w:tr>
      <w:tr w14:paraId="65E9D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2061" w:type="dxa"/>
            <w:noWrap w:val="0"/>
            <w:vAlign w:val="center"/>
          </w:tcPr>
          <w:p w14:paraId="55CEA7B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ascii="Times New Roman" w:hAnsi="Times New Roman" w:eastAsia="宋体" w:cs="Times New Roman"/>
                <w:color w:val="FF0000"/>
                <w:sz w:val="21"/>
                <w:szCs w:val="21"/>
                <w:vertAlign w:val="baseline"/>
                <w:lang w:val="en-US" w:eastAsia="zh-CN" w:bidi="ar"/>
              </w:rPr>
              <w:t>D10%最远距离</w:t>
            </w:r>
          </w:p>
        </w:tc>
        <w:tc>
          <w:tcPr>
            <w:tcW w:w="3007" w:type="dxa"/>
            <w:gridSpan w:val="2"/>
            <w:noWrap w:val="0"/>
            <w:vAlign w:val="center"/>
          </w:tcPr>
          <w:p w14:paraId="4FDD9F2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ascii="Times New Roman" w:hAnsi="Times New Roman" w:eastAsia="宋体" w:cs="Times New Roman"/>
                <w:color w:val="FF0000"/>
                <w:sz w:val="21"/>
                <w:szCs w:val="21"/>
                <w:vertAlign w:val="baseline"/>
                <w:lang w:val="en-US" w:eastAsia="zh-CN" w:bidi="ar"/>
              </w:rPr>
              <w:t>0</w:t>
            </w:r>
          </w:p>
        </w:tc>
        <w:tc>
          <w:tcPr>
            <w:tcW w:w="2852" w:type="dxa"/>
            <w:gridSpan w:val="2"/>
            <w:noWrap w:val="0"/>
            <w:vAlign w:val="center"/>
          </w:tcPr>
          <w:p w14:paraId="65E5C2F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2500m</w:t>
            </w:r>
          </w:p>
        </w:tc>
      </w:tr>
    </w:tbl>
    <w:p w14:paraId="4EAA62C4">
      <w:pPr>
        <w:keepNext/>
        <w:keepLines w:val="0"/>
        <w:pageBreakBefore w:val="0"/>
        <w:widowControl/>
        <w:spacing w:line="360" w:lineRule="auto"/>
        <w:ind w:firstLine="1687"/>
        <w:jc w:val="left"/>
        <w:rPr>
          <w:rFonts w:hint="eastAsia" w:eastAsia="宋体"/>
          <w:b/>
          <w:color w:val="000000"/>
          <w:sz w:val="24"/>
          <w:lang w:eastAsia="zh-CN"/>
        </w:rPr>
      </w:pPr>
      <w:r>
        <w:rPr>
          <w:b/>
          <w:color w:val="000000"/>
          <w:sz w:val="24"/>
        </w:rPr>
        <w:t>表</w:t>
      </w:r>
      <w:r>
        <w:rPr>
          <w:rFonts w:hint="eastAsia"/>
          <w:b/>
          <w:bCs/>
          <w:color w:val="000000"/>
          <w:sz w:val="24"/>
          <w:lang w:val="en-US" w:eastAsia="zh-CN"/>
        </w:rPr>
        <w:t>6.2</w:t>
      </w:r>
      <w:r>
        <w:rPr>
          <w:b/>
          <w:bCs/>
          <w:color w:val="000000"/>
          <w:sz w:val="24"/>
        </w:rPr>
        <w:t>-</w:t>
      </w:r>
      <w:r>
        <w:rPr>
          <w:rFonts w:hint="eastAsia"/>
          <w:b/>
          <w:bCs/>
          <w:color w:val="000000"/>
          <w:sz w:val="24"/>
          <w:lang w:val="en-US" w:eastAsia="zh-CN"/>
        </w:rPr>
        <w:t>16</w:t>
      </w:r>
      <w:r>
        <w:rPr>
          <w:b/>
          <w:bCs/>
          <w:color w:val="000000"/>
          <w:sz w:val="24"/>
        </w:rPr>
        <w:t xml:space="preserve"> </w:t>
      </w:r>
      <w:r>
        <w:rPr>
          <w:b/>
          <w:color w:val="000000"/>
          <w:sz w:val="24"/>
        </w:rPr>
        <w:t>项目</w:t>
      </w:r>
      <w:r>
        <w:rPr>
          <w:rFonts w:hint="eastAsia"/>
          <w:b/>
          <w:color w:val="000000"/>
          <w:sz w:val="24"/>
          <w:lang w:val="en-US" w:eastAsia="zh-CN"/>
        </w:rPr>
        <w:t>有组织废气SO</w:t>
      </w:r>
      <w:r>
        <w:rPr>
          <w:rFonts w:hint="eastAsia"/>
          <w:b/>
          <w:color w:val="000000"/>
          <w:sz w:val="24"/>
          <w:vertAlign w:val="subscript"/>
          <w:lang w:val="en-US" w:eastAsia="zh-CN"/>
        </w:rPr>
        <w:t>2</w:t>
      </w:r>
      <w:r>
        <w:rPr>
          <w:rFonts w:hint="eastAsia"/>
          <w:b/>
          <w:color w:val="000000"/>
          <w:sz w:val="24"/>
          <w:lang w:val="en-US" w:eastAsia="zh-CN"/>
        </w:rPr>
        <w:t>、NO</w:t>
      </w:r>
      <w:r>
        <w:rPr>
          <w:rFonts w:hint="eastAsia"/>
          <w:b/>
          <w:color w:val="000000"/>
          <w:sz w:val="24"/>
          <w:vertAlign w:val="subscript"/>
          <w:lang w:val="en-US" w:eastAsia="zh-CN"/>
        </w:rPr>
        <w:t>X</w:t>
      </w:r>
      <w:r>
        <w:rPr>
          <w:rFonts w:hint="eastAsia"/>
          <w:b/>
          <w:color w:val="000000"/>
          <w:sz w:val="24"/>
        </w:rPr>
        <w:t>估算模型计算结果</w:t>
      </w:r>
    </w:p>
    <w:tbl>
      <w:tblPr>
        <w:tblStyle w:val="32"/>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0"/>
        <w:gridCol w:w="1215"/>
        <w:gridCol w:w="1050"/>
        <w:gridCol w:w="1042"/>
        <w:gridCol w:w="983"/>
        <w:gridCol w:w="1035"/>
        <w:gridCol w:w="1025"/>
        <w:gridCol w:w="5"/>
        <w:gridCol w:w="1122"/>
        <w:gridCol w:w="807"/>
      </w:tblGrid>
      <w:tr w14:paraId="43399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vMerge w:val="restart"/>
            <w:noWrap w:val="0"/>
            <w:vAlign w:val="center"/>
          </w:tcPr>
          <w:p w14:paraId="29325A0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距源中心下风向距离D/m</w:t>
            </w:r>
          </w:p>
        </w:tc>
        <w:tc>
          <w:tcPr>
            <w:tcW w:w="2265" w:type="dxa"/>
            <w:gridSpan w:val="2"/>
            <w:noWrap w:val="0"/>
            <w:vAlign w:val="center"/>
          </w:tcPr>
          <w:p w14:paraId="01C1280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SO</w:t>
            </w:r>
            <w:r>
              <w:rPr>
                <w:rFonts w:hint="eastAsia" w:ascii="Times New Roman" w:hAnsi="Times New Roman" w:eastAsia="宋体" w:cs="Times New Roman"/>
                <w:color w:val="FF0000"/>
                <w:sz w:val="21"/>
                <w:szCs w:val="21"/>
                <w:vertAlign w:val="subscript"/>
                <w:lang w:val="en-US" w:eastAsia="zh-CN" w:bidi="ar"/>
              </w:rPr>
              <w:t>2</w:t>
            </w:r>
            <w:r>
              <w:rPr>
                <w:rFonts w:hint="eastAsia" w:ascii="Times New Roman" w:hAnsi="Times New Roman" w:eastAsia="宋体" w:cs="Times New Roman"/>
                <w:color w:val="FF0000"/>
                <w:sz w:val="21"/>
                <w:szCs w:val="21"/>
                <w:vertAlign w:val="baseline"/>
                <w:lang w:val="en-US" w:eastAsia="zh-CN" w:bidi="ar"/>
              </w:rPr>
              <w:t>（正常情况）</w:t>
            </w:r>
          </w:p>
        </w:tc>
        <w:tc>
          <w:tcPr>
            <w:tcW w:w="2025" w:type="dxa"/>
            <w:gridSpan w:val="2"/>
            <w:noWrap w:val="0"/>
            <w:vAlign w:val="center"/>
          </w:tcPr>
          <w:p w14:paraId="7E67EB5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SO</w:t>
            </w:r>
            <w:r>
              <w:rPr>
                <w:rFonts w:hint="eastAsia" w:ascii="Times New Roman" w:hAnsi="Times New Roman" w:eastAsia="宋体" w:cs="Times New Roman"/>
                <w:color w:val="FF0000"/>
                <w:sz w:val="21"/>
                <w:szCs w:val="21"/>
                <w:vertAlign w:val="subscript"/>
                <w:lang w:val="en-US" w:eastAsia="zh-CN" w:bidi="ar"/>
              </w:rPr>
              <w:t>2</w:t>
            </w:r>
            <w:r>
              <w:rPr>
                <w:rFonts w:hint="eastAsia" w:ascii="Times New Roman" w:hAnsi="Times New Roman" w:eastAsia="宋体" w:cs="Times New Roman"/>
                <w:color w:val="FF0000"/>
                <w:sz w:val="21"/>
                <w:szCs w:val="21"/>
                <w:vertAlign w:val="baseline"/>
                <w:lang w:val="en-US" w:eastAsia="zh-CN" w:bidi="ar"/>
              </w:rPr>
              <w:t>（非正常情况）</w:t>
            </w:r>
          </w:p>
        </w:tc>
        <w:tc>
          <w:tcPr>
            <w:tcW w:w="2060" w:type="dxa"/>
            <w:gridSpan w:val="2"/>
            <w:noWrap w:val="0"/>
            <w:vAlign w:val="center"/>
          </w:tcPr>
          <w:p w14:paraId="3AB8BFC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NOx（正常情况）</w:t>
            </w:r>
          </w:p>
        </w:tc>
        <w:tc>
          <w:tcPr>
            <w:tcW w:w="1934" w:type="dxa"/>
            <w:gridSpan w:val="3"/>
            <w:noWrap w:val="0"/>
            <w:vAlign w:val="center"/>
          </w:tcPr>
          <w:p w14:paraId="3691364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NOx（非正常情况）</w:t>
            </w:r>
          </w:p>
        </w:tc>
      </w:tr>
      <w:tr w14:paraId="1C0D1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6" w:hRule="atLeast"/>
          <w:jc w:val="center"/>
        </w:trPr>
        <w:tc>
          <w:tcPr>
            <w:tcW w:w="1130" w:type="dxa"/>
            <w:vMerge w:val="continue"/>
            <w:noWrap w:val="0"/>
            <w:vAlign w:val="center"/>
          </w:tcPr>
          <w:p w14:paraId="1880F27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p>
        </w:tc>
        <w:tc>
          <w:tcPr>
            <w:tcW w:w="1215" w:type="dxa"/>
            <w:noWrap w:val="0"/>
            <w:vAlign w:val="center"/>
          </w:tcPr>
          <w:p w14:paraId="3DEA2D6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小时浓度mg/m</w:t>
            </w:r>
            <w:r>
              <w:rPr>
                <w:rFonts w:hint="eastAsia" w:ascii="Times New Roman" w:hAnsi="Times New Roman" w:eastAsia="宋体" w:cs="Times New Roman"/>
                <w:color w:val="FF0000"/>
                <w:sz w:val="21"/>
                <w:szCs w:val="21"/>
                <w:vertAlign w:val="superscript"/>
                <w:lang w:val="en-US" w:eastAsia="zh-CN" w:bidi="ar"/>
              </w:rPr>
              <w:t>3</w:t>
            </w:r>
          </w:p>
        </w:tc>
        <w:tc>
          <w:tcPr>
            <w:tcW w:w="1050" w:type="dxa"/>
            <w:noWrap w:val="0"/>
            <w:vAlign w:val="center"/>
          </w:tcPr>
          <w:p w14:paraId="562766C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占标率%</w:t>
            </w:r>
          </w:p>
        </w:tc>
        <w:tc>
          <w:tcPr>
            <w:tcW w:w="1042" w:type="dxa"/>
            <w:noWrap w:val="0"/>
            <w:vAlign w:val="center"/>
          </w:tcPr>
          <w:p w14:paraId="721B262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小时浓度mg/m</w:t>
            </w:r>
            <w:r>
              <w:rPr>
                <w:rFonts w:hint="eastAsia" w:ascii="Times New Roman" w:hAnsi="Times New Roman" w:eastAsia="宋体" w:cs="Times New Roman"/>
                <w:color w:val="FF0000"/>
                <w:sz w:val="21"/>
                <w:szCs w:val="21"/>
                <w:vertAlign w:val="superscript"/>
                <w:lang w:val="en-US" w:eastAsia="zh-CN" w:bidi="ar"/>
              </w:rPr>
              <w:t>3</w:t>
            </w:r>
          </w:p>
        </w:tc>
        <w:tc>
          <w:tcPr>
            <w:tcW w:w="983" w:type="dxa"/>
            <w:noWrap w:val="0"/>
            <w:vAlign w:val="center"/>
          </w:tcPr>
          <w:p w14:paraId="3EFA49A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占标率%</w:t>
            </w:r>
          </w:p>
        </w:tc>
        <w:tc>
          <w:tcPr>
            <w:tcW w:w="1035" w:type="dxa"/>
            <w:noWrap w:val="0"/>
            <w:vAlign w:val="center"/>
          </w:tcPr>
          <w:p w14:paraId="50CE75A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小时浓度mg/m</w:t>
            </w:r>
            <w:r>
              <w:rPr>
                <w:rFonts w:hint="eastAsia" w:ascii="Times New Roman" w:hAnsi="Times New Roman" w:eastAsia="宋体" w:cs="Times New Roman"/>
                <w:color w:val="FF0000"/>
                <w:sz w:val="21"/>
                <w:szCs w:val="21"/>
                <w:vertAlign w:val="superscript"/>
                <w:lang w:val="en-US" w:eastAsia="zh-CN" w:bidi="ar"/>
              </w:rPr>
              <w:t>3</w:t>
            </w:r>
          </w:p>
        </w:tc>
        <w:tc>
          <w:tcPr>
            <w:tcW w:w="1025" w:type="dxa"/>
            <w:noWrap w:val="0"/>
            <w:vAlign w:val="center"/>
          </w:tcPr>
          <w:p w14:paraId="4B317F2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占标率%</w:t>
            </w:r>
          </w:p>
        </w:tc>
        <w:tc>
          <w:tcPr>
            <w:tcW w:w="1127" w:type="dxa"/>
            <w:gridSpan w:val="2"/>
            <w:noWrap w:val="0"/>
            <w:vAlign w:val="center"/>
          </w:tcPr>
          <w:p w14:paraId="4F689AE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小时浓度mg/m</w:t>
            </w:r>
            <w:r>
              <w:rPr>
                <w:rFonts w:hint="eastAsia" w:ascii="Times New Roman" w:hAnsi="Times New Roman" w:eastAsia="宋体" w:cs="Times New Roman"/>
                <w:color w:val="FF0000"/>
                <w:sz w:val="21"/>
                <w:szCs w:val="21"/>
                <w:vertAlign w:val="superscript"/>
                <w:lang w:val="en-US" w:eastAsia="zh-CN" w:bidi="ar"/>
              </w:rPr>
              <w:t>3</w:t>
            </w:r>
          </w:p>
        </w:tc>
        <w:tc>
          <w:tcPr>
            <w:tcW w:w="807" w:type="dxa"/>
            <w:noWrap w:val="0"/>
            <w:vAlign w:val="center"/>
          </w:tcPr>
          <w:p w14:paraId="36FBFF9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占标率%</w:t>
            </w:r>
          </w:p>
        </w:tc>
      </w:tr>
      <w:tr w14:paraId="17D59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F8E21B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w:t>
            </w:r>
          </w:p>
        </w:tc>
        <w:tc>
          <w:tcPr>
            <w:tcW w:w="1215" w:type="dxa"/>
            <w:noWrap w:val="0"/>
            <w:vAlign w:val="center"/>
          </w:tcPr>
          <w:p w14:paraId="5152C28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1.15E-07</w:t>
            </w:r>
          </w:p>
        </w:tc>
        <w:tc>
          <w:tcPr>
            <w:tcW w:w="1050" w:type="dxa"/>
            <w:noWrap w:val="0"/>
            <w:vAlign w:val="center"/>
          </w:tcPr>
          <w:p w14:paraId="11A6741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0.00</w:t>
            </w:r>
          </w:p>
        </w:tc>
        <w:tc>
          <w:tcPr>
            <w:tcW w:w="1042" w:type="dxa"/>
            <w:noWrap w:val="0"/>
            <w:vAlign w:val="center"/>
          </w:tcPr>
          <w:p w14:paraId="7715996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2.28E-07</w:t>
            </w:r>
          </w:p>
        </w:tc>
        <w:tc>
          <w:tcPr>
            <w:tcW w:w="983" w:type="dxa"/>
            <w:noWrap w:val="0"/>
            <w:vAlign w:val="center"/>
          </w:tcPr>
          <w:p w14:paraId="7C710BE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0.00</w:t>
            </w:r>
          </w:p>
        </w:tc>
        <w:tc>
          <w:tcPr>
            <w:tcW w:w="1035" w:type="dxa"/>
            <w:noWrap w:val="0"/>
            <w:vAlign w:val="center"/>
          </w:tcPr>
          <w:p w14:paraId="0FA4628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6.81E-07</w:t>
            </w:r>
          </w:p>
        </w:tc>
        <w:tc>
          <w:tcPr>
            <w:tcW w:w="1025" w:type="dxa"/>
            <w:noWrap w:val="0"/>
            <w:vAlign w:val="center"/>
          </w:tcPr>
          <w:p w14:paraId="1755A79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0.00</w:t>
            </w:r>
          </w:p>
        </w:tc>
        <w:tc>
          <w:tcPr>
            <w:tcW w:w="1127" w:type="dxa"/>
            <w:gridSpan w:val="2"/>
            <w:noWrap w:val="0"/>
            <w:vAlign w:val="center"/>
          </w:tcPr>
          <w:p w14:paraId="430B5E0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8.58E-07</w:t>
            </w:r>
          </w:p>
        </w:tc>
        <w:tc>
          <w:tcPr>
            <w:tcW w:w="807" w:type="dxa"/>
            <w:noWrap w:val="0"/>
            <w:vAlign w:val="center"/>
          </w:tcPr>
          <w:p w14:paraId="60DCC69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0.00</w:t>
            </w:r>
          </w:p>
        </w:tc>
      </w:tr>
      <w:tr w14:paraId="2D1CB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0E156E22">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w:t>
            </w:r>
          </w:p>
        </w:tc>
        <w:tc>
          <w:tcPr>
            <w:tcW w:w="1215" w:type="dxa"/>
            <w:noWrap w:val="0"/>
            <w:vAlign w:val="center"/>
          </w:tcPr>
          <w:p w14:paraId="046A658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3.81E-05</w:t>
            </w:r>
          </w:p>
        </w:tc>
        <w:tc>
          <w:tcPr>
            <w:tcW w:w="1050" w:type="dxa"/>
            <w:noWrap w:val="0"/>
            <w:vAlign w:val="center"/>
          </w:tcPr>
          <w:p w14:paraId="4A16540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0.01</w:t>
            </w:r>
          </w:p>
        </w:tc>
        <w:tc>
          <w:tcPr>
            <w:tcW w:w="1042" w:type="dxa"/>
            <w:noWrap w:val="0"/>
            <w:vAlign w:val="center"/>
          </w:tcPr>
          <w:p w14:paraId="693E68C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7.52E-05</w:t>
            </w:r>
          </w:p>
        </w:tc>
        <w:tc>
          <w:tcPr>
            <w:tcW w:w="983" w:type="dxa"/>
            <w:noWrap w:val="0"/>
            <w:vAlign w:val="center"/>
          </w:tcPr>
          <w:p w14:paraId="7861701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0.02</w:t>
            </w:r>
          </w:p>
        </w:tc>
        <w:tc>
          <w:tcPr>
            <w:tcW w:w="1035" w:type="dxa"/>
            <w:noWrap w:val="0"/>
            <w:vAlign w:val="center"/>
          </w:tcPr>
          <w:p w14:paraId="4595111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2.25E-04</w:t>
            </w:r>
          </w:p>
        </w:tc>
        <w:tc>
          <w:tcPr>
            <w:tcW w:w="1025" w:type="dxa"/>
            <w:noWrap w:val="0"/>
            <w:vAlign w:val="center"/>
          </w:tcPr>
          <w:p w14:paraId="528D113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0.09</w:t>
            </w:r>
          </w:p>
        </w:tc>
        <w:tc>
          <w:tcPr>
            <w:tcW w:w="1127" w:type="dxa"/>
            <w:gridSpan w:val="2"/>
            <w:noWrap w:val="0"/>
            <w:vAlign w:val="center"/>
          </w:tcPr>
          <w:p w14:paraId="4881F89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2.83E-04</w:t>
            </w:r>
          </w:p>
        </w:tc>
        <w:tc>
          <w:tcPr>
            <w:tcW w:w="807" w:type="dxa"/>
            <w:noWrap w:val="0"/>
            <w:vAlign w:val="center"/>
          </w:tcPr>
          <w:p w14:paraId="1F94100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0.11</w:t>
            </w:r>
          </w:p>
        </w:tc>
      </w:tr>
      <w:tr w14:paraId="7768D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3BFE607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w:t>
            </w:r>
          </w:p>
        </w:tc>
        <w:tc>
          <w:tcPr>
            <w:tcW w:w="1215" w:type="dxa"/>
            <w:noWrap w:val="0"/>
            <w:vAlign w:val="center"/>
          </w:tcPr>
          <w:p w14:paraId="53565F7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1.90E-04</w:t>
            </w:r>
          </w:p>
        </w:tc>
        <w:tc>
          <w:tcPr>
            <w:tcW w:w="1050" w:type="dxa"/>
            <w:noWrap w:val="0"/>
            <w:vAlign w:val="center"/>
          </w:tcPr>
          <w:p w14:paraId="56BD2A1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0.04</w:t>
            </w:r>
          </w:p>
        </w:tc>
        <w:tc>
          <w:tcPr>
            <w:tcW w:w="1042" w:type="dxa"/>
            <w:noWrap w:val="0"/>
            <w:vAlign w:val="center"/>
          </w:tcPr>
          <w:p w14:paraId="08B3AE1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3.74E-04</w:t>
            </w:r>
          </w:p>
        </w:tc>
        <w:tc>
          <w:tcPr>
            <w:tcW w:w="983" w:type="dxa"/>
            <w:noWrap w:val="0"/>
            <w:vAlign w:val="center"/>
          </w:tcPr>
          <w:p w14:paraId="5EBE1BB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0.07</w:t>
            </w:r>
          </w:p>
        </w:tc>
        <w:tc>
          <w:tcPr>
            <w:tcW w:w="1035" w:type="dxa"/>
            <w:noWrap w:val="0"/>
            <w:vAlign w:val="center"/>
          </w:tcPr>
          <w:p w14:paraId="3ABC4E5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1.12E-03</w:t>
            </w:r>
          </w:p>
        </w:tc>
        <w:tc>
          <w:tcPr>
            <w:tcW w:w="1025" w:type="dxa"/>
            <w:noWrap w:val="0"/>
            <w:vAlign w:val="center"/>
          </w:tcPr>
          <w:p w14:paraId="1CA30AE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0.45</w:t>
            </w:r>
          </w:p>
        </w:tc>
        <w:tc>
          <w:tcPr>
            <w:tcW w:w="1127" w:type="dxa"/>
            <w:gridSpan w:val="2"/>
            <w:noWrap w:val="0"/>
            <w:vAlign w:val="center"/>
          </w:tcPr>
          <w:p w14:paraId="6097F2E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1.41E-03</w:t>
            </w:r>
          </w:p>
        </w:tc>
        <w:tc>
          <w:tcPr>
            <w:tcW w:w="807" w:type="dxa"/>
            <w:noWrap w:val="0"/>
            <w:vAlign w:val="center"/>
          </w:tcPr>
          <w:p w14:paraId="0C2D6E2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0.56</w:t>
            </w:r>
          </w:p>
        </w:tc>
      </w:tr>
      <w:tr w14:paraId="54725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shd w:val="clear" w:color="auto" w:fill="FFFFFF"/>
            <w:noWrap w:val="0"/>
            <w:vAlign w:val="center"/>
          </w:tcPr>
          <w:p w14:paraId="2D6EAF1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w:t>
            </w:r>
          </w:p>
        </w:tc>
        <w:tc>
          <w:tcPr>
            <w:tcW w:w="1215" w:type="dxa"/>
            <w:shd w:val="clear" w:color="auto" w:fill="FFFFFF"/>
            <w:noWrap w:val="0"/>
            <w:vAlign w:val="center"/>
          </w:tcPr>
          <w:p w14:paraId="0A47A07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3.38E-04</w:t>
            </w:r>
          </w:p>
        </w:tc>
        <w:tc>
          <w:tcPr>
            <w:tcW w:w="1050" w:type="dxa"/>
            <w:shd w:val="clear" w:color="auto" w:fill="FFFFFF"/>
            <w:noWrap w:val="0"/>
            <w:vAlign w:val="center"/>
          </w:tcPr>
          <w:p w14:paraId="2B7494A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0.07</w:t>
            </w:r>
          </w:p>
        </w:tc>
        <w:tc>
          <w:tcPr>
            <w:tcW w:w="1042" w:type="dxa"/>
            <w:shd w:val="clear" w:color="auto" w:fill="FFFFFF"/>
            <w:noWrap w:val="0"/>
            <w:vAlign w:val="center"/>
          </w:tcPr>
          <w:p w14:paraId="1000886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6.67E-04</w:t>
            </w:r>
          </w:p>
        </w:tc>
        <w:tc>
          <w:tcPr>
            <w:tcW w:w="983" w:type="dxa"/>
            <w:shd w:val="clear" w:color="auto" w:fill="FFFFFF"/>
            <w:noWrap w:val="0"/>
            <w:vAlign w:val="center"/>
          </w:tcPr>
          <w:p w14:paraId="35AC905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0.13</w:t>
            </w:r>
          </w:p>
        </w:tc>
        <w:tc>
          <w:tcPr>
            <w:tcW w:w="1035" w:type="dxa"/>
            <w:shd w:val="clear" w:color="auto" w:fill="FFFFFF"/>
            <w:noWrap w:val="0"/>
            <w:vAlign w:val="center"/>
          </w:tcPr>
          <w:p w14:paraId="741E038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1.99E-03</w:t>
            </w:r>
          </w:p>
        </w:tc>
        <w:tc>
          <w:tcPr>
            <w:tcW w:w="1025" w:type="dxa"/>
            <w:shd w:val="clear" w:color="auto" w:fill="FFFFFF"/>
            <w:noWrap w:val="0"/>
            <w:vAlign w:val="center"/>
          </w:tcPr>
          <w:p w14:paraId="2AD9114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0.80</w:t>
            </w:r>
          </w:p>
        </w:tc>
        <w:tc>
          <w:tcPr>
            <w:tcW w:w="1127" w:type="dxa"/>
            <w:gridSpan w:val="2"/>
            <w:shd w:val="clear" w:color="auto" w:fill="FFFFFF"/>
            <w:noWrap w:val="0"/>
            <w:vAlign w:val="center"/>
          </w:tcPr>
          <w:p w14:paraId="267BE3F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2.51E-03</w:t>
            </w:r>
          </w:p>
        </w:tc>
        <w:tc>
          <w:tcPr>
            <w:tcW w:w="807" w:type="dxa"/>
            <w:shd w:val="clear" w:color="auto" w:fill="FFFFFF"/>
            <w:noWrap w:val="0"/>
            <w:vAlign w:val="center"/>
          </w:tcPr>
          <w:p w14:paraId="3ACDACC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1.01</w:t>
            </w:r>
          </w:p>
        </w:tc>
      </w:tr>
      <w:tr w14:paraId="09CBD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51FD590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w:t>
            </w:r>
          </w:p>
        </w:tc>
        <w:tc>
          <w:tcPr>
            <w:tcW w:w="1215" w:type="dxa"/>
            <w:noWrap w:val="0"/>
            <w:vAlign w:val="center"/>
          </w:tcPr>
          <w:p w14:paraId="366CA01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4.56E-04</w:t>
            </w:r>
          </w:p>
        </w:tc>
        <w:tc>
          <w:tcPr>
            <w:tcW w:w="1050" w:type="dxa"/>
            <w:noWrap w:val="0"/>
            <w:vAlign w:val="center"/>
          </w:tcPr>
          <w:p w14:paraId="6567D72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0.09</w:t>
            </w:r>
          </w:p>
        </w:tc>
        <w:tc>
          <w:tcPr>
            <w:tcW w:w="1042" w:type="dxa"/>
            <w:noWrap w:val="0"/>
            <w:vAlign w:val="center"/>
          </w:tcPr>
          <w:p w14:paraId="0DED886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9.00E-04</w:t>
            </w:r>
          </w:p>
        </w:tc>
        <w:tc>
          <w:tcPr>
            <w:tcW w:w="983" w:type="dxa"/>
            <w:noWrap w:val="0"/>
            <w:vAlign w:val="center"/>
          </w:tcPr>
          <w:p w14:paraId="4FFF84C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0.18</w:t>
            </w:r>
          </w:p>
        </w:tc>
        <w:tc>
          <w:tcPr>
            <w:tcW w:w="1035" w:type="dxa"/>
            <w:noWrap w:val="0"/>
            <w:vAlign w:val="center"/>
          </w:tcPr>
          <w:p w14:paraId="2374B0C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2.69E-03</w:t>
            </w:r>
          </w:p>
        </w:tc>
        <w:tc>
          <w:tcPr>
            <w:tcW w:w="1025" w:type="dxa"/>
            <w:noWrap w:val="0"/>
            <w:vAlign w:val="center"/>
          </w:tcPr>
          <w:p w14:paraId="018BB94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1.08</w:t>
            </w:r>
          </w:p>
        </w:tc>
        <w:tc>
          <w:tcPr>
            <w:tcW w:w="1127" w:type="dxa"/>
            <w:gridSpan w:val="2"/>
            <w:noWrap w:val="0"/>
            <w:vAlign w:val="center"/>
          </w:tcPr>
          <w:p w14:paraId="5EC4D04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3.39E-03</w:t>
            </w:r>
          </w:p>
        </w:tc>
        <w:tc>
          <w:tcPr>
            <w:tcW w:w="807" w:type="dxa"/>
            <w:noWrap w:val="0"/>
            <w:vAlign w:val="center"/>
          </w:tcPr>
          <w:p w14:paraId="2B5842E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1.36</w:t>
            </w:r>
          </w:p>
        </w:tc>
      </w:tr>
      <w:tr w14:paraId="3206F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1130" w:type="dxa"/>
            <w:shd w:val="clear" w:color="auto" w:fill="FFFFFF"/>
            <w:noWrap w:val="0"/>
            <w:vAlign w:val="center"/>
          </w:tcPr>
          <w:p w14:paraId="1C3EAEE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125</w:t>
            </w:r>
          </w:p>
        </w:tc>
        <w:tc>
          <w:tcPr>
            <w:tcW w:w="1215" w:type="dxa"/>
            <w:shd w:val="clear" w:color="auto" w:fill="FFFFFF"/>
            <w:noWrap w:val="0"/>
            <w:vAlign w:val="center"/>
          </w:tcPr>
          <w:p w14:paraId="36E2D9D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5.16E-04</w:t>
            </w:r>
          </w:p>
        </w:tc>
        <w:tc>
          <w:tcPr>
            <w:tcW w:w="1050" w:type="dxa"/>
            <w:shd w:val="clear" w:color="auto" w:fill="FFFFFF"/>
            <w:noWrap w:val="0"/>
            <w:vAlign w:val="center"/>
          </w:tcPr>
          <w:p w14:paraId="5B48975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0.10</w:t>
            </w:r>
          </w:p>
        </w:tc>
        <w:tc>
          <w:tcPr>
            <w:tcW w:w="1042" w:type="dxa"/>
            <w:shd w:val="clear" w:color="auto" w:fill="FFFFFF"/>
            <w:noWrap w:val="0"/>
            <w:vAlign w:val="center"/>
          </w:tcPr>
          <w:p w14:paraId="6D7855E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1.02E-03</w:t>
            </w:r>
          </w:p>
        </w:tc>
        <w:tc>
          <w:tcPr>
            <w:tcW w:w="983" w:type="dxa"/>
            <w:shd w:val="clear" w:color="auto" w:fill="FFFFFF"/>
            <w:noWrap w:val="0"/>
            <w:vAlign w:val="center"/>
          </w:tcPr>
          <w:p w14:paraId="4E99D80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0.20</w:t>
            </w:r>
          </w:p>
        </w:tc>
        <w:tc>
          <w:tcPr>
            <w:tcW w:w="1035" w:type="dxa"/>
            <w:shd w:val="clear" w:color="auto" w:fill="FFFFFF"/>
            <w:noWrap w:val="0"/>
            <w:vAlign w:val="center"/>
          </w:tcPr>
          <w:p w14:paraId="5635122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3.04E-03</w:t>
            </w:r>
          </w:p>
        </w:tc>
        <w:tc>
          <w:tcPr>
            <w:tcW w:w="1025" w:type="dxa"/>
            <w:shd w:val="clear" w:color="auto" w:fill="FFFFFF"/>
            <w:noWrap w:val="0"/>
            <w:vAlign w:val="center"/>
          </w:tcPr>
          <w:p w14:paraId="3E2184D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1.22</w:t>
            </w:r>
          </w:p>
        </w:tc>
        <w:tc>
          <w:tcPr>
            <w:tcW w:w="1127" w:type="dxa"/>
            <w:gridSpan w:val="2"/>
            <w:shd w:val="clear" w:color="auto" w:fill="FFFFFF"/>
            <w:noWrap w:val="0"/>
            <w:vAlign w:val="center"/>
          </w:tcPr>
          <w:p w14:paraId="3F33099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3.84E-03</w:t>
            </w:r>
          </w:p>
        </w:tc>
        <w:tc>
          <w:tcPr>
            <w:tcW w:w="807" w:type="dxa"/>
            <w:shd w:val="clear" w:color="auto" w:fill="FFFFFF"/>
            <w:noWrap w:val="0"/>
            <w:vAlign w:val="center"/>
          </w:tcPr>
          <w:p w14:paraId="5F7DDCF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1.54</w:t>
            </w:r>
          </w:p>
        </w:tc>
      </w:tr>
      <w:tr w14:paraId="02217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0A1534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150</w:t>
            </w:r>
          </w:p>
        </w:tc>
        <w:tc>
          <w:tcPr>
            <w:tcW w:w="1215" w:type="dxa"/>
            <w:noWrap w:val="0"/>
            <w:vAlign w:val="center"/>
          </w:tcPr>
          <w:p w14:paraId="4C50558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5.52E-04</w:t>
            </w:r>
          </w:p>
        </w:tc>
        <w:tc>
          <w:tcPr>
            <w:tcW w:w="1050" w:type="dxa"/>
            <w:noWrap w:val="0"/>
            <w:vAlign w:val="center"/>
          </w:tcPr>
          <w:p w14:paraId="0A76087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0.11</w:t>
            </w:r>
          </w:p>
        </w:tc>
        <w:tc>
          <w:tcPr>
            <w:tcW w:w="1042" w:type="dxa"/>
            <w:noWrap w:val="0"/>
            <w:vAlign w:val="center"/>
          </w:tcPr>
          <w:p w14:paraId="10EDE1C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1.09E-03</w:t>
            </w:r>
          </w:p>
        </w:tc>
        <w:tc>
          <w:tcPr>
            <w:tcW w:w="983" w:type="dxa"/>
            <w:noWrap w:val="0"/>
            <w:vAlign w:val="center"/>
          </w:tcPr>
          <w:p w14:paraId="2897C76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0.22</w:t>
            </w:r>
          </w:p>
        </w:tc>
        <w:tc>
          <w:tcPr>
            <w:tcW w:w="1035" w:type="dxa"/>
            <w:noWrap w:val="0"/>
            <w:vAlign w:val="center"/>
          </w:tcPr>
          <w:p w14:paraId="2B8604A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3.26E-03</w:t>
            </w:r>
          </w:p>
        </w:tc>
        <w:tc>
          <w:tcPr>
            <w:tcW w:w="1025" w:type="dxa"/>
            <w:noWrap w:val="0"/>
            <w:vAlign w:val="center"/>
          </w:tcPr>
          <w:p w14:paraId="33B7C76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1.30</w:t>
            </w:r>
          </w:p>
        </w:tc>
        <w:tc>
          <w:tcPr>
            <w:tcW w:w="1127" w:type="dxa"/>
            <w:gridSpan w:val="2"/>
            <w:noWrap w:val="0"/>
            <w:vAlign w:val="center"/>
          </w:tcPr>
          <w:p w14:paraId="640EE92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4.11E-03</w:t>
            </w:r>
          </w:p>
        </w:tc>
        <w:tc>
          <w:tcPr>
            <w:tcW w:w="807" w:type="dxa"/>
            <w:noWrap w:val="0"/>
            <w:vAlign w:val="center"/>
          </w:tcPr>
          <w:p w14:paraId="11D2EE6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1.64</w:t>
            </w:r>
          </w:p>
        </w:tc>
      </w:tr>
      <w:tr w14:paraId="7C4BA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0335D5A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175</w:t>
            </w:r>
          </w:p>
        </w:tc>
        <w:tc>
          <w:tcPr>
            <w:tcW w:w="1215" w:type="dxa"/>
            <w:noWrap w:val="0"/>
            <w:vAlign w:val="center"/>
          </w:tcPr>
          <w:p w14:paraId="3C1F825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5.56E-04</w:t>
            </w:r>
          </w:p>
        </w:tc>
        <w:tc>
          <w:tcPr>
            <w:tcW w:w="1050" w:type="dxa"/>
            <w:noWrap w:val="0"/>
            <w:vAlign w:val="center"/>
          </w:tcPr>
          <w:p w14:paraId="43AA87C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0.11</w:t>
            </w:r>
          </w:p>
        </w:tc>
        <w:tc>
          <w:tcPr>
            <w:tcW w:w="1042" w:type="dxa"/>
            <w:noWrap w:val="0"/>
            <w:vAlign w:val="center"/>
          </w:tcPr>
          <w:p w14:paraId="41CFF63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1.10E-03</w:t>
            </w:r>
          </w:p>
        </w:tc>
        <w:tc>
          <w:tcPr>
            <w:tcW w:w="983" w:type="dxa"/>
            <w:noWrap w:val="0"/>
            <w:vAlign w:val="center"/>
          </w:tcPr>
          <w:p w14:paraId="7990B48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0.22</w:t>
            </w:r>
          </w:p>
        </w:tc>
        <w:tc>
          <w:tcPr>
            <w:tcW w:w="1035" w:type="dxa"/>
            <w:noWrap w:val="0"/>
            <w:vAlign w:val="center"/>
          </w:tcPr>
          <w:p w14:paraId="30D7F6F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3.28E-03</w:t>
            </w:r>
          </w:p>
        </w:tc>
        <w:tc>
          <w:tcPr>
            <w:tcW w:w="1025" w:type="dxa"/>
            <w:noWrap w:val="0"/>
            <w:vAlign w:val="center"/>
          </w:tcPr>
          <w:p w14:paraId="2E7BDA9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1.31</w:t>
            </w:r>
          </w:p>
        </w:tc>
        <w:tc>
          <w:tcPr>
            <w:tcW w:w="1127" w:type="dxa"/>
            <w:gridSpan w:val="2"/>
            <w:noWrap w:val="0"/>
            <w:vAlign w:val="center"/>
          </w:tcPr>
          <w:p w14:paraId="7A145EC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4.13E-03</w:t>
            </w:r>
          </w:p>
        </w:tc>
        <w:tc>
          <w:tcPr>
            <w:tcW w:w="807" w:type="dxa"/>
            <w:noWrap w:val="0"/>
            <w:vAlign w:val="center"/>
          </w:tcPr>
          <w:p w14:paraId="4E6CFBE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1.65</w:t>
            </w:r>
          </w:p>
        </w:tc>
      </w:tr>
      <w:tr w14:paraId="427E1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56E9E42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200</w:t>
            </w:r>
          </w:p>
        </w:tc>
        <w:tc>
          <w:tcPr>
            <w:tcW w:w="1215" w:type="dxa"/>
            <w:noWrap w:val="0"/>
            <w:vAlign w:val="center"/>
          </w:tcPr>
          <w:p w14:paraId="32FC8ED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5.57E-04</w:t>
            </w:r>
          </w:p>
        </w:tc>
        <w:tc>
          <w:tcPr>
            <w:tcW w:w="1050" w:type="dxa"/>
            <w:noWrap w:val="0"/>
            <w:vAlign w:val="center"/>
          </w:tcPr>
          <w:p w14:paraId="2006AAF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0.11</w:t>
            </w:r>
          </w:p>
        </w:tc>
        <w:tc>
          <w:tcPr>
            <w:tcW w:w="1042" w:type="dxa"/>
            <w:noWrap w:val="0"/>
            <w:vAlign w:val="center"/>
          </w:tcPr>
          <w:p w14:paraId="531809B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1.10E-03</w:t>
            </w:r>
          </w:p>
        </w:tc>
        <w:tc>
          <w:tcPr>
            <w:tcW w:w="983" w:type="dxa"/>
            <w:noWrap w:val="0"/>
            <w:vAlign w:val="center"/>
          </w:tcPr>
          <w:p w14:paraId="72B9D91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0.22</w:t>
            </w:r>
          </w:p>
        </w:tc>
        <w:tc>
          <w:tcPr>
            <w:tcW w:w="1035" w:type="dxa"/>
            <w:noWrap w:val="0"/>
            <w:vAlign w:val="center"/>
          </w:tcPr>
          <w:p w14:paraId="63F93A8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3.28E-03</w:t>
            </w:r>
          </w:p>
        </w:tc>
        <w:tc>
          <w:tcPr>
            <w:tcW w:w="1025" w:type="dxa"/>
            <w:noWrap w:val="0"/>
            <w:vAlign w:val="center"/>
          </w:tcPr>
          <w:p w14:paraId="5C99EC0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1.31</w:t>
            </w:r>
          </w:p>
        </w:tc>
        <w:tc>
          <w:tcPr>
            <w:tcW w:w="1127" w:type="dxa"/>
            <w:gridSpan w:val="2"/>
            <w:noWrap w:val="0"/>
            <w:vAlign w:val="center"/>
          </w:tcPr>
          <w:p w14:paraId="70CE5B9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4.14E-03</w:t>
            </w:r>
          </w:p>
        </w:tc>
        <w:tc>
          <w:tcPr>
            <w:tcW w:w="807" w:type="dxa"/>
            <w:noWrap w:val="0"/>
            <w:vAlign w:val="center"/>
          </w:tcPr>
          <w:p w14:paraId="7A93E35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1.66</w:t>
            </w:r>
          </w:p>
        </w:tc>
      </w:tr>
      <w:tr w14:paraId="71546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60DEB35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225</w:t>
            </w:r>
          </w:p>
        </w:tc>
        <w:tc>
          <w:tcPr>
            <w:tcW w:w="1215" w:type="dxa"/>
            <w:noWrap w:val="0"/>
            <w:vAlign w:val="center"/>
          </w:tcPr>
          <w:p w14:paraId="1D40AAF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5.41E-04</w:t>
            </w:r>
          </w:p>
        </w:tc>
        <w:tc>
          <w:tcPr>
            <w:tcW w:w="1050" w:type="dxa"/>
            <w:noWrap w:val="0"/>
            <w:vAlign w:val="center"/>
          </w:tcPr>
          <w:p w14:paraId="5A0DD94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0.11</w:t>
            </w:r>
          </w:p>
        </w:tc>
        <w:tc>
          <w:tcPr>
            <w:tcW w:w="1042" w:type="dxa"/>
            <w:noWrap w:val="0"/>
            <w:vAlign w:val="center"/>
          </w:tcPr>
          <w:p w14:paraId="1E27896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1.07E-03</w:t>
            </w:r>
          </w:p>
        </w:tc>
        <w:tc>
          <w:tcPr>
            <w:tcW w:w="983" w:type="dxa"/>
            <w:noWrap w:val="0"/>
            <w:vAlign w:val="center"/>
          </w:tcPr>
          <w:p w14:paraId="4F2F3AE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0.21</w:t>
            </w:r>
          </w:p>
        </w:tc>
        <w:tc>
          <w:tcPr>
            <w:tcW w:w="1035" w:type="dxa"/>
            <w:noWrap w:val="0"/>
            <w:vAlign w:val="center"/>
          </w:tcPr>
          <w:p w14:paraId="397C473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3.19E-03</w:t>
            </w:r>
          </w:p>
        </w:tc>
        <w:tc>
          <w:tcPr>
            <w:tcW w:w="1025" w:type="dxa"/>
            <w:noWrap w:val="0"/>
            <w:vAlign w:val="center"/>
          </w:tcPr>
          <w:p w14:paraId="6ACD028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1.28</w:t>
            </w:r>
          </w:p>
        </w:tc>
        <w:tc>
          <w:tcPr>
            <w:tcW w:w="1127" w:type="dxa"/>
            <w:gridSpan w:val="2"/>
            <w:noWrap w:val="0"/>
            <w:vAlign w:val="center"/>
          </w:tcPr>
          <w:p w14:paraId="4E42711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4.02E-03</w:t>
            </w:r>
          </w:p>
        </w:tc>
        <w:tc>
          <w:tcPr>
            <w:tcW w:w="807" w:type="dxa"/>
            <w:noWrap w:val="0"/>
            <w:vAlign w:val="center"/>
          </w:tcPr>
          <w:p w14:paraId="5E105B7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1.61</w:t>
            </w:r>
          </w:p>
        </w:tc>
      </w:tr>
      <w:tr w14:paraId="45610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214E187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250</w:t>
            </w:r>
          </w:p>
        </w:tc>
        <w:tc>
          <w:tcPr>
            <w:tcW w:w="1215" w:type="dxa"/>
            <w:noWrap w:val="0"/>
            <w:vAlign w:val="center"/>
          </w:tcPr>
          <w:p w14:paraId="66A8C05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5.22E-04</w:t>
            </w:r>
          </w:p>
        </w:tc>
        <w:tc>
          <w:tcPr>
            <w:tcW w:w="1050" w:type="dxa"/>
            <w:noWrap w:val="0"/>
            <w:vAlign w:val="center"/>
          </w:tcPr>
          <w:p w14:paraId="1EFDC03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0.10</w:t>
            </w:r>
          </w:p>
        </w:tc>
        <w:tc>
          <w:tcPr>
            <w:tcW w:w="1042" w:type="dxa"/>
            <w:noWrap w:val="0"/>
            <w:vAlign w:val="center"/>
          </w:tcPr>
          <w:p w14:paraId="5CC054C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1.03E-03</w:t>
            </w:r>
          </w:p>
        </w:tc>
        <w:tc>
          <w:tcPr>
            <w:tcW w:w="983" w:type="dxa"/>
            <w:noWrap w:val="0"/>
            <w:vAlign w:val="center"/>
          </w:tcPr>
          <w:p w14:paraId="6E478C3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0.21</w:t>
            </w:r>
          </w:p>
        </w:tc>
        <w:tc>
          <w:tcPr>
            <w:tcW w:w="1035" w:type="dxa"/>
            <w:noWrap w:val="0"/>
            <w:vAlign w:val="center"/>
          </w:tcPr>
          <w:p w14:paraId="6AE0CBE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3.08E-03</w:t>
            </w:r>
          </w:p>
        </w:tc>
        <w:tc>
          <w:tcPr>
            <w:tcW w:w="1025" w:type="dxa"/>
            <w:noWrap w:val="0"/>
            <w:vAlign w:val="center"/>
          </w:tcPr>
          <w:p w14:paraId="3FB3E63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1.23</w:t>
            </w:r>
          </w:p>
        </w:tc>
        <w:tc>
          <w:tcPr>
            <w:tcW w:w="1127" w:type="dxa"/>
            <w:gridSpan w:val="2"/>
            <w:noWrap w:val="0"/>
            <w:vAlign w:val="center"/>
          </w:tcPr>
          <w:p w14:paraId="1283490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3.88E-03</w:t>
            </w:r>
          </w:p>
        </w:tc>
        <w:tc>
          <w:tcPr>
            <w:tcW w:w="807" w:type="dxa"/>
            <w:noWrap w:val="0"/>
            <w:vAlign w:val="center"/>
          </w:tcPr>
          <w:p w14:paraId="586B895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1.55</w:t>
            </w:r>
          </w:p>
        </w:tc>
      </w:tr>
      <w:tr w14:paraId="5116E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35EF965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275</w:t>
            </w:r>
          </w:p>
        </w:tc>
        <w:tc>
          <w:tcPr>
            <w:tcW w:w="1215" w:type="dxa"/>
            <w:noWrap w:val="0"/>
            <w:vAlign w:val="center"/>
          </w:tcPr>
          <w:p w14:paraId="4723FB2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4.98E-04</w:t>
            </w:r>
          </w:p>
        </w:tc>
        <w:tc>
          <w:tcPr>
            <w:tcW w:w="1050" w:type="dxa"/>
            <w:noWrap w:val="0"/>
            <w:vAlign w:val="center"/>
          </w:tcPr>
          <w:p w14:paraId="220634C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0.10</w:t>
            </w:r>
          </w:p>
        </w:tc>
        <w:tc>
          <w:tcPr>
            <w:tcW w:w="1042" w:type="dxa"/>
            <w:noWrap w:val="0"/>
            <w:vAlign w:val="center"/>
          </w:tcPr>
          <w:p w14:paraId="15316BD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9.83E-04</w:t>
            </w:r>
          </w:p>
        </w:tc>
        <w:tc>
          <w:tcPr>
            <w:tcW w:w="983" w:type="dxa"/>
            <w:noWrap w:val="0"/>
            <w:vAlign w:val="center"/>
          </w:tcPr>
          <w:p w14:paraId="52E3A81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0.20</w:t>
            </w:r>
          </w:p>
        </w:tc>
        <w:tc>
          <w:tcPr>
            <w:tcW w:w="1035" w:type="dxa"/>
            <w:noWrap w:val="0"/>
            <w:vAlign w:val="center"/>
          </w:tcPr>
          <w:p w14:paraId="40CF987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2.94E-03</w:t>
            </w:r>
          </w:p>
        </w:tc>
        <w:tc>
          <w:tcPr>
            <w:tcW w:w="1025" w:type="dxa"/>
            <w:noWrap w:val="0"/>
            <w:vAlign w:val="center"/>
          </w:tcPr>
          <w:p w14:paraId="2AC41A1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1.17</w:t>
            </w:r>
          </w:p>
        </w:tc>
        <w:tc>
          <w:tcPr>
            <w:tcW w:w="1127" w:type="dxa"/>
            <w:gridSpan w:val="2"/>
            <w:noWrap w:val="0"/>
            <w:vAlign w:val="center"/>
          </w:tcPr>
          <w:p w14:paraId="4987505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3.70E-03</w:t>
            </w:r>
          </w:p>
        </w:tc>
        <w:tc>
          <w:tcPr>
            <w:tcW w:w="807" w:type="dxa"/>
            <w:noWrap w:val="0"/>
            <w:vAlign w:val="center"/>
          </w:tcPr>
          <w:p w14:paraId="7152C29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1.48</w:t>
            </w:r>
          </w:p>
        </w:tc>
      </w:tr>
      <w:tr w14:paraId="4A407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44A022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300</w:t>
            </w:r>
          </w:p>
        </w:tc>
        <w:tc>
          <w:tcPr>
            <w:tcW w:w="1215" w:type="dxa"/>
            <w:noWrap w:val="0"/>
            <w:vAlign w:val="center"/>
          </w:tcPr>
          <w:p w14:paraId="0127244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4.81E-04</w:t>
            </w:r>
          </w:p>
        </w:tc>
        <w:tc>
          <w:tcPr>
            <w:tcW w:w="1050" w:type="dxa"/>
            <w:noWrap w:val="0"/>
            <w:vAlign w:val="center"/>
          </w:tcPr>
          <w:p w14:paraId="532BFB3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0.10</w:t>
            </w:r>
          </w:p>
        </w:tc>
        <w:tc>
          <w:tcPr>
            <w:tcW w:w="1042" w:type="dxa"/>
            <w:noWrap w:val="0"/>
            <w:vAlign w:val="center"/>
          </w:tcPr>
          <w:p w14:paraId="68F002C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9.50E-04</w:t>
            </w:r>
          </w:p>
        </w:tc>
        <w:tc>
          <w:tcPr>
            <w:tcW w:w="983" w:type="dxa"/>
            <w:noWrap w:val="0"/>
            <w:vAlign w:val="center"/>
          </w:tcPr>
          <w:p w14:paraId="6854A52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0.19</w:t>
            </w:r>
          </w:p>
        </w:tc>
        <w:tc>
          <w:tcPr>
            <w:tcW w:w="1035" w:type="dxa"/>
            <w:noWrap w:val="0"/>
            <w:vAlign w:val="center"/>
          </w:tcPr>
          <w:p w14:paraId="5BB4155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2.84E-03</w:t>
            </w:r>
          </w:p>
        </w:tc>
        <w:tc>
          <w:tcPr>
            <w:tcW w:w="1025" w:type="dxa"/>
            <w:noWrap w:val="0"/>
            <w:vAlign w:val="center"/>
          </w:tcPr>
          <w:p w14:paraId="0430F13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1.14</w:t>
            </w:r>
          </w:p>
        </w:tc>
        <w:tc>
          <w:tcPr>
            <w:tcW w:w="1127" w:type="dxa"/>
            <w:gridSpan w:val="2"/>
            <w:noWrap w:val="0"/>
            <w:vAlign w:val="center"/>
          </w:tcPr>
          <w:p w14:paraId="0ACDDE2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3.58E-03</w:t>
            </w:r>
          </w:p>
        </w:tc>
        <w:tc>
          <w:tcPr>
            <w:tcW w:w="807" w:type="dxa"/>
            <w:noWrap w:val="0"/>
            <w:vAlign w:val="center"/>
          </w:tcPr>
          <w:p w14:paraId="059453F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1.43</w:t>
            </w:r>
          </w:p>
        </w:tc>
      </w:tr>
      <w:tr w14:paraId="74C78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51E1E01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325</w:t>
            </w:r>
          </w:p>
        </w:tc>
        <w:tc>
          <w:tcPr>
            <w:tcW w:w="1215" w:type="dxa"/>
            <w:noWrap w:val="0"/>
            <w:vAlign w:val="center"/>
          </w:tcPr>
          <w:p w14:paraId="09D9EE9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4.66E-04</w:t>
            </w:r>
          </w:p>
        </w:tc>
        <w:tc>
          <w:tcPr>
            <w:tcW w:w="1050" w:type="dxa"/>
            <w:noWrap w:val="0"/>
            <w:vAlign w:val="center"/>
          </w:tcPr>
          <w:p w14:paraId="472EE78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0.09</w:t>
            </w:r>
          </w:p>
        </w:tc>
        <w:tc>
          <w:tcPr>
            <w:tcW w:w="1042" w:type="dxa"/>
            <w:noWrap w:val="0"/>
            <w:vAlign w:val="center"/>
          </w:tcPr>
          <w:p w14:paraId="7AA7F79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9.21E-04</w:t>
            </w:r>
          </w:p>
        </w:tc>
        <w:tc>
          <w:tcPr>
            <w:tcW w:w="983" w:type="dxa"/>
            <w:noWrap w:val="0"/>
            <w:vAlign w:val="center"/>
          </w:tcPr>
          <w:p w14:paraId="3BC9CD5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0.18</w:t>
            </w:r>
          </w:p>
        </w:tc>
        <w:tc>
          <w:tcPr>
            <w:tcW w:w="1035" w:type="dxa"/>
            <w:noWrap w:val="0"/>
            <w:vAlign w:val="center"/>
          </w:tcPr>
          <w:p w14:paraId="6E06C12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2.75E-03</w:t>
            </w:r>
          </w:p>
        </w:tc>
        <w:tc>
          <w:tcPr>
            <w:tcW w:w="1025" w:type="dxa"/>
            <w:noWrap w:val="0"/>
            <w:vAlign w:val="center"/>
          </w:tcPr>
          <w:p w14:paraId="6BB01B0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1.10</w:t>
            </w:r>
          </w:p>
        </w:tc>
        <w:tc>
          <w:tcPr>
            <w:tcW w:w="1127" w:type="dxa"/>
            <w:gridSpan w:val="2"/>
            <w:noWrap w:val="0"/>
            <w:vAlign w:val="center"/>
          </w:tcPr>
          <w:p w14:paraId="4F27E60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3.47E-03</w:t>
            </w:r>
          </w:p>
        </w:tc>
        <w:tc>
          <w:tcPr>
            <w:tcW w:w="807" w:type="dxa"/>
            <w:noWrap w:val="0"/>
            <w:vAlign w:val="center"/>
          </w:tcPr>
          <w:p w14:paraId="1613323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1.39</w:t>
            </w:r>
          </w:p>
        </w:tc>
      </w:tr>
      <w:tr w14:paraId="6A266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26CB2FD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350</w:t>
            </w:r>
          </w:p>
        </w:tc>
        <w:tc>
          <w:tcPr>
            <w:tcW w:w="1215" w:type="dxa"/>
            <w:noWrap w:val="0"/>
            <w:vAlign w:val="center"/>
          </w:tcPr>
          <w:p w14:paraId="42F707A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4.71E-04</w:t>
            </w:r>
          </w:p>
        </w:tc>
        <w:tc>
          <w:tcPr>
            <w:tcW w:w="1050" w:type="dxa"/>
            <w:noWrap w:val="0"/>
            <w:vAlign w:val="center"/>
          </w:tcPr>
          <w:p w14:paraId="3F81626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0.09</w:t>
            </w:r>
          </w:p>
        </w:tc>
        <w:tc>
          <w:tcPr>
            <w:tcW w:w="1042" w:type="dxa"/>
            <w:noWrap w:val="0"/>
            <w:vAlign w:val="center"/>
          </w:tcPr>
          <w:p w14:paraId="05DE094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9.30E-04</w:t>
            </w:r>
          </w:p>
        </w:tc>
        <w:tc>
          <w:tcPr>
            <w:tcW w:w="983" w:type="dxa"/>
            <w:noWrap w:val="0"/>
            <w:vAlign w:val="center"/>
          </w:tcPr>
          <w:p w14:paraId="2707C2A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0.19</w:t>
            </w:r>
          </w:p>
        </w:tc>
        <w:tc>
          <w:tcPr>
            <w:tcW w:w="1035" w:type="dxa"/>
            <w:noWrap w:val="0"/>
            <w:vAlign w:val="center"/>
          </w:tcPr>
          <w:p w14:paraId="53AF3E2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2.78E-03</w:t>
            </w:r>
          </w:p>
        </w:tc>
        <w:tc>
          <w:tcPr>
            <w:tcW w:w="1030" w:type="dxa"/>
            <w:gridSpan w:val="2"/>
            <w:noWrap w:val="0"/>
            <w:vAlign w:val="center"/>
          </w:tcPr>
          <w:p w14:paraId="775DCAE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1.11</w:t>
            </w:r>
          </w:p>
        </w:tc>
        <w:tc>
          <w:tcPr>
            <w:tcW w:w="1122" w:type="dxa"/>
            <w:noWrap w:val="0"/>
            <w:vAlign w:val="center"/>
          </w:tcPr>
          <w:p w14:paraId="6EB68C4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3.50E-03</w:t>
            </w:r>
          </w:p>
        </w:tc>
        <w:tc>
          <w:tcPr>
            <w:tcW w:w="807" w:type="dxa"/>
            <w:noWrap w:val="0"/>
            <w:vAlign w:val="center"/>
          </w:tcPr>
          <w:p w14:paraId="5CACED7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1.40</w:t>
            </w:r>
          </w:p>
        </w:tc>
      </w:tr>
      <w:tr w14:paraId="76631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418B8BB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375</w:t>
            </w:r>
          </w:p>
        </w:tc>
        <w:tc>
          <w:tcPr>
            <w:tcW w:w="1215" w:type="dxa"/>
            <w:noWrap w:val="0"/>
            <w:vAlign w:val="center"/>
          </w:tcPr>
          <w:p w14:paraId="7A2D57D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5.33E-04</w:t>
            </w:r>
          </w:p>
        </w:tc>
        <w:tc>
          <w:tcPr>
            <w:tcW w:w="1050" w:type="dxa"/>
            <w:noWrap w:val="0"/>
            <w:vAlign w:val="center"/>
          </w:tcPr>
          <w:p w14:paraId="4C3B9EF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0.11</w:t>
            </w:r>
          </w:p>
        </w:tc>
        <w:tc>
          <w:tcPr>
            <w:tcW w:w="1042" w:type="dxa"/>
            <w:noWrap w:val="0"/>
            <w:vAlign w:val="center"/>
          </w:tcPr>
          <w:p w14:paraId="06B23BD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1.05E-03</w:t>
            </w:r>
          </w:p>
        </w:tc>
        <w:tc>
          <w:tcPr>
            <w:tcW w:w="983" w:type="dxa"/>
            <w:noWrap w:val="0"/>
            <w:vAlign w:val="center"/>
          </w:tcPr>
          <w:p w14:paraId="6488818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0.21</w:t>
            </w:r>
          </w:p>
        </w:tc>
        <w:tc>
          <w:tcPr>
            <w:tcW w:w="1035" w:type="dxa"/>
            <w:noWrap w:val="0"/>
            <w:vAlign w:val="center"/>
          </w:tcPr>
          <w:p w14:paraId="7C742B3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3.15E-03</w:t>
            </w:r>
          </w:p>
        </w:tc>
        <w:tc>
          <w:tcPr>
            <w:tcW w:w="1030" w:type="dxa"/>
            <w:gridSpan w:val="2"/>
            <w:noWrap w:val="0"/>
            <w:vAlign w:val="center"/>
          </w:tcPr>
          <w:p w14:paraId="4ACB466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1.26</w:t>
            </w:r>
          </w:p>
        </w:tc>
        <w:tc>
          <w:tcPr>
            <w:tcW w:w="1122" w:type="dxa"/>
            <w:noWrap w:val="0"/>
            <w:vAlign w:val="center"/>
          </w:tcPr>
          <w:p w14:paraId="3F9D8B1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3.97E-03</w:t>
            </w:r>
          </w:p>
        </w:tc>
        <w:tc>
          <w:tcPr>
            <w:tcW w:w="807" w:type="dxa"/>
            <w:noWrap w:val="0"/>
            <w:vAlign w:val="center"/>
          </w:tcPr>
          <w:p w14:paraId="741AE0D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1.59</w:t>
            </w:r>
          </w:p>
        </w:tc>
      </w:tr>
      <w:tr w14:paraId="51E11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E32F8C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400</w:t>
            </w:r>
          </w:p>
        </w:tc>
        <w:tc>
          <w:tcPr>
            <w:tcW w:w="1215" w:type="dxa"/>
            <w:noWrap w:val="0"/>
            <w:vAlign w:val="center"/>
          </w:tcPr>
          <w:p w14:paraId="735D1AB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5.88E-04</w:t>
            </w:r>
          </w:p>
        </w:tc>
        <w:tc>
          <w:tcPr>
            <w:tcW w:w="1050" w:type="dxa"/>
            <w:noWrap w:val="0"/>
            <w:vAlign w:val="center"/>
          </w:tcPr>
          <w:p w14:paraId="6767963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0.12</w:t>
            </w:r>
          </w:p>
        </w:tc>
        <w:tc>
          <w:tcPr>
            <w:tcW w:w="1042" w:type="dxa"/>
            <w:noWrap w:val="0"/>
            <w:vAlign w:val="center"/>
          </w:tcPr>
          <w:p w14:paraId="3BDBC27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1.16E-03</w:t>
            </w:r>
          </w:p>
        </w:tc>
        <w:tc>
          <w:tcPr>
            <w:tcW w:w="983" w:type="dxa"/>
            <w:noWrap w:val="0"/>
            <w:vAlign w:val="center"/>
          </w:tcPr>
          <w:p w14:paraId="4249498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0.23</w:t>
            </w:r>
          </w:p>
        </w:tc>
        <w:tc>
          <w:tcPr>
            <w:tcW w:w="1035" w:type="dxa"/>
            <w:noWrap w:val="0"/>
            <w:vAlign w:val="center"/>
          </w:tcPr>
          <w:p w14:paraId="6C9A1EC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3.47E-03</w:t>
            </w:r>
          </w:p>
        </w:tc>
        <w:tc>
          <w:tcPr>
            <w:tcW w:w="1030" w:type="dxa"/>
            <w:gridSpan w:val="2"/>
            <w:noWrap w:val="0"/>
            <w:vAlign w:val="center"/>
          </w:tcPr>
          <w:p w14:paraId="6765128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1.39</w:t>
            </w:r>
          </w:p>
        </w:tc>
        <w:tc>
          <w:tcPr>
            <w:tcW w:w="1122" w:type="dxa"/>
            <w:noWrap w:val="0"/>
            <w:vAlign w:val="center"/>
          </w:tcPr>
          <w:p w14:paraId="76E484E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4.37E-03</w:t>
            </w:r>
          </w:p>
        </w:tc>
        <w:tc>
          <w:tcPr>
            <w:tcW w:w="807" w:type="dxa"/>
            <w:noWrap w:val="0"/>
            <w:vAlign w:val="center"/>
          </w:tcPr>
          <w:p w14:paraId="79DE0ED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1.75</w:t>
            </w:r>
          </w:p>
        </w:tc>
      </w:tr>
      <w:tr w14:paraId="3C8DA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739FF15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425</w:t>
            </w:r>
          </w:p>
        </w:tc>
        <w:tc>
          <w:tcPr>
            <w:tcW w:w="1215" w:type="dxa"/>
            <w:noWrap w:val="0"/>
            <w:vAlign w:val="center"/>
          </w:tcPr>
          <w:p w14:paraId="6E07B8C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6.42E-04</w:t>
            </w:r>
          </w:p>
        </w:tc>
        <w:tc>
          <w:tcPr>
            <w:tcW w:w="1050" w:type="dxa"/>
            <w:noWrap w:val="0"/>
            <w:vAlign w:val="center"/>
          </w:tcPr>
          <w:p w14:paraId="2E8560A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0.13</w:t>
            </w:r>
          </w:p>
        </w:tc>
        <w:tc>
          <w:tcPr>
            <w:tcW w:w="1042" w:type="dxa"/>
            <w:noWrap w:val="0"/>
            <w:vAlign w:val="center"/>
          </w:tcPr>
          <w:p w14:paraId="71C441F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1.27E-03</w:t>
            </w:r>
          </w:p>
        </w:tc>
        <w:tc>
          <w:tcPr>
            <w:tcW w:w="983" w:type="dxa"/>
            <w:noWrap w:val="0"/>
            <w:vAlign w:val="center"/>
          </w:tcPr>
          <w:p w14:paraId="44BC978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0.25</w:t>
            </w:r>
          </w:p>
        </w:tc>
        <w:tc>
          <w:tcPr>
            <w:tcW w:w="1035" w:type="dxa"/>
            <w:noWrap w:val="0"/>
            <w:vAlign w:val="center"/>
          </w:tcPr>
          <w:p w14:paraId="6A304D9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3.78E-03</w:t>
            </w:r>
          </w:p>
        </w:tc>
        <w:tc>
          <w:tcPr>
            <w:tcW w:w="1030" w:type="dxa"/>
            <w:gridSpan w:val="2"/>
            <w:noWrap w:val="0"/>
            <w:vAlign w:val="center"/>
          </w:tcPr>
          <w:p w14:paraId="24A6913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1.51</w:t>
            </w:r>
          </w:p>
        </w:tc>
        <w:tc>
          <w:tcPr>
            <w:tcW w:w="1122" w:type="dxa"/>
            <w:noWrap w:val="0"/>
            <w:vAlign w:val="center"/>
          </w:tcPr>
          <w:p w14:paraId="04DBDE2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4.77E-03</w:t>
            </w:r>
          </w:p>
        </w:tc>
        <w:tc>
          <w:tcPr>
            <w:tcW w:w="807" w:type="dxa"/>
            <w:noWrap w:val="0"/>
            <w:vAlign w:val="center"/>
          </w:tcPr>
          <w:p w14:paraId="369FD24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1.91</w:t>
            </w:r>
          </w:p>
        </w:tc>
      </w:tr>
      <w:tr w14:paraId="79198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371515B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450</w:t>
            </w:r>
          </w:p>
        </w:tc>
        <w:tc>
          <w:tcPr>
            <w:tcW w:w="1215" w:type="dxa"/>
            <w:noWrap w:val="0"/>
            <w:vAlign w:val="center"/>
          </w:tcPr>
          <w:p w14:paraId="445393E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6.89E-04</w:t>
            </w:r>
          </w:p>
        </w:tc>
        <w:tc>
          <w:tcPr>
            <w:tcW w:w="1050" w:type="dxa"/>
            <w:noWrap w:val="0"/>
            <w:vAlign w:val="center"/>
          </w:tcPr>
          <w:p w14:paraId="30C1468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0.14</w:t>
            </w:r>
          </w:p>
        </w:tc>
        <w:tc>
          <w:tcPr>
            <w:tcW w:w="1042" w:type="dxa"/>
            <w:noWrap w:val="0"/>
            <w:vAlign w:val="center"/>
          </w:tcPr>
          <w:p w14:paraId="32D2F55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1.36E-03</w:t>
            </w:r>
          </w:p>
        </w:tc>
        <w:tc>
          <w:tcPr>
            <w:tcW w:w="983" w:type="dxa"/>
            <w:noWrap w:val="0"/>
            <w:vAlign w:val="center"/>
          </w:tcPr>
          <w:p w14:paraId="52264AD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0.27</w:t>
            </w:r>
          </w:p>
        </w:tc>
        <w:tc>
          <w:tcPr>
            <w:tcW w:w="1035" w:type="dxa"/>
            <w:noWrap w:val="0"/>
            <w:vAlign w:val="center"/>
          </w:tcPr>
          <w:p w14:paraId="6F19D82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4.06E-03</w:t>
            </w:r>
          </w:p>
        </w:tc>
        <w:tc>
          <w:tcPr>
            <w:tcW w:w="1030" w:type="dxa"/>
            <w:gridSpan w:val="2"/>
            <w:noWrap w:val="0"/>
            <w:vAlign w:val="center"/>
          </w:tcPr>
          <w:p w14:paraId="6885F56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1.62</w:t>
            </w:r>
          </w:p>
        </w:tc>
        <w:tc>
          <w:tcPr>
            <w:tcW w:w="1122" w:type="dxa"/>
            <w:noWrap w:val="0"/>
            <w:vAlign w:val="center"/>
          </w:tcPr>
          <w:p w14:paraId="32B3D21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5.12E-03</w:t>
            </w:r>
          </w:p>
        </w:tc>
        <w:tc>
          <w:tcPr>
            <w:tcW w:w="807" w:type="dxa"/>
            <w:noWrap w:val="0"/>
            <w:vAlign w:val="center"/>
          </w:tcPr>
          <w:p w14:paraId="32F5705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2.05</w:t>
            </w:r>
          </w:p>
        </w:tc>
      </w:tr>
      <w:tr w14:paraId="4C0C5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4A2F8C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475</w:t>
            </w:r>
          </w:p>
        </w:tc>
        <w:tc>
          <w:tcPr>
            <w:tcW w:w="1215" w:type="dxa"/>
            <w:noWrap w:val="0"/>
            <w:vAlign w:val="center"/>
          </w:tcPr>
          <w:p w14:paraId="5D25500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7.29E-04</w:t>
            </w:r>
          </w:p>
        </w:tc>
        <w:tc>
          <w:tcPr>
            <w:tcW w:w="1050" w:type="dxa"/>
            <w:noWrap w:val="0"/>
            <w:vAlign w:val="center"/>
          </w:tcPr>
          <w:p w14:paraId="4F71132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0.15</w:t>
            </w:r>
          </w:p>
        </w:tc>
        <w:tc>
          <w:tcPr>
            <w:tcW w:w="1042" w:type="dxa"/>
            <w:noWrap w:val="0"/>
            <w:vAlign w:val="center"/>
          </w:tcPr>
          <w:p w14:paraId="0ADA45A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1.44E-03</w:t>
            </w:r>
          </w:p>
        </w:tc>
        <w:tc>
          <w:tcPr>
            <w:tcW w:w="983" w:type="dxa"/>
            <w:noWrap w:val="0"/>
            <w:vAlign w:val="center"/>
          </w:tcPr>
          <w:p w14:paraId="2FB0B74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0.29</w:t>
            </w:r>
          </w:p>
        </w:tc>
        <w:tc>
          <w:tcPr>
            <w:tcW w:w="1035" w:type="dxa"/>
            <w:noWrap w:val="0"/>
            <w:vAlign w:val="center"/>
          </w:tcPr>
          <w:p w14:paraId="7BF9A68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4.30E-03</w:t>
            </w:r>
          </w:p>
        </w:tc>
        <w:tc>
          <w:tcPr>
            <w:tcW w:w="1030" w:type="dxa"/>
            <w:gridSpan w:val="2"/>
            <w:noWrap w:val="0"/>
            <w:vAlign w:val="center"/>
          </w:tcPr>
          <w:p w14:paraId="5C68F95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1.72</w:t>
            </w:r>
          </w:p>
        </w:tc>
        <w:tc>
          <w:tcPr>
            <w:tcW w:w="1122" w:type="dxa"/>
            <w:noWrap w:val="0"/>
            <w:vAlign w:val="center"/>
          </w:tcPr>
          <w:p w14:paraId="289212F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5.42E-03</w:t>
            </w:r>
          </w:p>
        </w:tc>
        <w:tc>
          <w:tcPr>
            <w:tcW w:w="807" w:type="dxa"/>
            <w:noWrap w:val="0"/>
            <w:vAlign w:val="center"/>
          </w:tcPr>
          <w:p w14:paraId="4AB87CE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2.17</w:t>
            </w:r>
          </w:p>
        </w:tc>
      </w:tr>
      <w:tr w14:paraId="11853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3BAB33A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500</w:t>
            </w:r>
          </w:p>
        </w:tc>
        <w:tc>
          <w:tcPr>
            <w:tcW w:w="1215" w:type="dxa"/>
            <w:noWrap w:val="0"/>
            <w:vAlign w:val="center"/>
          </w:tcPr>
          <w:p w14:paraId="777D665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7.62E-04</w:t>
            </w:r>
          </w:p>
        </w:tc>
        <w:tc>
          <w:tcPr>
            <w:tcW w:w="1050" w:type="dxa"/>
            <w:noWrap w:val="0"/>
            <w:vAlign w:val="center"/>
          </w:tcPr>
          <w:p w14:paraId="5D195B6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0.15</w:t>
            </w:r>
          </w:p>
        </w:tc>
        <w:tc>
          <w:tcPr>
            <w:tcW w:w="1042" w:type="dxa"/>
            <w:noWrap w:val="0"/>
            <w:vAlign w:val="center"/>
          </w:tcPr>
          <w:p w14:paraId="150A58A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1.50E-03</w:t>
            </w:r>
          </w:p>
        </w:tc>
        <w:tc>
          <w:tcPr>
            <w:tcW w:w="983" w:type="dxa"/>
            <w:noWrap w:val="0"/>
            <w:vAlign w:val="center"/>
          </w:tcPr>
          <w:p w14:paraId="7358CB4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0.30</w:t>
            </w:r>
          </w:p>
        </w:tc>
        <w:tc>
          <w:tcPr>
            <w:tcW w:w="1035" w:type="dxa"/>
            <w:noWrap w:val="0"/>
            <w:vAlign w:val="center"/>
          </w:tcPr>
          <w:p w14:paraId="7FFB7D2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4.49E-03</w:t>
            </w:r>
          </w:p>
        </w:tc>
        <w:tc>
          <w:tcPr>
            <w:tcW w:w="1030" w:type="dxa"/>
            <w:gridSpan w:val="2"/>
            <w:noWrap w:val="0"/>
            <w:vAlign w:val="center"/>
          </w:tcPr>
          <w:p w14:paraId="666119B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1.80</w:t>
            </w:r>
          </w:p>
        </w:tc>
        <w:tc>
          <w:tcPr>
            <w:tcW w:w="1122" w:type="dxa"/>
            <w:noWrap w:val="0"/>
            <w:vAlign w:val="center"/>
          </w:tcPr>
          <w:p w14:paraId="2AAC6B8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5.67E-03</w:t>
            </w:r>
          </w:p>
        </w:tc>
        <w:tc>
          <w:tcPr>
            <w:tcW w:w="807" w:type="dxa"/>
            <w:noWrap w:val="0"/>
            <w:vAlign w:val="center"/>
          </w:tcPr>
          <w:p w14:paraId="64A0E42F">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2.27</w:t>
            </w:r>
          </w:p>
        </w:tc>
      </w:tr>
      <w:tr w14:paraId="7067A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457D6C9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525</w:t>
            </w:r>
          </w:p>
        </w:tc>
        <w:tc>
          <w:tcPr>
            <w:tcW w:w="1215" w:type="dxa"/>
            <w:noWrap w:val="0"/>
            <w:vAlign w:val="center"/>
          </w:tcPr>
          <w:p w14:paraId="07130D4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7.90E-04</w:t>
            </w:r>
          </w:p>
        </w:tc>
        <w:tc>
          <w:tcPr>
            <w:tcW w:w="1050" w:type="dxa"/>
            <w:noWrap w:val="0"/>
            <w:vAlign w:val="center"/>
          </w:tcPr>
          <w:p w14:paraId="72B9FE0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0.16</w:t>
            </w:r>
          </w:p>
        </w:tc>
        <w:tc>
          <w:tcPr>
            <w:tcW w:w="1042" w:type="dxa"/>
            <w:noWrap w:val="0"/>
            <w:vAlign w:val="center"/>
          </w:tcPr>
          <w:p w14:paraId="410534C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1.56E-03</w:t>
            </w:r>
          </w:p>
        </w:tc>
        <w:tc>
          <w:tcPr>
            <w:tcW w:w="983" w:type="dxa"/>
            <w:noWrap w:val="0"/>
            <w:vAlign w:val="center"/>
          </w:tcPr>
          <w:p w14:paraId="71EC829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0.31</w:t>
            </w:r>
          </w:p>
        </w:tc>
        <w:tc>
          <w:tcPr>
            <w:tcW w:w="1035" w:type="dxa"/>
            <w:noWrap w:val="0"/>
            <w:vAlign w:val="center"/>
          </w:tcPr>
          <w:p w14:paraId="2BAE15D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4.66E-03</w:t>
            </w:r>
          </w:p>
        </w:tc>
        <w:tc>
          <w:tcPr>
            <w:tcW w:w="1030" w:type="dxa"/>
            <w:gridSpan w:val="2"/>
            <w:noWrap w:val="0"/>
            <w:vAlign w:val="center"/>
          </w:tcPr>
          <w:p w14:paraId="3023778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1.86</w:t>
            </w:r>
          </w:p>
        </w:tc>
        <w:tc>
          <w:tcPr>
            <w:tcW w:w="1122" w:type="dxa"/>
            <w:noWrap w:val="0"/>
            <w:vAlign w:val="center"/>
          </w:tcPr>
          <w:p w14:paraId="30D7F53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5.87E-03</w:t>
            </w:r>
          </w:p>
        </w:tc>
        <w:tc>
          <w:tcPr>
            <w:tcW w:w="807" w:type="dxa"/>
            <w:noWrap w:val="0"/>
            <w:vAlign w:val="center"/>
          </w:tcPr>
          <w:p w14:paraId="7AC5A927">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2.35</w:t>
            </w:r>
          </w:p>
        </w:tc>
      </w:tr>
      <w:tr w14:paraId="2F5C9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093D84D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550</w:t>
            </w:r>
          </w:p>
        </w:tc>
        <w:tc>
          <w:tcPr>
            <w:tcW w:w="1215" w:type="dxa"/>
            <w:noWrap w:val="0"/>
            <w:vAlign w:val="center"/>
          </w:tcPr>
          <w:p w14:paraId="377B837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8.12E-04</w:t>
            </w:r>
          </w:p>
        </w:tc>
        <w:tc>
          <w:tcPr>
            <w:tcW w:w="1050" w:type="dxa"/>
            <w:noWrap w:val="0"/>
            <w:vAlign w:val="center"/>
          </w:tcPr>
          <w:p w14:paraId="3E71280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0.16</w:t>
            </w:r>
          </w:p>
        </w:tc>
        <w:tc>
          <w:tcPr>
            <w:tcW w:w="1042" w:type="dxa"/>
            <w:noWrap w:val="0"/>
            <w:vAlign w:val="center"/>
          </w:tcPr>
          <w:p w14:paraId="45C68AD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1.60E-03</w:t>
            </w:r>
          </w:p>
        </w:tc>
        <w:tc>
          <w:tcPr>
            <w:tcW w:w="983" w:type="dxa"/>
            <w:noWrap w:val="0"/>
            <w:vAlign w:val="center"/>
          </w:tcPr>
          <w:p w14:paraId="7BD24A6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0.32</w:t>
            </w:r>
          </w:p>
        </w:tc>
        <w:tc>
          <w:tcPr>
            <w:tcW w:w="1035" w:type="dxa"/>
            <w:noWrap w:val="0"/>
            <w:vAlign w:val="center"/>
          </w:tcPr>
          <w:p w14:paraId="26098B1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4.79E-03</w:t>
            </w:r>
          </w:p>
        </w:tc>
        <w:tc>
          <w:tcPr>
            <w:tcW w:w="1030" w:type="dxa"/>
            <w:gridSpan w:val="2"/>
            <w:noWrap w:val="0"/>
            <w:vAlign w:val="center"/>
          </w:tcPr>
          <w:p w14:paraId="50ABB9A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1.92</w:t>
            </w:r>
          </w:p>
        </w:tc>
        <w:tc>
          <w:tcPr>
            <w:tcW w:w="1122" w:type="dxa"/>
            <w:noWrap w:val="0"/>
            <w:vAlign w:val="center"/>
          </w:tcPr>
          <w:p w14:paraId="452A06CE">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6.04E-03</w:t>
            </w:r>
          </w:p>
        </w:tc>
        <w:tc>
          <w:tcPr>
            <w:tcW w:w="807" w:type="dxa"/>
            <w:noWrap w:val="0"/>
            <w:vAlign w:val="center"/>
          </w:tcPr>
          <w:p w14:paraId="71F0332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2.41</w:t>
            </w:r>
          </w:p>
        </w:tc>
      </w:tr>
      <w:tr w14:paraId="2CCA2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24C461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575</w:t>
            </w:r>
          </w:p>
        </w:tc>
        <w:tc>
          <w:tcPr>
            <w:tcW w:w="1215" w:type="dxa"/>
            <w:noWrap w:val="0"/>
            <w:vAlign w:val="center"/>
          </w:tcPr>
          <w:p w14:paraId="5C43262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8.30E-04</w:t>
            </w:r>
          </w:p>
        </w:tc>
        <w:tc>
          <w:tcPr>
            <w:tcW w:w="1050" w:type="dxa"/>
            <w:noWrap w:val="0"/>
            <w:vAlign w:val="center"/>
          </w:tcPr>
          <w:p w14:paraId="4F4BB89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18B27E2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1.64E-03</w:t>
            </w:r>
          </w:p>
        </w:tc>
        <w:tc>
          <w:tcPr>
            <w:tcW w:w="983" w:type="dxa"/>
            <w:noWrap w:val="0"/>
            <w:vAlign w:val="center"/>
          </w:tcPr>
          <w:p w14:paraId="219C309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0.33</w:t>
            </w:r>
          </w:p>
        </w:tc>
        <w:tc>
          <w:tcPr>
            <w:tcW w:w="1035" w:type="dxa"/>
            <w:noWrap w:val="0"/>
            <w:vAlign w:val="center"/>
          </w:tcPr>
          <w:p w14:paraId="2678655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4.89E-03</w:t>
            </w:r>
          </w:p>
        </w:tc>
        <w:tc>
          <w:tcPr>
            <w:tcW w:w="1030" w:type="dxa"/>
            <w:gridSpan w:val="2"/>
            <w:noWrap w:val="0"/>
            <w:vAlign w:val="center"/>
          </w:tcPr>
          <w:p w14:paraId="4167E7A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1.96</w:t>
            </w:r>
          </w:p>
        </w:tc>
        <w:tc>
          <w:tcPr>
            <w:tcW w:w="1122" w:type="dxa"/>
            <w:noWrap w:val="0"/>
            <w:vAlign w:val="center"/>
          </w:tcPr>
          <w:p w14:paraId="46B6992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6.17E-03</w:t>
            </w:r>
          </w:p>
        </w:tc>
        <w:tc>
          <w:tcPr>
            <w:tcW w:w="807" w:type="dxa"/>
            <w:noWrap w:val="0"/>
            <w:vAlign w:val="center"/>
          </w:tcPr>
          <w:p w14:paraId="733DA6B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2.47</w:t>
            </w:r>
          </w:p>
        </w:tc>
      </w:tr>
      <w:tr w14:paraId="26BF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03B3969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600</w:t>
            </w:r>
          </w:p>
        </w:tc>
        <w:tc>
          <w:tcPr>
            <w:tcW w:w="1215" w:type="dxa"/>
            <w:noWrap w:val="0"/>
            <w:vAlign w:val="center"/>
          </w:tcPr>
          <w:p w14:paraId="04592FB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8.44E-04</w:t>
            </w:r>
          </w:p>
        </w:tc>
        <w:tc>
          <w:tcPr>
            <w:tcW w:w="1050" w:type="dxa"/>
            <w:noWrap w:val="0"/>
            <w:vAlign w:val="center"/>
          </w:tcPr>
          <w:p w14:paraId="422CFE8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2BF61D5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1.67E-03</w:t>
            </w:r>
          </w:p>
        </w:tc>
        <w:tc>
          <w:tcPr>
            <w:tcW w:w="983" w:type="dxa"/>
            <w:noWrap w:val="0"/>
            <w:vAlign w:val="center"/>
          </w:tcPr>
          <w:p w14:paraId="2F5FBCB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0.33</w:t>
            </w:r>
          </w:p>
        </w:tc>
        <w:tc>
          <w:tcPr>
            <w:tcW w:w="1035" w:type="dxa"/>
            <w:noWrap w:val="0"/>
            <w:vAlign w:val="center"/>
          </w:tcPr>
          <w:p w14:paraId="00AA7A7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4.97E-03</w:t>
            </w:r>
          </w:p>
        </w:tc>
        <w:tc>
          <w:tcPr>
            <w:tcW w:w="1030" w:type="dxa"/>
            <w:gridSpan w:val="2"/>
            <w:noWrap w:val="0"/>
            <w:vAlign w:val="center"/>
          </w:tcPr>
          <w:p w14:paraId="4D86AB2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1.99</w:t>
            </w:r>
          </w:p>
        </w:tc>
        <w:tc>
          <w:tcPr>
            <w:tcW w:w="1122" w:type="dxa"/>
            <w:noWrap w:val="0"/>
            <w:vAlign w:val="center"/>
          </w:tcPr>
          <w:p w14:paraId="6265669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6.27E-03</w:t>
            </w:r>
          </w:p>
        </w:tc>
        <w:tc>
          <w:tcPr>
            <w:tcW w:w="807" w:type="dxa"/>
            <w:noWrap w:val="0"/>
            <w:vAlign w:val="center"/>
          </w:tcPr>
          <w:p w14:paraId="1450201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2.51</w:t>
            </w:r>
          </w:p>
        </w:tc>
      </w:tr>
      <w:tr w14:paraId="00848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591E393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625</w:t>
            </w:r>
          </w:p>
        </w:tc>
        <w:tc>
          <w:tcPr>
            <w:tcW w:w="1215" w:type="dxa"/>
            <w:noWrap w:val="0"/>
            <w:vAlign w:val="center"/>
          </w:tcPr>
          <w:p w14:paraId="6CD71B5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8.54E-04</w:t>
            </w:r>
          </w:p>
        </w:tc>
        <w:tc>
          <w:tcPr>
            <w:tcW w:w="1050" w:type="dxa"/>
            <w:noWrap w:val="0"/>
            <w:vAlign w:val="center"/>
          </w:tcPr>
          <w:p w14:paraId="0BE38AE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323030D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1.69E-03</w:t>
            </w:r>
          </w:p>
        </w:tc>
        <w:tc>
          <w:tcPr>
            <w:tcW w:w="983" w:type="dxa"/>
            <w:noWrap w:val="0"/>
            <w:vAlign w:val="center"/>
          </w:tcPr>
          <w:p w14:paraId="2E99CE1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44D6D75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5.04E-03</w:t>
            </w:r>
          </w:p>
        </w:tc>
        <w:tc>
          <w:tcPr>
            <w:tcW w:w="1030" w:type="dxa"/>
            <w:gridSpan w:val="2"/>
            <w:noWrap w:val="0"/>
            <w:vAlign w:val="center"/>
          </w:tcPr>
          <w:p w14:paraId="5348C65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2.01</w:t>
            </w:r>
          </w:p>
        </w:tc>
        <w:tc>
          <w:tcPr>
            <w:tcW w:w="1122" w:type="dxa"/>
            <w:noWrap w:val="0"/>
            <w:vAlign w:val="center"/>
          </w:tcPr>
          <w:p w14:paraId="4BC0BE8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6.35E-03</w:t>
            </w:r>
          </w:p>
        </w:tc>
        <w:tc>
          <w:tcPr>
            <w:tcW w:w="807" w:type="dxa"/>
            <w:noWrap w:val="0"/>
            <w:vAlign w:val="center"/>
          </w:tcPr>
          <w:p w14:paraId="36DDCCE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2.54</w:t>
            </w:r>
          </w:p>
        </w:tc>
      </w:tr>
      <w:tr w14:paraId="1A61F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47AB457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650</w:t>
            </w:r>
          </w:p>
        </w:tc>
        <w:tc>
          <w:tcPr>
            <w:tcW w:w="1215" w:type="dxa"/>
            <w:noWrap w:val="0"/>
            <w:vAlign w:val="center"/>
          </w:tcPr>
          <w:p w14:paraId="5B37EED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8.62E-04</w:t>
            </w:r>
          </w:p>
        </w:tc>
        <w:tc>
          <w:tcPr>
            <w:tcW w:w="1050" w:type="dxa"/>
            <w:noWrap w:val="0"/>
            <w:vAlign w:val="center"/>
          </w:tcPr>
          <w:p w14:paraId="42921CA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6AD7658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1.70E-03</w:t>
            </w:r>
          </w:p>
        </w:tc>
        <w:tc>
          <w:tcPr>
            <w:tcW w:w="983" w:type="dxa"/>
            <w:noWrap w:val="0"/>
            <w:vAlign w:val="center"/>
          </w:tcPr>
          <w:p w14:paraId="178F0F9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6457874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5.08E-03</w:t>
            </w:r>
          </w:p>
        </w:tc>
        <w:tc>
          <w:tcPr>
            <w:tcW w:w="1030" w:type="dxa"/>
            <w:gridSpan w:val="2"/>
            <w:noWrap w:val="0"/>
            <w:vAlign w:val="center"/>
          </w:tcPr>
          <w:p w14:paraId="09A8D30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2.03</w:t>
            </w:r>
          </w:p>
        </w:tc>
        <w:tc>
          <w:tcPr>
            <w:tcW w:w="1122" w:type="dxa"/>
            <w:noWrap w:val="0"/>
            <w:vAlign w:val="center"/>
          </w:tcPr>
          <w:p w14:paraId="780CFE5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6.41E-03</w:t>
            </w:r>
          </w:p>
        </w:tc>
        <w:tc>
          <w:tcPr>
            <w:tcW w:w="807" w:type="dxa"/>
            <w:noWrap w:val="0"/>
            <w:vAlign w:val="center"/>
          </w:tcPr>
          <w:p w14:paraId="161B61F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2.56</w:t>
            </w:r>
          </w:p>
        </w:tc>
      </w:tr>
      <w:tr w14:paraId="68CDE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597B888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675</w:t>
            </w:r>
          </w:p>
        </w:tc>
        <w:tc>
          <w:tcPr>
            <w:tcW w:w="1215" w:type="dxa"/>
            <w:noWrap w:val="0"/>
            <w:vAlign w:val="center"/>
          </w:tcPr>
          <w:p w14:paraId="340243C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8.67E-04</w:t>
            </w:r>
          </w:p>
        </w:tc>
        <w:tc>
          <w:tcPr>
            <w:tcW w:w="1050" w:type="dxa"/>
            <w:noWrap w:val="0"/>
            <w:vAlign w:val="center"/>
          </w:tcPr>
          <w:p w14:paraId="34DB660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1395CE4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1.71E-03</w:t>
            </w:r>
          </w:p>
        </w:tc>
        <w:tc>
          <w:tcPr>
            <w:tcW w:w="983" w:type="dxa"/>
            <w:noWrap w:val="0"/>
            <w:vAlign w:val="center"/>
          </w:tcPr>
          <w:p w14:paraId="0A0BC07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34EF563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5.11E-03</w:t>
            </w:r>
          </w:p>
        </w:tc>
        <w:tc>
          <w:tcPr>
            <w:tcW w:w="1030" w:type="dxa"/>
            <w:gridSpan w:val="2"/>
            <w:noWrap w:val="0"/>
            <w:vAlign w:val="center"/>
          </w:tcPr>
          <w:p w14:paraId="4111652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2.04</w:t>
            </w:r>
          </w:p>
        </w:tc>
        <w:tc>
          <w:tcPr>
            <w:tcW w:w="1122" w:type="dxa"/>
            <w:noWrap w:val="0"/>
            <w:vAlign w:val="center"/>
          </w:tcPr>
          <w:p w14:paraId="1789130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6.44E-03</w:t>
            </w:r>
          </w:p>
        </w:tc>
        <w:tc>
          <w:tcPr>
            <w:tcW w:w="807" w:type="dxa"/>
            <w:noWrap w:val="0"/>
            <w:vAlign w:val="center"/>
          </w:tcPr>
          <w:p w14:paraId="4006D62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2.58</w:t>
            </w:r>
          </w:p>
        </w:tc>
      </w:tr>
      <w:tr w14:paraId="790FA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657B1C5B">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700</w:t>
            </w:r>
          </w:p>
        </w:tc>
        <w:tc>
          <w:tcPr>
            <w:tcW w:w="1215" w:type="dxa"/>
            <w:noWrap w:val="0"/>
            <w:vAlign w:val="center"/>
          </w:tcPr>
          <w:p w14:paraId="3CE888CF">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8.69E-04</w:t>
            </w:r>
          </w:p>
        </w:tc>
        <w:tc>
          <w:tcPr>
            <w:tcW w:w="1050" w:type="dxa"/>
            <w:noWrap w:val="0"/>
            <w:vAlign w:val="center"/>
          </w:tcPr>
          <w:p w14:paraId="16592D47">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0.17</w:t>
            </w:r>
          </w:p>
        </w:tc>
        <w:tc>
          <w:tcPr>
            <w:tcW w:w="1042" w:type="dxa"/>
            <w:noWrap w:val="0"/>
            <w:vAlign w:val="center"/>
          </w:tcPr>
          <w:p w14:paraId="109A73B2">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1.72E-03</w:t>
            </w:r>
          </w:p>
        </w:tc>
        <w:tc>
          <w:tcPr>
            <w:tcW w:w="983" w:type="dxa"/>
            <w:noWrap w:val="0"/>
            <w:vAlign w:val="center"/>
          </w:tcPr>
          <w:p w14:paraId="1A48E8E9">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0.34</w:t>
            </w:r>
          </w:p>
        </w:tc>
        <w:tc>
          <w:tcPr>
            <w:tcW w:w="1035" w:type="dxa"/>
            <w:noWrap w:val="0"/>
            <w:vAlign w:val="center"/>
          </w:tcPr>
          <w:p w14:paraId="2F9BA3E1">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5.13E-03</w:t>
            </w:r>
          </w:p>
        </w:tc>
        <w:tc>
          <w:tcPr>
            <w:tcW w:w="1030" w:type="dxa"/>
            <w:gridSpan w:val="2"/>
            <w:noWrap w:val="0"/>
            <w:vAlign w:val="center"/>
          </w:tcPr>
          <w:p w14:paraId="79422025">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2.05</w:t>
            </w:r>
          </w:p>
        </w:tc>
        <w:tc>
          <w:tcPr>
            <w:tcW w:w="1122" w:type="dxa"/>
            <w:noWrap w:val="0"/>
            <w:vAlign w:val="center"/>
          </w:tcPr>
          <w:p w14:paraId="75E98562">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6.47E-03</w:t>
            </w:r>
          </w:p>
        </w:tc>
        <w:tc>
          <w:tcPr>
            <w:tcW w:w="807" w:type="dxa"/>
            <w:noWrap w:val="0"/>
            <w:vAlign w:val="center"/>
          </w:tcPr>
          <w:p w14:paraId="14E6C411">
            <w:pPr>
              <w:keepNext w:val="0"/>
              <w:keepLines w:val="0"/>
              <w:widowControl/>
              <w:suppressLineNumbers w:val="0"/>
              <w:ind w:left="0" w:firstLine="0"/>
              <w:jc w:val="center"/>
              <w:rPr>
                <w:rFonts w:hint="eastAsia" w:ascii="Times New Roman" w:hAnsi="Times New Roman" w:eastAsia="宋体" w:cs="Times New Roman"/>
                <w:b/>
                <w:bCs/>
                <w:color w:val="FF0000"/>
                <w:sz w:val="21"/>
                <w:szCs w:val="21"/>
                <w:vertAlign w:val="baseline"/>
                <w:lang w:val="en-US" w:eastAsia="zh-CN" w:bidi="ar"/>
              </w:rPr>
            </w:pPr>
            <w:r>
              <w:rPr>
                <w:rFonts w:hint="eastAsia" w:ascii="Times New Roman" w:hAnsi="Times New Roman" w:eastAsia="宋体" w:cs="Times New Roman"/>
                <w:b/>
                <w:bCs/>
                <w:color w:val="FF0000"/>
                <w:sz w:val="21"/>
                <w:szCs w:val="21"/>
                <w:vertAlign w:val="baseline"/>
                <w:lang w:val="en-US" w:eastAsia="zh-CN" w:bidi="ar"/>
              </w:rPr>
              <w:t>2.59</w:t>
            </w:r>
          </w:p>
        </w:tc>
      </w:tr>
      <w:tr w14:paraId="5C263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4115E07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725</w:t>
            </w:r>
          </w:p>
        </w:tc>
        <w:tc>
          <w:tcPr>
            <w:tcW w:w="1215" w:type="dxa"/>
            <w:noWrap w:val="0"/>
            <w:vAlign w:val="center"/>
          </w:tcPr>
          <w:p w14:paraId="3DFC9F6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8.70E-04</w:t>
            </w:r>
          </w:p>
        </w:tc>
        <w:tc>
          <w:tcPr>
            <w:tcW w:w="1050" w:type="dxa"/>
            <w:noWrap w:val="0"/>
            <w:vAlign w:val="center"/>
          </w:tcPr>
          <w:p w14:paraId="28E6D31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0B9FEC6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1.72E-03</w:t>
            </w:r>
          </w:p>
        </w:tc>
        <w:tc>
          <w:tcPr>
            <w:tcW w:w="983" w:type="dxa"/>
            <w:noWrap w:val="0"/>
            <w:vAlign w:val="center"/>
          </w:tcPr>
          <w:p w14:paraId="66549E8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6D69641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5.13E-03</w:t>
            </w:r>
          </w:p>
        </w:tc>
        <w:tc>
          <w:tcPr>
            <w:tcW w:w="1030" w:type="dxa"/>
            <w:gridSpan w:val="2"/>
            <w:noWrap w:val="0"/>
            <w:vAlign w:val="center"/>
          </w:tcPr>
          <w:p w14:paraId="6CFB1E3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2.05</w:t>
            </w:r>
          </w:p>
        </w:tc>
        <w:tc>
          <w:tcPr>
            <w:tcW w:w="1122" w:type="dxa"/>
            <w:noWrap w:val="0"/>
            <w:vAlign w:val="center"/>
          </w:tcPr>
          <w:p w14:paraId="2B66413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6.47E-03</w:t>
            </w:r>
          </w:p>
        </w:tc>
        <w:tc>
          <w:tcPr>
            <w:tcW w:w="807" w:type="dxa"/>
            <w:noWrap w:val="0"/>
            <w:vAlign w:val="center"/>
          </w:tcPr>
          <w:p w14:paraId="6CAC1C4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2.59</w:t>
            </w:r>
          </w:p>
        </w:tc>
      </w:tr>
      <w:tr w14:paraId="01EF9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6214D33">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727</w:t>
            </w:r>
          </w:p>
        </w:tc>
        <w:tc>
          <w:tcPr>
            <w:tcW w:w="1215" w:type="dxa"/>
            <w:noWrap w:val="0"/>
            <w:vAlign w:val="center"/>
          </w:tcPr>
          <w:p w14:paraId="7137772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8.70E-04</w:t>
            </w:r>
          </w:p>
        </w:tc>
        <w:tc>
          <w:tcPr>
            <w:tcW w:w="1050" w:type="dxa"/>
            <w:noWrap w:val="0"/>
            <w:vAlign w:val="center"/>
          </w:tcPr>
          <w:p w14:paraId="0405F23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6DA05B8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1.72E-03</w:t>
            </w:r>
          </w:p>
        </w:tc>
        <w:tc>
          <w:tcPr>
            <w:tcW w:w="983" w:type="dxa"/>
            <w:noWrap w:val="0"/>
            <w:vAlign w:val="center"/>
          </w:tcPr>
          <w:p w14:paraId="6D59F58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50F1716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5.13E-03</w:t>
            </w:r>
          </w:p>
        </w:tc>
        <w:tc>
          <w:tcPr>
            <w:tcW w:w="1030" w:type="dxa"/>
            <w:gridSpan w:val="2"/>
            <w:noWrap w:val="0"/>
            <w:vAlign w:val="center"/>
          </w:tcPr>
          <w:p w14:paraId="3DCC249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2.05</w:t>
            </w:r>
          </w:p>
        </w:tc>
        <w:tc>
          <w:tcPr>
            <w:tcW w:w="1122" w:type="dxa"/>
            <w:noWrap w:val="0"/>
            <w:vAlign w:val="center"/>
          </w:tcPr>
          <w:p w14:paraId="5260D21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6.47E-03</w:t>
            </w:r>
          </w:p>
        </w:tc>
        <w:tc>
          <w:tcPr>
            <w:tcW w:w="807" w:type="dxa"/>
            <w:noWrap w:val="0"/>
            <w:vAlign w:val="center"/>
          </w:tcPr>
          <w:p w14:paraId="46EF690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2.59</w:t>
            </w:r>
          </w:p>
        </w:tc>
      </w:tr>
      <w:tr w14:paraId="18DCB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6236530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750</w:t>
            </w:r>
          </w:p>
        </w:tc>
        <w:tc>
          <w:tcPr>
            <w:tcW w:w="1215" w:type="dxa"/>
            <w:noWrap w:val="0"/>
            <w:vAlign w:val="center"/>
          </w:tcPr>
          <w:p w14:paraId="7EF20AE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8.70E-04</w:t>
            </w:r>
          </w:p>
        </w:tc>
        <w:tc>
          <w:tcPr>
            <w:tcW w:w="1050" w:type="dxa"/>
            <w:noWrap w:val="0"/>
            <w:vAlign w:val="center"/>
          </w:tcPr>
          <w:p w14:paraId="1BA3D9E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790C0A6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1.72E-03</w:t>
            </w:r>
          </w:p>
        </w:tc>
        <w:tc>
          <w:tcPr>
            <w:tcW w:w="983" w:type="dxa"/>
            <w:noWrap w:val="0"/>
            <w:vAlign w:val="center"/>
          </w:tcPr>
          <w:p w14:paraId="478ED69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78865EC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5.13E-03</w:t>
            </w:r>
          </w:p>
        </w:tc>
        <w:tc>
          <w:tcPr>
            <w:tcW w:w="1030" w:type="dxa"/>
            <w:gridSpan w:val="2"/>
            <w:noWrap w:val="0"/>
            <w:vAlign w:val="center"/>
          </w:tcPr>
          <w:p w14:paraId="744C601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2.05</w:t>
            </w:r>
          </w:p>
        </w:tc>
        <w:tc>
          <w:tcPr>
            <w:tcW w:w="1122" w:type="dxa"/>
            <w:noWrap w:val="0"/>
            <w:vAlign w:val="center"/>
          </w:tcPr>
          <w:p w14:paraId="3DC7BFC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6.47E-03</w:t>
            </w:r>
          </w:p>
        </w:tc>
        <w:tc>
          <w:tcPr>
            <w:tcW w:w="807" w:type="dxa"/>
            <w:noWrap w:val="0"/>
            <w:vAlign w:val="center"/>
          </w:tcPr>
          <w:p w14:paraId="10A4442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2.59</w:t>
            </w:r>
          </w:p>
        </w:tc>
      </w:tr>
      <w:tr w14:paraId="637CE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4CBA9C1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775</w:t>
            </w:r>
          </w:p>
        </w:tc>
        <w:tc>
          <w:tcPr>
            <w:tcW w:w="1215" w:type="dxa"/>
            <w:noWrap w:val="0"/>
            <w:vAlign w:val="center"/>
          </w:tcPr>
          <w:p w14:paraId="43AFB20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8.68E-04</w:t>
            </w:r>
          </w:p>
        </w:tc>
        <w:tc>
          <w:tcPr>
            <w:tcW w:w="1050" w:type="dxa"/>
            <w:noWrap w:val="0"/>
            <w:vAlign w:val="center"/>
          </w:tcPr>
          <w:p w14:paraId="0EC8D33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4C25345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1.71E-03</w:t>
            </w:r>
          </w:p>
        </w:tc>
        <w:tc>
          <w:tcPr>
            <w:tcW w:w="983" w:type="dxa"/>
            <w:noWrap w:val="0"/>
            <w:vAlign w:val="center"/>
          </w:tcPr>
          <w:p w14:paraId="0728D79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7E974E4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5.12E-03</w:t>
            </w:r>
          </w:p>
        </w:tc>
        <w:tc>
          <w:tcPr>
            <w:tcW w:w="1030" w:type="dxa"/>
            <w:gridSpan w:val="2"/>
            <w:noWrap w:val="0"/>
            <w:vAlign w:val="center"/>
          </w:tcPr>
          <w:p w14:paraId="3E4C102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2.05</w:t>
            </w:r>
          </w:p>
        </w:tc>
        <w:tc>
          <w:tcPr>
            <w:tcW w:w="1122" w:type="dxa"/>
            <w:noWrap w:val="0"/>
            <w:vAlign w:val="center"/>
          </w:tcPr>
          <w:p w14:paraId="3D56FA6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6.45E-03</w:t>
            </w:r>
          </w:p>
        </w:tc>
        <w:tc>
          <w:tcPr>
            <w:tcW w:w="807" w:type="dxa"/>
            <w:noWrap w:val="0"/>
            <w:vAlign w:val="center"/>
          </w:tcPr>
          <w:p w14:paraId="54E5669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2.58</w:t>
            </w:r>
          </w:p>
        </w:tc>
      </w:tr>
      <w:tr w14:paraId="10344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5C7F1B96">
            <w:pPr>
              <w:keepNext w:val="0"/>
              <w:keepLines w:val="0"/>
              <w:widowControl/>
              <w:suppressLineNumbers w:val="0"/>
              <w:ind w:left="0" w:firstLine="0"/>
              <w:jc w:val="center"/>
              <w:rPr>
                <w:rFonts w:hint="eastAsia" w:ascii="Times New Roman" w:hAnsi="Times New Roman" w:eastAsia="宋体" w:cs="Times New Roman"/>
                <w:b w:val="0"/>
                <w:bCs w:val="0"/>
                <w:color w:val="FF0000"/>
                <w:sz w:val="21"/>
                <w:szCs w:val="21"/>
                <w:vertAlign w:val="baseline"/>
                <w:lang w:val="en-US" w:eastAsia="zh-CN" w:bidi="ar"/>
              </w:rPr>
            </w:pPr>
            <w:r>
              <w:rPr>
                <w:rFonts w:hint="eastAsia" w:ascii="Times New Roman" w:hAnsi="Times New Roman" w:eastAsia="宋体" w:cs="Times New Roman"/>
                <w:b w:val="0"/>
                <w:bCs w:val="0"/>
                <w:color w:val="FF0000"/>
                <w:sz w:val="21"/>
                <w:szCs w:val="21"/>
                <w:vertAlign w:val="baseline"/>
                <w:lang w:val="en-US" w:eastAsia="zh-CN" w:bidi="ar"/>
              </w:rPr>
              <w:t>800</w:t>
            </w:r>
          </w:p>
        </w:tc>
        <w:tc>
          <w:tcPr>
            <w:tcW w:w="1215" w:type="dxa"/>
            <w:noWrap w:val="0"/>
            <w:vAlign w:val="center"/>
          </w:tcPr>
          <w:p w14:paraId="04ECF846">
            <w:pPr>
              <w:keepNext w:val="0"/>
              <w:keepLines w:val="0"/>
              <w:widowControl/>
              <w:suppressLineNumbers w:val="0"/>
              <w:ind w:left="0" w:firstLine="0"/>
              <w:jc w:val="center"/>
              <w:rPr>
                <w:rFonts w:hint="eastAsia" w:ascii="Times New Roman" w:hAnsi="Times New Roman" w:eastAsia="宋体" w:cs="Times New Roman"/>
                <w:b w:val="0"/>
                <w:bCs w:val="0"/>
                <w:color w:val="FF0000"/>
                <w:sz w:val="21"/>
                <w:szCs w:val="21"/>
                <w:vertAlign w:val="baseline"/>
                <w:lang w:val="en-US" w:eastAsia="zh-CN" w:bidi="ar"/>
              </w:rPr>
            </w:pPr>
            <w:r>
              <w:rPr>
                <w:rFonts w:hint="eastAsia" w:ascii="Times New Roman" w:hAnsi="Times New Roman" w:eastAsia="宋体" w:cs="Times New Roman"/>
                <w:b w:val="0"/>
                <w:bCs w:val="0"/>
                <w:color w:val="FF0000"/>
                <w:sz w:val="21"/>
                <w:szCs w:val="21"/>
                <w:vertAlign w:val="baseline"/>
                <w:lang w:val="en-US" w:eastAsia="zh-CN" w:bidi="ar"/>
              </w:rPr>
              <w:t>8.65E-04</w:t>
            </w:r>
          </w:p>
        </w:tc>
        <w:tc>
          <w:tcPr>
            <w:tcW w:w="1050" w:type="dxa"/>
            <w:noWrap w:val="0"/>
            <w:vAlign w:val="center"/>
          </w:tcPr>
          <w:p w14:paraId="71F80E4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753DBFD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1.71E-03</w:t>
            </w:r>
          </w:p>
        </w:tc>
        <w:tc>
          <w:tcPr>
            <w:tcW w:w="983" w:type="dxa"/>
            <w:noWrap w:val="0"/>
            <w:vAlign w:val="center"/>
          </w:tcPr>
          <w:p w14:paraId="1AD12EB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5F39502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5.10E-03</w:t>
            </w:r>
          </w:p>
        </w:tc>
        <w:tc>
          <w:tcPr>
            <w:tcW w:w="1030" w:type="dxa"/>
            <w:gridSpan w:val="2"/>
            <w:noWrap w:val="0"/>
            <w:vAlign w:val="center"/>
          </w:tcPr>
          <w:p w14:paraId="5B19B61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2.04</w:t>
            </w:r>
          </w:p>
        </w:tc>
        <w:tc>
          <w:tcPr>
            <w:tcW w:w="1122" w:type="dxa"/>
            <w:noWrap w:val="0"/>
            <w:vAlign w:val="center"/>
          </w:tcPr>
          <w:p w14:paraId="256F43F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6.43E-03</w:t>
            </w:r>
          </w:p>
        </w:tc>
        <w:tc>
          <w:tcPr>
            <w:tcW w:w="807" w:type="dxa"/>
            <w:noWrap w:val="0"/>
            <w:vAlign w:val="center"/>
          </w:tcPr>
          <w:p w14:paraId="5ABCE18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2.57</w:t>
            </w:r>
          </w:p>
        </w:tc>
      </w:tr>
      <w:tr w14:paraId="19120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3D6583A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825</w:t>
            </w:r>
          </w:p>
        </w:tc>
        <w:tc>
          <w:tcPr>
            <w:tcW w:w="1215" w:type="dxa"/>
            <w:noWrap w:val="0"/>
            <w:vAlign w:val="center"/>
          </w:tcPr>
          <w:p w14:paraId="6AA61BD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8.60E-04</w:t>
            </w:r>
          </w:p>
        </w:tc>
        <w:tc>
          <w:tcPr>
            <w:tcW w:w="1050" w:type="dxa"/>
            <w:noWrap w:val="0"/>
            <w:vAlign w:val="center"/>
          </w:tcPr>
          <w:p w14:paraId="0913EB9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133B5A8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1.70E-03</w:t>
            </w:r>
          </w:p>
        </w:tc>
        <w:tc>
          <w:tcPr>
            <w:tcW w:w="983" w:type="dxa"/>
            <w:noWrap w:val="0"/>
            <w:vAlign w:val="center"/>
          </w:tcPr>
          <w:p w14:paraId="7A5AC54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7A9E79F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5.07E-03</w:t>
            </w:r>
          </w:p>
        </w:tc>
        <w:tc>
          <w:tcPr>
            <w:tcW w:w="1030" w:type="dxa"/>
            <w:gridSpan w:val="2"/>
            <w:noWrap w:val="0"/>
            <w:vAlign w:val="center"/>
          </w:tcPr>
          <w:p w14:paraId="7467CA4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2.03</w:t>
            </w:r>
          </w:p>
        </w:tc>
        <w:tc>
          <w:tcPr>
            <w:tcW w:w="1122" w:type="dxa"/>
            <w:noWrap w:val="0"/>
            <w:vAlign w:val="center"/>
          </w:tcPr>
          <w:p w14:paraId="4E1075F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6.40E-03</w:t>
            </w:r>
          </w:p>
        </w:tc>
        <w:tc>
          <w:tcPr>
            <w:tcW w:w="807" w:type="dxa"/>
            <w:noWrap w:val="0"/>
            <w:vAlign w:val="center"/>
          </w:tcPr>
          <w:p w14:paraId="08F2960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2.56</w:t>
            </w:r>
          </w:p>
        </w:tc>
      </w:tr>
      <w:tr w14:paraId="2990F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02EED47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850</w:t>
            </w:r>
          </w:p>
        </w:tc>
        <w:tc>
          <w:tcPr>
            <w:tcW w:w="1215" w:type="dxa"/>
            <w:noWrap w:val="0"/>
            <w:vAlign w:val="center"/>
          </w:tcPr>
          <w:p w14:paraId="4A64300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8.55E-04</w:t>
            </w:r>
          </w:p>
        </w:tc>
        <w:tc>
          <w:tcPr>
            <w:tcW w:w="1050" w:type="dxa"/>
            <w:noWrap w:val="0"/>
            <w:vAlign w:val="center"/>
          </w:tcPr>
          <w:p w14:paraId="5BD9C2B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7D653AC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1.69E-03</w:t>
            </w:r>
          </w:p>
        </w:tc>
        <w:tc>
          <w:tcPr>
            <w:tcW w:w="983" w:type="dxa"/>
            <w:noWrap w:val="0"/>
            <w:vAlign w:val="center"/>
          </w:tcPr>
          <w:p w14:paraId="1C2AE79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07E55BA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5.04E-03</w:t>
            </w:r>
          </w:p>
        </w:tc>
        <w:tc>
          <w:tcPr>
            <w:tcW w:w="1030" w:type="dxa"/>
            <w:gridSpan w:val="2"/>
            <w:noWrap w:val="0"/>
            <w:vAlign w:val="center"/>
          </w:tcPr>
          <w:p w14:paraId="41AC047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2.02</w:t>
            </w:r>
          </w:p>
        </w:tc>
        <w:tc>
          <w:tcPr>
            <w:tcW w:w="1122" w:type="dxa"/>
            <w:noWrap w:val="0"/>
            <w:vAlign w:val="center"/>
          </w:tcPr>
          <w:p w14:paraId="4EF051B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6.36E-03</w:t>
            </w:r>
          </w:p>
        </w:tc>
        <w:tc>
          <w:tcPr>
            <w:tcW w:w="807" w:type="dxa"/>
            <w:noWrap w:val="0"/>
            <w:vAlign w:val="center"/>
          </w:tcPr>
          <w:p w14:paraId="556F2E4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2.54</w:t>
            </w:r>
          </w:p>
        </w:tc>
      </w:tr>
      <w:tr w14:paraId="61502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22F0AE2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875</w:t>
            </w:r>
          </w:p>
        </w:tc>
        <w:tc>
          <w:tcPr>
            <w:tcW w:w="1215" w:type="dxa"/>
            <w:noWrap w:val="0"/>
            <w:vAlign w:val="center"/>
          </w:tcPr>
          <w:p w14:paraId="02F297E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8.49E-04</w:t>
            </w:r>
          </w:p>
        </w:tc>
        <w:tc>
          <w:tcPr>
            <w:tcW w:w="1050" w:type="dxa"/>
            <w:noWrap w:val="0"/>
            <w:vAlign w:val="center"/>
          </w:tcPr>
          <w:p w14:paraId="6D97D03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1F7ECA4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1.68E-03</w:t>
            </w:r>
          </w:p>
        </w:tc>
        <w:tc>
          <w:tcPr>
            <w:tcW w:w="983" w:type="dxa"/>
            <w:noWrap w:val="0"/>
            <w:vAlign w:val="center"/>
          </w:tcPr>
          <w:p w14:paraId="5AD115A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1035" w:type="dxa"/>
            <w:noWrap w:val="0"/>
            <w:vAlign w:val="center"/>
          </w:tcPr>
          <w:p w14:paraId="2901171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5.01E-03</w:t>
            </w:r>
          </w:p>
        </w:tc>
        <w:tc>
          <w:tcPr>
            <w:tcW w:w="1030" w:type="dxa"/>
            <w:gridSpan w:val="2"/>
            <w:noWrap w:val="0"/>
            <w:vAlign w:val="center"/>
          </w:tcPr>
          <w:p w14:paraId="44A8BC8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2.00</w:t>
            </w:r>
          </w:p>
        </w:tc>
        <w:tc>
          <w:tcPr>
            <w:tcW w:w="1122" w:type="dxa"/>
            <w:noWrap w:val="0"/>
            <w:vAlign w:val="center"/>
          </w:tcPr>
          <w:p w14:paraId="145E10D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6.32E-03</w:t>
            </w:r>
          </w:p>
        </w:tc>
        <w:tc>
          <w:tcPr>
            <w:tcW w:w="807" w:type="dxa"/>
            <w:noWrap w:val="0"/>
            <w:vAlign w:val="center"/>
          </w:tcPr>
          <w:p w14:paraId="6354339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2.53</w:t>
            </w:r>
          </w:p>
        </w:tc>
      </w:tr>
      <w:tr w14:paraId="40991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33C4CC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900</w:t>
            </w:r>
          </w:p>
        </w:tc>
        <w:tc>
          <w:tcPr>
            <w:tcW w:w="1215" w:type="dxa"/>
            <w:noWrap w:val="0"/>
            <w:vAlign w:val="center"/>
          </w:tcPr>
          <w:p w14:paraId="702B241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8.43E-04</w:t>
            </w:r>
          </w:p>
        </w:tc>
        <w:tc>
          <w:tcPr>
            <w:tcW w:w="1050" w:type="dxa"/>
            <w:noWrap w:val="0"/>
            <w:vAlign w:val="center"/>
          </w:tcPr>
          <w:p w14:paraId="5F92331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3D5C9DC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1.66E-03</w:t>
            </w:r>
          </w:p>
        </w:tc>
        <w:tc>
          <w:tcPr>
            <w:tcW w:w="983" w:type="dxa"/>
            <w:noWrap w:val="0"/>
            <w:vAlign w:val="center"/>
          </w:tcPr>
          <w:p w14:paraId="4BC5277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0.33</w:t>
            </w:r>
          </w:p>
        </w:tc>
        <w:tc>
          <w:tcPr>
            <w:tcW w:w="1035" w:type="dxa"/>
            <w:noWrap w:val="0"/>
            <w:vAlign w:val="center"/>
          </w:tcPr>
          <w:p w14:paraId="50F0B22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4.97E-03</w:t>
            </w:r>
          </w:p>
        </w:tc>
        <w:tc>
          <w:tcPr>
            <w:tcW w:w="1030" w:type="dxa"/>
            <w:gridSpan w:val="2"/>
            <w:noWrap w:val="0"/>
            <w:vAlign w:val="center"/>
          </w:tcPr>
          <w:p w14:paraId="0535AAC6">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1.99</w:t>
            </w:r>
          </w:p>
        </w:tc>
        <w:tc>
          <w:tcPr>
            <w:tcW w:w="1122" w:type="dxa"/>
            <w:noWrap w:val="0"/>
            <w:vAlign w:val="center"/>
          </w:tcPr>
          <w:p w14:paraId="3CC03D2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6.27E-03</w:t>
            </w:r>
          </w:p>
        </w:tc>
        <w:tc>
          <w:tcPr>
            <w:tcW w:w="807" w:type="dxa"/>
            <w:noWrap w:val="0"/>
            <w:vAlign w:val="center"/>
          </w:tcPr>
          <w:p w14:paraId="53CE338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2.51</w:t>
            </w:r>
          </w:p>
        </w:tc>
      </w:tr>
      <w:tr w14:paraId="1AC87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6471894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925</w:t>
            </w:r>
          </w:p>
        </w:tc>
        <w:tc>
          <w:tcPr>
            <w:tcW w:w="1215" w:type="dxa"/>
            <w:noWrap w:val="0"/>
            <w:vAlign w:val="center"/>
          </w:tcPr>
          <w:p w14:paraId="4AFEAF3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8.36E-04</w:t>
            </w:r>
          </w:p>
        </w:tc>
        <w:tc>
          <w:tcPr>
            <w:tcW w:w="1050" w:type="dxa"/>
            <w:noWrap w:val="0"/>
            <w:vAlign w:val="center"/>
          </w:tcPr>
          <w:p w14:paraId="32D594E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2017A12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1.65E-03</w:t>
            </w:r>
          </w:p>
        </w:tc>
        <w:tc>
          <w:tcPr>
            <w:tcW w:w="983" w:type="dxa"/>
            <w:noWrap w:val="0"/>
            <w:vAlign w:val="center"/>
          </w:tcPr>
          <w:p w14:paraId="13A0DB1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0.33</w:t>
            </w:r>
          </w:p>
        </w:tc>
        <w:tc>
          <w:tcPr>
            <w:tcW w:w="1035" w:type="dxa"/>
            <w:noWrap w:val="0"/>
            <w:vAlign w:val="center"/>
          </w:tcPr>
          <w:p w14:paraId="1E7701E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4.93E-03</w:t>
            </w:r>
          </w:p>
        </w:tc>
        <w:tc>
          <w:tcPr>
            <w:tcW w:w="1030" w:type="dxa"/>
            <w:gridSpan w:val="2"/>
            <w:noWrap w:val="0"/>
            <w:vAlign w:val="center"/>
          </w:tcPr>
          <w:p w14:paraId="5290902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1.97</w:t>
            </w:r>
          </w:p>
        </w:tc>
        <w:tc>
          <w:tcPr>
            <w:tcW w:w="1122" w:type="dxa"/>
            <w:noWrap w:val="0"/>
            <w:vAlign w:val="center"/>
          </w:tcPr>
          <w:p w14:paraId="7360D9D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6.21E-03</w:t>
            </w:r>
          </w:p>
        </w:tc>
        <w:tc>
          <w:tcPr>
            <w:tcW w:w="807" w:type="dxa"/>
            <w:noWrap w:val="0"/>
            <w:vAlign w:val="center"/>
          </w:tcPr>
          <w:p w14:paraId="16ABBC3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2.49</w:t>
            </w:r>
          </w:p>
        </w:tc>
      </w:tr>
      <w:tr w14:paraId="38930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7D6F1F2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950</w:t>
            </w:r>
          </w:p>
        </w:tc>
        <w:tc>
          <w:tcPr>
            <w:tcW w:w="1215" w:type="dxa"/>
            <w:noWrap w:val="0"/>
            <w:vAlign w:val="center"/>
          </w:tcPr>
          <w:p w14:paraId="2E6358D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8.28E-04</w:t>
            </w:r>
          </w:p>
        </w:tc>
        <w:tc>
          <w:tcPr>
            <w:tcW w:w="1050" w:type="dxa"/>
            <w:noWrap w:val="0"/>
            <w:vAlign w:val="center"/>
          </w:tcPr>
          <w:p w14:paraId="66DEBB42">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42" w:type="dxa"/>
            <w:noWrap w:val="0"/>
            <w:vAlign w:val="center"/>
          </w:tcPr>
          <w:p w14:paraId="0EC6165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1.64E-03</w:t>
            </w:r>
          </w:p>
        </w:tc>
        <w:tc>
          <w:tcPr>
            <w:tcW w:w="983" w:type="dxa"/>
            <w:noWrap w:val="0"/>
            <w:vAlign w:val="center"/>
          </w:tcPr>
          <w:p w14:paraId="5689920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0.33</w:t>
            </w:r>
          </w:p>
        </w:tc>
        <w:tc>
          <w:tcPr>
            <w:tcW w:w="1035" w:type="dxa"/>
            <w:noWrap w:val="0"/>
            <w:vAlign w:val="center"/>
          </w:tcPr>
          <w:p w14:paraId="1426F7E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4.88E-03</w:t>
            </w:r>
          </w:p>
        </w:tc>
        <w:tc>
          <w:tcPr>
            <w:tcW w:w="1030" w:type="dxa"/>
            <w:gridSpan w:val="2"/>
            <w:noWrap w:val="0"/>
            <w:vAlign w:val="center"/>
          </w:tcPr>
          <w:p w14:paraId="73BF6C0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1.95</w:t>
            </w:r>
          </w:p>
        </w:tc>
        <w:tc>
          <w:tcPr>
            <w:tcW w:w="1122" w:type="dxa"/>
            <w:noWrap w:val="0"/>
            <w:vAlign w:val="center"/>
          </w:tcPr>
          <w:p w14:paraId="721ED38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6.16E-03</w:t>
            </w:r>
          </w:p>
        </w:tc>
        <w:tc>
          <w:tcPr>
            <w:tcW w:w="807" w:type="dxa"/>
            <w:noWrap w:val="0"/>
            <w:vAlign w:val="center"/>
          </w:tcPr>
          <w:p w14:paraId="6D09D5F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2.46</w:t>
            </w:r>
          </w:p>
        </w:tc>
      </w:tr>
      <w:tr w14:paraId="277B5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778812F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975</w:t>
            </w:r>
          </w:p>
        </w:tc>
        <w:tc>
          <w:tcPr>
            <w:tcW w:w="1215" w:type="dxa"/>
            <w:noWrap w:val="0"/>
            <w:vAlign w:val="center"/>
          </w:tcPr>
          <w:p w14:paraId="12E79A0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8.20E-04</w:t>
            </w:r>
          </w:p>
        </w:tc>
        <w:tc>
          <w:tcPr>
            <w:tcW w:w="1050" w:type="dxa"/>
            <w:noWrap w:val="0"/>
            <w:vAlign w:val="center"/>
          </w:tcPr>
          <w:p w14:paraId="0FE764B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0.16</w:t>
            </w:r>
          </w:p>
        </w:tc>
        <w:tc>
          <w:tcPr>
            <w:tcW w:w="1042" w:type="dxa"/>
            <w:noWrap w:val="0"/>
            <w:vAlign w:val="center"/>
          </w:tcPr>
          <w:p w14:paraId="634ED78B">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1.62E-03</w:t>
            </w:r>
          </w:p>
        </w:tc>
        <w:tc>
          <w:tcPr>
            <w:tcW w:w="983" w:type="dxa"/>
            <w:noWrap w:val="0"/>
            <w:vAlign w:val="center"/>
          </w:tcPr>
          <w:p w14:paraId="668D5C0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0.32</w:t>
            </w:r>
          </w:p>
        </w:tc>
        <w:tc>
          <w:tcPr>
            <w:tcW w:w="1035" w:type="dxa"/>
            <w:noWrap w:val="0"/>
            <w:vAlign w:val="center"/>
          </w:tcPr>
          <w:p w14:paraId="16C0287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4.84E-03</w:t>
            </w:r>
          </w:p>
        </w:tc>
        <w:tc>
          <w:tcPr>
            <w:tcW w:w="1030" w:type="dxa"/>
            <w:gridSpan w:val="2"/>
            <w:noWrap w:val="0"/>
            <w:vAlign w:val="center"/>
          </w:tcPr>
          <w:p w14:paraId="5B30EE8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1.93</w:t>
            </w:r>
          </w:p>
        </w:tc>
        <w:tc>
          <w:tcPr>
            <w:tcW w:w="1122" w:type="dxa"/>
            <w:noWrap w:val="0"/>
            <w:vAlign w:val="center"/>
          </w:tcPr>
          <w:p w14:paraId="7E7015E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6.10E-03</w:t>
            </w:r>
          </w:p>
        </w:tc>
        <w:tc>
          <w:tcPr>
            <w:tcW w:w="807" w:type="dxa"/>
            <w:noWrap w:val="0"/>
            <w:vAlign w:val="center"/>
          </w:tcPr>
          <w:p w14:paraId="31DE2E9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2.44</w:t>
            </w:r>
          </w:p>
        </w:tc>
      </w:tr>
      <w:tr w14:paraId="2FE2C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7C26DD7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1000</w:t>
            </w:r>
          </w:p>
        </w:tc>
        <w:tc>
          <w:tcPr>
            <w:tcW w:w="1215" w:type="dxa"/>
            <w:noWrap w:val="0"/>
            <w:vAlign w:val="center"/>
          </w:tcPr>
          <w:p w14:paraId="65B1001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8.12E-04</w:t>
            </w:r>
          </w:p>
        </w:tc>
        <w:tc>
          <w:tcPr>
            <w:tcW w:w="1050" w:type="dxa"/>
            <w:noWrap w:val="0"/>
            <w:vAlign w:val="center"/>
          </w:tcPr>
          <w:p w14:paraId="212A0162">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0.16</w:t>
            </w:r>
          </w:p>
        </w:tc>
        <w:tc>
          <w:tcPr>
            <w:tcW w:w="1042" w:type="dxa"/>
            <w:noWrap w:val="0"/>
            <w:vAlign w:val="center"/>
          </w:tcPr>
          <w:p w14:paraId="2B5C45D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1.60E-03</w:t>
            </w:r>
          </w:p>
        </w:tc>
        <w:tc>
          <w:tcPr>
            <w:tcW w:w="983" w:type="dxa"/>
            <w:noWrap w:val="0"/>
            <w:vAlign w:val="center"/>
          </w:tcPr>
          <w:p w14:paraId="3787D2D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0.32</w:t>
            </w:r>
          </w:p>
        </w:tc>
        <w:tc>
          <w:tcPr>
            <w:tcW w:w="1035" w:type="dxa"/>
            <w:noWrap w:val="0"/>
            <w:vAlign w:val="center"/>
          </w:tcPr>
          <w:p w14:paraId="2A7553D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4.79E-03</w:t>
            </w:r>
          </w:p>
        </w:tc>
        <w:tc>
          <w:tcPr>
            <w:tcW w:w="1030" w:type="dxa"/>
            <w:gridSpan w:val="2"/>
            <w:noWrap w:val="0"/>
            <w:vAlign w:val="center"/>
          </w:tcPr>
          <w:p w14:paraId="64DAFA15">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1.91</w:t>
            </w:r>
          </w:p>
        </w:tc>
        <w:tc>
          <w:tcPr>
            <w:tcW w:w="1122" w:type="dxa"/>
            <w:noWrap w:val="0"/>
            <w:vAlign w:val="center"/>
          </w:tcPr>
          <w:p w14:paraId="0BAD164E">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6.03E-03</w:t>
            </w:r>
          </w:p>
        </w:tc>
        <w:tc>
          <w:tcPr>
            <w:tcW w:w="807" w:type="dxa"/>
            <w:noWrap w:val="0"/>
            <w:vAlign w:val="center"/>
          </w:tcPr>
          <w:p w14:paraId="64A0DD3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2.41</w:t>
            </w:r>
          </w:p>
        </w:tc>
      </w:tr>
      <w:tr w14:paraId="341C2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6DB0AA0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1500</w:t>
            </w:r>
          </w:p>
        </w:tc>
        <w:tc>
          <w:tcPr>
            <w:tcW w:w="1215" w:type="dxa"/>
            <w:noWrap w:val="0"/>
            <w:vAlign w:val="center"/>
          </w:tcPr>
          <w:p w14:paraId="69895D3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6.38E-04</w:t>
            </w:r>
          </w:p>
        </w:tc>
        <w:tc>
          <w:tcPr>
            <w:tcW w:w="1050" w:type="dxa"/>
            <w:noWrap w:val="0"/>
            <w:vAlign w:val="center"/>
          </w:tcPr>
          <w:p w14:paraId="4B697E9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0.10</w:t>
            </w:r>
          </w:p>
        </w:tc>
        <w:tc>
          <w:tcPr>
            <w:tcW w:w="1042" w:type="dxa"/>
            <w:noWrap w:val="0"/>
            <w:vAlign w:val="center"/>
          </w:tcPr>
          <w:p w14:paraId="46E4B7FA">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1.26E-03</w:t>
            </w:r>
          </w:p>
        </w:tc>
        <w:tc>
          <w:tcPr>
            <w:tcW w:w="983" w:type="dxa"/>
            <w:noWrap w:val="0"/>
            <w:vAlign w:val="center"/>
          </w:tcPr>
          <w:p w14:paraId="6C0F91A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0.25</w:t>
            </w:r>
          </w:p>
        </w:tc>
        <w:tc>
          <w:tcPr>
            <w:tcW w:w="1035" w:type="dxa"/>
            <w:noWrap w:val="0"/>
            <w:vAlign w:val="center"/>
          </w:tcPr>
          <w:p w14:paraId="20270D3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3.77E-03</w:t>
            </w:r>
          </w:p>
        </w:tc>
        <w:tc>
          <w:tcPr>
            <w:tcW w:w="1030" w:type="dxa"/>
            <w:gridSpan w:val="2"/>
            <w:noWrap w:val="0"/>
            <w:vAlign w:val="center"/>
          </w:tcPr>
          <w:p w14:paraId="63F47AAC">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1.51</w:t>
            </w:r>
          </w:p>
        </w:tc>
        <w:tc>
          <w:tcPr>
            <w:tcW w:w="1122" w:type="dxa"/>
            <w:noWrap w:val="0"/>
            <w:vAlign w:val="center"/>
          </w:tcPr>
          <w:p w14:paraId="76C1AA2C">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4.69E-03</w:t>
            </w:r>
          </w:p>
        </w:tc>
        <w:tc>
          <w:tcPr>
            <w:tcW w:w="807" w:type="dxa"/>
            <w:noWrap w:val="0"/>
            <w:vAlign w:val="center"/>
          </w:tcPr>
          <w:p w14:paraId="7B884DEB">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1.9</w:t>
            </w:r>
          </w:p>
        </w:tc>
      </w:tr>
      <w:tr w14:paraId="2047F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67223D4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2000</w:t>
            </w:r>
          </w:p>
        </w:tc>
        <w:tc>
          <w:tcPr>
            <w:tcW w:w="1215" w:type="dxa"/>
            <w:noWrap w:val="0"/>
            <w:vAlign w:val="center"/>
          </w:tcPr>
          <w:p w14:paraId="05FC742D">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5.17E-04</w:t>
            </w:r>
          </w:p>
        </w:tc>
        <w:tc>
          <w:tcPr>
            <w:tcW w:w="1050" w:type="dxa"/>
            <w:noWrap w:val="0"/>
            <w:vAlign w:val="center"/>
          </w:tcPr>
          <w:p w14:paraId="31465856">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0.10</w:t>
            </w:r>
          </w:p>
        </w:tc>
        <w:tc>
          <w:tcPr>
            <w:tcW w:w="1042" w:type="dxa"/>
            <w:noWrap w:val="0"/>
            <w:vAlign w:val="center"/>
          </w:tcPr>
          <w:p w14:paraId="5CD7F36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1.02E-03</w:t>
            </w:r>
          </w:p>
        </w:tc>
        <w:tc>
          <w:tcPr>
            <w:tcW w:w="983" w:type="dxa"/>
            <w:noWrap w:val="0"/>
            <w:vAlign w:val="center"/>
          </w:tcPr>
          <w:p w14:paraId="57DACFF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0.20</w:t>
            </w:r>
          </w:p>
        </w:tc>
        <w:tc>
          <w:tcPr>
            <w:tcW w:w="1035" w:type="dxa"/>
            <w:noWrap w:val="0"/>
            <w:vAlign w:val="center"/>
          </w:tcPr>
          <w:p w14:paraId="329C079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3.05E-03</w:t>
            </w:r>
          </w:p>
        </w:tc>
        <w:tc>
          <w:tcPr>
            <w:tcW w:w="1030" w:type="dxa"/>
            <w:gridSpan w:val="2"/>
            <w:noWrap w:val="0"/>
            <w:vAlign w:val="center"/>
          </w:tcPr>
          <w:p w14:paraId="50B13D9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1.22</w:t>
            </w:r>
          </w:p>
        </w:tc>
        <w:tc>
          <w:tcPr>
            <w:tcW w:w="1122" w:type="dxa"/>
            <w:noWrap w:val="0"/>
            <w:vAlign w:val="center"/>
          </w:tcPr>
          <w:p w14:paraId="6EF27275">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3.84E-03</w:t>
            </w:r>
          </w:p>
        </w:tc>
        <w:tc>
          <w:tcPr>
            <w:tcW w:w="807" w:type="dxa"/>
            <w:noWrap w:val="0"/>
            <w:vAlign w:val="center"/>
          </w:tcPr>
          <w:p w14:paraId="5D86971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1.54</w:t>
            </w:r>
          </w:p>
        </w:tc>
      </w:tr>
      <w:tr w14:paraId="76B3D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1F51E41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2500</w:t>
            </w:r>
          </w:p>
        </w:tc>
        <w:tc>
          <w:tcPr>
            <w:tcW w:w="1215" w:type="dxa"/>
            <w:noWrap w:val="0"/>
            <w:vAlign w:val="center"/>
          </w:tcPr>
          <w:p w14:paraId="6E5214E7">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4.38E-04</w:t>
            </w:r>
          </w:p>
        </w:tc>
        <w:tc>
          <w:tcPr>
            <w:tcW w:w="1050" w:type="dxa"/>
            <w:noWrap w:val="0"/>
            <w:vAlign w:val="center"/>
          </w:tcPr>
          <w:p w14:paraId="33D55DED">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0.09</w:t>
            </w:r>
          </w:p>
        </w:tc>
        <w:tc>
          <w:tcPr>
            <w:tcW w:w="1042" w:type="dxa"/>
            <w:noWrap w:val="0"/>
            <w:vAlign w:val="center"/>
          </w:tcPr>
          <w:p w14:paraId="6843D370">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8.64E-04</w:t>
            </w:r>
          </w:p>
        </w:tc>
        <w:tc>
          <w:tcPr>
            <w:tcW w:w="983" w:type="dxa"/>
            <w:noWrap w:val="0"/>
            <w:vAlign w:val="center"/>
          </w:tcPr>
          <w:p w14:paraId="36D81146">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1035" w:type="dxa"/>
            <w:noWrap w:val="0"/>
            <w:vAlign w:val="center"/>
          </w:tcPr>
          <w:p w14:paraId="7C64E7F4">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2.58E-03</w:t>
            </w:r>
          </w:p>
        </w:tc>
        <w:tc>
          <w:tcPr>
            <w:tcW w:w="1030" w:type="dxa"/>
            <w:gridSpan w:val="2"/>
            <w:noWrap w:val="0"/>
            <w:vAlign w:val="center"/>
          </w:tcPr>
          <w:p w14:paraId="3546F5D4">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1.03</w:t>
            </w:r>
          </w:p>
        </w:tc>
        <w:tc>
          <w:tcPr>
            <w:tcW w:w="1122" w:type="dxa"/>
            <w:noWrap w:val="0"/>
            <w:vAlign w:val="center"/>
          </w:tcPr>
          <w:p w14:paraId="45AB697F">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3.25E-03</w:t>
            </w:r>
          </w:p>
        </w:tc>
        <w:tc>
          <w:tcPr>
            <w:tcW w:w="807" w:type="dxa"/>
            <w:noWrap w:val="0"/>
            <w:vAlign w:val="center"/>
          </w:tcPr>
          <w:p w14:paraId="05E41860">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1.3</w:t>
            </w:r>
          </w:p>
        </w:tc>
      </w:tr>
      <w:tr w14:paraId="55F12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07802958">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最大占标距离m</w:t>
            </w:r>
          </w:p>
        </w:tc>
        <w:tc>
          <w:tcPr>
            <w:tcW w:w="8284" w:type="dxa"/>
            <w:gridSpan w:val="9"/>
            <w:noWrap w:val="0"/>
            <w:vAlign w:val="center"/>
          </w:tcPr>
          <w:p w14:paraId="23E3DB0E">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700</w:t>
            </w:r>
          </w:p>
        </w:tc>
      </w:tr>
      <w:tr w14:paraId="6DA43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466817E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最大占标率%</w:t>
            </w:r>
          </w:p>
        </w:tc>
        <w:tc>
          <w:tcPr>
            <w:tcW w:w="2265" w:type="dxa"/>
            <w:gridSpan w:val="2"/>
            <w:noWrap w:val="0"/>
            <w:vAlign w:val="center"/>
          </w:tcPr>
          <w:p w14:paraId="7FF10292">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0.17</w:t>
            </w:r>
          </w:p>
        </w:tc>
        <w:tc>
          <w:tcPr>
            <w:tcW w:w="2025" w:type="dxa"/>
            <w:gridSpan w:val="2"/>
            <w:noWrap w:val="0"/>
            <w:vAlign w:val="center"/>
          </w:tcPr>
          <w:p w14:paraId="4325D541">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0.34</w:t>
            </w:r>
          </w:p>
        </w:tc>
        <w:tc>
          <w:tcPr>
            <w:tcW w:w="2065" w:type="dxa"/>
            <w:gridSpan w:val="3"/>
            <w:noWrap w:val="0"/>
            <w:vAlign w:val="center"/>
          </w:tcPr>
          <w:p w14:paraId="1E65BCEC">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2.05</w:t>
            </w:r>
          </w:p>
        </w:tc>
        <w:tc>
          <w:tcPr>
            <w:tcW w:w="1929" w:type="dxa"/>
            <w:gridSpan w:val="2"/>
            <w:noWrap w:val="0"/>
            <w:vAlign w:val="center"/>
          </w:tcPr>
          <w:p w14:paraId="34D3A6D8">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2.59</w:t>
            </w:r>
          </w:p>
        </w:tc>
      </w:tr>
      <w:tr w14:paraId="6BB55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30" w:type="dxa"/>
            <w:noWrap w:val="0"/>
            <w:vAlign w:val="center"/>
          </w:tcPr>
          <w:p w14:paraId="5C39531F">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D10%最远距离m</w:t>
            </w:r>
          </w:p>
        </w:tc>
        <w:tc>
          <w:tcPr>
            <w:tcW w:w="2265" w:type="dxa"/>
            <w:gridSpan w:val="2"/>
            <w:noWrap w:val="0"/>
            <w:vAlign w:val="center"/>
          </w:tcPr>
          <w:p w14:paraId="0F66A119">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w:t>
            </w:r>
          </w:p>
        </w:tc>
        <w:tc>
          <w:tcPr>
            <w:tcW w:w="2025" w:type="dxa"/>
            <w:gridSpan w:val="2"/>
            <w:noWrap w:val="0"/>
            <w:vAlign w:val="center"/>
          </w:tcPr>
          <w:p w14:paraId="524D7EC1">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w:t>
            </w:r>
          </w:p>
        </w:tc>
        <w:tc>
          <w:tcPr>
            <w:tcW w:w="2065" w:type="dxa"/>
            <w:gridSpan w:val="3"/>
            <w:noWrap w:val="0"/>
            <w:vAlign w:val="center"/>
          </w:tcPr>
          <w:p w14:paraId="10BFDEE3">
            <w:pPr>
              <w:keepNext w:val="0"/>
              <w:keepLines w:val="0"/>
              <w:widowControl/>
              <w:suppressLineNumbers w:val="0"/>
              <w:ind w:left="0" w:firstLine="0"/>
              <w:jc w:val="center"/>
              <w:rPr>
                <w:rFonts w:hint="eastAsia"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w:t>
            </w:r>
          </w:p>
        </w:tc>
        <w:tc>
          <w:tcPr>
            <w:tcW w:w="1929" w:type="dxa"/>
            <w:gridSpan w:val="2"/>
            <w:noWrap w:val="0"/>
            <w:vAlign w:val="center"/>
          </w:tcPr>
          <w:p w14:paraId="0D66F987">
            <w:pPr>
              <w:keepNext w:val="0"/>
              <w:keepLines w:val="0"/>
              <w:widowControl/>
              <w:suppressLineNumbers w:val="0"/>
              <w:ind w:left="0" w:firstLine="0"/>
              <w:jc w:val="center"/>
              <w:rPr>
                <w:rFonts w:ascii="Times New Roman" w:hAnsi="Times New Roman" w:eastAsia="宋体" w:cs="Times New Roman"/>
                <w:color w:val="FF0000"/>
                <w:sz w:val="21"/>
                <w:szCs w:val="21"/>
                <w:vertAlign w:val="baseline"/>
                <w:lang w:val="en-US" w:eastAsia="zh-CN" w:bidi="ar"/>
              </w:rPr>
            </w:pPr>
            <w:r>
              <w:rPr>
                <w:rFonts w:hint="eastAsia" w:ascii="Times New Roman" w:hAnsi="Times New Roman" w:eastAsia="宋体" w:cs="Times New Roman"/>
                <w:color w:val="FF0000"/>
                <w:sz w:val="21"/>
                <w:szCs w:val="21"/>
                <w:vertAlign w:val="baseline"/>
                <w:lang w:val="en-US" w:eastAsia="zh-CN" w:bidi="ar"/>
              </w:rPr>
              <w:t>0</w:t>
            </w:r>
          </w:p>
        </w:tc>
      </w:tr>
    </w:tbl>
    <w:p w14:paraId="59D61C76">
      <w:pPr>
        <w:keepNext/>
        <w:keepLines w:val="0"/>
        <w:pageBreakBefore w:val="0"/>
        <w:spacing w:line="360" w:lineRule="auto"/>
        <w:ind w:firstLine="480"/>
        <w:rPr>
          <w:color w:val="FF0000"/>
          <w:sz w:val="24"/>
        </w:rPr>
      </w:pPr>
    </w:p>
    <w:p w14:paraId="2D7D2544">
      <w:pPr>
        <w:keepNext/>
        <w:keepLines w:val="0"/>
        <w:pageBreakBefore w:val="0"/>
        <w:widowControl/>
        <w:spacing w:line="360" w:lineRule="auto"/>
        <w:ind w:firstLine="1687"/>
        <w:jc w:val="left"/>
        <w:rPr>
          <w:rFonts w:ascii="Times New Roman" w:hAnsi="Times New Roman" w:eastAsia="宋体" w:cs="Times New Roman"/>
          <w:b/>
          <w:color w:val="000000"/>
          <w:sz w:val="24"/>
        </w:rPr>
        <w:sectPr>
          <w:footerReference r:id="rId17" w:type="default"/>
          <w:pgSz w:w="12240" w:h="15840" w:orient="landscape"/>
          <w:pgMar w:top="1440" w:right="1800" w:bottom="1440" w:left="1800" w:header="720" w:footer="720" w:gutter="0"/>
          <w:pgNumType w:start="1"/>
          <w:cols w:space="1701" w:num="1"/>
        </w:sectPr>
      </w:pPr>
    </w:p>
    <w:p w14:paraId="69B65259">
      <w:pPr>
        <w:keepNext/>
        <w:keepLines w:val="0"/>
        <w:pageBreakBefore w:val="0"/>
        <w:widowControl/>
        <w:spacing w:line="360" w:lineRule="auto"/>
        <w:ind w:firstLine="2409"/>
        <w:jc w:val="left"/>
        <w:rPr>
          <w:rFonts w:hint="eastAsia" w:ascii="Times New Roman" w:hAnsi="Times New Roman" w:eastAsia="宋体" w:cs="Times New Roman"/>
          <w:b/>
          <w:color w:val="000000"/>
          <w:sz w:val="24"/>
          <w:lang w:eastAsia="zh-CN"/>
        </w:rPr>
      </w:pPr>
      <w:r>
        <w:rPr>
          <w:rFonts w:ascii="Times New Roman" w:hAnsi="Times New Roman" w:eastAsia="宋体" w:cs="Times New Roman"/>
          <w:b/>
          <w:color w:val="000000"/>
          <w:sz w:val="24"/>
        </w:rPr>
        <w:t>表</w:t>
      </w:r>
      <w:r>
        <w:rPr>
          <w:rFonts w:hint="eastAsia" w:ascii="Times New Roman" w:hAnsi="Times New Roman" w:eastAsia="宋体" w:cs="Times New Roman"/>
          <w:b/>
          <w:bCs/>
          <w:color w:val="000000"/>
          <w:sz w:val="24"/>
          <w:lang w:val="en-US" w:eastAsia="zh-CN"/>
        </w:rPr>
        <w:t>6.2</w:t>
      </w:r>
      <w:r>
        <w:rPr>
          <w:rFonts w:ascii="Times New Roman" w:hAnsi="Times New Roman" w:eastAsia="宋体" w:cs="Times New Roman"/>
          <w:b/>
          <w:bCs/>
          <w:color w:val="000000"/>
          <w:sz w:val="24"/>
        </w:rPr>
        <w:t>-</w:t>
      </w:r>
      <w:r>
        <w:rPr>
          <w:rFonts w:hint="eastAsia" w:ascii="Times New Roman" w:hAnsi="Times New Roman" w:eastAsia="宋体" w:cs="Times New Roman"/>
          <w:b/>
          <w:bCs/>
          <w:color w:val="000000"/>
          <w:sz w:val="24"/>
          <w:lang w:val="en-US" w:eastAsia="zh-CN"/>
        </w:rPr>
        <w:t>17</w:t>
      </w:r>
      <w:r>
        <w:rPr>
          <w:rFonts w:ascii="Times New Roman" w:hAnsi="Times New Roman" w:eastAsia="宋体" w:cs="Times New Roman"/>
          <w:b/>
          <w:bCs/>
          <w:color w:val="000000"/>
          <w:sz w:val="24"/>
        </w:rPr>
        <w:t xml:space="preserve"> </w:t>
      </w:r>
      <w:r>
        <w:rPr>
          <w:rFonts w:ascii="Times New Roman" w:hAnsi="Times New Roman" w:eastAsia="宋体" w:cs="Times New Roman"/>
          <w:b/>
          <w:color w:val="000000"/>
          <w:sz w:val="24"/>
        </w:rPr>
        <w:t>项目</w:t>
      </w:r>
      <w:r>
        <w:rPr>
          <w:rFonts w:hint="eastAsia" w:ascii="Times New Roman" w:hAnsi="Times New Roman" w:eastAsia="宋体" w:cs="Times New Roman"/>
          <w:b/>
          <w:color w:val="000000"/>
          <w:sz w:val="24"/>
          <w:lang w:val="en-US" w:eastAsia="zh-CN"/>
        </w:rPr>
        <w:t>有组织废气甲醛、酚类、氨气、非甲烷总烃</w:t>
      </w:r>
      <w:r>
        <w:rPr>
          <w:rFonts w:hint="eastAsia" w:ascii="Times New Roman" w:hAnsi="Times New Roman" w:eastAsia="宋体" w:cs="Times New Roman"/>
          <w:b/>
          <w:color w:val="000000"/>
          <w:sz w:val="24"/>
        </w:rPr>
        <w:t>估算模型计算结果</w:t>
      </w:r>
    </w:p>
    <w:tbl>
      <w:tblPr>
        <w:tblStyle w:val="32"/>
        <w:tblW w:w="150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780"/>
        <w:gridCol w:w="881"/>
        <w:gridCol w:w="5"/>
        <w:gridCol w:w="1120"/>
        <w:gridCol w:w="855"/>
        <w:gridCol w:w="1125"/>
        <w:gridCol w:w="951"/>
        <w:gridCol w:w="1018"/>
        <w:gridCol w:w="855"/>
        <w:gridCol w:w="945"/>
        <w:gridCol w:w="843"/>
        <w:gridCol w:w="781"/>
        <w:gridCol w:w="645"/>
        <w:gridCol w:w="825"/>
        <w:gridCol w:w="817"/>
        <w:gridCol w:w="5"/>
        <w:gridCol w:w="839"/>
        <w:gridCol w:w="874"/>
      </w:tblGrid>
      <w:tr w14:paraId="6A2B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vMerge w:val="restart"/>
            <w:noWrap w:val="0"/>
            <w:vAlign w:val="center"/>
          </w:tcPr>
          <w:p w14:paraId="684E3D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距源中心下风向距离D/m</w:t>
            </w:r>
          </w:p>
        </w:tc>
        <w:tc>
          <w:tcPr>
            <w:tcW w:w="1661" w:type="dxa"/>
            <w:gridSpan w:val="2"/>
            <w:noWrap w:val="0"/>
            <w:vAlign w:val="center"/>
          </w:tcPr>
          <w:p w14:paraId="33FBBA6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甲醛（正常情况）</w:t>
            </w:r>
          </w:p>
        </w:tc>
        <w:tc>
          <w:tcPr>
            <w:tcW w:w="1980" w:type="dxa"/>
            <w:gridSpan w:val="3"/>
            <w:noWrap w:val="0"/>
            <w:vAlign w:val="center"/>
          </w:tcPr>
          <w:p w14:paraId="3EEBF43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甲醛（非正常情况）</w:t>
            </w:r>
          </w:p>
        </w:tc>
        <w:tc>
          <w:tcPr>
            <w:tcW w:w="2076" w:type="dxa"/>
            <w:gridSpan w:val="2"/>
            <w:noWrap w:val="0"/>
            <w:vAlign w:val="center"/>
          </w:tcPr>
          <w:p w14:paraId="367740F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酚类（正常情况）</w:t>
            </w:r>
          </w:p>
        </w:tc>
        <w:tc>
          <w:tcPr>
            <w:tcW w:w="1873" w:type="dxa"/>
            <w:gridSpan w:val="2"/>
            <w:noWrap w:val="0"/>
            <w:vAlign w:val="center"/>
          </w:tcPr>
          <w:p w14:paraId="774B5FC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酚类（非正常情况）</w:t>
            </w:r>
          </w:p>
        </w:tc>
        <w:tc>
          <w:tcPr>
            <w:tcW w:w="1788" w:type="dxa"/>
            <w:gridSpan w:val="2"/>
            <w:noWrap w:val="0"/>
            <w:vAlign w:val="center"/>
          </w:tcPr>
          <w:p w14:paraId="7B65347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氨（正常情况）</w:t>
            </w:r>
          </w:p>
        </w:tc>
        <w:tc>
          <w:tcPr>
            <w:tcW w:w="1426" w:type="dxa"/>
            <w:gridSpan w:val="2"/>
            <w:noWrap w:val="0"/>
            <w:vAlign w:val="center"/>
          </w:tcPr>
          <w:p w14:paraId="6155D46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氨（非正常情况）</w:t>
            </w:r>
          </w:p>
        </w:tc>
        <w:tc>
          <w:tcPr>
            <w:tcW w:w="1642" w:type="dxa"/>
            <w:gridSpan w:val="2"/>
            <w:noWrap w:val="0"/>
            <w:vAlign w:val="center"/>
          </w:tcPr>
          <w:p w14:paraId="2E32F0F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非甲烷总烃（正常情况）</w:t>
            </w:r>
          </w:p>
        </w:tc>
        <w:tc>
          <w:tcPr>
            <w:tcW w:w="1718" w:type="dxa"/>
            <w:gridSpan w:val="3"/>
            <w:noWrap w:val="0"/>
            <w:vAlign w:val="center"/>
          </w:tcPr>
          <w:p w14:paraId="75DB06F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非甲烷总烃（非正常情况）</w:t>
            </w:r>
          </w:p>
        </w:tc>
      </w:tr>
      <w:tr w14:paraId="1DB8B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7" w:hRule="atLeast"/>
          <w:jc w:val="center"/>
        </w:trPr>
        <w:tc>
          <w:tcPr>
            <w:tcW w:w="904" w:type="dxa"/>
            <w:vMerge w:val="continue"/>
            <w:noWrap w:val="0"/>
            <w:vAlign w:val="center"/>
          </w:tcPr>
          <w:p w14:paraId="01C35C2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780" w:type="dxa"/>
            <w:noWrap w:val="0"/>
            <w:vAlign w:val="center"/>
          </w:tcPr>
          <w:p w14:paraId="250DDD8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881" w:type="dxa"/>
            <w:noWrap w:val="0"/>
            <w:vAlign w:val="center"/>
          </w:tcPr>
          <w:p w14:paraId="507953E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c>
          <w:tcPr>
            <w:tcW w:w="1125" w:type="dxa"/>
            <w:gridSpan w:val="2"/>
            <w:noWrap w:val="0"/>
            <w:vAlign w:val="center"/>
          </w:tcPr>
          <w:p w14:paraId="2FA1D5C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855" w:type="dxa"/>
            <w:noWrap w:val="0"/>
            <w:vAlign w:val="center"/>
          </w:tcPr>
          <w:p w14:paraId="58CD0E1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c>
          <w:tcPr>
            <w:tcW w:w="1125" w:type="dxa"/>
            <w:noWrap w:val="0"/>
            <w:vAlign w:val="center"/>
          </w:tcPr>
          <w:p w14:paraId="293196A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951" w:type="dxa"/>
            <w:noWrap w:val="0"/>
            <w:vAlign w:val="center"/>
          </w:tcPr>
          <w:p w14:paraId="76FA0C5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c>
          <w:tcPr>
            <w:tcW w:w="1018" w:type="dxa"/>
            <w:noWrap w:val="0"/>
            <w:vAlign w:val="center"/>
          </w:tcPr>
          <w:p w14:paraId="2CA5352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855" w:type="dxa"/>
            <w:noWrap w:val="0"/>
            <w:vAlign w:val="center"/>
          </w:tcPr>
          <w:p w14:paraId="061D8EE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c>
          <w:tcPr>
            <w:tcW w:w="945" w:type="dxa"/>
            <w:noWrap w:val="0"/>
            <w:vAlign w:val="center"/>
          </w:tcPr>
          <w:p w14:paraId="13F6F0F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843" w:type="dxa"/>
            <w:noWrap w:val="0"/>
            <w:vAlign w:val="center"/>
          </w:tcPr>
          <w:p w14:paraId="7E0255C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c>
          <w:tcPr>
            <w:tcW w:w="781" w:type="dxa"/>
            <w:noWrap w:val="0"/>
            <w:vAlign w:val="center"/>
          </w:tcPr>
          <w:p w14:paraId="3AF0F42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645" w:type="dxa"/>
            <w:noWrap w:val="0"/>
            <w:vAlign w:val="center"/>
          </w:tcPr>
          <w:p w14:paraId="66B74E4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c>
          <w:tcPr>
            <w:tcW w:w="825" w:type="dxa"/>
            <w:noWrap w:val="0"/>
            <w:vAlign w:val="center"/>
          </w:tcPr>
          <w:p w14:paraId="3DFA111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817" w:type="dxa"/>
            <w:noWrap w:val="0"/>
            <w:vAlign w:val="center"/>
          </w:tcPr>
          <w:p w14:paraId="33BD131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c>
          <w:tcPr>
            <w:tcW w:w="844" w:type="dxa"/>
            <w:gridSpan w:val="2"/>
            <w:noWrap w:val="0"/>
            <w:vAlign w:val="center"/>
          </w:tcPr>
          <w:p w14:paraId="15A79AF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小时浓度mg/m</w:t>
            </w:r>
            <w:r>
              <w:rPr>
                <w:rFonts w:hint="eastAsia" w:ascii="Times New Roman" w:hAnsi="Times New Roman" w:eastAsia="宋体" w:cs="Times New Roman"/>
                <w:color w:val="000000"/>
                <w:sz w:val="21"/>
                <w:szCs w:val="21"/>
                <w:vertAlign w:val="superscript"/>
                <w:lang w:val="en-US" w:eastAsia="zh-CN" w:bidi="ar"/>
              </w:rPr>
              <w:t>3</w:t>
            </w:r>
          </w:p>
        </w:tc>
        <w:tc>
          <w:tcPr>
            <w:tcW w:w="874" w:type="dxa"/>
            <w:noWrap w:val="0"/>
            <w:vAlign w:val="center"/>
          </w:tcPr>
          <w:p w14:paraId="22513F6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占标率%</w:t>
            </w:r>
          </w:p>
        </w:tc>
      </w:tr>
      <w:tr w14:paraId="51805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5F8B66B3">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w:t>
            </w:r>
          </w:p>
        </w:tc>
        <w:tc>
          <w:tcPr>
            <w:tcW w:w="780" w:type="dxa"/>
            <w:noWrap w:val="0"/>
            <w:vAlign w:val="center"/>
          </w:tcPr>
          <w:p w14:paraId="721CCFA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3.09E-06</w:t>
            </w:r>
          </w:p>
        </w:tc>
        <w:tc>
          <w:tcPr>
            <w:tcW w:w="881" w:type="dxa"/>
            <w:noWrap w:val="0"/>
            <w:vAlign w:val="center"/>
          </w:tcPr>
          <w:p w14:paraId="2B23047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1125" w:type="dxa"/>
            <w:gridSpan w:val="2"/>
            <w:noWrap w:val="0"/>
            <w:vAlign w:val="center"/>
          </w:tcPr>
          <w:p w14:paraId="40A321E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1.52E-05</w:t>
            </w:r>
          </w:p>
        </w:tc>
        <w:tc>
          <w:tcPr>
            <w:tcW w:w="855" w:type="dxa"/>
            <w:noWrap w:val="0"/>
            <w:vAlign w:val="center"/>
          </w:tcPr>
          <w:p w14:paraId="571B279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0.03</w:t>
            </w:r>
          </w:p>
        </w:tc>
        <w:tc>
          <w:tcPr>
            <w:tcW w:w="1125" w:type="dxa"/>
            <w:noWrap w:val="0"/>
            <w:vAlign w:val="center"/>
          </w:tcPr>
          <w:p w14:paraId="00340A3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3.18E-06</w:t>
            </w:r>
          </w:p>
        </w:tc>
        <w:tc>
          <w:tcPr>
            <w:tcW w:w="951" w:type="dxa"/>
            <w:noWrap w:val="0"/>
            <w:vAlign w:val="center"/>
          </w:tcPr>
          <w:p w14:paraId="231436F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1018" w:type="dxa"/>
            <w:noWrap w:val="0"/>
            <w:vAlign w:val="center"/>
          </w:tcPr>
          <w:p w14:paraId="55344D6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1.59E-05</w:t>
            </w:r>
          </w:p>
        </w:tc>
        <w:tc>
          <w:tcPr>
            <w:tcW w:w="855" w:type="dxa"/>
            <w:noWrap w:val="0"/>
            <w:vAlign w:val="center"/>
          </w:tcPr>
          <w:p w14:paraId="75D9E48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0.08</w:t>
            </w:r>
          </w:p>
        </w:tc>
        <w:tc>
          <w:tcPr>
            <w:tcW w:w="945" w:type="dxa"/>
            <w:noWrap w:val="0"/>
            <w:vAlign w:val="center"/>
          </w:tcPr>
          <w:p w14:paraId="753572E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6.18E-09</w:t>
            </w:r>
          </w:p>
        </w:tc>
        <w:tc>
          <w:tcPr>
            <w:tcW w:w="843" w:type="dxa"/>
            <w:noWrap w:val="0"/>
            <w:vAlign w:val="center"/>
          </w:tcPr>
          <w:p w14:paraId="52C7C6C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E8314F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3.09E-08</w:t>
            </w:r>
          </w:p>
        </w:tc>
        <w:tc>
          <w:tcPr>
            <w:tcW w:w="645" w:type="dxa"/>
            <w:noWrap w:val="0"/>
            <w:vAlign w:val="center"/>
          </w:tcPr>
          <w:p w14:paraId="60D8AAA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25" w:type="dxa"/>
            <w:noWrap w:val="0"/>
            <w:vAlign w:val="center"/>
          </w:tcPr>
          <w:p w14:paraId="125914F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9.71E-07</w:t>
            </w:r>
          </w:p>
        </w:tc>
        <w:tc>
          <w:tcPr>
            <w:tcW w:w="817" w:type="dxa"/>
            <w:noWrap w:val="0"/>
            <w:vAlign w:val="center"/>
          </w:tcPr>
          <w:p w14:paraId="1EAEBB3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44" w:type="dxa"/>
            <w:gridSpan w:val="2"/>
            <w:noWrap w:val="0"/>
            <w:vAlign w:val="center"/>
          </w:tcPr>
          <w:p w14:paraId="31114DC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4.77E-06</w:t>
            </w:r>
          </w:p>
        </w:tc>
        <w:tc>
          <w:tcPr>
            <w:tcW w:w="874" w:type="dxa"/>
            <w:noWrap w:val="0"/>
            <w:vAlign w:val="center"/>
          </w:tcPr>
          <w:p w14:paraId="7B889F2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r>
      <w:tr w14:paraId="26965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20CF574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w:t>
            </w:r>
          </w:p>
        </w:tc>
        <w:tc>
          <w:tcPr>
            <w:tcW w:w="780" w:type="dxa"/>
            <w:noWrap w:val="0"/>
            <w:vAlign w:val="center"/>
          </w:tcPr>
          <w:p w14:paraId="6BB953D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2.18E-04</w:t>
            </w:r>
          </w:p>
        </w:tc>
        <w:tc>
          <w:tcPr>
            <w:tcW w:w="881" w:type="dxa"/>
            <w:noWrap w:val="0"/>
            <w:vAlign w:val="center"/>
          </w:tcPr>
          <w:p w14:paraId="255C51C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0.44</w:t>
            </w:r>
          </w:p>
        </w:tc>
        <w:tc>
          <w:tcPr>
            <w:tcW w:w="1125" w:type="dxa"/>
            <w:gridSpan w:val="2"/>
            <w:noWrap w:val="0"/>
            <w:vAlign w:val="center"/>
          </w:tcPr>
          <w:p w14:paraId="55C2986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1.07E-03</w:t>
            </w:r>
          </w:p>
        </w:tc>
        <w:tc>
          <w:tcPr>
            <w:tcW w:w="855" w:type="dxa"/>
            <w:noWrap w:val="0"/>
            <w:vAlign w:val="center"/>
          </w:tcPr>
          <w:p w14:paraId="239CD0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2.14</w:t>
            </w:r>
          </w:p>
        </w:tc>
        <w:tc>
          <w:tcPr>
            <w:tcW w:w="1125" w:type="dxa"/>
            <w:noWrap w:val="0"/>
            <w:vAlign w:val="center"/>
          </w:tcPr>
          <w:p w14:paraId="125F4A7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2.24E-04</w:t>
            </w:r>
          </w:p>
        </w:tc>
        <w:tc>
          <w:tcPr>
            <w:tcW w:w="951" w:type="dxa"/>
            <w:noWrap w:val="0"/>
            <w:vAlign w:val="center"/>
          </w:tcPr>
          <w:p w14:paraId="711D376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1.12</w:t>
            </w:r>
          </w:p>
        </w:tc>
        <w:tc>
          <w:tcPr>
            <w:tcW w:w="1018" w:type="dxa"/>
            <w:noWrap w:val="0"/>
            <w:vAlign w:val="center"/>
          </w:tcPr>
          <w:p w14:paraId="5C63D31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1.12E-03</w:t>
            </w:r>
          </w:p>
        </w:tc>
        <w:tc>
          <w:tcPr>
            <w:tcW w:w="855" w:type="dxa"/>
            <w:noWrap w:val="0"/>
            <w:vAlign w:val="center"/>
          </w:tcPr>
          <w:p w14:paraId="53B6918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5.60</w:t>
            </w:r>
          </w:p>
        </w:tc>
        <w:tc>
          <w:tcPr>
            <w:tcW w:w="945" w:type="dxa"/>
            <w:noWrap w:val="0"/>
            <w:vAlign w:val="center"/>
          </w:tcPr>
          <w:p w14:paraId="11E5B10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4.36E-07</w:t>
            </w:r>
          </w:p>
        </w:tc>
        <w:tc>
          <w:tcPr>
            <w:tcW w:w="843" w:type="dxa"/>
            <w:noWrap w:val="0"/>
            <w:vAlign w:val="center"/>
          </w:tcPr>
          <w:p w14:paraId="3AD272B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5265D51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2.18E-06</w:t>
            </w:r>
          </w:p>
        </w:tc>
        <w:tc>
          <w:tcPr>
            <w:tcW w:w="645" w:type="dxa"/>
            <w:noWrap w:val="0"/>
            <w:vAlign w:val="center"/>
          </w:tcPr>
          <w:p w14:paraId="17F79A0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25" w:type="dxa"/>
            <w:noWrap w:val="0"/>
            <w:vAlign w:val="center"/>
          </w:tcPr>
          <w:p w14:paraId="3E517BE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6.85E-05</w:t>
            </w:r>
          </w:p>
        </w:tc>
        <w:tc>
          <w:tcPr>
            <w:tcW w:w="817" w:type="dxa"/>
            <w:noWrap w:val="0"/>
            <w:vAlign w:val="center"/>
          </w:tcPr>
          <w:p w14:paraId="4361853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44" w:type="dxa"/>
            <w:gridSpan w:val="2"/>
            <w:noWrap w:val="0"/>
            <w:vAlign w:val="center"/>
          </w:tcPr>
          <w:p w14:paraId="3153BE8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3.36E-04</w:t>
            </w:r>
          </w:p>
        </w:tc>
        <w:tc>
          <w:tcPr>
            <w:tcW w:w="874" w:type="dxa"/>
            <w:noWrap w:val="0"/>
            <w:vAlign w:val="center"/>
          </w:tcPr>
          <w:p w14:paraId="39CFA00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r>
      <w:tr w14:paraId="7CF55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53179A7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50</w:t>
            </w:r>
          </w:p>
        </w:tc>
        <w:tc>
          <w:tcPr>
            <w:tcW w:w="780" w:type="dxa"/>
            <w:noWrap w:val="0"/>
            <w:vAlign w:val="center"/>
          </w:tcPr>
          <w:p w14:paraId="3325398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6.26E-04</w:t>
            </w:r>
          </w:p>
        </w:tc>
        <w:tc>
          <w:tcPr>
            <w:tcW w:w="881" w:type="dxa"/>
            <w:noWrap w:val="0"/>
            <w:vAlign w:val="center"/>
          </w:tcPr>
          <w:p w14:paraId="55B94F9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1.25</w:t>
            </w:r>
          </w:p>
        </w:tc>
        <w:tc>
          <w:tcPr>
            <w:tcW w:w="1125" w:type="dxa"/>
            <w:gridSpan w:val="2"/>
            <w:noWrap w:val="0"/>
            <w:vAlign w:val="center"/>
          </w:tcPr>
          <w:p w14:paraId="340C251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3.08E-03</w:t>
            </w:r>
          </w:p>
        </w:tc>
        <w:tc>
          <w:tcPr>
            <w:tcW w:w="855" w:type="dxa"/>
            <w:noWrap w:val="0"/>
            <w:vAlign w:val="center"/>
          </w:tcPr>
          <w:p w14:paraId="16CF2FB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6.16</w:t>
            </w:r>
          </w:p>
        </w:tc>
        <w:tc>
          <w:tcPr>
            <w:tcW w:w="1125" w:type="dxa"/>
            <w:noWrap w:val="0"/>
            <w:vAlign w:val="center"/>
          </w:tcPr>
          <w:p w14:paraId="70B858D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6.44E-04</w:t>
            </w:r>
          </w:p>
        </w:tc>
        <w:tc>
          <w:tcPr>
            <w:tcW w:w="951" w:type="dxa"/>
            <w:noWrap w:val="0"/>
            <w:vAlign w:val="center"/>
          </w:tcPr>
          <w:p w14:paraId="4CE85F4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3.22</w:t>
            </w:r>
          </w:p>
        </w:tc>
        <w:tc>
          <w:tcPr>
            <w:tcW w:w="1018" w:type="dxa"/>
            <w:noWrap w:val="0"/>
            <w:vAlign w:val="center"/>
          </w:tcPr>
          <w:p w14:paraId="060A344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3.22E-03</w:t>
            </w:r>
          </w:p>
        </w:tc>
        <w:tc>
          <w:tcPr>
            <w:tcW w:w="855" w:type="dxa"/>
            <w:noWrap w:val="0"/>
            <w:vAlign w:val="center"/>
          </w:tcPr>
          <w:p w14:paraId="4DE085A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16.11</w:t>
            </w:r>
          </w:p>
        </w:tc>
        <w:tc>
          <w:tcPr>
            <w:tcW w:w="945" w:type="dxa"/>
            <w:noWrap w:val="0"/>
            <w:vAlign w:val="center"/>
          </w:tcPr>
          <w:p w14:paraId="1D90C9F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1.25E-06</w:t>
            </w:r>
          </w:p>
        </w:tc>
        <w:tc>
          <w:tcPr>
            <w:tcW w:w="843" w:type="dxa"/>
            <w:noWrap w:val="0"/>
            <w:vAlign w:val="center"/>
          </w:tcPr>
          <w:p w14:paraId="739C0A4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E262CB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6.26E-06</w:t>
            </w:r>
          </w:p>
        </w:tc>
        <w:tc>
          <w:tcPr>
            <w:tcW w:w="645" w:type="dxa"/>
            <w:noWrap w:val="0"/>
            <w:vAlign w:val="center"/>
          </w:tcPr>
          <w:p w14:paraId="171847E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25" w:type="dxa"/>
            <w:noWrap w:val="0"/>
            <w:vAlign w:val="center"/>
          </w:tcPr>
          <w:p w14:paraId="646744D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1.97E-04</w:t>
            </w:r>
          </w:p>
        </w:tc>
        <w:tc>
          <w:tcPr>
            <w:tcW w:w="817" w:type="dxa"/>
            <w:noWrap w:val="0"/>
            <w:vAlign w:val="center"/>
          </w:tcPr>
          <w:p w14:paraId="7FF596D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44" w:type="dxa"/>
            <w:gridSpan w:val="2"/>
            <w:noWrap w:val="0"/>
            <w:vAlign w:val="center"/>
          </w:tcPr>
          <w:p w14:paraId="6BC2F37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9.67E-04</w:t>
            </w:r>
          </w:p>
        </w:tc>
        <w:tc>
          <w:tcPr>
            <w:tcW w:w="874" w:type="dxa"/>
            <w:noWrap w:val="0"/>
            <w:vAlign w:val="center"/>
          </w:tcPr>
          <w:p w14:paraId="2B82161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0.05</w:t>
            </w:r>
          </w:p>
        </w:tc>
      </w:tr>
      <w:tr w14:paraId="48EDA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shd w:val="clear" w:color="auto" w:fill="FFFFFF"/>
            <w:noWrap w:val="0"/>
            <w:vAlign w:val="center"/>
          </w:tcPr>
          <w:p w14:paraId="606D009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75</w:t>
            </w:r>
          </w:p>
        </w:tc>
        <w:tc>
          <w:tcPr>
            <w:tcW w:w="780" w:type="dxa"/>
            <w:shd w:val="clear" w:color="auto" w:fill="FFFFFF"/>
            <w:noWrap w:val="0"/>
            <w:vAlign w:val="center"/>
          </w:tcPr>
          <w:p w14:paraId="2AE410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9.61E-04</w:t>
            </w:r>
          </w:p>
        </w:tc>
        <w:tc>
          <w:tcPr>
            <w:tcW w:w="881" w:type="dxa"/>
            <w:shd w:val="clear" w:color="auto" w:fill="FFFFFF"/>
            <w:noWrap w:val="0"/>
            <w:vAlign w:val="center"/>
          </w:tcPr>
          <w:p w14:paraId="7F65C3F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1.92</w:t>
            </w:r>
          </w:p>
        </w:tc>
        <w:tc>
          <w:tcPr>
            <w:tcW w:w="1125" w:type="dxa"/>
            <w:gridSpan w:val="2"/>
            <w:shd w:val="clear" w:color="auto" w:fill="FFFFFF"/>
            <w:noWrap w:val="0"/>
            <w:vAlign w:val="center"/>
          </w:tcPr>
          <w:p w14:paraId="11E955B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4.72E-03</w:t>
            </w:r>
          </w:p>
        </w:tc>
        <w:tc>
          <w:tcPr>
            <w:tcW w:w="855" w:type="dxa"/>
            <w:shd w:val="clear" w:color="auto" w:fill="FFFFFF"/>
            <w:noWrap w:val="0"/>
            <w:vAlign w:val="center"/>
          </w:tcPr>
          <w:p w14:paraId="3B78F7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9.45</w:t>
            </w:r>
          </w:p>
        </w:tc>
        <w:tc>
          <w:tcPr>
            <w:tcW w:w="1125" w:type="dxa"/>
            <w:shd w:val="clear" w:color="auto" w:fill="FFFFFF"/>
            <w:noWrap w:val="0"/>
            <w:vAlign w:val="center"/>
          </w:tcPr>
          <w:p w14:paraId="13D84BC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9.89E-04</w:t>
            </w:r>
          </w:p>
        </w:tc>
        <w:tc>
          <w:tcPr>
            <w:tcW w:w="951" w:type="dxa"/>
            <w:shd w:val="clear" w:color="auto" w:fill="FFFFFF"/>
            <w:noWrap w:val="0"/>
            <w:vAlign w:val="center"/>
          </w:tcPr>
          <w:p w14:paraId="3B99294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4.94</w:t>
            </w:r>
          </w:p>
        </w:tc>
        <w:tc>
          <w:tcPr>
            <w:tcW w:w="1018" w:type="dxa"/>
            <w:shd w:val="clear" w:color="auto" w:fill="FFFFFF"/>
            <w:noWrap w:val="0"/>
            <w:vAlign w:val="center"/>
          </w:tcPr>
          <w:p w14:paraId="4CE58FB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4.94E-03</w:t>
            </w:r>
          </w:p>
        </w:tc>
        <w:tc>
          <w:tcPr>
            <w:tcW w:w="855" w:type="dxa"/>
            <w:shd w:val="clear" w:color="auto" w:fill="FFFFFF"/>
            <w:noWrap w:val="0"/>
            <w:vAlign w:val="center"/>
          </w:tcPr>
          <w:p w14:paraId="04E52AB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24.72</w:t>
            </w:r>
          </w:p>
        </w:tc>
        <w:tc>
          <w:tcPr>
            <w:tcW w:w="945" w:type="dxa"/>
            <w:shd w:val="clear" w:color="auto" w:fill="FFFFFF"/>
            <w:noWrap w:val="0"/>
            <w:vAlign w:val="center"/>
          </w:tcPr>
          <w:p w14:paraId="23E7BBC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1.92E-06</w:t>
            </w:r>
          </w:p>
        </w:tc>
        <w:tc>
          <w:tcPr>
            <w:tcW w:w="843" w:type="dxa"/>
            <w:shd w:val="clear" w:color="auto" w:fill="FFFFFF"/>
            <w:noWrap w:val="0"/>
            <w:vAlign w:val="center"/>
          </w:tcPr>
          <w:p w14:paraId="29178A8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shd w:val="clear" w:color="auto" w:fill="FFFFFF"/>
            <w:noWrap w:val="0"/>
            <w:vAlign w:val="center"/>
          </w:tcPr>
          <w:p w14:paraId="5E53232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9.61E-06</w:t>
            </w:r>
          </w:p>
        </w:tc>
        <w:tc>
          <w:tcPr>
            <w:tcW w:w="645" w:type="dxa"/>
            <w:shd w:val="clear" w:color="auto" w:fill="FFFFFF"/>
            <w:noWrap w:val="0"/>
            <w:vAlign w:val="center"/>
          </w:tcPr>
          <w:p w14:paraId="27721BD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25" w:type="dxa"/>
            <w:shd w:val="clear" w:color="auto" w:fill="FFFFFF"/>
            <w:noWrap w:val="0"/>
            <w:vAlign w:val="center"/>
          </w:tcPr>
          <w:p w14:paraId="1F98667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3.02E-04</w:t>
            </w:r>
          </w:p>
        </w:tc>
        <w:tc>
          <w:tcPr>
            <w:tcW w:w="817" w:type="dxa"/>
            <w:shd w:val="clear" w:color="auto" w:fill="FFFFFF"/>
            <w:noWrap w:val="0"/>
            <w:vAlign w:val="center"/>
          </w:tcPr>
          <w:p w14:paraId="5CAE591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shd w:val="clear" w:color="auto" w:fill="FFFFFF"/>
            <w:noWrap w:val="0"/>
            <w:vAlign w:val="center"/>
          </w:tcPr>
          <w:p w14:paraId="492FAA1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1.48E-03</w:t>
            </w:r>
          </w:p>
        </w:tc>
        <w:tc>
          <w:tcPr>
            <w:tcW w:w="874" w:type="dxa"/>
            <w:shd w:val="clear" w:color="auto" w:fill="FFFFFF"/>
            <w:noWrap w:val="0"/>
            <w:vAlign w:val="center"/>
          </w:tcPr>
          <w:p w14:paraId="1C7FD9D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0.07</w:t>
            </w:r>
          </w:p>
        </w:tc>
      </w:tr>
      <w:tr w14:paraId="7EF23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272DAE0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100</w:t>
            </w:r>
          </w:p>
        </w:tc>
        <w:tc>
          <w:tcPr>
            <w:tcW w:w="780" w:type="dxa"/>
            <w:noWrap w:val="0"/>
            <w:vAlign w:val="center"/>
          </w:tcPr>
          <w:p w14:paraId="38385EB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1.13E-03</w:t>
            </w:r>
          </w:p>
        </w:tc>
        <w:tc>
          <w:tcPr>
            <w:tcW w:w="881" w:type="dxa"/>
            <w:noWrap w:val="0"/>
            <w:vAlign w:val="center"/>
          </w:tcPr>
          <w:p w14:paraId="6BA0D5D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2.27</w:t>
            </w:r>
          </w:p>
        </w:tc>
        <w:tc>
          <w:tcPr>
            <w:tcW w:w="1125" w:type="dxa"/>
            <w:gridSpan w:val="2"/>
            <w:noWrap w:val="0"/>
            <w:vAlign w:val="center"/>
          </w:tcPr>
          <w:p w14:paraId="29510C5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5.57E-03</w:t>
            </w:r>
          </w:p>
        </w:tc>
        <w:tc>
          <w:tcPr>
            <w:tcW w:w="855" w:type="dxa"/>
            <w:noWrap w:val="0"/>
            <w:vAlign w:val="center"/>
          </w:tcPr>
          <w:p w14:paraId="1F33BA8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11.14</w:t>
            </w:r>
          </w:p>
        </w:tc>
        <w:tc>
          <w:tcPr>
            <w:tcW w:w="1125" w:type="dxa"/>
            <w:noWrap w:val="0"/>
            <w:vAlign w:val="center"/>
          </w:tcPr>
          <w:p w14:paraId="3071FE9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1.17E-03</w:t>
            </w:r>
          </w:p>
        </w:tc>
        <w:tc>
          <w:tcPr>
            <w:tcW w:w="951" w:type="dxa"/>
            <w:noWrap w:val="0"/>
            <w:vAlign w:val="center"/>
          </w:tcPr>
          <w:p w14:paraId="7DAE2B6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5.83</w:t>
            </w:r>
          </w:p>
        </w:tc>
        <w:tc>
          <w:tcPr>
            <w:tcW w:w="1018" w:type="dxa"/>
            <w:noWrap w:val="0"/>
            <w:vAlign w:val="center"/>
          </w:tcPr>
          <w:p w14:paraId="0E0E7DB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5.83E-03</w:t>
            </w:r>
          </w:p>
        </w:tc>
        <w:tc>
          <w:tcPr>
            <w:tcW w:w="855" w:type="dxa"/>
            <w:noWrap w:val="0"/>
            <w:vAlign w:val="center"/>
          </w:tcPr>
          <w:p w14:paraId="686DBA2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29.16</w:t>
            </w:r>
          </w:p>
        </w:tc>
        <w:tc>
          <w:tcPr>
            <w:tcW w:w="945" w:type="dxa"/>
            <w:noWrap w:val="0"/>
            <w:vAlign w:val="center"/>
          </w:tcPr>
          <w:p w14:paraId="67F0E92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2.27E-06</w:t>
            </w:r>
          </w:p>
        </w:tc>
        <w:tc>
          <w:tcPr>
            <w:tcW w:w="843" w:type="dxa"/>
            <w:noWrap w:val="0"/>
            <w:vAlign w:val="center"/>
          </w:tcPr>
          <w:p w14:paraId="360047D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7247D57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1.13E-05</w:t>
            </w:r>
          </w:p>
        </w:tc>
        <w:tc>
          <w:tcPr>
            <w:tcW w:w="645" w:type="dxa"/>
            <w:noWrap w:val="0"/>
            <w:vAlign w:val="center"/>
          </w:tcPr>
          <w:p w14:paraId="097DAF9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0BA0121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3.56E-04</w:t>
            </w:r>
          </w:p>
        </w:tc>
        <w:tc>
          <w:tcPr>
            <w:tcW w:w="817" w:type="dxa"/>
            <w:noWrap w:val="0"/>
            <w:vAlign w:val="center"/>
          </w:tcPr>
          <w:p w14:paraId="66A0E1B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3ED118D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1.75E-03</w:t>
            </w:r>
          </w:p>
        </w:tc>
        <w:tc>
          <w:tcPr>
            <w:tcW w:w="874" w:type="dxa"/>
            <w:noWrap w:val="0"/>
            <w:vAlign w:val="center"/>
          </w:tcPr>
          <w:p w14:paraId="0DA59ED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0.09</w:t>
            </w:r>
          </w:p>
        </w:tc>
      </w:tr>
      <w:tr w14:paraId="1B71E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904" w:type="dxa"/>
            <w:shd w:val="clear" w:color="auto" w:fill="FFFFFF"/>
            <w:noWrap w:val="0"/>
            <w:vAlign w:val="center"/>
          </w:tcPr>
          <w:p w14:paraId="742933E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125</w:t>
            </w:r>
          </w:p>
        </w:tc>
        <w:tc>
          <w:tcPr>
            <w:tcW w:w="780" w:type="dxa"/>
            <w:shd w:val="clear" w:color="auto" w:fill="FFFFFF"/>
            <w:noWrap w:val="0"/>
            <w:vAlign w:val="center"/>
          </w:tcPr>
          <w:p w14:paraId="1FEC610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1.26E-03</w:t>
            </w:r>
          </w:p>
        </w:tc>
        <w:tc>
          <w:tcPr>
            <w:tcW w:w="881" w:type="dxa"/>
            <w:shd w:val="clear" w:color="auto" w:fill="FFFFFF"/>
            <w:noWrap w:val="0"/>
            <w:vAlign w:val="center"/>
          </w:tcPr>
          <w:p w14:paraId="79DC88A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2.52</w:t>
            </w:r>
          </w:p>
        </w:tc>
        <w:tc>
          <w:tcPr>
            <w:tcW w:w="1125" w:type="dxa"/>
            <w:gridSpan w:val="2"/>
            <w:shd w:val="clear" w:color="auto" w:fill="FFFFFF"/>
            <w:noWrap w:val="0"/>
            <w:vAlign w:val="center"/>
          </w:tcPr>
          <w:p w14:paraId="0CE41B0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6.18E-03</w:t>
            </w:r>
          </w:p>
        </w:tc>
        <w:tc>
          <w:tcPr>
            <w:tcW w:w="855" w:type="dxa"/>
            <w:shd w:val="clear" w:color="auto" w:fill="FFFFFF"/>
            <w:noWrap w:val="0"/>
            <w:vAlign w:val="center"/>
          </w:tcPr>
          <w:p w14:paraId="446E047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12.36</w:t>
            </w:r>
          </w:p>
        </w:tc>
        <w:tc>
          <w:tcPr>
            <w:tcW w:w="1125" w:type="dxa"/>
            <w:shd w:val="clear" w:color="auto" w:fill="FFFFFF"/>
            <w:noWrap w:val="0"/>
            <w:vAlign w:val="center"/>
          </w:tcPr>
          <w:p w14:paraId="0C7B284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1.29E-03</w:t>
            </w:r>
          </w:p>
        </w:tc>
        <w:tc>
          <w:tcPr>
            <w:tcW w:w="951" w:type="dxa"/>
            <w:shd w:val="clear" w:color="auto" w:fill="FFFFFF"/>
            <w:noWrap w:val="0"/>
            <w:vAlign w:val="center"/>
          </w:tcPr>
          <w:p w14:paraId="76EFBAD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6.47</w:t>
            </w:r>
          </w:p>
        </w:tc>
        <w:tc>
          <w:tcPr>
            <w:tcW w:w="1018" w:type="dxa"/>
            <w:shd w:val="clear" w:color="auto" w:fill="FFFFFF"/>
            <w:noWrap w:val="0"/>
            <w:vAlign w:val="center"/>
          </w:tcPr>
          <w:p w14:paraId="756392B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6.47E-03</w:t>
            </w:r>
          </w:p>
        </w:tc>
        <w:tc>
          <w:tcPr>
            <w:tcW w:w="855" w:type="dxa"/>
            <w:shd w:val="clear" w:color="auto" w:fill="FFFFFF"/>
            <w:noWrap w:val="0"/>
            <w:vAlign w:val="center"/>
          </w:tcPr>
          <w:p w14:paraId="50BB7D0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32.34</w:t>
            </w:r>
          </w:p>
        </w:tc>
        <w:tc>
          <w:tcPr>
            <w:tcW w:w="945" w:type="dxa"/>
            <w:shd w:val="clear" w:color="auto" w:fill="FFFFFF"/>
            <w:noWrap w:val="0"/>
            <w:vAlign w:val="center"/>
          </w:tcPr>
          <w:p w14:paraId="67ADE7B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2.52E-06</w:t>
            </w:r>
          </w:p>
        </w:tc>
        <w:tc>
          <w:tcPr>
            <w:tcW w:w="843" w:type="dxa"/>
            <w:shd w:val="clear" w:color="auto" w:fill="FFFFFF"/>
            <w:noWrap w:val="0"/>
            <w:vAlign w:val="center"/>
          </w:tcPr>
          <w:p w14:paraId="014CF17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shd w:val="clear" w:color="auto" w:fill="FFFFFF"/>
            <w:noWrap w:val="0"/>
            <w:vAlign w:val="center"/>
          </w:tcPr>
          <w:p w14:paraId="25D99A3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1.26E-05</w:t>
            </w:r>
          </w:p>
        </w:tc>
        <w:tc>
          <w:tcPr>
            <w:tcW w:w="645" w:type="dxa"/>
            <w:shd w:val="clear" w:color="auto" w:fill="FFFFFF"/>
            <w:noWrap w:val="0"/>
            <w:vAlign w:val="center"/>
          </w:tcPr>
          <w:p w14:paraId="49F598D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shd w:val="clear" w:color="auto" w:fill="FFFFFF"/>
            <w:noWrap w:val="0"/>
            <w:vAlign w:val="center"/>
          </w:tcPr>
          <w:p w14:paraId="667DD2C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3.95E-04</w:t>
            </w:r>
          </w:p>
        </w:tc>
        <w:tc>
          <w:tcPr>
            <w:tcW w:w="817" w:type="dxa"/>
            <w:shd w:val="clear" w:color="auto" w:fill="FFFFFF"/>
            <w:noWrap w:val="0"/>
            <w:vAlign w:val="center"/>
          </w:tcPr>
          <w:p w14:paraId="319AE85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shd w:val="clear" w:color="auto" w:fill="FFFFFF"/>
            <w:noWrap w:val="0"/>
            <w:vAlign w:val="center"/>
          </w:tcPr>
          <w:p w14:paraId="4CF9A09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1.94E-03</w:t>
            </w:r>
          </w:p>
        </w:tc>
        <w:tc>
          <w:tcPr>
            <w:tcW w:w="874" w:type="dxa"/>
            <w:shd w:val="clear" w:color="auto" w:fill="FFFFFF"/>
            <w:noWrap w:val="0"/>
            <w:vAlign w:val="center"/>
          </w:tcPr>
          <w:p w14:paraId="615E149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14689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5991FBB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150</w:t>
            </w:r>
          </w:p>
        </w:tc>
        <w:tc>
          <w:tcPr>
            <w:tcW w:w="780" w:type="dxa"/>
            <w:noWrap w:val="0"/>
            <w:vAlign w:val="center"/>
          </w:tcPr>
          <w:p w14:paraId="463A406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1.28E-03</w:t>
            </w:r>
          </w:p>
        </w:tc>
        <w:tc>
          <w:tcPr>
            <w:tcW w:w="881" w:type="dxa"/>
            <w:noWrap w:val="0"/>
            <w:vAlign w:val="center"/>
          </w:tcPr>
          <w:p w14:paraId="3C6C15B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2.56</w:t>
            </w:r>
          </w:p>
        </w:tc>
        <w:tc>
          <w:tcPr>
            <w:tcW w:w="1125" w:type="dxa"/>
            <w:gridSpan w:val="2"/>
            <w:noWrap w:val="0"/>
            <w:vAlign w:val="center"/>
          </w:tcPr>
          <w:p w14:paraId="4E42F3A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6.29E-03</w:t>
            </w:r>
          </w:p>
        </w:tc>
        <w:tc>
          <w:tcPr>
            <w:tcW w:w="855" w:type="dxa"/>
            <w:noWrap w:val="0"/>
            <w:vAlign w:val="center"/>
          </w:tcPr>
          <w:p w14:paraId="10762BF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12.58</w:t>
            </w:r>
          </w:p>
        </w:tc>
        <w:tc>
          <w:tcPr>
            <w:tcW w:w="1125" w:type="dxa"/>
            <w:noWrap w:val="0"/>
            <w:vAlign w:val="center"/>
          </w:tcPr>
          <w:p w14:paraId="3F7F848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1.32E-03</w:t>
            </w:r>
          </w:p>
        </w:tc>
        <w:tc>
          <w:tcPr>
            <w:tcW w:w="951" w:type="dxa"/>
            <w:noWrap w:val="0"/>
            <w:vAlign w:val="center"/>
          </w:tcPr>
          <w:p w14:paraId="4116706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6.58</w:t>
            </w:r>
          </w:p>
        </w:tc>
        <w:tc>
          <w:tcPr>
            <w:tcW w:w="1018" w:type="dxa"/>
            <w:noWrap w:val="0"/>
            <w:vAlign w:val="center"/>
          </w:tcPr>
          <w:p w14:paraId="7CCC010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6.58E-03</w:t>
            </w:r>
          </w:p>
        </w:tc>
        <w:tc>
          <w:tcPr>
            <w:tcW w:w="855" w:type="dxa"/>
            <w:noWrap w:val="0"/>
            <w:vAlign w:val="center"/>
          </w:tcPr>
          <w:p w14:paraId="38D6B50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32.92</w:t>
            </w:r>
          </w:p>
        </w:tc>
        <w:tc>
          <w:tcPr>
            <w:tcW w:w="945" w:type="dxa"/>
            <w:noWrap w:val="0"/>
            <w:vAlign w:val="center"/>
          </w:tcPr>
          <w:p w14:paraId="6F50C99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2.56E-06</w:t>
            </w:r>
          </w:p>
        </w:tc>
        <w:tc>
          <w:tcPr>
            <w:tcW w:w="843" w:type="dxa"/>
            <w:noWrap w:val="0"/>
            <w:vAlign w:val="center"/>
          </w:tcPr>
          <w:p w14:paraId="7184A6F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58E8853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1.28E-05</w:t>
            </w:r>
          </w:p>
        </w:tc>
        <w:tc>
          <w:tcPr>
            <w:tcW w:w="645" w:type="dxa"/>
            <w:noWrap w:val="0"/>
            <w:vAlign w:val="center"/>
          </w:tcPr>
          <w:p w14:paraId="69E70F7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658108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4.02E-04</w:t>
            </w:r>
          </w:p>
        </w:tc>
        <w:tc>
          <w:tcPr>
            <w:tcW w:w="817" w:type="dxa"/>
            <w:noWrap w:val="0"/>
            <w:vAlign w:val="center"/>
          </w:tcPr>
          <w:p w14:paraId="7A05FA5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014CEC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1.97E-03</w:t>
            </w:r>
          </w:p>
        </w:tc>
        <w:tc>
          <w:tcPr>
            <w:tcW w:w="874" w:type="dxa"/>
            <w:noWrap w:val="0"/>
            <w:vAlign w:val="center"/>
          </w:tcPr>
          <w:p w14:paraId="301DBB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553A8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572C8C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175</w:t>
            </w:r>
          </w:p>
        </w:tc>
        <w:tc>
          <w:tcPr>
            <w:tcW w:w="780" w:type="dxa"/>
            <w:noWrap w:val="0"/>
            <w:vAlign w:val="center"/>
          </w:tcPr>
          <w:p w14:paraId="74050F6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1.39E-03</w:t>
            </w:r>
          </w:p>
        </w:tc>
        <w:tc>
          <w:tcPr>
            <w:tcW w:w="881" w:type="dxa"/>
            <w:noWrap w:val="0"/>
            <w:vAlign w:val="center"/>
          </w:tcPr>
          <w:p w14:paraId="1BE59AD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2.77</w:t>
            </w:r>
          </w:p>
        </w:tc>
        <w:tc>
          <w:tcPr>
            <w:tcW w:w="1125" w:type="dxa"/>
            <w:gridSpan w:val="2"/>
            <w:noWrap w:val="0"/>
            <w:vAlign w:val="center"/>
          </w:tcPr>
          <w:p w14:paraId="0B12B20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6.81E-03</w:t>
            </w:r>
          </w:p>
        </w:tc>
        <w:tc>
          <w:tcPr>
            <w:tcW w:w="855" w:type="dxa"/>
            <w:noWrap w:val="0"/>
            <w:vAlign w:val="center"/>
          </w:tcPr>
          <w:p w14:paraId="52C4A9C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13.61</w:t>
            </w:r>
          </w:p>
        </w:tc>
        <w:tc>
          <w:tcPr>
            <w:tcW w:w="1125" w:type="dxa"/>
            <w:noWrap w:val="0"/>
            <w:vAlign w:val="center"/>
          </w:tcPr>
          <w:p w14:paraId="5009682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1.42E-03</w:t>
            </w:r>
          </w:p>
        </w:tc>
        <w:tc>
          <w:tcPr>
            <w:tcW w:w="951" w:type="dxa"/>
            <w:noWrap w:val="0"/>
            <w:vAlign w:val="center"/>
          </w:tcPr>
          <w:p w14:paraId="69CC781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7.12</w:t>
            </w:r>
          </w:p>
        </w:tc>
        <w:tc>
          <w:tcPr>
            <w:tcW w:w="1018" w:type="dxa"/>
            <w:noWrap w:val="0"/>
            <w:vAlign w:val="center"/>
          </w:tcPr>
          <w:p w14:paraId="422A1A2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7.12E-03</w:t>
            </w:r>
          </w:p>
        </w:tc>
        <w:tc>
          <w:tcPr>
            <w:tcW w:w="855" w:type="dxa"/>
            <w:noWrap w:val="0"/>
            <w:vAlign w:val="center"/>
          </w:tcPr>
          <w:p w14:paraId="7CB92F3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35.62</w:t>
            </w:r>
          </w:p>
        </w:tc>
        <w:tc>
          <w:tcPr>
            <w:tcW w:w="945" w:type="dxa"/>
            <w:noWrap w:val="0"/>
            <w:vAlign w:val="center"/>
          </w:tcPr>
          <w:p w14:paraId="7C48E90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2.77E-06</w:t>
            </w:r>
          </w:p>
        </w:tc>
        <w:tc>
          <w:tcPr>
            <w:tcW w:w="843" w:type="dxa"/>
            <w:noWrap w:val="0"/>
            <w:vAlign w:val="center"/>
          </w:tcPr>
          <w:p w14:paraId="4A069A0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49A416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1.39E-05</w:t>
            </w:r>
          </w:p>
        </w:tc>
        <w:tc>
          <w:tcPr>
            <w:tcW w:w="645" w:type="dxa"/>
            <w:noWrap w:val="0"/>
            <w:vAlign w:val="center"/>
          </w:tcPr>
          <w:p w14:paraId="65A1171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207007D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4.35E-04</w:t>
            </w:r>
          </w:p>
        </w:tc>
        <w:tc>
          <w:tcPr>
            <w:tcW w:w="817" w:type="dxa"/>
            <w:noWrap w:val="0"/>
            <w:vAlign w:val="center"/>
          </w:tcPr>
          <w:p w14:paraId="560C11F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6E723CF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2.14E-03</w:t>
            </w:r>
          </w:p>
        </w:tc>
        <w:tc>
          <w:tcPr>
            <w:tcW w:w="874" w:type="dxa"/>
            <w:noWrap w:val="0"/>
            <w:vAlign w:val="center"/>
          </w:tcPr>
          <w:p w14:paraId="06560C0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1A654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08574C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200</w:t>
            </w:r>
          </w:p>
        </w:tc>
        <w:tc>
          <w:tcPr>
            <w:tcW w:w="780" w:type="dxa"/>
            <w:noWrap w:val="0"/>
            <w:vAlign w:val="center"/>
          </w:tcPr>
          <w:p w14:paraId="617571A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1.39E-03</w:t>
            </w:r>
          </w:p>
        </w:tc>
        <w:tc>
          <w:tcPr>
            <w:tcW w:w="881" w:type="dxa"/>
            <w:noWrap w:val="0"/>
            <w:vAlign w:val="center"/>
          </w:tcPr>
          <w:p w14:paraId="5E448A7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2.78</w:t>
            </w:r>
          </w:p>
        </w:tc>
        <w:tc>
          <w:tcPr>
            <w:tcW w:w="1125" w:type="dxa"/>
            <w:gridSpan w:val="2"/>
            <w:noWrap w:val="0"/>
            <w:vAlign w:val="center"/>
          </w:tcPr>
          <w:p w14:paraId="59C58A4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6.84E-03</w:t>
            </w:r>
          </w:p>
        </w:tc>
        <w:tc>
          <w:tcPr>
            <w:tcW w:w="855" w:type="dxa"/>
            <w:noWrap w:val="0"/>
            <w:vAlign w:val="center"/>
          </w:tcPr>
          <w:p w14:paraId="563CEC1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13.67</w:t>
            </w:r>
          </w:p>
        </w:tc>
        <w:tc>
          <w:tcPr>
            <w:tcW w:w="1125" w:type="dxa"/>
            <w:noWrap w:val="0"/>
            <w:vAlign w:val="center"/>
          </w:tcPr>
          <w:p w14:paraId="3E33DB3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1.43E-03</w:t>
            </w:r>
          </w:p>
        </w:tc>
        <w:tc>
          <w:tcPr>
            <w:tcW w:w="951" w:type="dxa"/>
            <w:noWrap w:val="0"/>
            <w:vAlign w:val="center"/>
          </w:tcPr>
          <w:p w14:paraId="0BE96B3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7.15</w:t>
            </w:r>
          </w:p>
        </w:tc>
        <w:tc>
          <w:tcPr>
            <w:tcW w:w="1018" w:type="dxa"/>
            <w:noWrap w:val="0"/>
            <w:vAlign w:val="center"/>
          </w:tcPr>
          <w:p w14:paraId="63BEE68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7.15E-03</w:t>
            </w:r>
          </w:p>
        </w:tc>
        <w:tc>
          <w:tcPr>
            <w:tcW w:w="855" w:type="dxa"/>
            <w:noWrap w:val="0"/>
            <w:vAlign w:val="center"/>
          </w:tcPr>
          <w:p w14:paraId="3F3E54B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35.77</w:t>
            </w:r>
          </w:p>
        </w:tc>
        <w:tc>
          <w:tcPr>
            <w:tcW w:w="945" w:type="dxa"/>
            <w:noWrap w:val="0"/>
            <w:vAlign w:val="center"/>
          </w:tcPr>
          <w:p w14:paraId="1442A89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2.78E-06</w:t>
            </w:r>
          </w:p>
        </w:tc>
        <w:tc>
          <w:tcPr>
            <w:tcW w:w="843" w:type="dxa"/>
            <w:noWrap w:val="0"/>
            <w:vAlign w:val="center"/>
          </w:tcPr>
          <w:p w14:paraId="58CA3DB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506165E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1.39E-05</w:t>
            </w:r>
          </w:p>
        </w:tc>
        <w:tc>
          <w:tcPr>
            <w:tcW w:w="645" w:type="dxa"/>
            <w:noWrap w:val="0"/>
            <w:vAlign w:val="center"/>
          </w:tcPr>
          <w:p w14:paraId="4734D1A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93B29F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4.37E-04</w:t>
            </w:r>
          </w:p>
        </w:tc>
        <w:tc>
          <w:tcPr>
            <w:tcW w:w="817" w:type="dxa"/>
            <w:noWrap w:val="0"/>
            <w:vAlign w:val="center"/>
          </w:tcPr>
          <w:p w14:paraId="3A77011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4892DD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2.15E-03</w:t>
            </w:r>
          </w:p>
        </w:tc>
        <w:tc>
          <w:tcPr>
            <w:tcW w:w="874" w:type="dxa"/>
            <w:noWrap w:val="0"/>
            <w:vAlign w:val="center"/>
          </w:tcPr>
          <w:p w14:paraId="3E0373A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76004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9B6063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225</w:t>
            </w:r>
          </w:p>
        </w:tc>
        <w:tc>
          <w:tcPr>
            <w:tcW w:w="780" w:type="dxa"/>
            <w:noWrap w:val="0"/>
            <w:vAlign w:val="center"/>
          </w:tcPr>
          <w:p w14:paraId="6A24337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1.38E-03</w:t>
            </w:r>
          </w:p>
        </w:tc>
        <w:tc>
          <w:tcPr>
            <w:tcW w:w="881" w:type="dxa"/>
            <w:noWrap w:val="0"/>
            <w:vAlign w:val="center"/>
          </w:tcPr>
          <w:p w14:paraId="5D2D3B3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2.76</w:t>
            </w:r>
          </w:p>
        </w:tc>
        <w:tc>
          <w:tcPr>
            <w:tcW w:w="1125" w:type="dxa"/>
            <w:gridSpan w:val="2"/>
            <w:noWrap w:val="0"/>
            <w:vAlign w:val="center"/>
          </w:tcPr>
          <w:p w14:paraId="7ACCB6F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6.77E-03</w:t>
            </w:r>
          </w:p>
        </w:tc>
        <w:tc>
          <w:tcPr>
            <w:tcW w:w="855" w:type="dxa"/>
            <w:noWrap w:val="0"/>
            <w:vAlign w:val="center"/>
          </w:tcPr>
          <w:p w14:paraId="382E3B2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13.54</w:t>
            </w:r>
          </w:p>
        </w:tc>
        <w:tc>
          <w:tcPr>
            <w:tcW w:w="1125" w:type="dxa"/>
            <w:noWrap w:val="0"/>
            <w:vAlign w:val="center"/>
          </w:tcPr>
          <w:p w14:paraId="365136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1.42E-03</w:t>
            </w:r>
          </w:p>
        </w:tc>
        <w:tc>
          <w:tcPr>
            <w:tcW w:w="951" w:type="dxa"/>
            <w:noWrap w:val="0"/>
            <w:vAlign w:val="center"/>
          </w:tcPr>
          <w:p w14:paraId="2E16360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7.09</w:t>
            </w:r>
          </w:p>
        </w:tc>
        <w:tc>
          <w:tcPr>
            <w:tcW w:w="1018" w:type="dxa"/>
            <w:noWrap w:val="0"/>
            <w:vAlign w:val="center"/>
          </w:tcPr>
          <w:p w14:paraId="3F0CE442">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7.09E-03</w:t>
            </w:r>
          </w:p>
        </w:tc>
        <w:tc>
          <w:tcPr>
            <w:tcW w:w="855" w:type="dxa"/>
            <w:noWrap w:val="0"/>
            <w:vAlign w:val="center"/>
          </w:tcPr>
          <w:p w14:paraId="01FBBCE3">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35.43</w:t>
            </w:r>
          </w:p>
        </w:tc>
        <w:tc>
          <w:tcPr>
            <w:tcW w:w="945" w:type="dxa"/>
            <w:noWrap w:val="0"/>
            <w:vAlign w:val="center"/>
          </w:tcPr>
          <w:p w14:paraId="220CC3F8">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2.76E-06</w:t>
            </w:r>
          </w:p>
        </w:tc>
        <w:tc>
          <w:tcPr>
            <w:tcW w:w="843" w:type="dxa"/>
            <w:noWrap w:val="0"/>
            <w:vAlign w:val="center"/>
          </w:tcPr>
          <w:p w14:paraId="01AA2DD9">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50ACB71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1.38E-05</w:t>
            </w:r>
          </w:p>
        </w:tc>
        <w:tc>
          <w:tcPr>
            <w:tcW w:w="645" w:type="dxa"/>
            <w:noWrap w:val="0"/>
            <w:vAlign w:val="center"/>
          </w:tcPr>
          <w:p w14:paraId="2758D70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023EF2B3">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4.33E-04</w:t>
            </w:r>
          </w:p>
        </w:tc>
        <w:tc>
          <w:tcPr>
            <w:tcW w:w="817" w:type="dxa"/>
            <w:noWrap w:val="0"/>
            <w:vAlign w:val="center"/>
          </w:tcPr>
          <w:p w14:paraId="39C56FC6">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477FB31F">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2.13E-03</w:t>
            </w:r>
          </w:p>
        </w:tc>
        <w:tc>
          <w:tcPr>
            <w:tcW w:w="874" w:type="dxa"/>
            <w:noWrap w:val="0"/>
            <w:vAlign w:val="center"/>
          </w:tcPr>
          <w:p w14:paraId="1873DA7C">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0.11</w:t>
            </w:r>
          </w:p>
        </w:tc>
      </w:tr>
      <w:tr w14:paraId="185DA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45C59D0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250</w:t>
            </w:r>
          </w:p>
        </w:tc>
        <w:tc>
          <w:tcPr>
            <w:tcW w:w="780" w:type="dxa"/>
            <w:noWrap w:val="0"/>
            <w:vAlign w:val="center"/>
          </w:tcPr>
          <w:p w14:paraId="6562AF1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1.41E-03</w:t>
            </w:r>
          </w:p>
        </w:tc>
        <w:tc>
          <w:tcPr>
            <w:tcW w:w="881" w:type="dxa"/>
            <w:noWrap w:val="0"/>
            <w:vAlign w:val="center"/>
          </w:tcPr>
          <w:p w14:paraId="16A8477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2.82</w:t>
            </w:r>
          </w:p>
        </w:tc>
        <w:tc>
          <w:tcPr>
            <w:tcW w:w="1125" w:type="dxa"/>
            <w:gridSpan w:val="2"/>
            <w:noWrap w:val="0"/>
            <w:vAlign w:val="center"/>
          </w:tcPr>
          <w:p w14:paraId="501C717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6.93E-03</w:t>
            </w:r>
          </w:p>
        </w:tc>
        <w:tc>
          <w:tcPr>
            <w:tcW w:w="855" w:type="dxa"/>
            <w:noWrap w:val="0"/>
            <w:vAlign w:val="center"/>
          </w:tcPr>
          <w:p w14:paraId="78C5F11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13.85</w:t>
            </w:r>
          </w:p>
        </w:tc>
        <w:tc>
          <w:tcPr>
            <w:tcW w:w="1125" w:type="dxa"/>
            <w:noWrap w:val="0"/>
            <w:vAlign w:val="center"/>
          </w:tcPr>
          <w:p w14:paraId="25877BE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1.45E-03</w:t>
            </w:r>
          </w:p>
        </w:tc>
        <w:tc>
          <w:tcPr>
            <w:tcW w:w="951" w:type="dxa"/>
            <w:noWrap w:val="0"/>
            <w:vAlign w:val="center"/>
          </w:tcPr>
          <w:p w14:paraId="73668E9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7.25</w:t>
            </w:r>
          </w:p>
        </w:tc>
        <w:tc>
          <w:tcPr>
            <w:tcW w:w="1018" w:type="dxa"/>
            <w:noWrap w:val="0"/>
            <w:vAlign w:val="center"/>
          </w:tcPr>
          <w:p w14:paraId="0477DA0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7.25E-03</w:t>
            </w:r>
          </w:p>
        </w:tc>
        <w:tc>
          <w:tcPr>
            <w:tcW w:w="855" w:type="dxa"/>
            <w:noWrap w:val="0"/>
            <w:vAlign w:val="center"/>
          </w:tcPr>
          <w:p w14:paraId="655B3BEB">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36.24</w:t>
            </w:r>
          </w:p>
        </w:tc>
        <w:tc>
          <w:tcPr>
            <w:tcW w:w="945" w:type="dxa"/>
            <w:noWrap w:val="0"/>
            <w:vAlign w:val="center"/>
          </w:tcPr>
          <w:p w14:paraId="2F0B73AD">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2.82E-06</w:t>
            </w:r>
          </w:p>
        </w:tc>
        <w:tc>
          <w:tcPr>
            <w:tcW w:w="843" w:type="dxa"/>
            <w:noWrap w:val="0"/>
            <w:vAlign w:val="center"/>
          </w:tcPr>
          <w:p w14:paraId="121A3100">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5BBDE33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1.41E-05</w:t>
            </w:r>
          </w:p>
        </w:tc>
        <w:tc>
          <w:tcPr>
            <w:tcW w:w="645" w:type="dxa"/>
            <w:noWrap w:val="0"/>
            <w:vAlign w:val="center"/>
          </w:tcPr>
          <w:p w14:paraId="6586783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6DFFA0C6">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4.43E-04</w:t>
            </w:r>
          </w:p>
        </w:tc>
        <w:tc>
          <w:tcPr>
            <w:tcW w:w="817" w:type="dxa"/>
            <w:noWrap w:val="0"/>
            <w:vAlign w:val="center"/>
          </w:tcPr>
          <w:p w14:paraId="0A5B60F7">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14804B5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2.17E-03</w:t>
            </w:r>
          </w:p>
        </w:tc>
        <w:tc>
          <w:tcPr>
            <w:tcW w:w="874" w:type="dxa"/>
            <w:noWrap w:val="0"/>
            <w:vAlign w:val="center"/>
          </w:tcPr>
          <w:p w14:paraId="26E96D42">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0.11</w:t>
            </w:r>
          </w:p>
        </w:tc>
      </w:tr>
      <w:tr w14:paraId="298D3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4DB542B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275</w:t>
            </w:r>
          </w:p>
        </w:tc>
        <w:tc>
          <w:tcPr>
            <w:tcW w:w="780" w:type="dxa"/>
            <w:noWrap w:val="0"/>
            <w:vAlign w:val="center"/>
          </w:tcPr>
          <w:p w14:paraId="529FD69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1.39E-03</w:t>
            </w:r>
          </w:p>
        </w:tc>
        <w:tc>
          <w:tcPr>
            <w:tcW w:w="881" w:type="dxa"/>
            <w:noWrap w:val="0"/>
            <w:vAlign w:val="center"/>
          </w:tcPr>
          <w:p w14:paraId="14C4D75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2.78</w:t>
            </w:r>
          </w:p>
        </w:tc>
        <w:tc>
          <w:tcPr>
            <w:tcW w:w="1125" w:type="dxa"/>
            <w:gridSpan w:val="2"/>
            <w:noWrap w:val="0"/>
            <w:vAlign w:val="center"/>
          </w:tcPr>
          <w:p w14:paraId="3583E93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6.84E-03</w:t>
            </w:r>
          </w:p>
        </w:tc>
        <w:tc>
          <w:tcPr>
            <w:tcW w:w="855" w:type="dxa"/>
            <w:noWrap w:val="0"/>
            <w:vAlign w:val="center"/>
          </w:tcPr>
          <w:p w14:paraId="29B1B13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13.67</w:t>
            </w:r>
          </w:p>
        </w:tc>
        <w:tc>
          <w:tcPr>
            <w:tcW w:w="1125" w:type="dxa"/>
            <w:noWrap w:val="0"/>
            <w:vAlign w:val="center"/>
          </w:tcPr>
          <w:p w14:paraId="4EC4B63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1.43E-03</w:t>
            </w:r>
          </w:p>
        </w:tc>
        <w:tc>
          <w:tcPr>
            <w:tcW w:w="951" w:type="dxa"/>
            <w:noWrap w:val="0"/>
            <w:vAlign w:val="center"/>
          </w:tcPr>
          <w:p w14:paraId="06B584C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7.15</w:t>
            </w:r>
          </w:p>
        </w:tc>
        <w:tc>
          <w:tcPr>
            <w:tcW w:w="1018" w:type="dxa"/>
            <w:noWrap w:val="0"/>
            <w:vAlign w:val="center"/>
          </w:tcPr>
          <w:p w14:paraId="684F7BFF">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7.15E-03</w:t>
            </w:r>
          </w:p>
        </w:tc>
        <w:tc>
          <w:tcPr>
            <w:tcW w:w="855" w:type="dxa"/>
            <w:noWrap w:val="0"/>
            <w:vAlign w:val="center"/>
          </w:tcPr>
          <w:p w14:paraId="0A1290D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35.77</w:t>
            </w:r>
          </w:p>
        </w:tc>
        <w:tc>
          <w:tcPr>
            <w:tcW w:w="945" w:type="dxa"/>
            <w:noWrap w:val="0"/>
            <w:vAlign w:val="center"/>
          </w:tcPr>
          <w:p w14:paraId="0B4FBD17">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2.78E-06</w:t>
            </w:r>
          </w:p>
        </w:tc>
        <w:tc>
          <w:tcPr>
            <w:tcW w:w="843" w:type="dxa"/>
            <w:noWrap w:val="0"/>
            <w:vAlign w:val="center"/>
          </w:tcPr>
          <w:p w14:paraId="2CB3BAC2">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20A78CA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1.39E-05</w:t>
            </w:r>
          </w:p>
        </w:tc>
        <w:tc>
          <w:tcPr>
            <w:tcW w:w="645" w:type="dxa"/>
            <w:noWrap w:val="0"/>
            <w:vAlign w:val="center"/>
          </w:tcPr>
          <w:p w14:paraId="3AB2E38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E0BAEAF">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4.37E-04</w:t>
            </w:r>
          </w:p>
        </w:tc>
        <w:tc>
          <w:tcPr>
            <w:tcW w:w="817" w:type="dxa"/>
            <w:noWrap w:val="0"/>
            <w:vAlign w:val="center"/>
          </w:tcPr>
          <w:p w14:paraId="3DFE925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060ECD1F">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2.15E-03</w:t>
            </w:r>
          </w:p>
        </w:tc>
        <w:tc>
          <w:tcPr>
            <w:tcW w:w="874" w:type="dxa"/>
            <w:noWrap w:val="0"/>
            <w:vAlign w:val="center"/>
          </w:tcPr>
          <w:p w14:paraId="0C2C0CD9">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0.11</w:t>
            </w:r>
          </w:p>
        </w:tc>
      </w:tr>
      <w:tr w14:paraId="4841B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A000FB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300</w:t>
            </w:r>
          </w:p>
        </w:tc>
        <w:tc>
          <w:tcPr>
            <w:tcW w:w="780" w:type="dxa"/>
            <w:noWrap w:val="0"/>
            <w:vAlign w:val="center"/>
          </w:tcPr>
          <w:p w14:paraId="61533C1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1.34E-03</w:t>
            </w:r>
          </w:p>
        </w:tc>
        <w:tc>
          <w:tcPr>
            <w:tcW w:w="881" w:type="dxa"/>
            <w:noWrap w:val="0"/>
            <w:vAlign w:val="center"/>
          </w:tcPr>
          <w:p w14:paraId="46F7B62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2.69</w:t>
            </w:r>
          </w:p>
        </w:tc>
        <w:tc>
          <w:tcPr>
            <w:tcW w:w="1125" w:type="dxa"/>
            <w:gridSpan w:val="2"/>
            <w:noWrap w:val="0"/>
            <w:vAlign w:val="center"/>
          </w:tcPr>
          <w:p w14:paraId="64B7A9A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6.60E-03</w:t>
            </w:r>
          </w:p>
        </w:tc>
        <w:tc>
          <w:tcPr>
            <w:tcW w:w="855" w:type="dxa"/>
            <w:noWrap w:val="0"/>
            <w:vAlign w:val="center"/>
          </w:tcPr>
          <w:p w14:paraId="28C9E66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13.20</w:t>
            </w:r>
          </w:p>
        </w:tc>
        <w:tc>
          <w:tcPr>
            <w:tcW w:w="1125" w:type="dxa"/>
            <w:noWrap w:val="0"/>
            <w:vAlign w:val="center"/>
          </w:tcPr>
          <w:p w14:paraId="2580BFD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1.38E-03</w:t>
            </w:r>
          </w:p>
        </w:tc>
        <w:tc>
          <w:tcPr>
            <w:tcW w:w="951" w:type="dxa"/>
            <w:noWrap w:val="0"/>
            <w:vAlign w:val="center"/>
          </w:tcPr>
          <w:p w14:paraId="484D787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6.90</w:t>
            </w:r>
          </w:p>
        </w:tc>
        <w:tc>
          <w:tcPr>
            <w:tcW w:w="1018" w:type="dxa"/>
            <w:noWrap w:val="0"/>
            <w:vAlign w:val="center"/>
          </w:tcPr>
          <w:p w14:paraId="344DD419">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6.90E-03</w:t>
            </w:r>
          </w:p>
        </w:tc>
        <w:tc>
          <w:tcPr>
            <w:tcW w:w="855" w:type="dxa"/>
            <w:noWrap w:val="0"/>
            <w:vAlign w:val="center"/>
          </w:tcPr>
          <w:p w14:paraId="554E7FF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34.52</w:t>
            </w:r>
          </w:p>
        </w:tc>
        <w:tc>
          <w:tcPr>
            <w:tcW w:w="945" w:type="dxa"/>
            <w:noWrap w:val="0"/>
            <w:vAlign w:val="center"/>
          </w:tcPr>
          <w:p w14:paraId="0C985A92">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2.69E-06</w:t>
            </w:r>
          </w:p>
        </w:tc>
        <w:tc>
          <w:tcPr>
            <w:tcW w:w="843" w:type="dxa"/>
            <w:noWrap w:val="0"/>
            <w:vAlign w:val="center"/>
          </w:tcPr>
          <w:p w14:paraId="0FF3330C">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1EAD108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1.34E-05</w:t>
            </w:r>
          </w:p>
        </w:tc>
        <w:tc>
          <w:tcPr>
            <w:tcW w:w="645" w:type="dxa"/>
            <w:noWrap w:val="0"/>
            <w:vAlign w:val="center"/>
          </w:tcPr>
          <w:p w14:paraId="230BB9D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16B99357">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4.22E-04</w:t>
            </w:r>
          </w:p>
        </w:tc>
        <w:tc>
          <w:tcPr>
            <w:tcW w:w="817" w:type="dxa"/>
            <w:noWrap w:val="0"/>
            <w:vAlign w:val="center"/>
          </w:tcPr>
          <w:p w14:paraId="1C983AE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57255604">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2.07E-03</w:t>
            </w:r>
          </w:p>
        </w:tc>
        <w:tc>
          <w:tcPr>
            <w:tcW w:w="874" w:type="dxa"/>
            <w:noWrap w:val="0"/>
            <w:vAlign w:val="center"/>
          </w:tcPr>
          <w:p w14:paraId="51D9792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0.10</w:t>
            </w:r>
          </w:p>
        </w:tc>
      </w:tr>
      <w:tr w14:paraId="6F7AF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2B31D9A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325</w:t>
            </w:r>
          </w:p>
        </w:tc>
        <w:tc>
          <w:tcPr>
            <w:tcW w:w="780" w:type="dxa"/>
            <w:noWrap w:val="0"/>
            <w:vAlign w:val="center"/>
          </w:tcPr>
          <w:p w14:paraId="4DFA308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1.28E-03</w:t>
            </w:r>
          </w:p>
        </w:tc>
        <w:tc>
          <w:tcPr>
            <w:tcW w:w="881" w:type="dxa"/>
            <w:noWrap w:val="0"/>
            <w:vAlign w:val="center"/>
          </w:tcPr>
          <w:p w14:paraId="31FA11C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2.56</w:t>
            </w:r>
          </w:p>
        </w:tc>
        <w:tc>
          <w:tcPr>
            <w:tcW w:w="1125" w:type="dxa"/>
            <w:gridSpan w:val="2"/>
            <w:noWrap w:val="0"/>
            <w:vAlign w:val="center"/>
          </w:tcPr>
          <w:p w14:paraId="57ABB4D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6.28E-03</w:t>
            </w:r>
          </w:p>
        </w:tc>
        <w:tc>
          <w:tcPr>
            <w:tcW w:w="855" w:type="dxa"/>
            <w:noWrap w:val="0"/>
            <w:vAlign w:val="center"/>
          </w:tcPr>
          <w:p w14:paraId="4945746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12.56</w:t>
            </w:r>
          </w:p>
        </w:tc>
        <w:tc>
          <w:tcPr>
            <w:tcW w:w="1125" w:type="dxa"/>
            <w:noWrap w:val="0"/>
            <w:vAlign w:val="center"/>
          </w:tcPr>
          <w:p w14:paraId="6528BC0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1.31E-03</w:t>
            </w:r>
          </w:p>
        </w:tc>
        <w:tc>
          <w:tcPr>
            <w:tcW w:w="951" w:type="dxa"/>
            <w:noWrap w:val="0"/>
            <w:vAlign w:val="center"/>
          </w:tcPr>
          <w:p w14:paraId="4804810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6.57</w:t>
            </w:r>
          </w:p>
        </w:tc>
        <w:tc>
          <w:tcPr>
            <w:tcW w:w="1018" w:type="dxa"/>
            <w:noWrap w:val="0"/>
            <w:vAlign w:val="center"/>
          </w:tcPr>
          <w:p w14:paraId="0E885B47">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6.57E-03</w:t>
            </w:r>
          </w:p>
        </w:tc>
        <w:tc>
          <w:tcPr>
            <w:tcW w:w="855" w:type="dxa"/>
            <w:noWrap w:val="0"/>
            <w:vAlign w:val="center"/>
          </w:tcPr>
          <w:p w14:paraId="349A075D">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32.87</w:t>
            </w:r>
          </w:p>
        </w:tc>
        <w:tc>
          <w:tcPr>
            <w:tcW w:w="945" w:type="dxa"/>
            <w:noWrap w:val="0"/>
            <w:vAlign w:val="center"/>
          </w:tcPr>
          <w:p w14:paraId="7F43DA00">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2.56E-06</w:t>
            </w:r>
          </w:p>
        </w:tc>
        <w:tc>
          <w:tcPr>
            <w:tcW w:w="843" w:type="dxa"/>
            <w:noWrap w:val="0"/>
            <w:vAlign w:val="center"/>
          </w:tcPr>
          <w:p w14:paraId="3B32EF5A">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1EA234F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1.28E-05</w:t>
            </w:r>
          </w:p>
        </w:tc>
        <w:tc>
          <w:tcPr>
            <w:tcW w:w="645" w:type="dxa"/>
            <w:noWrap w:val="0"/>
            <w:vAlign w:val="center"/>
          </w:tcPr>
          <w:p w14:paraId="6183062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4C7B58E3">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4.02E-04</w:t>
            </w:r>
          </w:p>
        </w:tc>
        <w:tc>
          <w:tcPr>
            <w:tcW w:w="817" w:type="dxa"/>
            <w:noWrap w:val="0"/>
            <w:vAlign w:val="center"/>
          </w:tcPr>
          <w:p w14:paraId="389CDA4E">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51274C05">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1.97E-03</w:t>
            </w:r>
          </w:p>
        </w:tc>
        <w:tc>
          <w:tcPr>
            <w:tcW w:w="874" w:type="dxa"/>
            <w:noWrap w:val="0"/>
            <w:vAlign w:val="center"/>
          </w:tcPr>
          <w:p w14:paraId="6293EF90">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0.10</w:t>
            </w:r>
          </w:p>
        </w:tc>
      </w:tr>
      <w:tr w14:paraId="7EBA7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7304472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333</w:t>
            </w:r>
          </w:p>
        </w:tc>
        <w:tc>
          <w:tcPr>
            <w:tcW w:w="780" w:type="dxa"/>
            <w:noWrap w:val="0"/>
            <w:vAlign w:val="center"/>
          </w:tcPr>
          <w:p w14:paraId="7C1F81E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1.26E-03</w:t>
            </w:r>
          </w:p>
        </w:tc>
        <w:tc>
          <w:tcPr>
            <w:tcW w:w="881" w:type="dxa"/>
            <w:noWrap w:val="0"/>
            <w:vAlign w:val="center"/>
          </w:tcPr>
          <w:p w14:paraId="1618142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2.51</w:t>
            </w:r>
          </w:p>
        </w:tc>
        <w:tc>
          <w:tcPr>
            <w:tcW w:w="1125" w:type="dxa"/>
            <w:gridSpan w:val="2"/>
            <w:noWrap w:val="0"/>
            <w:vAlign w:val="center"/>
          </w:tcPr>
          <w:p w14:paraId="4DF8B96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6.17E-03</w:t>
            </w:r>
          </w:p>
        </w:tc>
        <w:tc>
          <w:tcPr>
            <w:tcW w:w="855" w:type="dxa"/>
            <w:noWrap w:val="0"/>
            <w:vAlign w:val="center"/>
          </w:tcPr>
          <w:p w14:paraId="76CF95C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12.34</w:t>
            </w:r>
          </w:p>
        </w:tc>
        <w:tc>
          <w:tcPr>
            <w:tcW w:w="1125" w:type="dxa"/>
            <w:noWrap w:val="0"/>
            <w:vAlign w:val="center"/>
          </w:tcPr>
          <w:p w14:paraId="0BE3D16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1.29E-03</w:t>
            </w:r>
          </w:p>
        </w:tc>
        <w:tc>
          <w:tcPr>
            <w:tcW w:w="951" w:type="dxa"/>
            <w:noWrap w:val="0"/>
            <w:vAlign w:val="center"/>
          </w:tcPr>
          <w:p w14:paraId="140CA4E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6.46</w:t>
            </w:r>
          </w:p>
        </w:tc>
        <w:tc>
          <w:tcPr>
            <w:tcW w:w="1018" w:type="dxa"/>
            <w:noWrap w:val="0"/>
            <w:vAlign w:val="center"/>
          </w:tcPr>
          <w:p w14:paraId="4F0A5351">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6.46E-03</w:t>
            </w:r>
          </w:p>
        </w:tc>
        <w:tc>
          <w:tcPr>
            <w:tcW w:w="855" w:type="dxa"/>
            <w:noWrap w:val="0"/>
            <w:vAlign w:val="center"/>
          </w:tcPr>
          <w:p w14:paraId="4D8AD31E">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32.29</w:t>
            </w:r>
          </w:p>
        </w:tc>
        <w:tc>
          <w:tcPr>
            <w:tcW w:w="945" w:type="dxa"/>
            <w:noWrap w:val="0"/>
            <w:vAlign w:val="center"/>
          </w:tcPr>
          <w:p w14:paraId="36855562">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2.51E-06</w:t>
            </w:r>
          </w:p>
        </w:tc>
        <w:tc>
          <w:tcPr>
            <w:tcW w:w="843" w:type="dxa"/>
            <w:noWrap w:val="0"/>
            <w:vAlign w:val="center"/>
          </w:tcPr>
          <w:p w14:paraId="4F5BB1D7">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7ACB683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1.26E-05</w:t>
            </w:r>
          </w:p>
        </w:tc>
        <w:tc>
          <w:tcPr>
            <w:tcW w:w="645" w:type="dxa"/>
            <w:noWrap w:val="0"/>
            <w:vAlign w:val="center"/>
          </w:tcPr>
          <w:p w14:paraId="77DA6CB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D4CEE52">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3.95E-04</w:t>
            </w:r>
          </w:p>
        </w:tc>
        <w:tc>
          <w:tcPr>
            <w:tcW w:w="817" w:type="dxa"/>
            <w:noWrap w:val="0"/>
            <w:vAlign w:val="center"/>
          </w:tcPr>
          <w:p w14:paraId="530476D7">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768153B0">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1.94E-03</w:t>
            </w:r>
          </w:p>
        </w:tc>
        <w:tc>
          <w:tcPr>
            <w:tcW w:w="874" w:type="dxa"/>
            <w:noWrap w:val="0"/>
            <w:vAlign w:val="center"/>
          </w:tcPr>
          <w:p w14:paraId="5BA52D98">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0.10</w:t>
            </w:r>
          </w:p>
        </w:tc>
      </w:tr>
      <w:tr w14:paraId="23E67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44D5B2A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350</w:t>
            </w:r>
          </w:p>
        </w:tc>
        <w:tc>
          <w:tcPr>
            <w:tcW w:w="780" w:type="dxa"/>
            <w:noWrap w:val="0"/>
            <w:vAlign w:val="center"/>
          </w:tcPr>
          <w:p w14:paraId="40BC557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1.29E-03</w:t>
            </w:r>
          </w:p>
        </w:tc>
        <w:tc>
          <w:tcPr>
            <w:tcW w:w="881" w:type="dxa"/>
            <w:noWrap w:val="0"/>
            <w:vAlign w:val="center"/>
          </w:tcPr>
          <w:p w14:paraId="7D0CFB6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2.58</w:t>
            </w:r>
          </w:p>
        </w:tc>
        <w:tc>
          <w:tcPr>
            <w:tcW w:w="1125" w:type="dxa"/>
            <w:gridSpan w:val="2"/>
            <w:noWrap w:val="0"/>
            <w:vAlign w:val="center"/>
          </w:tcPr>
          <w:p w14:paraId="0584866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6.33E-03</w:t>
            </w:r>
          </w:p>
        </w:tc>
        <w:tc>
          <w:tcPr>
            <w:tcW w:w="855" w:type="dxa"/>
            <w:noWrap w:val="0"/>
            <w:vAlign w:val="center"/>
          </w:tcPr>
          <w:p w14:paraId="4A4ECD7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12.66</w:t>
            </w:r>
          </w:p>
        </w:tc>
        <w:tc>
          <w:tcPr>
            <w:tcW w:w="1125" w:type="dxa"/>
            <w:noWrap w:val="0"/>
            <w:vAlign w:val="center"/>
          </w:tcPr>
          <w:p w14:paraId="3F4261A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1.32E-03</w:t>
            </w:r>
          </w:p>
        </w:tc>
        <w:tc>
          <w:tcPr>
            <w:tcW w:w="951" w:type="dxa"/>
            <w:noWrap w:val="0"/>
            <w:vAlign w:val="center"/>
          </w:tcPr>
          <w:p w14:paraId="6C9C20C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6.62</w:t>
            </w:r>
          </w:p>
        </w:tc>
        <w:tc>
          <w:tcPr>
            <w:tcW w:w="1018" w:type="dxa"/>
            <w:noWrap w:val="0"/>
            <w:vAlign w:val="center"/>
          </w:tcPr>
          <w:p w14:paraId="1DDFDB2B">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6.62E-03</w:t>
            </w:r>
          </w:p>
        </w:tc>
        <w:tc>
          <w:tcPr>
            <w:tcW w:w="855" w:type="dxa"/>
            <w:noWrap w:val="0"/>
            <w:vAlign w:val="center"/>
          </w:tcPr>
          <w:p w14:paraId="306E1A38">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33.11</w:t>
            </w:r>
          </w:p>
        </w:tc>
        <w:tc>
          <w:tcPr>
            <w:tcW w:w="945" w:type="dxa"/>
            <w:noWrap w:val="0"/>
            <w:vAlign w:val="center"/>
          </w:tcPr>
          <w:p w14:paraId="3F16A699">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2.58E-06</w:t>
            </w:r>
          </w:p>
        </w:tc>
        <w:tc>
          <w:tcPr>
            <w:tcW w:w="843" w:type="dxa"/>
            <w:noWrap w:val="0"/>
            <w:vAlign w:val="center"/>
          </w:tcPr>
          <w:p w14:paraId="7FA7CB26">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325EA9F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1.29E-05</w:t>
            </w:r>
          </w:p>
        </w:tc>
        <w:tc>
          <w:tcPr>
            <w:tcW w:w="645" w:type="dxa"/>
            <w:noWrap w:val="0"/>
            <w:vAlign w:val="center"/>
          </w:tcPr>
          <w:p w14:paraId="7E4A71A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1EEEB2AB">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4.05E-04</w:t>
            </w:r>
          </w:p>
        </w:tc>
        <w:tc>
          <w:tcPr>
            <w:tcW w:w="817" w:type="dxa"/>
            <w:noWrap w:val="0"/>
            <w:vAlign w:val="center"/>
          </w:tcPr>
          <w:p w14:paraId="2E1A075D">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0F73DDDC">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1.99E-03</w:t>
            </w:r>
          </w:p>
        </w:tc>
        <w:tc>
          <w:tcPr>
            <w:tcW w:w="874" w:type="dxa"/>
            <w:noWrap w:val="0"/>
            <w:vAlign w:val="center"/>
          </w:tcPr>
          <w:p w14:paraId="47DC1DB5">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0.10</w:t>
            </w:r>
          </w:p>
        </w:tc>
      </w:tr>
      <w:tr w14:paraId="1DD5B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7879144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375</w:t>
            </w:r>
          </w:p>
        </w:tc>
        <w:tc>
          <w:tcPr>
            <w:tcW w:w="780" w:type="dxa"/>
            <w:noWrap w:val="0"/>
            <w:vAlign w:val="center"/>
          </w:tcPr>
          <w:p w14:paraId="7D440A9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1.34E-03</w:t>
            </w:r>
          </w:p>
        </w:tc>
        <w:tc>
          <w:tcPr>
            <w:tcW w:w="881" w:type="dxa"/>
            <w:noWrap w:val="0"/>
            <w:vAlign w:val="center"/>
          </w:tcPr>
          <w:p w14:paraId="112FCB9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2.68</w:t>
            </w:r>
          </w:p>
        </w:tc>
        <w:tc>
          <w:tcPr>
            <w:tcW w:w="1125" w:type="dxa"/>
            <w:gridSpan w:val="2"/>
            <w:noWrap w:val="0"/>
            <w:vAlign w:val="center"/>
          </w:tcPr>
          <w:p w14:paraId="7B08C6C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6.60E-03</w:t>
            </w:r>
          </w:p>
        </w:tc>
        <w:tc>
          <w:tcPr>
            <w:tcW w:w="855" w:type="dxa"/>
            <w:noWrap w:val="0"/>
            <w:vAlign w:val="center"/>
          </w:tcPr>
          <w:p w14:paraId="46C9626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13.19</w:t>
            </w:r>
          </w:p>
        </w:tc>
        <w:tc>
          <w:tcPr>
            <w:tcW w:w="1125" w:type="dxa"/>
            <w:noWrap w:val="0"/>
            <w:vAlign w:val="center"/>
          </w:tcPr>
          <w:p w14:paraId="615452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1.38E-03</w:t>
            </w:r>
          </w:p>
        </w:tc>
        <w:tc>
          <w:tcPr>
            <w:tcW w:w="951" w:type="dxa"/>
            <w:noWrap w:val="0"/>
            <w:vAlign w:val="center"/>
          </w:tcPr>
          <w:p w14:paraId="091B8E2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6.90</w:t>
            </w:r>
          </w:p>
        </w:tc>
        <w:tc>
          <w:tcPr>
            <w:tcW w:w="1018" w:type="dxa"/>
            <w:noWrap w:val="0"/>
            <w:vAlign w:val="center"/>
          </w:tcPr>
          <w:p w14:paraId="270C5D2A">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6.90E-03</w:t>
            </w:r>
          </w:p>
        </w:tc>
        <w:tc>
          <w:tcPr>
            <w:tcW w:w="855" w:type="dxa"/>
            <w:noWrap w:val="0"/>
            <w:vAlign w:val="center"/>
          </w:tcPr>
          <w:p w14:paraId="2EB2394A">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34.52</w:t>
            </w:r>
          </w:p>
        </w:tc>
        <w:tc>
          <w:tcPr>
            <w:tcW w:w="945" w:type="dxa"/>
            <w:noWrap w:val="0"/>
            <w:vAlign w:val="center"/>
          </w:tcPr>
          <w:p w14:paraId="03B4074B">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2.68E-06</w:t>
            </w:r>
          </w:p>
        </w:tc>
        <w:tc>
          <w:tcPr>
            <w:tcW w:w="843" w:type="dxa"/>
            <w:noWrap w:val="0"/>
            <w:vAlign w:val="center"/>
          </w:tcPr>
          <w:p w14:paraId="55812BD7">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1A67626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1.34E-05</w:t>
            </w:r>
          </w:p>
        </w:tc>
        <w:tc>
          <w:tcPr>
            <w:tcW w:w="645" w:type="dxa"/>
            <w:noWrap w:val="0"/>
            <w:vAlign w:val="center"/>
          </w:tcPr>
          <w:p w14:paraId="61F5A02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58E1ED69">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4.22E-04</w:t>
            </w:r>
          </w:p>
        </w:tc>
        <w:tc>
          <w:tcPr>
            <w:tcW w:w="817" w:type="dxa"/>
            <w:noWrap w:val="0"/>
            <w:vAlign w:val="center"/>
          </w:tcPr>
          <w:p w14:paraId="1338C7AC">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7A2C45CB">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2.07E-03</w:t>
            </w:r>
          </w:p>
        </w:tc>
        <w:tc>
          <w:tcPr>
            <w:tcW w:w="874" w:type="dxa"/>
            <w:noWrap w:val="0"/>
            <w:vAlign w:val="center"/>
          </w:tcPr>
          <w:p w14:paraId="473ABC49">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0.10</w:t>
            </w:r>
          </w:p>
        </w:tc>
      </w:tr>
      <w:tr w14:paraId="7DCCB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54F56DA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400</w:t>
            </w:r>
          </w:p>
        </w:tc>
        <w:tc>
          <w:tcPr>
            <w:tcW w:w="780" w:type="dxa"/>
            <w:noWrap w:val="0"/>
            <w:vAlign w:val="center"/>
          </w:tcPr>
          <w:p w14:paraId="16C2122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1.38E-03</w:t>
            </w:r>
          </w:p>
        </w:tc>
        <w:tc>
          <w:tcPr>
            <w:tcW w:w="881" w:type="dxa"/>
            <w:noWrap w:val="0"/>
            <w:vAlign w:val="center"/>
          </w:tcPr>
          <w:p w14:paraId="41F13E6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2.77</w:t>
            </w:r>
          </w:p>
        </w:tc>
        <w:tc>
          <w:tcPr>
            <w:tcW w:w="1125" w:type="dxa"/>
            <w:gridSpan w:val="2"/>
            <w:noWrap w:val="0"/>
            <w:vAlign w:val="center"/>
          </w:tcPr>
          <w:p w14:paraId="66EA320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6.80E-03</w:t>
            </w:r>
          </w:p>
        </w:tc>
        <w:tc>
          <w:tcPr>
            <w:tcW w:w="855" w:type="dxa"/>
            <w:noWrap w:val="0"/>
            <w:vAlign w:val="center"/>
          </w:tcPr>
          <w:p w14:paraId="2D41AD0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13.60</w:t>
            </w:r>
          </w:p>
        </w:tc>
        <w:tc>
          <w:tcPr>
            <w:tcW w:w="1125" w:type="dxa"/>
            <w:noWrap w:val="0"/>
            <w:vAlign w:val="center"/>
          </w:tcPr>
          <w:p w14:paraId="1F063AA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1.42E-03</w:t>
            </w:r>
          </w:p>
        </w:tc>
        <w:tc>
          <w:tcPr>
            <w:tcW w:w="951" w:type="dxa"/>
            <w:noWrap w:val="0"/>
            <w:vAlign w:val="center"/>
          </w:tcPr>
          <w:p w14:paraId="7CB12C0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7.12</w:t>
            </w:r>
          </w:p>
        </w:tc>
        <w:tc>
          <w:tcPr>
            <w:tcW w:w="1018" w:type="dxa"/>
            <w:noWrap w:val="0"/>
            <w:vAlign w:val="center"/>
          </w:tcPr>
          <w:p w14:paraId="4A1C932B">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7.12E-03</w:t>
            </w:r>
          </w:p>
        </w:tc>
        <w:tc>
          <w:tcPr>
            <w:tcW w:w="855" w:type="dxa"/>
            <w:noWrap w:val="0"/>
            <w:vAlign w:val="center"/>
          </w:tcPr>
          <w:p w14:paraId="4FD2DABF">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35.59</w:t>
            </w:r>
          </w:p>
        </w:tc>
        <w:tc>
          <w:tcPr>
            <w:tcW w:w="945" w:type="dxa"/>
            <w:noWrap w:val="0"/>
            <w:vAlign w:val="center"/>
          </w:tcPr>
          <w:p w14:paraId="6EAF0913">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2.77E-06</w:t>
            </w:r>
          </w:p>
        </w:tc>
        <w:tc>
          <w:tcPr>
            <w:tcW w:w="843" w:type="dxa"/>
            <w:noWrap w:val="0"/>
            <w:vAlign w:val="center"/>
          </w:tcPr>
          <w:p w14:paraId="0022D7BC">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0.00</w:t>
            </w:r>
          </w:p>
        </w:tc>
        <w:tc>
          <w:tcPr>
            <w:tcW w:w="781" w:type="dxa"/>
            <w:noWrap w:val="0"/>
            <w:vAlign w:val="center"/>
          </w:tcPr>
          <w:p w14:paraId="06671E7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1.38E-05</w:t>
            </w:r>
          </w:p>
        </w:tc>
        <w:tc>
          <w:tcPr>
            <w:tcW w:w="645" w:type="dxa"/>
            <w:noWrap w:val="0"/>
            <w:vAlign w:val="center"/>
          </w:tcPr>
          <w:p w14:paraId="37EA707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44BCCDC4">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4.35E-04</w:t>
            </w:r>
          </w:p>
        </w:tc>
        <w:tc>
          <w:tcPr>
            <w:tcW w:w="817" w:type="dxa"/>
            <w:noWrap w:val="0"/>
            <w:vAlign w:val="center"/>
          </w:tcPr>
          <w:p w14:paraId="08D6138F">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0.02</w:t>
            </w:r>
          </w:p>
        </w:tc>
        <w:tc>
          <w:tcPr>
            <w:tcW w:w="844" w:type="dxa"/>
            <w:gridSpan w:val="2"/>
            <w:noWrap w:val="0"/>
            <w:vAlign w:val="center"/>
          </w:tcPr>
          <w:p w14:paraId="5FE63003">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2.14E-03</w:t>
            </w:r>
          </w:p>
        </w:tc>
        <w:tc>
          <w:tcPr>
            <w:tcW w:w="874" w:type="dxa"/>
            <w:noWrap w:val="0"/>
            <w:vAlign w:val="center"/>
          </w:tcPr>
          <w:p w14:paraId="398EB719">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0.11</w:t>
            </w:r>
          </w:p>
        </w:tc>
      </w:tr>
      <w:tr w14:paraId="45ACB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29FFFAF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425</w:t>
            </w:r>
          </w:p>
        </w:tc>
        <w:tc>
          <w:tcPr>
            <w:tcW w:w="780" w:type="dxa"/>
            <w:noWrap w:val="0"/>
            <w:vAlign w:val="center"/>
          </w:tcPr>
          <w:p w14:paraId="668430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1.41E-03</w:t>
            </w:r>
          </w:p>
        </w:tc>
        <w:tc>
          <w:tcPr>
            <w:tcW w:w="881" w:type="dxa"/>
            <w:noWrap w:val="0"/>
            <w:vAlign w:val="center"/>
          </w:tcPr>
          <w:p w14:paraId="08CDC76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2.83</w:t>
            </w:r>
          </w:p>
        </w:tc>
        <w:tc>
          <w:tcPr>
            <w:tcW w:w="1125" w:type="dxa"/>
            <w:gridSpan w:val="2"/>
            <w:noWrap w:val="0"/>
            <w:vAlign w:val="center"/>
          </w:tcPr>
          <w:p w14:paraId="45DC2B7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6.95E-03</w:t>
            </w:r>
          </w:p>
        </w:tc>
        <w:tc>
          <w:tcPr>
            <w:tcW w:w="855" w:type="dxa"/>
            <w:noWrap w:val="0"/>
            <w:vAlign w:val="center"/>
          </w:tcPr>
          <w:p w14:paraId="5C6072A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13.90</w:t>
            </w:r>
          </w:p>
        </w:tc>
        <w:tc>
          <w:tcPr>
            <w:tcW w:w="1125" w:type="dxa"/>
            <w:noWrap w:val="0"/>
            <w:vAlign w:val="center"/>
          </w:tcPr>
          <w:p w14:paraId="55BEFA5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1.45E-03</w:t>
            </w:r>
          </w:p>
        </w:tc>
        <w:tc>
          <w:tcPr>
            <w:tcW w:w="951" w:type="dxa"/>
            <w:noWrap w:val="0"/>
            <w:vAlign w:val="center"/>
          </w:tcPr>
          <w:p w14:paraId="40DD8B0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7.27</w:t>
            </w:r>
          </w:p>
        </w:tc>
        <w:tc>
          <w:tcPr>
            <w:tcW w:w="1018" w:type="dxa"/>
            <w:noWrap w:val="0"/>
            <w:vAlign w:val="center"/>
          </w:tcPr>
          <w:p w14:paraId="3E04C43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7.27E-03</w:t>
            </w:r>
          </w:p>
        </w:tc>
        <w:tc>
          <w:tcPr>
            <w:tcW w:w="855" w:type="dxa"/>
            <w:noWrap w:val="0"/>
            <w:vAlign w:val="center"/>
          </w:tcPr>
          <w:p w14:paraId="54CB8EF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36.36</w:t>
            </w:r>
          </w:p>
        </w:tc>
        <w:tc>
          <w:tcPr>
            <w:tcW w:w="945" w:type="dxa"/>
            <w:noWrap w:val="0"/>
            <w:vAlign w:val="center"/>
          </w:tcPr>
          <w:p w14:paraId="4F610F0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2.83E-06</w:t>
            </w:r>
          </w:p>
        </w:tc>
        <w:tc>
          <w:tcPr>
            <w:tcW w:w="843" w:type="dxa"/>
            <w:noWrap w:val="0"/>
            <w:vAlign w:val="center"/>
          </w:tcPr>
          <w:p w14:paraId="33B2839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198A517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1.41E-05</w:t>
            </w:r>
          </w:p>
        </w:tc>
        <w:tc>
          <w:tcPr>
            <w:tcW w:w="645" w:type="dxa"/>
            <w:noWrap w:val="0"/>
            <w:vAlign w:val="center"/>
          </w:tcPr>
          <w:p w14:paraId="5221B40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09FE46D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4.44E-04</w:t>
            </w:r>
          </w:p>
        </w:tc>
        <w:tc>
          <w:tcPr>
            <w:tcW w:w="817" w:type="dxa"/>
            <w:noWrap w:val="0"/>
            <w:vAlign w:val="center"/>
          </w:tcPr>
          <w:p w14:paraId="54467B3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1EBE7CD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2.18E-03</w:t>
            </w:r>
          </w:p>
        </w:tc>
        <w:tc>
          <w:tcPr>
            <w:tcW w:w="874" w:type="dxa"/>
            <w:noWrap w:val="0"/>
            <w:vAlign w:val="center"/>
          </w:tcPr>
          <w:p w14:paraId="29F5414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48A05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741C6FD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450</w:t>
            </w:r>
          </w:p>
        </w:tc>
        <w:tc>
          <w:tcPr>
            <w:tcW w:w="780" w:type="dxa"/>
            <w:noWrap w:val="0"/>
            <w:vAlign w:val="center"/>
          </w:tcPr>
          <w:p w14:paraId="4EC8250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1.43E-03</w:t>
            </w:r>
          </w:p>
        </w:tc>
        <w:tc>
          <w:tcPr>
            <w:tcW w:w="881" w:type="dxa"/>
            <w:noWrap w:val="0"/>
            <w:vAlign w:val="center"/>
          </w:tcPr>
          <w:p w14:paraId="0C96BA6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2.87</w:t>
            </w:r>
          </w:p>
        </w:tc>
        <w:tc>
          <w:tcPr>
            <w:tcW w:w="1125" w:type="dxa"/>
            <w:gridSpan w:val="2"/>
            <w:noWrap w:val="0"/>
            <w:vAlign w:val="center"/>
          </w:tcPr>
          <w:p w14:paraId="193679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7.05E-03</w:t>
            </w:r>
          </w:p>
        </w:tc>
        <w:tc>
          <w:tcPr>
            <w:tcW w:w="855" w:type="dxa"/>
            <w:noWrap w:val="0"/>
            <w:vAlign w:val="center"/>
          </w:tcPr>
          <w:p w14:paraId="5620423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14.09</w:t>
            </w:r>
          </w:p>
        </w:tc>
        <w:tc>
          <w:tcPr>
            <w:tcW w:w="1125" w:type="dxa"/>
            <w:noWrap w:val="0"/>
            <w:vAlign w:val="center"/>
          </w:tcPr>
          <w:p w14:paraId="37D1B04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1.47E-03</w:t>
            </w:r>
          </w:p>
        </w:tc>
        <w:tc>
          <w:tcPr>
            <w:tcW w:w="951" w:type="dxa"/>
            <w:noWrap w:val="0"/>
            <w:vAlign w:val="center"/>
          </w:tcPr>
          <w:p w14:paraId="63E1F45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7.37</w:t>
            </w:r>
          </w:p>
        </w:tc>
        <w:tc>
          <w:tcPr>
            <w:tcW w:w="1018" w:type="dxa"/>
            <w:noWrap w:val="0"/>
            <w:vAlign w:val="center"/>
          </w:tcPr>
          <w:p w14:paraId="0379F7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7.37E-03</w:t>
            </w:r>
          </w:p>
        </w:tc>
        <w:tc>
          <w:tcPr>
            <w:tcW w:w="855" w:type="dxa"/>
            <w:noWrap w:val="0"/>
            <w:vAlign w:val="center"/>
          </w:tcPr>
          <w:p w14:paraId="27C68D8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36.87</w:t>
            </w:r>
          </w:p>
        </w:tc>
        <w:tc>
          <w:tcPr>
            <w:tcW w:w="945" w:type="dxa"/>
            <w:noWrap w:val="0"/>
            <w:vAlign w:val="center"/>
          </w:tcPr>
          <w:p w14:paraId="7450A18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2.87E-06</w:t>
            </w:r>
          </w:p>
        </w:tc>
        <w:tc>
          <w:tcPr>
            <w:tcW w:w="843" w:type="dxa"/>
            <w:noWrap w:val="0"/>
            <w:vAlign w:val="center"/>
          </w:tcPr>
          <w:p w14:paraId="56985DE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6660FF7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1.43E-05</w:t>
            </w:r>
          </w:p>
        </w:tc>
        <w:tc>
          <w:tcPr>
            <w:tcW w:w="645" w:type="dxa"/>
            <w:noWrap w:val="0"/>
            <w:vAlign w:val="center"/>
          </w:tcPr>
          <w:p w14:paraId="37EB0FC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46B3087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4.51E-04</w:t>
            </w:r>
          </w:p>
        </w:tc>
        <w:tc>
          <w:tcPr>
            <w:tcW w:w="817" w:type="dxa"/>
            <w:noWrap w:val="0"/>
            <w:vAlign w:val="center"/>
          </w:tcPr>
          <w:p w14:paraId="7592AFF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75FCF2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2.21E-03</w:t>
            </w:r>
          </w:p>
        </w:tc>
        <w:tc>
          <w:tcPr>
            <w:tcW w:w="874" w:type="dxa"/>
            <w:noWrap w:val="0"/>
            <w:vAlign w:val="center"/>
          </w:tcPr>
          <w:p w14:paraId="1D8E02D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48D43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0EB663F2">
            <w:pPr>
              <w:keepNext w:val="0"/>
              <w:keepLines w:val="0"/>
              <w:widowControl/>
              <w:suppressLineNumbers w:val="0"/>
              <w:ind w:left="0" w:firstLine="0"/>
              <w:jc w:val="center"/>
              <w:rPr>
                <w:rFonts w:hint="eastAsia" w:ascii="Times New Roman" w:hAnsi="Times New Roman" w:eastAsia="宋体" w:cs="Times New Roman"/>
                <w:b w:val="0"/>
                <w:bCs w:val="0"/>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475</w:t>
            </w:r>
          </w:p>
        </w:tc>
        <w:tc>
          <w:tcPr>
            <w:tcW w:w="780" w:type="dxa"/>
            <w:noWrap w:val="0"/>
            <w:vAlign w:val="center"/>
          </w:tcPr>
          <w:p w14:paraId="5548BA3F">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1.44E-03</w:t>
            </w:r>
          </w:p>
        </w:tc>
        <w:tc>
          <w:tcPr>
            <w:tcW w:w="881" w:type="dxa"/>
            <w:noWrap w:val="0"/>
            <w:vAlign w:val="center"/>
          </w:tcPr>
          <w:p w14:paraId="63699167">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2.89</w:t>
            </w:r>
          </w:p>
        </w:tc>
        <w:tc>
          <w:tcPr>
            <w:tcW w:w="1125" w:type="dxa"/>
            <w:gridSpan w:val="2"/>
            <w:noWrap w:val="0"/>
            <w:vAlign w:val="center"/>
          </w:tcPr>
          <w:p w14:paraId="025A5C1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7.09E-03</w:t>
            </w:r>
          </w:p>
        </w:tc>
        <w:tc>
          <w:tcPr>
            <w:tcW w:w="855" w:type="dxa"/>
            <w:noWrap w:val="0"/>
            <w:vAlign w:val="center"/>
          </w:tcPr>
          <w:p w14:paraId="307C3B9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14.19</w:t>
            </w:r>
          </w:p>
        </w:tc>
        <w:tc>
          <w:tcPr>
            <w:tcW w:w="1125" w:type="dxa"/>
            <w:noWrap w:val="0"/>
            <w:vAlign w:val="center"/>
          </w:tcPr>
          <w:p w14:paraId="31298F3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1.48E-03</w:t>
            </w:r>
          </w:p>
        </w:tc>
        <w:tc>
          <w:tcPr>
            <w:tcW w:w="951" w:type="dxa"/>
            <w:noWrap w:val="0"/>
            <w:vAlign w:val="center"/>
          </w:tcPr>
          <w:p w14:paraId="4635DD6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7.42</w:t>
            </w:r>
          </w:p>
        </w:tc>
        <w:tc>
          <w:tcPr>
            <w:tcW w:w="1018" w:type="dxa"/>
            <w:noWrap w:val="0"/>
            <w:vAlign w:val="center"/>
          </w:tcPr>
          <w:p w14:paraId="2FC0FF7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7.42E-03</w:t>
            </w:r>
          </w:p>
        </w:tc>
        <w:tc>
          <w:tcPr>
            <w:tcW w:w="855" w:type="dxa"/>
            <w:noWrap w:val="0"/>
            <w:vAlign w:val="center"/>
          </w:tcPr>
          <w:p w14:paraId="5C8A80C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37.12</w:t>
            </w:r>
          </w:p>
        </w:tc>
        <w:tc>
          <w:tcPr>
            <w:tcW w:w="945" w:type="dxa"/>
            <w:noWrap w:val="0"/>
            <w:vAlign w:val="center"/>
          </w:tcPr>
          <w:p w14:paraId="7194A219">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2.89E-06</w:t>
            </w:r>
          </w:p>
        </w:tc>
        <w:tc>
          <w:tcPr>
            <w:tcW w:w="843" w:type="dxa"/>
            <w:noWrap w:val="0"/>
            <w:vAlign w:val="center"/>
          </w:tcPr>
          <w:p w14:paraId="5D57D28F">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0.00</w:t>
            </w:r>
          </w:p>
        </w:tc>
        <w:tc>
          <w:tcPr>
            <w:tcW w:w="781" w:type="dxa"/>
            <w:noWrap w:val="0"/>
            <w:vAlign w:val="center"/>
          </w:tcPr>
          <w:p w14:paraId="3B3B086A">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1.44E-05</w:t>
            </w:r>
          </w:p>
        </w:tc>
        <w:tc>
          <w:tcPr>
            <w:tcW w:w="645" w:type="dxa"/>
            <w:noWrap w:val="0"/>
            <w:vAlign w:val="center"/>
          </w:tcPr>
          <w:p w14:paraId="26C65082">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0.01</w:t>
            </w:r>
          </w:p>
        </w:tc>
        <w:tc>
          <w:tcPr>
            <w:tcW w:w="825" w:type="dxa"/>
            <w:noWrap w:val="0"/>
            <w:vAlign w:val="center"/>
          </w:tcPr>
          <w:p w14:paraId="52D1AB4C">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4.54E-04</w:t>
            </w:r>
          </w:p>
        </w:tc>
        <w:tc>
          <w:tcPr>
            <w:tcW w:w="817" w:type="dxa"/>
            <w:noWrap w:val="0"/>
            <w:vAlign w:val="center"/>
          </w:tcPr>
          <w:p w14:paraId="7D854670">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0.02</w:t>
            </w:r>
          </w:p>
        </w:tc>
        <w:tc>
          <w:tcPr>
            <w:tcW w:w="844" w:type="dxa"/>
            <w:gridSpan w:val="2"/>
            <w:noWrap w:val="0"/>
            <w:vAlign w:val="center"/>
          </w:tcPr>
          <w:p w14:paraId="5470693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2.23E-03</w:t>
            </w:r>
          </w:p>
        </w:tc>
        <w:tc>
          <w:tcPr>
            <w:tcW w:w="874" w:type="dxa"/>
            <w:noWrap w:val="0"/>
            <w:vAlign w:val="center"/>
          </w:tcPr>
          <w:p w14:paraId="5DAFBEE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4EF8E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3DB1C0B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500</w:t>
            </w:r>
          </w:p>
        </w:tc>
        <w:tc>
          <w:tcPr>
            <w:tcW w:w="780" w:type="dxa"/>
            <w:noWrap w:val="0"/>
            <w:vAlign w:val="center"/>
          </w:tcPr>
          <w:p w14:paraId="6B98CC6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1.44E-03</w:t>
            </w:r>
          </w:p>
        </w:tc>
        <w:tc>
          <w:tcPr>
            <w:tcW w:w="881" w:type="dxa"/>
            <w:noWrap w:val="0"/>
            <w:vAlign w:val="center"/>
          </w:tcPr>
          <w:p w14:paraId="7FFC6C8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2.89</w:t>
            </w:r>
          </w:p>
        </w:tc>
        <w:tc>
          <w:tcPr>
            <w:tcW w:w="1125" w:type="dxa"/>
            <w:gridSpan w:val="2"/>
            <w:noWrap w:val="0"/>
            <w:vAlign w:val="center"/>
          </w:tcPr>
          <w:p w14:paraId="3A00C718">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7.10E-03</w:t>
            </w:r>
          </w:p>
        </w:tc>
        <w:tc>
          <w:tcPr>
            <w:tcW w:w="855" w:type="dxa"/>
            <w:noWrap w:val="0"/>
            <w:vAlign w:val="center"/>
          </w:tcPr>
          <w:p w14:paraId="422E5455">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14.20</w:t>
            </w:r>
          </w:p>
        </w:tc>
        <w:tc>
          <w:tcPr>
            <w:tcW w:w="1125" w:type="dxa"/>
            <w:noWrap w:val="0"/>
            <w:vAlign w:val="center"/>
          </w:tcPr>
          <w:p w14:paraId="15E6856D">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1.49E-03</w:t>
            </w:r>
          </w:p>
        </w:tc>
        <w:tc>
          <w:tcPr>
            <w:tcW w:w="951" w:type="dxa"/>
            <w:noWrap w:val="0"/>
            <w:vAlign w:val="center"/>
          </w:tcPr>
          <w:p w14:paraId="63D5145B">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7.43</w:t>
            </w:r>
          </w:p>
        </w:tc>
        <w:tc>
          <w:tcPr>
            <w:tcW w:w="1018" w:type="dxa"/>
            <w:noWrap w:val="0"/>
            <w:vAlign w:val="center"/>
          </w:tcPr>
          <w:p w14:paraId="3E836D84">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7.43E-03</w:t>
            </w:r>
          </w:p>
        </w:tc>
        <w:tc>
          <w:tcPr>
            <w:tcW w:w="855" w:type="dxa"/>
            <w:noWrap w:val="0"/>
            <w:vAlign w:val="center"/>
          </w:tcPr>
          <w:p w14:paraId="6460CC1F">
            <w:pPr>
              <w:keepNext w:val="0"/>
              <w:keepLines w:val="0"/>
              <w:widowControl/>
              <w:suppressLineNumbers w:val="0"/>
              <w:ind w:left="0" w:firstLine="0"/>
              <w:jc w:val="center"/>
              <w:rPr>
                <w:rFonts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37.16</w:t>
            </w:r>
          </w:p>
        </w:tc>
        <w:tc>
          <w:tcPr>
            <w:tcW w:w="945" w:type="dxa"/>
            <w:noWrap w:val="0"/>
            <w:vAlign w:val="center"/>
          </w:tcPr>
          <w:p w14:paraId="052D2BF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2.89E-06</w:t>
            </w:r>
          </w:p>
        </w:tc>
        <w:tc>
          <w:tcPr>
            <w:tcW w:w="843" w:type="dxa"/>
            <w:noWrap w:val="0"/>
            <w:vAlign w:val="center"/>
          </w:tcPr>
          <w:p w14:paraId="5141B55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78F25D4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1.44E-05</w:t>
            </w:r>
          </w:p>
        </w:tc>
        <w:tc>
          <w:tcPr>
            <w:tcW w:w="645" w:type="dxa"/>
            <w:noWrap w:val="0"/>
            <w:vAlign w:val="center"/>
          </w:tcPr>
          <w:p w14:paraId="2F42D4E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246C002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4.54E-04</w:t>
            </w:r>
          </w:p>
        </w:tc>
        <w:tc>
          <w:tcPr>
            <w:tcW w:w="817" w:type="dxa"/>
            <w:noWrap w:val="0"/>
            <w:vAlign w:val="center"/>
          </w:tcPr>
          <w:p w14:paraId="32499E0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42FD53D6">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2.23E-03</w:t>
            </w:r>
          </w:p>
        </w:tc>
        <w:tc>
          <w:tcPr>
            <w:tcW w:w="874" w:type="dxa"/>
            <w:noWrap w:val="0"/>
            <w:vAlign w:val="center"/>
          </w:tcPr>
          <w:p w14:paraId="0D060A0F">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bCs/>
                <w:color w:val="000000"/>
                <w:sz w:val="21"/>
                <w:szCs w:val="21"/>
                <w:vertAlign w:val="baseline"/>
                <w:lang w:val="en-US" w:eastAsia="zh-CN" w:bidi="ar"/>
              </w:rPr>
              <w:t>0.11</w:t>
            </w:r>
          </w:p>
        </w:tc>
      </w:tr>
      <w:tr w14:paraId="581C2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1DD1B3B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525</w:t>
            </w:r>
          </w:p>
        </w:tc>
        <w:tc>
          <w:tcPr>
            <w:tcW w:w="780" w:type="dxa"/>
            <w:noWrap w:val="0"/>
            <w:vAlign w:val="center"/>
          </w:tcPr>
          <w:p w14:paraId="0425F49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1.44E-03</w:t>
            </w:r>
          </w:p>
        </w:tc>
        <w:tc>
          <w:tcPr>
            <w:tcW w:w="881" w:type="dxa"/>
            <w:noWrap w:val="0"/>
            <w:vAlign w:val="center"/>
          </w:tcPr>
          <w:p w14:paraId="526D5D4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2.89</w:t>
            </w:r>
          </w:p>
        </w:tc>
        <w:tc>
          <w:tcPr>
            <w:tcW w:w="1125" w:type="dxa"/>
            <w:gridSpan w:val="2"/>
            <w:noWrap w:val="0"/>
            <w:vAlign w:val="center"/>
          </w:tcPr>
          <w:p w14:paraId="27266DB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7.09E-03</w:t>
            </w:r>
          </w:p>
        </w:tc>
        <w:tc>
          <w:tcPr>
            <w:tcW w:w="855" w:type="dxa"/>
            <w:noWrap w:val="0"/>
            <w:vAlign w:val="center"/>
          </w:tcPr>
          <w:p w14:paraId="4BE06B8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14.18</w:t>
            </w:r>
          </w:p>
        </w:tc>
        <w:tc>
          <w:tcPr>
            <w:tcW w:w="1125" w:type="dxa"/>
            <w:noWrap w:val="0"/>
            <w:vAlign w:val="center"/>
          </w:tcPr>
          <w:p w14:paraId="5D10364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1.48E-03</w:t>
            </w:r>
          </w:p>
        </w:tc>
        <w:tc>
          <w:tcPr>
            <w:tcW w:w="951" w:type="dxa"/>
            <w:noWrap w:val="0"/>
            <w:vAlign w:val="center"/>
          </w:tcPr>
          <w:p w14:paraId="42DFA35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7.42</w:t>
            </w:r>
          </w:p>
        </w:tc>
        <w:tc>
          <w:tcPr>
            <w:tcW w:w="1018" w:type="dxa"/>
            <w:noWrap w:val="0"/>
            <w:vAlign w:val="center"/>
          </w:tcPr>
          <w:p w14:paraId="42FD2D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7.42E-03</w:t>
            </w:r>
          </w:p>
        </w:tc>
        <w:tc>
          <w:tcPr>
            <w:tcW w:w="855" w:type="dxa"/>
            <w:noWrap w:val="0"/>
            <w:vAlign w:val="center"/>
          </w:tcPr>
          <w:p w14:paraId="06FADD3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37.10</w:t>
            </w:r>
          </w:p>
        </w:tc>
        <w:tc>
          <w:tcPr>
            <w:tcW w:w="945" w:type="dxa"/>
            <w:noWrap w:val="0"/>
            <w:vAlign w:val="center"/>
          </w:tcPr>
          <w:p w14:paraId="70A30EC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2.89E-06</w:t>
            </w:r>
          </w:p>
        </w:tc>
        <w:tc>
          <w:tcPr>
            <w:tcW w:w="843" w:type="dxa"/>
            <w:noWrap w:val="0"/>
            <w:vAlign w:val="center"/>
          </w:tcPr>
          <w:p w14:paraId="5E48243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13B9771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1.44E-05</w:t>
            </w:r>
          </w:p>
        </w:tc>
        <w:tc>
          <w:tcPr>
            <w:tcW w:w="645" w:type="dxa"/>
            <w:noWrap w:val="0"/>
            <w:vAlign w:val="center"/>
          </w:tcPr>
          <w:p w14:paraId="2AAEC1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A13CD2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4.53E-04</w:t>
            </w:r>
          </w:p>
        </w:tc>
        <w:tc>
          <w:tcPr>
            <w:tcW w:w="817" w:type="dxa"/>
            <w:noWrap w:val="0"/>
            <w:vAlign w:val="center"/>
          </w:tcPr>
          <w:p w14:paraId="15DBA59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22AC7D6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2.23E-03</w:t>
            </w:r>
          </w:p>
        </w:tc>
        <w:tc>
          <w:tcPr>
            <w:tcW w:w="874" w:type="dxa"/>
            <w:noWrap w:val="0"/>
            <w:vAlign w:val="center"/>
          </w:tcPr>
          <w:p w14:paraId="622D0CD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23951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08AE2C4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550</w:t>
            </w:r>
          </w:p>
        </w:tc>
        <w:tc>
          <w:tcPr>
            <w:tcW w:w="780" w:type="dxa"/>
            <w:noWrap w:val="0"/>
            <w:vAlign w:val="center"/>
          </w:tcPr>
          <w:p w14:paraId="4F69162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1.44E-03</w:t>
            </w:r>
          </w:p>
        </w:tc>
        <w:tc>
          <w:tcPr>
            <w:tcW w:w="881" w:type="dxa"/>
            <w:noWrap w:val="0"/>
            <w:vAlign w:val="center"/>
          </w:tcPr>
          <w:p w14:paraId="6AEE326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2.87</w:t>
            </w:r>
          </w:p>
        </w:tc>
        <w:tc>
          <w:tcPr>
            <w:tcW w:w="1125" w:type="dxa"/>
            <w:gridSpan w:val="2"/>
            <w:noWrap w:val="0"/>
            <w:vAlign w:val="center"/>
          </w:tcPr>
          <w:p w14:paraId="7D42003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7.06E-03</w:t>
            </w:r>
          </w:p>
        </w:tc>
        <w:tc>
          <w:tcPr>
            <w:tcW w:w="855" w:type="dxa"/>
            <w:noWrap w:val="0"/>
            <w:vAlign w:val="center"/>
          </w:tcPr>
          <w:p w14:paraId="25ABFBF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14.13</w:t>
            </w:r>
          </w:p>
        </w:tc>
        <w:tc>
          <w:tcPr>
            <w:tcW w:w="1125" w:type="dxa"/>
            <w:noWrap w:val="0"/>
            <w:vAlign w:val="center"/>
          </w:tcPr>
          <w:p w14:paraId="0628F84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1.48E-03</w:t>
            </w:r>
          </w:p>
        </w:tc>
        <w:tc>
          <w:tcPr>
            <w:tcW w:w="951" w:type="dxa"/>
            <w:noWrap w:val="0"/>
            <w:vAlign w:val="center"/>
          </w:tcPr>
          <w:p w14:paraId="2991D4A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7.39</w:t>
            </w:r>
          </w:p>
        </w:tc>
        <w:tc>
          <w:tcPr>
            <w:tcW w:w="1018" w:type="dxa"/>
            <w:noWrap w:val="0"/>
            <w:vAlign w:val="center"/>
          </w:tcPr>
          <w:p w14:paraId="2B48CFB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7.39E-03</w:t>
            </w:r>
          </w:p>
        </w:tc>
        <w:tc>
          <w:tcPr>
            <w:tcW w:w="855" w:type="dxa"/>
            <w:noWrap w:val="0"/>
            <w:vAlign w:val="center"/>
          </w:tcPr>
          <w:p w14:paraId="3DC4D98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36.96</w:t>
            </w:r>
          </w:p>
        </w:tc>
        <w:tc>
          <w:tcPr>
            <w:tcW w:w="945" w:type="dxa"/>
            <w:noWrap w:val="0"/>
            <w:vAlign w:val="center"/>
          </w:tcPr>
          <w:p w14:paraId="14D61C7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2.87E-06</w:t>
            </w:r>
          </w:p>
        </w:tc>
        <w:tc>
          <w:tcPr>
            <w:tcW w:w="843" w:type="dxa"/>
            <w:noWrap w:val="0"/>
            <w:vAlign w:val="center"/>
          </w:tcPr>
          <w:p w14:paraId="21834FA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7735423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1.44E-05</w:t>
            </w:r>
          </w:p>
        </w:tc>
        <w:tc>
          <w:tcPr>
            <w:tcW w:w="645" w:type="dxa"/>
            <w:noWrap w:val="0"/>
            <w:vAlign w:val="center"/>
          </w:tcPr>
          <w:p w14:paraId="3D4401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64432F6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4.52E-04</w:t>
            </w:r>
          </w:p>
        </w:tc>
        <w:tc>
          <w:tcPr>
            <w:tcW w:w="817" w:type="dxa"/>
            <w:noWrap w:val="0"/>
            <w:vAlign w:val="center"/>
          </w:tcPr>
          <w:p w14:paraId="5FDD000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373419F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2.22E-03</w:t>
            </w:r>
          </w:p>
        </w:tc>
        <w:tc>
          <w:tcPr>
            <w:tcW w:w="874" w:type="dxa"/>
            <w:noWrap w:val="0"/>
            <w:vAlign w:val="center"/>
          </w:tcPr>
          <w:p w14:paraId="7521206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148A4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303A72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575</w:t>
            </w:r>
          </w:p>
        </w:tc>
        <w:tc>
          <w:tcPr>
            <w:tcW w:w="780" w:type="dxa"/>
            <w:noWrap w:val="0"/>
            <w:vAlign w:val="center"/>
          </w:tcPr>
          <w:p w14:paraId="01DBC05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1.43E-03</w:t>
            </w:r>
          </w:p>
        </w:tc>
        <w:tc>
          <w:tcPr>
            <w:tcW w:w="881" w:type="dxa"/>
            <w:noWrap w:val="0"/>
            <w:vAlign w:val="center"/>
          </w:tcPr>
          <w:p w14:paraId="2F6CFA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2.86</w:t>
            </w:r>
          </w:p>
        </w:tc>
        <w:tc>
          <w:tcPr>
            <w:tcW w:w="1125" w:type="dxa"/>
            <w:gridSpan w:val="2"/>
            <w:noWrap w:val="0"/>
            <w:vAlign w:val="center"/>
          </w:tcPr>
          <w:p w14:paraId="2BF437B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7.02E-03</w:t>
            </w:r>
          </w:p>
        </w:tc>
        <w:tc>
          <w:tcPr>
            <w:tcW w:w="855" w:type="dxa"/>
            <w:noWrap w:val="0"/>
            <w:vAlign w:val="center"/>
          </w:tcPr>
          <w:p w14:paraId="4D45B69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14.04</w:t>
            </w:r>
          </w:p>
        </w:tc>
        <w:tc>
          <w:tcPr>
            <w:tcW w:w="1125" w:type="dxa"/>
            <w:noWrap w:val="0"/>
            <w:vAlign w:val="center"/>
          </w:tcPr>
          <w:p w14:paraId="26855F3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1.47E-03</w:t>
            </w:r>
          </w:p>
        </w:tc>
        <w:tc>
          <w:tcPr>
            <w:tcW w:w="951" w:type="dxa"/>
            <w:noWrap w:val="0"/>
            <w:vAlign w:val="center"/>
          </w:tcPr>
          <w:p w14:paraId="316B58E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7.35</w:t>
            </w:r>
          </w:p>
        </w:tc>
        <w:tc>
          <w:tcPr>
            <w:tcW w:w="1018" w:type="dxa"/>
            <w:noWrap w:val="0"/>
            <w:vAlign w:val="center"/>
          </w:tcPr>
          <w:p w14:paraId="6300985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7.35E-03</w:t>
            </w:r>
          </w:p>
        </w:tc>
        <w:tc>
          <w:tcPr>
            <w:tcW w:w="855" w:type="dxa"/>
            <w:noWrap w:val="0"/>
            <w:vAlign w:val="center"/>
          </w:tcPr>
          <w:p w14:paraId="3BD8276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36.74</w:t>
            </w:r>
          </w:p>
        </w:tc>
        <w:tc>
          <w:tcPr>
            <w:tcW w:w="945" w:type="dxa"/>
            <w:noWrap w:val="0"/>
            <w:vAlign w:val="center"/>
          </w:tcPr>
          <w:p w14:paraId="1602E98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2.86E-06</w:t>
            </w:r>
          </w:p>
        </w:tc>
        <w:tc>
          <w:tcPr>
            <w:tcW w:w="843" w:type="dxa"/>
            <w:noWrap w:val="0"/>
            <w:vAlign w:val="center"/>
          </w:tcPr>
          <w:p w14:paraId="65E9754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21EA216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1.43E-05</w:t>
            </w:r>
          </w:p>
        </w:tc>
        <w:tc>
          <w:tcPr>
            <w:tcW w:w="645" w:type="dxa"/>
            <w:noWrap w:val="0"/>
            <w:vAlign w:val="center"/>
          </w:tcPr>
          <w:p w14:paraId="17F67DF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5A31CE4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4.49E-04</w:t>
            </w:r>
          </w:p>
        </w:tc>
        <w:tc>
          <w:tcPr>
            <w:tcW w:w="817" w:type="dxa"/>
            <w:noWrap w:val="0"/>
            <w:vAlign w:val="center"/>
          </w:tcPr>
          <w:p w14:paraId="7D320F7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35AB972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2.20E-03</w:t>
            </w:r>
          </w:p>
        </w:tc>
        <w:tc>
          <w:tcPr>
            <w:tcW w:w="874" w:type="dxa"/>
            <w:noWrap w:val="0"/>
            <w:vAlign w:val="center"/>
          </w:tcPr>
          <w:p w14:paraId="4BEEF00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2210C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06D6861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600</w:t>
            </w:r>
          </w:p>
        </w:tc>
        <w:tc>
          <w:tcPr>
            <w:tcW w:w="780" w:type="dxa"/>
            <w:noWrap w:val="0"/>
            <w:vAlign w:val="center"/>
          </w:tcPr>
          <w:p w14:paraId="1F12D76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1.42E-03</w:t>
            </w:r>
          </w:p>
        </w:tc>
        <w:tc>
          <w:tcPr>
            <w:tcW w:w="881" w:type="dxa"/>
            <w:noWrap w:val="0"/>
            <w:vAlign w:val="center"/>
          </w:tcPr>
          <w:p w14:paraId="5CC8160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2.84</w:t>
            </w:r>
          </w:p>
        </w:tc>
        <w:tc>
          <w:tcPr>
            <w:tcW w:w="1125" w:type="dxa"/>
            <w:gridSpan w:val="2"/>
            <w:noWrap w:val="0"/>
            <w:vAlign w:val="center"/>
          </w:tcPr>
          <w:p w14:paraId="303DEBF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6.97E-03</w:t>
            </w:r>
          </w:p>
        </w:tc>
        <w:tc>
          <w:tcPr>
            <w:tcW w:w="855" w:type="dxa"/>
            <w:noWrap w:val="0"/>
            <w:vAlign w:val="center"/>
          </w:tcPr>
          <w:p w14:paraId="7C3FD0F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13.94</w:t>
            </w:r>
          </w:p>
        </w:tc>
        <w:tc>
          <w:tcPr>
            <w:tcW w:w="1125" w:type="dxa"/>
            <w:noWrap w:val="0"/>
            <w:vAlign w:val="center"/>
          </w:tcPr>
          <w:p w14:paraId="5E328B2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1.46E-03</w:t>
            </w:r>
          </w:p>
        </w:tc>
        <w:tc>
          <w:tcPr>
            <w:tcW w:w="951" w:type="dxa"/>
            <w:noWrap w:val="0"/>
            <w:vAlign w:val="center"/>
          </w:tcPr>
          <w:p w14:paraId="59A4962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7.29</w:t>
            </w:r>
          </w:p>
        </w:tc>
        <w:tc>
          <w:tcPr>
            <w:tcW w:w="1018" w:type="dxa"/>
            <w:noWrap w:val="0"/>
            <w:vAlign w:val="center"/>
          </w:tcPr>
          <w:p w14:paraId="76DD5A3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7.29E-03</w:t>
            </w:r>
          </w:p>
        </w:tc>
        <w:tc>
          <w:tcPr>
            <w:tcW w:w="855" w:type="dxa"/>
            <w:noWrap w:val="0"/>
            <w:vAlign w:val="center"/>
          </w:tcPr>
          <w:p w14:paraId="75B4ABB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36.46</w:t>
            </w:r>
          </w:p>
        </w:tc>
        <w:tc>
          <w:tcPr>
            <w:tcW w:w="945" w:type="dxa"/>
            <w:noWrap w:val="0"/>
            <w:vAlign w:val="center"/>
          </w:tcPr>
          <w:p w14:paraId="2157759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2.84E-06</w:t>
            </w:r>
          </w:p>
        </w:tc>
        <w:tc>
          <w:tcPr>
            <w:tcW w:w="843" w:type="dxa"/>
            <w:noWrap w:val="0"/>
            <w:vAlign w:val="center"/>
          </w:tcPr>
          <w:p w14:paraId="38217AB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4DCD453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1.42E-05</w:t>
            </w:r>
          </w:p>
        </w:tc>
        <w:tc>
          <w:tcPr>
            <w:tcW w:w="645" w:type="dxa"/>
            <w:noWrap w:val="0"/>
            <w:vAlign w:val="center"/>
          </w:tcPr>
          <w:p w14:paraId="1209812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5F05123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4.46E-04</w:t>
            </w:r>
          </w:p>
        </w:tc>
        <w:tc>
          <w:tcPr>
            <w:tcW w:w="817" w:type="dxa"/>
            <w:noWrap w:val="0"/>
            <w:vAlign w:val="center"/>
          </w:tcPr>
          <w:p w14:paraId="3EC654A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38F2AC9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2.19E-03</w:t>
            </w:r>
          </w:p>
        </w:tc>
        <w:tc>
          <w:tcPr>
            <w:tcW w:w="874" w:type="dxa"/>
            <w:noWrap w:val="0"/>
            <w:vAlign w:val="center"/>
          </w:tcPr>
          <w:p w14:paraId="4CE0E0D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43CEE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3162BBB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625</w:t>
            </w:r>
          </w:p>
        </w:tc>
        <w:tc>
          <w:tcPr>
            <w:tcW w:w="780" w:type="dxa"/>
            <w:noWrap w:val="0"/>
            <w:vAlign w:val="center"/>
          </w:tcPr>
          <w:p w14:paraId="1004CEF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1.41E-03</w:t>
            </w:r>
          </w:p>
        </w:tc>
        <w:tc>
          <w:tcPr>
            <w:tcW w:w="881" w:type="dxa"/>
            <w:noWrap w:val="0"/>
            <w:vAlign w:val="center"/>
          </w:tcPr>
          <w:p w14:paraId="3535591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2.81</w:t>
            </w:r>
          </w:p>
        </w:tc>
        <w:tc>
          <w:tcPr>
            <w:tcW w:w="1125" w:type="dxa"/>
            <w:gridSpan w:val="2"/>
            <w:noWrap w:val="0"/>
            <w:vAlign w:val="center"/>
          </w:tcPr>
          <w:p w14:paraId="67D7E28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6.91E-03</w:t>
            </w:r>
          </w:p>
        </w:tc>
        <w:tc>
          <w:tcPr>
            <w:tcW w:w="855" w:type="dxa"/>
            <w:noWrap w:val="0"/>
            <w:vAlign w:val="center"/>
          </w:tcPr>
          <w:p w14:paraId="53645C2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13.81</w:t>
            </w:r>
          </w:p>
        </w:tc>
        <w:tc>
          <w:tcPr>
            <w:tcW w:w="1125" w:type="dxa"/>
            <w:noWrap w:val="0"/>
            <w:vAlign w:val="center"/>
          </w:tcPr>
          <w:p w14:paraId="47C31D1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1.45E-03</w:t>
            </w:r>
          </w:p>
        </w:tc>
        <w:tc>
          <w:tcPr>
            <w:tcW w:w="951" w:type="dxa"/>
            <w:noWrap w:val="0"/>
            <w:vAlign w:val="center"/>
          </w:tcPr>
          <w:p w14:paraId="1D3AFDD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7.23</w:t>
            </w:r>
          </w:p>
        </w:tc>
        <w:tc>
          <w:tcPr>
            <w:tcW w:w="1018" w:type="dxa"/>
            <w:noWrap w:val="0"/>
            <w:vAlign w:val="center"/>
          </w:tcPr>
          <w:p w14:paraId="115AEBE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7.23E-03</w:t>
            </w:r>
          </w:p>
        </w:tc>
        <w:tc>
          <w:tcPr>
            <w:tcW w:w="855" w:type="dxa"/>
            <w:noWrap w:val="0"/>
            <w:vAlign w:val="center"/>
          </w:tcPr>
          <w:p w14:paraId="5BEAEF9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36.13</w:t>
            </w:r>
          </w:p>
        </w:tc>
        <w:tc>
          <w:tcPr>
            <w:tcW w:w="945" w:type="dxa"/>
            <w:noWrap w:val="0"/>
            <w:vAlign w:val="center"/>
          </w:tcPr>
          <w:p w14:paraId="06A8762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2.81E-06</w:t>
            </w:r>
          </w:p>
        </w:tc>
        <w:tc>
          <w:tcPr>
            <w:tcW w:w="843" w:type="dxa"/>
            <w:noWrap w:val="0"/>
            <w:vAlign w:val="center"/>
          </w:tcPr>
          <w:p w14:paraId="6107236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046053F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1.41E-05</w:t>
            </w:r>
          </w:p>
        </w:tc>
        <w:tc>
          <w:tcPr>
            <w:tcW w:w="645" w:type="dxa"/>
            <w:noWrap w:val="0"/>
            <w:vAlign w:val="center"/>
          </w:tcPr>
          <w:p w14:paraId="2ACE358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16A9B6A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4.42E-04</w:t>
            </w:r>
          </w:p>
        </w:tc>
        <w:tc>
          <w:tcPr>
            <w:tcW w:w="817" w:type="dxa"/>
            <w:noWrap w:val="0"/>
            <w:vAlign w:val="center"/>
          </w:tcPr>
          <w:p w14:paraId="512711B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D83A5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2.17E-03</w:t>
            </w:r>
          </w:p>
        </w:tc>
        <w:tc>
          <w:tcPr>
            <w:tcW w:w="874" w:type="dxa"/>
            <w:noWrap w:val="0"/>
            <w:vAlign w:val="center"/>
          </w:tcPr>
          <w:p w14:paraId="105E82C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4EE68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026A08F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650</w:t>
            </w:r>
          </w:p>
        </w:tc>
        <w:tc>
          <w:tcPr>
            <w:tcW w:w="780" w:type="dxa"/>
            <w:noWrap w:val="0"/>
            <w:vAlign w:val="center"/>
          </w:tcPr>
          <w:p w14:paraId="6A96E56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1.39E-03</w:t>
            </w:r>
          </w:p>
        </w:tc>
        <w:tc>
          <w:tcPr>
            <w:tcW w:w="881" w:type="dxa"/>
            <w:noWrap w:val="0"/>
            <w:vAlign w:val="center"/>
          </w:tcPr>
          <w:p w14:paraId="0F2F770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2.78</w:t>
            </w:r>
          </w:p>
        </w:tc>
        <w:tc>
          <w:tcPr>
            <w:tcW w:w="1125" w:type="dxa"/>
            <w:gridSpan w:val="2"/>
            <w:noWrap w:val="0"/>
            <w:vAlign w:val="center"/>
          </w:tcPr>
          <w:p w14:paraId="13F57E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6.84E-03</w:t>
            </w:r>
          </w:p>
        </w:tc>
        <w:tc>
          <w:tcPr>
            <w:tcW w:w="855" w:type="dxa"/>
            <w:noWrap w:val="0"/>
            <w:vAlign w:val="center"/>
          </w:tcPr>
          <w:p w14:paraId="6CEC340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13.67</w:t>
            </w:r>
          </w:p>
        </w:tc>
        <w:tc>
          <w:tcPr>
            <w:tcW w:w="1125" w:type="dxa"/>
            <w:noWrap w:val="0"/>
            <w:vAlign w:val="center"/>
          </w:tcPr>
          <w:p w14:paraId="3966F68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1.43E-03</w:t>
            </w:r>
          </w:p>
        </w:tc>
        <w:tc>
          <w:tcPr>
            <w:tcW w:w="951" w:type="dxa"/>
            <w:noWrap w:val="0"/>
            <w:vAlign w:val="center"/>
          </w:tcPr>
          <w:p w14:paraId="614A9F4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7.15</w:t>
            </w:r>
          </w:p>
        </w:tc>
        <w:tc>
          <w:tcPr>
            <w:tcW w:w="1018" w:type="dxa"/>
            <w:noWrap w:val="0"/>
            <w:vAlign w:val="center"/>
          </w:tcPr>
          <w:p w14:paraId="00BD707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7.15E-03</w:t>
            </w:r>
          </w:p>
        </w:tc>
        <w:tc>
          <w:tcPr>
            <w:tcW w:w="855" w:type="dxa"/>
            <w:noWrap w:val="0"/>
            <w:vAlign w:val="center"/>
          </w:tcPr>
          <w:p w14:paraId="65B9547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35.77</w:t>
            </w:r>
          </w:p>
        </w:tc>
        <w:tc>
          <w:tcPr>
            <w:tcW w:w="945" w:type="dxa"/>
            <w:noWrap w:val="0"/>
            <w:vAlign w:val="center"/>
          </w:tcPr>
          <w:p w14:paraId="541B6F2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2.78E-06</w:t>
            </w:r>
          </w:p>
        </w:tc>
        <w:tc>
          <w:tcPr>
            <w:tcW w:w="843" w:type="dxa"/>
            <w:noWrap w:val="0"/>
            <w:vAlign w:val="center"/>
          </w:tcPr>
          <w:p w14:paraId="7267DD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50902AD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1.39E-05</w:t>
            </w:r>
          </w:p>
        </w:tc>
        <w:tc>
          <w:tcPr>
            <w:tcW w:w="645" w:type="dxa"/>
            <w:noWrap w:val="0"/>
            <w:vAlign w:val="center"/>
          </w:tcPr>
          <w:p w14:paraId="2C5CF83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11D5304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4.37E-04</w:t>
            </w:r>
          </w:p>
        </w:tc>
        <w:tc>
          <w:tcPr>
            <w:tcW w:w="817" w:type="dxa"/>
            <w:noWrap w:val="0"/>
            <w:vAlign w:val="center"/>
          </w:tcPr>
          <w:p w14:paraId="36865DC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0126257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2.15E-03</w:t>
            </w:r>
          </w:p>
        </w:tc>
        <w:tc>
          <w:tcPr>
            <w:tcW w:w="874" w:type="dxa"/>
            <w:noWrap w:val="0"/>
            <w:vAlign w:val="center"/>
          </w:tcPr>
          <w:p w14:paraId="76AA3E7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272E3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746602D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675</w:t>
            </w:r>
          </w:p>
        </w:tc>
        <w:tc>
          <w:tcPr>
            <w:tcW w:w="780" w:type="dxa"/>
            <w:noWrap w:val="0"/>
            <w:vAlign w:val="center"/>
          </w:tcPr>
          <w:p w14:paraId="0DA7FA9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1.38E-03</w:t>
            </w:r>
          </w:p>
        </w:tc>
        <w:tc>
          <w:tcPr>
            <w:tcW w:w="881" w:type="dxa"/>
            <w:noWrap w:val="0"/>
            <w:vAlign w:val="center"/>
          </w:tcPr>
          <w:p w14:paraId="01EE7AB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2.75</w:t>
            </w:r>
          </w:p>
        </w:tc>
        <w:tc>
          <w:tcPr>
            <w:tcW w:w="1125" w:type="dxa"/>
            <w:gridSpan w:val="2"/>
            <w:noWrap w:val="0"/>
            <w:vAlign w:val="center"/>
          </w:tcPr>
          <w:p w14:paraId="6D8F036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6.76E-03</w:t>
            </w:r>
          </w:p>
        </w:tc>
        <w:tc>
          <w:tcPr>
            <w:tcW w:w="855" w:type="dxa"/>
            <w:noWrap w:val="0"/>
            <w:vAlign w:val="center"/>
          </w:tcPr>
          <w:p w14:paraId="1B0FC89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13.52</w:t>
            </w:r>
          </w:p>
        </w:tc>
        <w:tc>
          <w:tcPr>
            <w:tcW w:w="1125" w:type="dxa"/>
            <w:noWrap w:val="0"/>
            <w:vAlign w:val="center"/>
          </w:tcPr>
          <w:p w14:paraId="0C7200D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1.42E-03</w:t>
            </w:r>
          </w:p>
        </w:tc>
        <w:tc>
          <w:tcPr>
            <w:tcW w:w="951" w:type="dxa"/>
            <w:noWrap w:val="0"/>
            <w:vAlign w:val="center"/>
          </w:tcPr>
          <w:p w14:paraId="269D30F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7.08</w:t>
            </w:r>
          </w:p>
        </w:tc>
        <w:tc>
          <w:tcPr>
            <w:tcW w:w="1018" w:type="dxa"/>
            <w:noWrap w:val="0"/>
            <w:vAlign w:val="center"/>
          </w:tcPr>
          <w:p w14:paraId="7055B1B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7.08E-03</w:t>
            </w:r>
          </w:p>
        </w:tc>
        <w:tc>
          <w:tcPr>
            <w:tcW w:w="855" w:type="dxa"/>
            <w:noWrap w:val="0"/>
            <w:vAlign w:val="center"/>
          </w:tcPr>
          <w:p w14:paraId="4010859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35.38</w:t>
            </w:r>
          </w:p>
        </w:tc>
        <w:tc>
          <w:tcPr>
            <w:tcW w:w="945" w:type="dxa"/>
            <w:noWrap w:val="0"/>
            <w:vAlign w:val="center"/>
          </w:tcPr>
          <w:p w14:paraId="48254F5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2.75E-06</w:t>
            </w:r>
          </w:p>
        </w:tc>
        <w:tc>
          <w:tcPr>
            <w:tcW w:w="843" w:type="dxa"/>
            <w:noWrap w:val="0"/>
            <w:vAlign w:val="center"/>
          </w:tcPr>
          <w:p w14:paraId="1215ED3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156620E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1.38E-05</w:t>
            </w:r>
          </w:p>
        </w:tc>
        <w:tc>
          <w:tcPr>
            <w:tcW w:w="645" w:type="dxa"/>
            <w:noWrap w:val="0"/>
            <w:vAlign w:val="center"/>
          </w:tcPr>
          <w:p w14:paraId="5F9D0A8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CCEF42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4.32E-04</w:t>
            </w:r>
          </w:p>
        </w:tc>
        <w:tc>
          <w:tcPr>
            <w:tcW w:w="817" w:type="dxa"/>
            <w:noWrap w:val="0"/>
            <w:vAlign w:val="center"/>
          </w:tcPr>
          <w:p w14:paraId="5EB6682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17ED35B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2.12E-03</w:t>
            </w:r>
          </w:p>
        </w:tc>
        <w:tc>
          <w:tcPr>
            <w:tcW w:w="874" w:type="dxa"/>
            <w:noWrap w:val="0"/>
            <w:vAlign w:val="center"/>
          </w:tcPr>
          <w:p w14:paraId="3F5D631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17703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4A63F94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700</w:t>
            </w:r>
          </w:p>
        </w:tc>
        <w:tc>
          <w:tcPr>
            <w:tcW w:w="780" w:type="dxa"/>
            <w:noWrap w:val="0"/>
            <w:vAlign w:val="center"/>
          </w:tcPr>
          <w:p w14:paraId="0594A6C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1.36E-03</w:t>
            </w:r>
          </w:p>
        </w:tc>
        <w:tc>
          <w:tcPr>
            <w:tcW w:w="881" w:type="dxa"/>
            <w:noWrap w:val="0"/>
            <w:vAlign w:val="center"/>
          </w:tcPr>
          <w:p w14:paraId="6D87D2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2.72</w:t>
            </w:r>
          </w:p>
        </w:tc>
        <w:tc>
          <w:tcPr>
            <w:tcW w:w="1125" w:type="dxa"/>
            <w:gridSpan w:val="2"/>
            <w:noWrap w:val="0"/>
            <w:vAlign w:val="center"/>
          </w:tcPr>
          <w:p w14:paraId="63F1B08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6.68E-03</w:t>
            </w:r>
          </w:p>
        </w:tc>
        <w:tc>
          <w:tcPr>
            <w:tcW w:w="855" w:type="dxa"/>
            <w:noWrap w:val="0"/>
            <w:vAlign w:val="center"/>
          </w:tcPr>
          <w:p w14:paraId="3A23F46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13.36</w:t>
            </w:r>
          </w:p>
        </w:tc>
        <w:tc>
          <w:tcPr>
            <w:tcW w:w="1125" w:type="dxa"/>
            <w:noWrap w:val="0"/>
            <w:vAlign w:val="center"/>
          </w:tcPr>
          <w:p w14:paraId="3B8A68F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1.40E-03</w:t>
            </w:r>
          </w:p>
        </w:tc>
        <w:tc>
          <w:tcPr>
            <w:tcW w:w="951" w:type="dxa"/>
            <w:noWrap w:val="0"/>
            <w:vAlign w:val="center"/>
          </w:tcPr>
          <w:p w14:paraId="391F49C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6.99</w:t>
            </w:r>
          </w:p>
        </w:tc>
        <w:tc>
          <w:tcPr>
            <w:tcW w:w="1018" w:type="dxa"/>
            <w:noWrap w:val="0"/>
            <w:vAlign w:val="center"/>
          </w:tcPr>
          <w:p w14:paraId="6FA5428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6.99E-03</w:t>
            </w:r>
          </w:p>
        </w:tc>
        <w:tc>
          <w:tcPr>
            <w:tcW w:w="855" w:type="dxa"/>
            <w:noWrap w:val="0"/>
            <w:vAlign w:val="center"/>
          </w:tcPr>
          <w:p w14:paraId="5FA11DE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34.96</w:t>
            </w:r>
          </w:p>
        </w:tc>
        <w:tc>
          <w:tcPr>
            <w:tcW w:w="945" w:type="dxa"/>
            <w:noWrap w:val="0"/>
            <w:vAlign w:val="center"/>
          </w:tcPr>
          <w:p w14:paraId="5313AC0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2.72E-06</w:t>
            </w:r>
          </w:p>
        </w:tc>
        <w:tc>
          <w:tcPr>
            <w:tcW w:w="843" w:type="dxa"/>
            <w:noWrap w:val="0"/>
            <w:vAlign w:val="center"/>
          </w:tcPr>
          <w:p w14:paraId="6C2DC81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602D19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1.36E-05</w:t>
            </w:r>
          </w:p>
        </w:tc>
        <w:tc>
          <w:tcPr>
            <w:tcW w:w="645" w:type="dxa"/>
            <w:noWrap w:val="0"/>
            <w:vAlign w:val="center"/>
          </w:tcPr>
          <w:p w14:paraId="48A11FD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3BA5D21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4.27E-04</w:t>
            </w:r>
          </w:p>
        </w:tc>
        <w:tc>
          <w:tcPr>
            <w:tcW w:w="817" w:type="dxa"/>
            <w:noWrap w:val="0"/>
            <w:vAlign w:val="center"/>
          </w:tcPr>
          <w:p w14:paraId="23E08F3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5F3650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2.10E-03</w:t>
            </w:r>
          </w:p>
        </w:tc>
        <w:tc>
          <w:tcPr>
            <w:tcW w:w="874" w:type="dxa"/>
            <w:noWrap w:val="0"/>
            <w:vAlign w:val="center"/>
          </w:tcPr>
          <w:p w14:paraId="6498960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680FC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0C15D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725</w:t>
            </w:r>
          </w:p>
        </w:tc>
        <w:tc>
          <w:tcPr>
            <w:tcW w:w="780" w:type="dxa"/>
            <w:noWrap w:val="0"/>
            <w:vAlign w:val="center"/>
          </w:tcPr>
          <w:p w14:paraId="2E2CFDE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1.34E-03</w:t>
            </w:r>
          </w:p>
        </w:tc>
        <w:tc>
          <w:tcPr>
            <w:tcW w:w="881" w:type="dxa"/>
            <w:noWrap w:val="0"/>
            <w:vAlign w:val="center"/>
          </w:tcPr>
          <w:p w14:paraId="1F2B284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2.69</w:t>
            </w:r>
          </w:p>
        </w:tc>
        <w:tc>
          <w:tcPr>
            <w:tcW w:w="1125" w:type="dxa"/>
            <w:gridSpan w:val="2"/>
            <w:noWrap w:val="0"/>
            <w:vAlign w:val="center"/>
          </w:tcPr>
          <w:p w14:paraId="4C82518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6.60E-03</w:t>
            </w:r>
          </w:p>
        </w:tc>
        <w:tc>
          <w:tcPr>
            <w:tcW w:w="855" w:type="dxa"/>
            <w:noWrap w:val="0"/>
            <w:vAlign w:val="center"/>
          </w:tcPr>
          <w:p w14:paraId="7966CDA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13.20</w:t>
            </w:r>
          </w:p>
        </w:tc>
        <w:tc>
          <w:tcPr>
            <w:tcW w:w="1125" w:type="dxa"/>
            <w:noWrap w:val="0"/>
            <w:vAlign w:val="center"/>
          </w:tcPr>
          <w:p w14:paraId="0A7D976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1.38E-03</w:t>
            </w:r>
          </w:p>
        </w:tc>
        <w:tc>
          <w:tcPr>
            <w:tcW w:w="951" w:type="dxa"/>
            <w:noWrap w:val="0"/>
            <w:vAlign w:val="center"/>
          </w:tcPr>
          <w:p w14:paraId="254D98E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6.91</w:t>
            </w:r>
          </w:p>
        </w:tc>
        <w:tc>
          <w:tcPr>
            <w:tcW w:w="1018" w:type="dxa"/>
            <w:noWrap w:val="0"/>
            <w:vAlign w:val="center"/>
          </w:tcPr>
          <w:p w14:paraId="13EB441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6.91E-03</w:t>
            </w:r>
          </w:p>
        </w:tc>
        <w:tc>
          <w:tcPr>
            <w:tcW w:w="855" w:type="dxa"/>
            <w:noWrap w:val="0"/>
            <w:vAlign w:val="center"/>
          </w:tcPr>
          <w:p w14:paraId="689C592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34.53</w:t>
            </w:r>
          </w:p>
        </w:tc>
        <w:tc>
          <w:tcPr>
            <w:tcW w:w="945" w:type="dxa"/>
            <w:noWrap w:val="0"/>
            <w:vAlign w:val="center"/>
          </w:tcPr>
          <w:p w14:paraId="691D101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2.69E-06</w:t>
            </w:r>
          </w:p>
        </w:tc>
        <w:tc>
          <w:tcPr>
            <w:tcW w:w="843" w:type="dxa"/>
            <w:noWrap w:val="0"/>
            <w:vAlign w:val="center"/>
          </w:tcPr>
          <w:p w14:paraId="0401917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635D635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1.34E-05</w:t>
            </w:r>
          </w:p>
        </w:tc>
        <w:tc>
          <w:tcPr>
            <w:tcW w:w="645" w:type="dxa"/>
            <w:noWrap w:val="0"/>
            <w:vAlign w:val="center"/>
          </w:tcPr>
          <w:p w14:paraId="37E0479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568D7E8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4.22E-04</w:t>
            </w:r>
          </w:p>
        </w:tc>
        <w:tc>
          <w:tcPr>
            <w:tcW w:w="817" w:type="dxa"/>
            <w:noWrap w:val="0"/>
            <w:vAlign w:val="center"/>
          </w:tcPr>
          <w:p w14:paraId="4C0D7A0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4C5666A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2.07E-03</w:t>
            </w:r>
          </w:p>
        </w:tc>
        <w:tc>
          <w:tcPr>
            <w:tcW w:w="874" w:type="dxa"/>
            <w:noWrap w:val="0"/>
            <w:vAlign w:val="center"/>
          </w:tcPr>
          <w:p w14:paraId="57495A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2B7C2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14CB9FA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750</w:t>
            </w:r>
          </w:p>
        </w:tc>
        <w:tc>
          <w:tcPr>
            <w:tcW w:w="780" w:type="dxa"/>
            <w:noWrap w:val="0"/>
            <w:vAlign w:val="center"/>
          </w:tcPr>
          <w:p w14:paraId="1D32BFD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1.33E-03</w:t>
            </w:r>
          </w:p>
        </w:tc>
        <w:tc>
          <w:tcPr>
            <w:tcW w:w="881" w:type="dxa"/>
            <w:noWrap w:val="0"/>
            <w:vAlign w:val="center"/>
          </w:tcPr>
          <w:p w14:paraId="2B351B5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2.65</w:t>
            </w:r>
          </w:p>
        </w:tc>
        <w:tc>
          <w:tcPr>
            <w:tcW w:w="1125" w:type="dxa"/>
            <w:gridSpan w:val="2"/>
            <w:noWrap w:val="0"/>
            <w:vAlign w:val="center"/>
          </w:tcPr>
          <w:p w14:paraId="66B0E16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6.51E-03</w:t>
            </w:r>
          </w:p>
        </w:tc>
        <w:tc>
          <w:tcPr>
            <w:tcW w:w="855" w:type="dxa"/>
            <w:noWrap w:val="0"/>
            <w:vAlign w:val="center"/>
          </w:tcPr>
          <w:p w14:paraId="59435BF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13.03</w:t>
            </w:r>
          </w:p>
        </w:tc>
        <w:tc>
          <w:tcPr>
            <w:tcW w:w="1125" w:type="dxa"/>
            <w:noWrap w:val="0"/>
            <w:vAlign w:val="center"/>
          </w:tcPr>
          <w:p w14:paraId="6F9E2AE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1.36E-03</w:t>
            </w:r>
          </w:p>
        </w:tc>
        <w:tc>
          <w:tcPr>
            <w:tcW w:w="951" w:type="dxa"/>
            <w:noWrap w:val="0"/>
            <w:vAlign w:val="center"/>
          </w:tcPr>
          <w:p w14:paraId="120AC19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6.82</w:t>
            </w:r>
          </w:p>
        </w:tc>
        <w:tc>
          <w:tcPr>
            <w:tcW w:w="1018" w:type="dxa"/>
            <w:noWrap w:val="0"/>
            <w:vAlign w:val="center"/>
          </w:tcPr>
          <w:p w14:paraId="2047F26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6.82E-03</w:t>
            </w:r>
          </w:p>
        </w:tc>
        <w:tc>
          <w:tcPr>
            <w:tcW w:w="855" w:type="dxa"/>
            <w:noWrap w:val="0"/>
            <w:vAlign w:val="center"/>
          </w:tcPr>
          <w:p w14:paraId="0892FE8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34.09</w:t>
            </w:r>
          </w:p>
        </w:tc>
        <w:tc>
          <w:tcPr>
            <w:tcW w:w="945" w:type="dxa"/>
            <w:noWrap w:val="0"/>
            <w:vAlign w:val="center"/>
          </w:tcPr>
          <w:p w14:paraId="0E7E6F6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2.65E-06</w:t>
            </w:r>
          </w:p>
        </w:tc>
        <w:tc>
          <w:tcPr>
            <w:tcW w:w="843" w:type="dxa"/>
            <w:noWrap w:val="0"/>
            <w:vAlign w:val="center"/>
          </w:tcPr>
          <w:p w14:paraId="2C29C56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0AE2EC3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1.33E-05</w:t>
            </w:r>
          </w:p>
        </w:tc>
        <w:tc>
          <w:tcPr>
            <w:tcW w:w="645" w:type="dxa"/>
            <w:noWrap w:val="0"/>
            <w:vAlign w:val="center"/>
          </w:tcPr>
          <w:p w14:paraId="7C603CE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23082E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4.17E-04</w:t>
            </w:r>
          </w:p>
        </w:tc>
        <w:tc>
          <w:tcPr>
            <w:tcW w:w="817" w:type="dxa"/>
            <w:noWrap w:val="0"/>
            <w:vAlign w:val="center"/>
          </w:tcPr>
          <w:p w14:paraId="5D4EF7F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4FFD89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2.05E-03</w:t>
            </w:r>
          </w:p>
        </w:tc>
        <w:tc>
          <w:tcPr>
            <w:tcW w:w="874" w:type="dxa"/>
            <w:noWrap w:val="0"/>
            <w:vAlign w:val="center"/>
          </w:tcPr>
          <w:p w14:paraId="27A1D11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27D95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414F572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775</w:t>
            </w:r>
          </w:p>
        </w:tc>
        <w:tc>
          <w:tcPr>
            <w:tcW w:w="780" w:type="dxa"/>
            <w:noWrap w:val="0"/>
            <w:vAlign w:val="center"/>
          </w:tcPr>
          <w:p w14:paraId="4086547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1.31E-03</w:t>
            </w:r>
          </w:p>
        </w:tc>
        <w:tc>
          <w:tcPr>
            <w:tcW w:w="881" w:type="dxa"/>
            <w:noWrap w:val="0"/>
            <w:vAlign w:val="center"/>
          </w:tcPr>
          <w:p w14:paraId="1D9B6A5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2.62</w:t>
            </w:r>
          </w:p>
        </w:tc>
        <w:tc>
          <w:tcPr>
            <w:tcW w:w="1125" w:type="dxa"/>
            <w:gridSpan w:val="2"/>
            <w:noWrap w:val="0"/>
            <w:vAlign w:val="center"/>
          </w:tcPr>
          <w:p w14:paraId="0906C67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6.43E-03</w:t>
            </w:r>
          </w:p>
        </w:tc>
        <w:tc>
          <w:tcPr>
            <w:tcW w:w="855" w:type="dxa"/>
            <w:noWrap w:val="0"/>
            <w:vAlign w:val="center"/>
          </w:tcPr>
          <w:p w14:paraId="59820B3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12.86</w:t>
            </w:r>
          </w:p>
        </w:tc>
        <w:tc>
          <w:tcPr>
            <w:tcW w:w="1125" w:type="dxa"/>
            <w:noWrap w:val="0"/>
            <w:vAlign w:val="center"/>
          </w:tcPr>
          <w:p w14:paraId="45493AB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1.35E-03</w:t>
            </w:r>
          </w:p>
        </w:tc>
        <w:tc>
          <w:tcPr>
            <w:tcW w:w="951" w:type="dxa"/>
            <w:noWrap w:val="0"/>
            <w:vAlign w:val="center"/>
          </w:tcPr>
          <w:p w14:paraId="17281FD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6.73</w:t>
            </w:r>
          </w:p>
        </w:tc>
        <w:tc>
          <w:tcPr>
            <w:tcW w:w="1018" w:type="dxa"/>
            <w:noWrap w:val="0"/>
            <w:vAlign w:val="center"/>
          </w:tcPr>
          <w:p w14:paraId="0FD84EF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6.73E-03</w:t>
            </w:r>
          </w:p>
        </w:tc>
        <w:tc>
          <w:tcPr>
            <w:tcW w:w="855" w:type="dxa"/>
            <w:noWrap w:val="0"/>
            <w:vAlign w:val="center"/>
          </w:tcPr>
          <w:p w14:paraId="7A54F09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33.64</w:t>
            </w:r>
          </w:p>
        </w:tc>
        <w:tc>
          <w:tcPr>
            <w:tcW w:w="945" w:type="dxa"/>
            <w:noWrap w:val="0"/>
            <w:vAlign w:val="center"/>
          </w:tcPr>
          <w:p w14:paraId="056BB3F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2.62E-06</w:t>
            </w:r>
          </w:p>
        </w:tc>
        <w:tc>
          <w:tcPr>
            <w:tcW w:w="843" w:type="dxa"/>
            <w:noWrap w:val="0"/>
            <w:vAlign w:val="center"/>
          </w:tcPr>
          <w:p w14:paraId="7BA4211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60FE7F4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1.31E-05</w:t>
            </w:r>
          </w:p>
        </w:tc>
        <w:tc>
          <w:tcPr>
            <w:tcW w:w="645" w:type="dxa"/>
            <w:noWrap w:val="0"/>
            <w:vAlign w:val="center"/>
          </w:tcPr>
          <w:p w14:paraId="5DF12DA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00251D4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4.11E-04</w:t>
            </w:r>
          </w:p>
        </w:tc>
        <w:tc>
          <w:tcPr>
            <w:tcW w:w="817" w:type="dxa"/>
            <w:noWrap w:val="0"/>
            <w:vAlign w:val="center"/>
          </w:tcPr>
          <w:p w14:paraId="5A619B0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69938AA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2.02E-03</w:t>
            </w:r>
          </w:p>
        </w:tc>
        <w:tc>
          <w:tcPr>
            <w:tcW w:w="874" w:type="dxa"/>
            <w:noWrap w:val="0"/>
            <w:vAlign w:val="center"/>
          </w:tcPr>
          <w:p w14:paraId="563F33E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3E35D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2FBDD2E6">
            <w:pPr>
              <w:keepNext w:val="0"/>
              <w:keepLines w:val="0"/>
              <w:widowControl/>
              <w:suppressLineNumbers w:val="0"/>
              <w:ind w:left="0" w:firstLine="0"/>
              <w:jc w:val="center"/>
              <w:rPr>
                <w:rFonts w:hint="eastAsia" w:ascii="Times New Roman" w:hAnsi="Times New Roman" w:eastAsia="宋体" w:cs="Times New Roman"/>
                <w:b/>
                <w:bCs/>
                <w:color w:val="000000"/>
                <w:sz w:val="21"/>
                <w:szCs w:val="21"/>
                <w:vertAlign w:val="baseline"/>
                <w:lang w:val="en-US" w:eastAsia="zh-CN" w:bidi="ar"/>
              </w:rPr>
            </w:pPr>
            <w:r>
              <w:rPr>
                <w:rFonts w:hint="eastAsia" w:ascii="Times New Roman" w:hAnsi="Times New Roman" w:eastAsia="宋体" w:cs="Times New Roman"/>
                <w:b w:val="0"/>
                <w:bCs w:val="0"/>
                <w:color w:val="000000"/>
                <w:sz w:val="21"/>
                <w:szCs w:val="21"/>
                <w:vertAlign w:val="baseline"/>
                <w:lang w:val="en-US" w:eastAsia="zh-CN" w:bidi="ar"/>
              </w:rPr>
              <w:t>800</w:t>
            </w:r>
          </w:p>
        </w:tc>
        <w:tc>
          <w:tcPr>
            <w:tcW w:w="780" w:type="dxa"/>
            <w:noWrap w:val="0"/>
            <w:vAlign w:val="center"/>
          </w:tcPr>
          <w:p w14:paraId="79CB965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1.29E-03</w:t>
            </w:r>
          </w:p>
        </w:tc>
        <w:tc>
          <w:tcPr>
            <w:tcW w:w="881" w:type="dxa"/>
            <w:noWrap w:val="0"/>
            <w:vAlign w:val="center"/>
          </w:tcPr>
          <w:p w14:paraId="3696306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2.58</w:t>
            </w:r>
          </w:p>
        </w:tc>
        <w:tc>
          <w:tcPr>
            <w:tcW w:w="1125" w:type="dxa"/>
            <w:gridSpan w:val="2"/>
            <w:noWrap w:val="0"/>
            <w:vAlign w:val="center"/>
          </w:tcPr>
          <w:p w14:paraId="69ED65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6.34E-03</w:t>
            </w:r>
          </w:p>
        </w:tc>
        <w:tc>
          <w:tcPr>
            <w:tcW w:w="855" w:type="dxa"/>
            <w:noWrap w:val="0"/>
            <w:vAlign w:val="center"/>
          </w:tcPr>
          <w:p w14:paraId="7A4364A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12.69</w:t>
            </w:r>
          </w:p>
        </w:tc>
        <w:tc>
          <w:tcPr>
            <w:tcW w:w="1125" w:type="dxa"/>
            <w:noWrap w:val="0"/>
            <w:vAlign w:val="center"/>
          </w:tcPr>
          <w:p w14:paraId="2412722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1.33E-03</w:t>
            </w:r>
          </w:p>
        </w:tc>
        <w:tc>
          <w:tcPr>
            <w:tcW w:w="951" w:type="dxa"/>
            <w:noWrap w:val="0"/>
            <w:vAlign w:val="center"/>
          </w:tcPr>
          <w:p w14:paraId="25D56D2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6.64</w:t>
            </w:r>
          </w:p>
        </w:tc>
        <w:tc>
          <w:tcPr>
            <w:tcW w:w="1018" w:type="dxa"/>
            <w:noWrap w:val="0"/>
            <w:vAlign w:val="center"/>
          </w:tcPr>
          <w:p w14:paraId="138D459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6.64E-03</w:t>
            </w:r>
          </w:p>
        </w:tc>
        <w:tc>
          <w:tcPr>
            <w:tcW w:w="855" w:type="dxa"/>
            <w:noWrap w:val="0"/>
            <w:vAlign w:val="center"/>
          </w:tcPr>
          <w:p w14:paraId="171A97A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33.19</w:t>
            </w:r>
          </w:p>
        </w:tc>
        <w:tc>
          <w:tcPr>
            <w:tcW w:w="945" w:type="dxa"/>
            <w:noWrap w:val="0"/>
            <w:vAlign w:val="center"/>
          </w:tcPr>
          <w:p w14:paraId="3028B5A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2.58E-06</w:t>
            </w:r>
          </w:p>
        </w:tc>
        <w:tc>
          <w:tcPr>
            <w:tcW w:w="843" w:type="dxa"/>
            <w:noWrap w:val="0"/>
            <w:vAlign w:val="center"/>
          </w:tcPr>
          <w:p w14:paraId="5C5F82E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40E7412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1.29E-05</w:t>
            </w:r>
          </w:p>
        </w:tc>
        <w:tc>
          <w:tcPr>
            <w:tcW w:w="645" w:type="dxa"/>
            <w:noWrap w:val="0"/>
            <w:vAlign w:val="center"/>
          </w:tcPr>
          <w:p w14:paraId="118D411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6EC6170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4.06E-04</w:t>
            </w:r>
          </w:p>
        </w:tc>
        <w:tc>
          <w:tcPr>
            <w:tcW w:w="817" w:type="dxa"/>
            <w:noWrap w:val="0"/>
            <w:vAlign w:val="center"/>
          </w:tcPr>
          <w:p w14:paraId="17EFA97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63CEDCA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1.99E-03</w:t>
            </w:r>
          </w:p>
        </w:tc>
        <w:tc>
          <w:tcPr>
            <w:tcW w:w="874" w:type="dxa"/>
            <w:noWrap w:val="0"/>
            <w:vAlign w:val="center"/>
          </w:tcPr>
          <w:p w14:paraId="14F0200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12AF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3FF8071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825</w:t>
            </w:r>
          </w:p>
        </w:tc>
        <w:tc>
          <w:tcPr>
            <w:tcW w:w="780" w:type="dxa"/>
            <w:noWrap w:val="0"/>
            <w:vAlign w:val="center"/>
          </w:tcPr>
          <w:p w14:paraId="27B13D6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1.27E-03</w:t>
            </w:r>
          </w:p>
        </w:tc>
        <w:tc>
          <w:tcPr>
            <w:tcW w:w="881" w:type="dxa"/>
            <w:noWrap w:val="0"/>
            <w:vAlign w:val="center"/>
          </w:tcPr>
          <w:p w14:paraId="2E7D2D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2.55</w:t>
            </w:r>
          </w:p>
        </w:tc>
        <w:tc>
          <w:tcPr>
            <w:tcW w:w="1125" w:type="dxa"/>
            <w:gridSpan w:val="2"/>
            <w:noWrap w:val="0"/>
            <w:vAlign w:val="center"/>
          </w:tcPr>
          <w:p w14:paraId="0CA93CD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6.26E-03</w:t>
            </w:r>
          </w:p>
        </w:tc>
        <w:tc>
          <w:tcPr>
            <w:tcW w:w="855" w:type="dxa"/>
            <w:noWrap w:val="0"/>
            <w:vAlign w:val="center"/>
          </w:tcPr>
          <w:p w14:paraId="0D88FF8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12.51</w:t>
            </w:r>
          </w:p>
        </w:tc>
        <w:tc>
          <w:tcPr>
            <w:tcW w:w="1125" w:type="dxa"/>
            <w:noWrap w:val="0"/>
            <w:vAlign w:val="center"/>
          </w:tcPr>
          <w:p w14:paraId="34ACDCC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1.31E-03</w:t>
            </w:r>
          </w:p>
        </w:tc>
        <w:tc>
          <w:tcPr>
            <w:tcW w:w="951" w:type="dxa"/>
            <w:noWrap w:val="0"/>
            <w:vAlign w:val="center"/>
          </w:tcPr>
          <w:p w14:paraId="0FBE977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6.55</w:t>
            </w:r>
          </w:p>
        </w:tc>
        <w:tc>
          <w:tcPr>
            <w:tcW w:w="1018" w:type="dxa"/>
            <w:noWrap w:val="0"/>
            <w:vAlign w:val="center"/>
          </w:tcPr>
          <w:p w14:paraId="01471FB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6.55E-03</w:t>
            </w:r>
          </w:p>
        </w:tc>
        <w:tc>
          <w:tcPr>
            <w:tcW w:w="855" w:type="dxa"/>
            <w:noWrap w:val="0"/>
            <w:vAlign w:val="center"/>
          </w:tcPr>
          <w:p w14:paraId="7A85179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32.74</w:t>
            </w:r>
          </w:p>
        </w:tc>
        <w:tc>
          <w:tcPr>
            <w:tcW w:w="945" w:type="dxa"/>
            <w:noWrap w:val="0"/>
            <w:vAlign w:val="center"/>
          </w:tcPr>
          <w:p w14:paraId="3C48F61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2.55E-06</w:t>
            </w:r>
          </w:p>
        </w:tc>
        <w:tc>
          <w:tcPr>
            <w:tcW w:w="843" w:type="dxa"/>
            <w:noWrap w:val="0"/>
            <w:vAlign w:val="center"/>
          </w:tcPr>
          <w:p w14:paraId="77D4AFF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48DA3B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1.27E-05</w:t>
            </w:r>
          </w:p>
        </w:tc>
        <w:tc>
          <w:tcPr>
            <w:tcW w:w="645" w:type="dxa"/>
            <w:noWrap w:val="0"/>
            <w:vAlign w:val="center"/>
          </w:tcPr>
          <w:p w14:paraId="014CC08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22950FD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4.00E-04</w:t>
            </w:r>
          </w:p>
        </w:tc>
        <w:tc>
          <w:tcPr>
            <w:tcW w:w="817" w:type="dxa"/>
            <w:noWrap w:val="0"/>
            <w:vAlign w:val="center"/>
          </w:tcPr>
          <w:p w14:paraId="2100D87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9B0E0C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1.96E-03</w:t>
            </w:r>
          </w:p>
        </w:tc>
        <w:tc>
          <w:tcPr>
            <w:tcW w:w="874" w:type="dxa"/>
            <w:noWrap w:val="0"/>
            <w:vAlign w:val="center"/>
          </w:tcPr>
          <w:p w14:paraId="6477C8B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1631D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2397ACD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850</w:t>
            </w:r>
          </w:p>
        </w:tc>
        <w:tc>
          <w:tcPr>
            <w:tcW w:w="780" w:type="dxa"/>
            <w:noWrap w:val="0"/>
            <w:vAlign w:val="center"/>
          </w:tcPr>
          <w:p w14:paraId="45FB9E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1.26E-03</w:t>
            </w:r>
          </w:p>
        </w:tc>
        <w:tc>
          <w:tcPr>
            <w:tcW w:w="881" w:type="dxa"/>
            <w:noWrap w:val="0"/>
            <w:vAlign w:val="center"/>
          </w:tcPr>
          <w:p w14:paraId="5FBA3E8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2.51</w:t>
            </w:r>
          </w:p>
        </w:tc>
        <w:tc>
          <w:tcPr>
            <w:tcW w:w="1125" w:type="dxa"/>
            <w:gridSpan w:val="2"/>
            <w:noWrap w:val="0"/>
            <w:vAlign w:val="center"/>
          </w:tcPr>
          <w:p w14:paraId="647FE79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6.17E-03</w:t>
            </w:r>
          </w:p>
        </w:tc>
        <w:tc>
          <w:tcPr>
            <w:tcW w:w="855" w:type="dxa"/>
            <w:noWrap w:val="0"/>
            <w:vAlign w:val="center"/>
          </w:tcPr>
          <w:p w14:paraId="1C38C89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12.34</w:t>
            </w:r>
          </w:p>
        </w:tc>
        <w:tc>
          <w:tcPr>
            <w:tcW w:w="1125" w:type="dxa"/>
            <w:noWrap w:val="0"/>
            <w:vAlign w:val="center"/>
          </w:tcPr>
          <w:p w14:paraId="6DA19F8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1.29E-03</w:t>
            </w:r>
          </w:p>
        </w:tc>
        <w:tc>
          <w:tcPr>
            <w:tcW w:w="951" w:type="dxa"/>
            <w:noWrap w:val="0"/>
            <w:vAlign w:val="center"/>
          </w:tcPr>
          <w:p w14:paraId="0245B67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6.46</w:t>
            </w:r>
          </w:p>
        </w:tc>
        <w:tc>
          <w:tcPr>
            <w:tcW w:w="1018" w:type="dxa"/>
            <w:noWrap w:val="0"/>
            <w:vAlign w:val="center"/>
          </w:tcPr>
          <w:p w14:paraId="4ED8189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6.46E-03</w:t>
            </w:r>
          </w:p>
        </w:tc>
        <w:tc>
          <w:tcPr>
            <w:tcW w:w="855" w:type="dxa"/>
            <w:noWrap w:val="0"/>
            <w:vAlign w:val="center"/>
          </w:tcPr>
          <w:p w14:paraId="1BE936F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32.29</w:t>
            </w:r>
          </w:p>
        </w:tc>
        <w:tc>
          <w:tcPr>
            <w:tcW w:w="945" w:type="dxa"/>
            <w:noWrap w:val="0"/>
            <w:vAlign w:val="center"/>
          </w:tcPr>
          <w:p w14:paraId="26223D4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2.51E-06</w:t>
            </w:r>
          </w:p>
        </w:tc>
        <w:tc>
          <w:tcPr>
            <w:tcW w:w="843" w:type="dxa"/>
            <w:noWrap w:val="0"/>
            <w:vAlign w:val="center"/>
          </w:tcPr>
          <w:p w14:paraId="1C85F29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687D62B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1.26E-05</w:t>
            </w:r>
          </w:p>
        </w:tc>
        <w:tc>
          <w:tcPr>
            <w:tcW w:w="645" w:type="dxa"/>
            <w:noWrap w:val="0"/>
            <w:vAlign w:val="center"/>
          </w:tcPr>
          <w:p w14:paraId="3FE0A69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603DDFD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3.95E-04</w:t>
            </w:r>
          </w:p>
        </w:tc>
        <w:tc>
          <w:tcPr>
            <w:tcW w:w="817" w:type="dxa"/>
            <w:noWrap w:val="0"/>
            <w:vAlign w:val="center"/>
          </w:tcPr>
          <w:p w14:paraId="5BB6AF3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526C78E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1.94E-03</w:t>
            </w:r>
          </w:p>
        </w:tc>
        <w:tc>
          <w:tcPr>
            <w:tcW w:w="874" w:type="dxa"/>
            <w:noWrap w:val="0"/>
            <w:vAlign w:val="center"/>
          </w:tcPr>
          <w:p w14:paraId="550AB36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1C6BB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EBE1CF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875</w:t>
            </w:r>
          </w:p>
        </w:tc>
        <w:tc>
          <w:tcPr>
            <w:tcW w:w="780" w:type="dxa"/>
            <w:noWrap w:val="0"/>
            <w:vAlign w:val="center"/>
          </w:tcPr>
          <w:p w14:paraId="08D661B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1.24E-03</w:t>
            </w:r>
          </w:p>
        </w:tc>
        <w:tc>
          <w:tcPr>
            <w:tcW w:w="881" w:type="dxa"/>
            <w:noWrap w:val="0"/>
            <w:vAlign w:val="center"/>
          </w:tcPr>
          <w:p w14:paraId="3E7630A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2.48</w:t>
            </w:r>
          </w:p>
        </w:tc>
        <w:tc>
          <w:tcPr>
            <w:tcW w:w="1125" w:type="dxa"/>
            <w:gridSpan w:val="2"/>
            <w:noWrap w:val="0"/>
            <w:vAlign w:val="center"/>
          </w:tcPr>
          <w:p w14:paraId="7C6D8A2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6.08E-03</w:t>
            </w:r>
          </w:p>
        </w:tc>
        <w:tc>
          <w:tcPr>
            <w:tcW w:w="855" w:type="dxa"/>
            <w:noWrap w:val="0"/>
            <w:vAlign w:val="center"/>
          </w:tcPr>
          <w:p w14:paraId="1DBDC7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12.17</w:t>
            </w:r>
          </w:p>
        </w:tc>
        <w:tc>
          <w:tcPr>
            <w:tcW w:w="1125" w:type="dxa"/>
            <w:noWrap w:val="0"/>
            <w:vAlign w:val="center"/>
          </w:tcPr>
          <w:p w14:paraId="31BD98A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1.27E-03</w:t>
            </w:r>
          </w:p>
        </w:tc>
        <w:tc>
          <w:tcPr>
            <w:tcW w:w="951" w:type="dxa"/>
            <w:noWrap w:val="0"/>
            <w:vAlign w:val="center"/>
          </w:tcPr>
          <w:p w14:paraId="63FBA66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6.37</w:t>
            </w:r>
          </w:p>
        </w:tc>
        <w:tc>
          <w:tcPr>
            <w:tcW w:w="1018" w:type="dxa"/>
            <w:noWrap w:val="0"/>
            <w:vAlign w:val="center"/>
          </w:tcPr>
          <w:p w14:paraId="27AA9AE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6.37E-03</w:t>
            </w:r>
          </w:p>
        </w:tc>
        <w:tc>
          <w:tcPr>
            <w:tcW w:w="855" w:type="dxa"/>
            <w:noWrap w:val="0"/>
            <w:vAlign w:val="center"/>
          </w:tcPr>
          <w:p w14:paraId="3E0F56C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31.84</w:t>
            </w:r>
          </w:p>
        </w:tc>
        <w:tc>
          <w:tcPr>
            <w:tcW w:w="945" w:type="dxa"/>
            <w:noWrap w:val="0"/>
            <w:vAlign w:val="center"/>
          </w:tcPr>
          <w:p w14:paraId="148ECAE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2.48E-06</w:t>
            </w:r>
          </w:p>
        </w:tc>
        <w:tc>
          <w:tcPr>
            <w:tcW w:w="843" w:type="dxa"/>
            <w:noWrap w:val="0"/>
            <w:vAlign w:val="center"/>
          </w:tcPr>
          <w:p w14:paraId="126B78D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0FF4CE7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1.24E-05</w:t>
            </w:r>
          </w:p>
        </w:tc>
        <w:tc>
          <w:tcPr>
            <w:tcW w:w="645" w:type="dxa"/>
            <w:noWrap w:val="0"/>
            <w:vAlign w:val="center"/>
          </w:tcPr>
          <w:p w14:paraId="2BF9124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3E33121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3.89E-04</w:t>
            </w:r>
          </w:p>
        </w:tc>
        <w:tc>
          <w:tcPr>
            <w:tcW w:w="817" w:type="dxa"/>
            <w:noWrap w:val="0"/>
            <w:vAlign w:val="center"/>
          </w:tcPr>
          <w:p w14:paraId="7B4AD3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44E57BD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1.91E-03</w:t>
            </w:r>
          </w:p>
        </w:tc>
        <w:tc>
          <w:tcPr>
            <w:tcW w:w="874" w:type="dxa"/>
            <w:noWrap w:val="0"/>
            <w:vAlign w:val="center"/>
          </w:tcPr>
          <w:p w14:paraId="5F05875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0.10</w:t>
            </w:r>
          </w:p>
        </w:tc>
      </w:tr>
      <w:tr w14:paraId="28477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38CF548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900</w:t>
            </w:r>
          </w:p>
        </w:tc>
        <w:tc>
          <w:tcPr>
            <w:tcW w:w="780" w:type="dxa"/>
            <w:noWrap w:val="0"/>
            <w:vAlign w:val="center"/>
          </w:tcPr>
          <w:p w14:paraId="288237B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1.22E-03</w:t>
            </w:r>
          </w:p>
        </w:tc>
        <w:tc>
          <w:tcPr>
            <w:tcW w:w="881" w:type="dxa"/>
            <w:noWrap w:val="0"/>
            <w:vAlign w:val="center"/>
          </w:tcPr>
          <w:p w14:paraId="7FC6B9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2.44</w:t>
            </w:r>
          </w:p>
        </w:tc>
        <w:tc>
          <w:tcPr>
            <w:tcW w:w="1125" w:type="dxa"/>
            <w:gridSpan w:val="2"/>
            <w:noWrap w:val="0"/>
            <w:vAlign w:val="center"/>
          </w:tcPr>
          <w:p w14:paraId="612762D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6.00E-03</w:t>
            </w:r>
          </w:p>
        </w:tc>
        <w:tc>
          <w:tcPr>
            <w:tcW w:w="855" w:type="dxa"/>
            <w:noWrap w:val="0"/>
            <w:vAlign w:val="center"/>
          </w:tcPr>
          <w:p w14:paraId="63C9CAD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12.00</w:t>
            </w:r>
          </w:p>
        </w:tc>
        <w:tc>
          <w:tcPr>
            <w:tcW w:w="1125" w:type="dxa"/>
            <w:noWrap w:val="0"/>
            <w:vAlign w:val="center"/>
          </w:tcPr>
          <w:p w14:paraId="7B58FAA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1.26E-03</w:t>
            </w:r>
          </w:p>
        </w:tc>
        <w:tc>
          <w:tcPr>
            <w:tcW w:w="951" w:type="dxa"/>
            <w:noWrap w:val="0"/>
            <w:vAlign w:val="center"/>
          </w:tcPr>
          <w:p w14:paraId="787B54A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6.28</w:t>
            </w:r>
          </w:p>
        </w:tc>
        <w:tc>
          <w:tcPr>
            <w:tcW w:w="1018" w:type="dxa"/>
            <w:noWrap w:val="0"/>
            <w:vAlign w:val="center"/>
          </w:tcPr>
          <w:p w14:paraId="7F7E70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6.28E-03</w:t>
            </w:r>
          </w:p>
        </w:tc>
        <w:tc>
          <w:tcPr>
            <w:tcW w:w="855" w:type="dxa"/>
            <w:noWrap w:val="0"/>
            <w:vAlign w:val="center"/>
          </w:tcPr>
          <w:p w14:paraId="551E407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31.39</w:t>
            </w:r>
          </w:p>
        </w:tc>
        <w:tc>
          <w:tcPr>
            <w:tcW w:w="945" w:type="dxa"/>
            <w:noWrap w:val="0"/>
            <w:vAlign w:val="center"/>
          </w:tcPr>
          <w:p w14:paraId="346E258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2.44E-06</w:t>
            </w:r>
          </w:p>
        </w:tc>
        <w:tc>
          <w:tcPr>
            <w:tcW w:w="843" w:type="dxa"/>
            <w:noWrap w:val="0"/>
            <w:vAlign w:val="center"/>
          </w:tcPr>
          <w:p w14:paraId="2CDF39A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4D53518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1.22E-05</w:t>
            </w:r>
          </w:p>
        </w:tc>
        <w:tc>
          <w:tcPr>
            <w:tcW w:w="645" w:type="dxa"/>
            <w:noWrap w:val="0"/>
            <w:vAlign w:val="center"/>
          </w:tcPr>
          <w:p w14:paraId="1181491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06870D0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3.84E-04</w:t>
            </w:r>
          </w:p>
        </w:tc>
        <w:tc>
          <w:tcPr>
            <w:tcW w:w="817" w:type="dxa"/>
            <w:noWrap w:val="0"/>
            <w:vAlign w:val="center"/>
          </w:tcPr>
          <w:p w14:paraId="000ABB0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19A60C0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1.88E-03</w:t>
            </w:r>
          </w:p>
        </w:tc>
        <w:tc>
          <w:tcPr>
            <w:tcW w:w="874" w:type="dxa"/>
            <w:noWrap w:val="0"/>
            <w:vAlign w:val="center"/>
          </w:tcPr>
          <w:p w14:paraId="68A6A2E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0.09</w:t>
            </w:r>
          </w:p>
        </w:tc>
      </w:tr>
      <w:tr w14:paraId="26BAD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63206E5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925</w:t>
            </w:r>
          </w:p>
        </w:tc>
        <w:tc>
          <w:tcPr>
            <w:tcW w:w="780" w:type="dxa"/>
            <w:noWrap w:val="0"/>
            <w:vAlign w:val="center"/>
          </w:tcPr>
          <w:p w14:paraId="5B82ADC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1.20E-03</w:t>
            </w:r>
          </w:p>
        </w:tc>
        <w:tc>
          <w:tcPr>
            <w:tcW w:w="881" w:type="dxa"/>
            <w:noWrap w:val="0"/>
            <w:vAlign w:val="center"/>
          </w:tcPr>
          <w:p w14:paraId="5781D5C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2.41</w:t>
            </w:r>
          </w:p>
        </w:tc>
        <w:tc>
          <w:tcPr>
            <w:tcW w:w="1125" w:type="dxa"/>
            <w:gridSpan w:val="2"/>
            <w:noWrap w:val="0"/>
            <w:vAlign w:val="center"/>
          </w:tcPr>
          <w:p w14:paraId="2515D95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5.92E-03</w:t>
            </w:r>
          </w:p>
        </w:tc>
        <w:tc>
          <w:tcPr>
            <w:tcW w:w="855" w:type="dxa"/>
            <w:noWrap w:val="0"/>
            <w:vAlign w:val="center"/>
          </w:tcPr>
          <w:p w14:paraId="5C58459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11.83</w:t>
            </w:r>
          </w:p>
        </w:tc>
        <w:tc>
          <w:tcPr>
            <w:tcW w:w="1125" w:type="dxa"/>
            <w:noWrap w:val="0"/>
            <w:vAlign w:val="center"/>
          </w:tcPr>
          <w:p w14:paraId="2B6EA74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1.24E-03</w:t>
            </w:r>
          </w:p>
        </w:tc>
        <w:tc>
          <w:tcPr>
            <w:tcW w:w="951" w:type="dxa"/>
            <w:noWrap w:val="0"/>
            <w:vAlign w:val="center"/>
          </w:tcPr>
          <w:p w14:paraId="6F7B433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6.19</w:t>
            </w:r>
          </w:p>
        </w:tc>
        <w:tc>
          <w:tcPr>
            <w:tcW w:w="1018" w:type="dxa"/>
            <w:noWrap w:val="0"/>
            <w:vAlign w:val="center"/>
          </w:tcPr>
          <w:p w14:paraId="6F1ADB5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6.19E-03</w:t>
            </w:r>
          </w:p>
        </w:tc>
        <w:tc>
          <w:tcPr>
            <w:tcW w:w="855" w:type="dxa"/>
            <w:noWrap w:val="0"/>
            <w:vAlign w:val="center"/>
          </w:tcPr>
          <w:p w14:paraId="4C22BD0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30.95</w:t>
            </w:r>
          </w:p>
        </w:tc>
        <w:tc>
          <w:tcPr>
            <w:tcW w:w="945" w:type="dxa"/>
            <w:noWrap w:val="0"/>
            <w:vAlign w:val="center"/>
          </w:tcPr>
          <w:p w14:paraId="48C8311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2.41E-06</w:t>
            </w:r>
          </w:p>
        </w:tc>
        <w:tc>
          <w:tcPr>
            <w:tcW w:w="843" w:type="dxa"/>
            <w:noWrap w:val="0"/>
            <w:vAlign w:val="center"/>
          </w:tcPr>
          <w:p w14:paraId="283858E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21DCE8E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1.20E-05</w:t>
            </w:r>
          </w:p>
        </w:tc>
        <w:tc>
          <w:tcPr>
            <w:tcW w:w="645" w:type="dxa"/>
            <w:noWrap w:val="0"/>
            <w:vAlign w:val="center"/>
          </w:tcPr>
          <w:p w14:paraId="4B9CCF3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6846717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3.78E-04</w:t>
            </w:r>
          </w:p>
        </w:tc>
        <w:tc>
          <w:tcPr>
            <w:tcW w:w="817" w:type="dxa"/>
            <w:noWrap w:val="0"/>
            <w:vAlign w:val="center"/>
          </w:tcPr>
          <w:p w14:paraId="6D53435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19CDD4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1.86E-03</w:t>
            </w:r>
          </w:p>
        </w:tc>
        <w:tc>
          <w:tcPr>
            <w:tcW w:w="874" w:type="dxa"/>
            <w:noWrap w:val="0"/>
            <w:vAlign w:val="center"/>
          </w:tcPr>
          <w:p w14:paraId="283D678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0.09</w:t>
            </w:r>
          </w:p>
        </w:tc>
      </w:tr>
      <w:tr w14:paraId="51C14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7262F1C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950</w:t>
            </w:r>
          </w:p>
        </w:tc>
        <w:tc>
          <w:tcPr>
            <w:tcW w:w="780" w:type="dxa"/>
            <w:noWrap w:val="0"/>
            <w:vAlign w:val="center"/>
          </w:tcPr>
          <w:p w14:paraId="072123A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1.19E-03</w:t>
            </w:r>
          </w:p>
        </w:tc>
        <w:tc>
          <w:tcPr>
            <w:tcW w:w="881" w:type="dxa"/>
            <w:noWrap w:val="0"/>
            <w:vAlign w:val="center"/>
          </w:tcPr>
          <w:p w14:paraId="42895A6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2.37</w:t>
            </w:r>
          </w:p>
        </w:tc>
        <w:tc>
          <w:tcPr>
            <w:tcW w:w="1125" w:type="dxa"/>
            <w:gridSpan w:val="2"/>
            <w:noWrap w:val="0"/>
            <w:vAlign w:val="center"/>
          </w:tcPr>
          <w:p w14:paraId="2ECECE6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5.83E-03</w:t>
            </w:r>
          </w:p>
        </w:tc>
        <w:tc>
          <w:tcPr>
            <w:tcW w:w="855" w:type="dxa"/>
            <w:noWrap w:val="0"/>
            <w:vAlign w:val="center"/>
          </w:tcPr>
          <w:p w14:paraId="670C21F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11.67</w:t>
            </w:r>
          </w:p>
        </w:tc>
        <w:tc>
          <w:tcPr>
            <w:tcW w:w="1125" w:type="dxa"/>
            <w:noWrap w:val="0"/>
            <w:vAlign w:val="center"/>
          </w:tcPr>
          <w:p w14:paraId="238FEE8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1.22E-03</w:t>
            </w:r>
          </w:p>
        </w:tc>
        <w:tc>
          <w:tcPr>
            <w:tcW w:w="951" w:type="dxa"/>
            <w:noWrap w:val="0"/>
            <w:vAlign w:val="center"/>
          </w:tcPr>
          <w:p w14:paraId="07A53DF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6.10</w:t>
            </w:r>
          </w:p>
        </w:tc>
        <w:tc>
          <w:tcPr>
            <w:tcW w:w="1018" w:type="dxa"/>
            <w:noWrap w:val="0"/>
            <w:vAlign w:val="center"/>
          </w:tcPr>
          <w:p w14:paraId="4D59EA8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6.10E-03</w:t>
            </w:r>
          </w:p>
        </w:tc>
        <w:tc>
          <w:tcPr>
            <w:tcW w:w="855" w:type="dxa"/>
            <w:noWrap w:val="0"/>
            <w:vAlign w:val="center"/>
          </w:tcPr>
          <w:p w14:paraId="1F78F12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30.52</w:t>
            </w:r>
          </w:p>
        </w:tc>
        <w:tc>
          <w:tcPr>
            <w:tcW w:w="945" w:type="dxa"/>
            <w:noWrap w:val="0"/>
            <w:vAlign w:val="center"/>
          </w:tcPr>
          <w:p w14:paraId="04A46FD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2.37E-06</w:t>
            </w:r>
          </w:p>
        </w:tc>
        <w:tc>
          <w:tcPr>
            <w:tcW w:w="843" w:type="dxa"/>
            <w:noWrap w:val="0"/>
            <w:vAlign w:val="center"/>
          </w:tcPr>
          <w:p w14:paraId="5D9A0B4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09CDAB5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1.19E-05</w:t>
            </w:r>
          </w:p>
        </w:tc>
        <w:tc>
          <w:tcPr>
            <w:tcW w:w="645" w:type="dxa"/>
            <w:noWrap w:val="0"/>
            <w:vAlign w:val="center"/>
          </w:tcPr>
          <w:p w14:paraId="0BB87B6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71ECAAB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3.73E-04</w:t>
            </w:r>
          </w:p>
        </w:tc>
        <w:tc>
          <w:tcPr>
            <w:tcW w:w="817" w:type="dxa"/>
            <w:noWrap w:val="0"/>
            <w:vAlign w:val="center"/>
          </w:tcPr>
          <w:p w14:paraId="7904554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78D473D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1.83E-03</w:t>
            </w:r>
          </w:p>
        </w:tc>
        <w:tc>
          <w:tcPr>
            <w:tcW w:w="874" w:type="dxa"/>
            <w:noWrap w:val="0"/>
            <w:vAlign w:val="center"/>
          </w:tcPr>
          <w:p w14:paraId="24E8A34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0.09</w:t>
            </w:r>
          </w:p>
        </w:tc>
      </w:tr>
      <w:tr w14:paraId="738FE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570F541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975</w:t>
            </w:r>
          </w:p>
        </w:tc>
        <w:tc>
          <w:tcPr>
            <w:tcW w:w="780" w:type="dxa"/>
            <w:noWrap w:val="0"/>
            <w:vAlign w:val="center"/>
          </w:tcPr>
          <w:p w14:paraId="7A58C17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1.17E-03</w:t>
            </w:r>
          </w:p>
        </w:tc>
        <w:tc>
          <w:tcPr>
            <w:tcW w:w="881" w:type="dxa"/>
            <w:noWrap w:val="0"/>
            <w:vAlign w:val="center"/>
          </w:tcPr>
          <w:p w14:paraId="1F64E70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2.34</w:t>
            </w:r>
          </w:p>
        </w:tc>
        <w:tc>
          <w:tcPr>
            <w:tcW w:w="1125" w:type="dxa"/>
            <w:gridSpan w:val="2"/>
            <w:noWrap w:val="0"/>
            <w:vAlign w:val="center"/>
          </w:tcPr>
          <w:p w14:paraId="74108B8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5.75E-03</w:t>
            </w:r>
          </w:p>
        </w:tc>
        <w:tc>
          <w:tcPr>
            <w:tcW w:w="855" w:type="dxa"/>
            <w:noWrap w:val="0"/>
            <w:vAlign w:val="center"/>
          </w:tcPr>
          <w:p w14:paraId="5B0A937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11.50</w:t>
            </w:r>
          </w:p>
        </w:tc>
        <w:tc>
          <w:tcPr>
            <w:tcW w:w="1125" w:type="dxa"/>
            <w:noWrap w:val="0"/>
            <w:vAlign w:val="center"/>
          </w:tcPr>
          <w:p w14:paraId="3FC3594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1.20E-03</w:t>
            </w:r>
          </w:p>
        </w:tc>
        <w:tc>
          <w:tcPr>
            <w:tcW w:w="951" w:type="dxa"/>
            <w:noWrap w:val="0"/>
            <w:vAlign w:val="center"/>
          </w:tcPr>
          <w:p w14:paraId="467BA1D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6.02</w:t>
            </w:r>
          </w:p>
        </w:tc>
        <w:tc>
          <w:tcPr>
            <w:tcW w:w="1018" w:type="dxa"/>
            <w:noWrap w:val="0"/>
            <w:vAlign w:val="center"/>
          </w:tcPr>
          <w:p w14:paraId="04B05F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6.02E-03</w:t>
            </w:r>
          </w:p>
        </w:tc>
        <w:tc>
          <w:tcPr>
            <w:tcW w:w="855" w:type="dxa"/>
            <w:noWrap w:val="0"/>
            <w:vAlign w:val="center"/>
          </w:tcPr>
          <w:p w14:paraId="79CC870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30.09</w:t>
            </w:r>
          </w:p>
        </w:tc>
        <w:tc>
          <w:tcPr>
            <w:tcW w:w="945" w:type="dxa"/>
            <w:noWrap w:val="0"/>
            <w:vAlign w:val="center"/>
          </w:tcPr>
          <w:p w14:paraId="779E03B4">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2.34E-06</w:t>
            </w:r>
          </w:p>
        </w:tc>
        <w:tc>
          <w:tcPr>
            <w:tcW w:w="843" w:type="dxa"/>
            <w:noWrap w:val="0"/>
            <w:vAlign w:val="center"/>
          </w:tcPr>
          <w:p w14:paraId="454A379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A5717E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1.17E-05</w:t>
            </w:r>
          </w:p>
        </w:tc>
        <w:tc>
          <w:tcPr>
            <w:tcW w:w="645" w:type="dxa"/>
            <w:noWrap w:val="0"/>
            <w:vAlign w:val="center"/>
          </w:tcPr>
          <w:p w14:paraId="245F2A2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3684D53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3.68E-04</w:t>
            </w:r>
          </w:p>
        </w:tc>
        <w:tc>
          <w:tcPr>
            <w:tcW w:w="817" w:type="dxa"/>
            <w:noWrap w:val="0"/>
            <w:vAlign w:val="center"/>
          </w:tcPr>
          <w:p w14:paraId="07B5F31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35049E3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1.81E-03</w:t>
            </w:r>
          </w:p>
        </w:tc>
        <w:tc>
          <w:tcPr>
            <w:tcW w:w="874" w:type="dxa"/>
            <w:noWrap w:val="0"/>
            <w:vAlign w:val="center"/>
          </w:tcPr>
          <w:p w14:paraId="5DA92C7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0.09</w:t>
            </w:r>
          </w:p>
        </w:tc>
      </w:tr>
      <w:tr w14:paraId="664B9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5A83063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1000</w:t>
            </w:r>
          </w:p>
        </w:tc>
        <w:tc>
          <w:tcPr>
            <w:tcW w:w="780" w:type="dxa"/>
            <w:noWrap w:val="0"/>
            <w:vAlign w:val="center"/>
          </w:tcPr>
          <w:p w14:paraId="6F00C2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1.15E-03</w:t>
            </w:r>
          </w:p>
        </w:tc>
        <w:tc>
          <w:tcPr>
            <w:tcW w:w="881" w:type="dxa"/>
            <w:noWrap w:val="0"/>
            <w:vAlign w:val="center"/>
          </w:tcPr>
          <w:p w14:paraId="585004F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2.31</w:t>
            </w:r>
          </w:p>
        </w:tc>
        <w:tc>
          <w:tcPr>
            <w:tcW w:w="1125" w:type="dxa"/>
            <w:gridSpan w:val="2"/>
            <w:noWrap w:val="0"/>
            <w:vAlign w:val="center"/>
          </w:tcPr>
          <w:p w14:paraId="29ED9CE8">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5.67E-03</w:t>
            </w:r>
          </w:p>
        </w:tc>
        <w:tc>
          <w:tcPr>
            <w:tcW w:w="855" w:type="dxa"/>
            <w:noWrap w:val="0"/>
            <w:vAlign w:val="center"/>
          </w:tcPr>
          <w:p w14:paraId="425F678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11.34</w:t>
            </w:r>
          </w:p>
        </w:tc>
        <w:tc>
          <w:tcPr>
            <w:tcW w:w="1125" w:type="dxa"/>
            <w:noWrap w:val="0"/>
            <w:vAlign w:val="center"/>
          </w:tcPr>
          <w:p w14:paraId="335E6DC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1.19E-03</w:t>
            </w:r>
          </w:p>
        </w:tc>
        <w:tc>
          <w:tcPr>
            <w:tcW w:w="951" w:type="dxa"/>
            <w:noWrap w:val="0"/>
            <w:vAlign w:val="center"/>
          </w:tcPr>
          <w:p w14:paraId="2ECE039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5.94</w:t>
            </w:r>
          </w:p>
        </w:tc>
        <w:tc>
          <w:tcPr>
            <w:tcW w:w="1018" w:type="dxa"/>
            <w:noWrap w:val="0"/>
            <w:vAlign w:val="center"/>
          </w:tcPr>
          <w:p w14:paraId="696AED7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5.94E-03</w:t>
            </w:r>
          </w:p>
        </w:tc>
        <w:tc>
          <w:tcPr>
            <w:tcW w:w="855" w:type="dxa"/>
            <w:noWrap w:val="0"/>
            <w:vAlign w:val="center"/>
          </w:tcPr>
          <w:p w14:paraId="1BB199C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29.68</w:t>
            </w:r>
          </w:p>
        </w:tc>
        <w:tc>
          <w:tcPr>
            <w:tcW w:w="945" w:type="dxa"/>
            <w:noWrap w:val="0"/>
            <w:vAlign w:val="center"/>
          </w:tcPr>
          <w:p w14:paraId="73FFF15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2.31E-06</w:t>
            </w:r>
          </w:p>
        </w:tc>
        <w:tc>
          <w:tcPr>
            <w:tcW w:w="843" w:type="dxa"/>
            <w:noWrap w:val="0"/>
            <w:vAlign w:val="center"/>
          </w:tcPr>
          <w:p w14:paraId="3364B69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14B348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1.15E-05</w:t>
            </w:r>
          </w:p>
        </w:tc>
        <w:tc>
          <w:tcPr>
            <w:tcW w:w="645" w:type="dxa"/>
            <w:noWrap w:val="0"/>
            <w:vAlign w:val="center"/>
          </w:tcPr>
          <w:p w14:paraId="15BC1CC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25" w:type="dxa"/>
            <w:noWrap w:val="0"/>
            <w:vAlign w:val="center"/>
          </w:tcPr>
          <w:p w14:paraId="2F6FCD6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3.63E-04</w:t>
            </w:r>
          </w:p>
        </w:tc>
        <w:tc>
          <w:tcPr>
            <w:tcW w:w="817" w:type="dxa"/>
            <w:noWrap w:val="0"/>
            <w:vAlign w:val="center"/>
          </w:tcPr>
          <w:p w14:paraId="0090523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844" w:type="dxa"/>
            <w:gridSpan w:val="2"/>
            <w:noWrap w:val="0"/>
            <w:vAlign w:val="center"/>
          </w:tcPr>
          <w:p w14:paraId="336667D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1.78E-03</w:t>
            </w:r>
          </w:p>
        </w:tc>
        <w:tc>
          <w:tcPr>
            <w:tcW w:w="874" w:type="dxa"/>
            <w:noWrap w:val="0"/>
            <w:vAlign w:val="center"/>
          </w:tcPr>
          <w:p w14:paraId="091ACAF3">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0.09</w:t>
            </w:r>
          </w:p>
        </w:tc>
      </w:tr>
      <w:tr w14:paraId="7CD45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1F1C973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1500</w:t>
            </w:r>
          </w:p>
        </w:tc>
        <w:tc>
          <w:tcPr>
            <w:tcW w:w="780" w:type="dxa"/>
            <w:noWrap w:val="0"/>
            <w:vAlign w:val="center"/>
          </w:tcPr>
          <w:p w14:paraId="7B4FE58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8.94E-04</w:t>
            </w:r>
          </w:p>
        </w:tc>
        <w:tc>
          <w:tcPr>
            <w:tcW w:w="881" w:type="dxa"/>
            <w:noWrap w:val="0"/>
            <w:vAlign w:val="center"/>
          </w:tcPr>
          <w:p w14:paraId="37095E72">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1.79</w:t>
            </w:r>
          </w:p>
        </w:tc>
        <w:tc>
          <w:tcPr>
            <w:tcW w:w="1125" w:type="dxa"/>
            <w:gridSpan w:val="2"/>
            <w:noWrap w:val="0"/>
            <w:vAlign w:val="center"/>
          </w:tcPr>
          <w:p w14:paraId="27A71BA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4.39E-03</w:t>
            </w:r>
          </w:p>
        </w:tc>
        <w:tc>
          <w:tcPr>
            <w:tcW w:w="855" w:type="dxa"/>
            <w:noWrap w:val="0"/>
            <w:vAlign w:val="center"/>
          </w:tcPr>
          <w:p w14:paraId="5590017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8.78</w:t>
            </w:r>
          </w:p>
        </w:tc>
        <w:tc>
          <w:tcPr>
            <w:tcW w:w="1125" w:type="dxa"/>
            <w:noWrap w:val="0"/>
            <w:vAlign w:val="center"/>
          </w:tcPr>
          <w:p w14:paraId="3F9B975D">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9.19E-04</w:t>
            </w:r>
          </w:p>
        </w:tc>
        <w:tc>
          <w:tcPr>
            <w:tcW w:w="951" w:type="dxa"/>
            <w:noWrap w:val="0"/>
            <w:vAlign w:val="center"/>
          </w:tcPr>
          <w:p w14:paraId="0710B98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4.60</w:t>
            </w:r>
          </w:p>
        </w:tc>
        <w:tc>
          <w:tcPr>
            <w:tcW w:w="1018" w:type="dxa"/>
            <w:noWrap w:val="0"/>
            <w:vAlign w:val="center"/>
          </w:tcPr>
          <w:p w14:paraId="5B7709B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4.60E-03</w:t>
            </w:r>
          </w:p>
        </w:tc>
        <w:tc>
          <w:tcPr>
            <w:tcW w:w="855" w:type="dxa"/>
            <w:noWrap w:val="0"/>
            <w:vAlign w:val="center"/>
          </w:tcPr>
          <w:p w14:paraId="54C95C8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ascii="Times New Roman" w:hAnsi="Times New Roman" w:eastAsia="宋体" w:cs="Times New Roman"/>
                <w:color w:val="000000"/>
                <w:sz w:val="21"/>
                <w:szCs w:val="21"/>
                <w:vertAlign w:val="baseline"/>
                <w:lang w:val="en-US" w:eastAsia="zh-CN" w:bidi="ar"/>
              </w:rPr>
              <w:t>22.98</w:t>
            </w:r>
          </w:p>
        </w:tc>
        <w:tc>
          <w:tcPr>
            <w:tcW w:w="945" w:type="dxa"/>
            <w:noWrap w:val="0"/>
            <w:vAlign w:val="center"/>
          </w:tcPr>
          <w:p w14:paraId="7B0FDE27">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1.79E-06</w:t>
            </w:r>
          </w:p>
        </w:tc>
        <w:tc>
          <w:tcPr>
            <w:tcW w:w="843" w:type="dxa"/>
            <w:noWrap w:val="0"/>
            <w:vAlign w:val="center"/>
          </w:tcPr>
          <w:p w14:paraId="28344773">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110FA32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8.94E-06</w:t>
            </w:r>
          </w:p>
        </w:tc>
        <w:tc>
          <w:tcPr>
            <w:tcW w:w="645" w:type="dxa"/>
            <w:noWrap w:val="0"/>
            <w:vAlign w:val="center"/>
          </w:tcPr>
          <w:p w14:paraId="0E1A0D76">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25" w:type="dxa"/>
            <w:noWrap w:val="0"/>
            <w:vAlign w:val="center"/>
          </w:tcPr>
          <w:p w14:paraId="116022D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2.81E-04</w:t>
            </w:r>
          </w:p>
        </w:tc>
        <w:tc>
          <w:tcPr>
            <w:tcW w:w="817" w:type="dxa"/>
            <w:noWrap w:val="0"/>
            <w:vAlign w:val="center"/>
          </w:tcPr>
          <w:p w14:paraId="43C8D28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44" w:type="dxa"/>
            <w:gridSpan w:val="2"/>
            <w:noWrap w:val="0"/>
            <w:vAlign w:val="center"/>
          </w:tcPr>
          <w:p w14:paraId="55C4589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1.38E-03</w:t>
            </w:r>
          </w:p>
        </w:tc>
        <w:tc>
          <w:tcPr>
            <w:tcW w:w="874" w:type="dxa"/>
            <w:noWrap w:val="0"/>
            <w:vAlign w:val="center"/>
          </w:tcPr>
          <w:p w14:paraId="7AA79DF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0.07</w:t>
            </w:r>
          </w:p>
        </w:tc>
      </w:tr>
      <w:tr w14:paraId="2C3A0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75E427E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2000</w:t>
            </w:r>
          </w:p>
        </w:tc>
        <w:tc>
          <w:tcPr>
            <w:tcW w:w="780" w:type="dxa"/>
            <w:noWrap w:val="0"/>
            <w:vAlign w:val="center"/>
          </w:tcPr>
          <w:p w14:paraId="54D64D96">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7.29E-04</w:t>
            </w:r>
          </w:p>
        </w:tc>
        <w:tc>
          <w:tcPr>
            <w:tcW w:w="881" w:type="dxa"/>
            <w:noWrap w:val="0"/>
            <w:vAlign w:val="center"/>
          </w:tcPr>
          <w:p w14:paraId="0C84783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1.46</w:t>
            </w:r>
          </w:p>
        </w:tc>
        <w:tc>
          <w:tcPr>
            <w:tcW w:w="1125" w:type="dxa"/>
            <w:gridSpan w:val="2"/>
            <w:noWrap w:val="0"/>
            <w:vAlign w:val="center"/>
          </w:tcPr>
          <w:p w14:paraId="16969D5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3.58E-03</w:t>
            </w:r>
          </w:p>
        </w:tc>
        <w:tc>
          <w:tcPr>
            <w:tcW w:w="855" w:type="dxa"/>
            <w:noWrap w:val="0"/>
            <w:vAlign w:val="center"/>
          </w:tcPr>
          <w:p w14:paraId="0AE7C22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7.16</w:t>
            </w:r>
          </w:p>
        </w:tc>
        <w:tc>
          <w:tcPr>
            <w:tcW w:w="1125" w:type="dxa"/>
            <w:noWrap w:val="0"/>
            <w:vAlign w:val="center"/>
          </w:tcPr>
          <w:p w14:paraId="3E7DE921">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7.50E-04</w:t>
            </w:r>
          </w:p>
        </w:tc>
        <w:tc>
          <w:tcPr>
            <w:tcW w:w="951" w:type="dxa"/>
            <w:noWrap w:val="0"/>
            <w:vAlign w:val="center"/>
          </w:tcPr>
          <w:p w14:paraId="58A68CA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3.75</w:t>
            </w:r>
          </w:p>
        </w:tc>
        <w:tc>
          <w:tcPr>
            <w:tcW w:w="1018" w:type="dxa"/>
            <w:noWrap w:val="0"/>
            <w:vAlign w:val="center"/>
          </w:tcPr>
          <w:p w14:paraId="5DCD2DC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3.75E-03</w:t>
            </w:r>
          </w:p>
        </w:tc>
        <w:tc>
          <w:tcPr>
            <w:tcW w:w="855" w:type="dxa"/>
            <w:noWrap w:val="0"/>
            <w:vAlign w:val="center"/>
          </w:tcPr>
          <w:p w14:paraId="7C7EE9E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18.74</w:t>
            </w:r>
          </w:p>
        </w:tc>
        <w:tc>
          <w:tcPr>
            <w:tcW w:w="945" w:type="dxa"/>
            <w:noWrap w:val="0"/>
            <w:vAlign w:val="center"/>
          </w:tcPr>
          <w:p w14:paraId="3C451029">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1.46E-06</w:t>
            </w:r>
          </w:p>
        </w:tc>
        <w:tc>
          <w:tcPr>
            <w:tcW w:w="843" w:type="dxa"/>
            <w:noWrap w:val="0"/>
            <w:vAlign w:val="center"/>
          </w:tcPr>
          <w:p w14:paraId="4D1B7F2A">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3CC38D9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7.29E-06</w:t>
            </w:r>
          </w:p>
        </w:tc>
        <w:tc>
          <w:tcPr>
            <w:tcW w:w="645" w:type="dxa"/>
            <w:noWrap w:val="0"/>
            <w:vAlign w:val="center"/>
          </w:tcPr>
          <w:p w14:paraId="6212CD35">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25" w:type="dxa"/>
            <w:noWrap w:val="0"/>
            <w:vAlign w:val="center"/>
          </w:tcPr>
          <w:p w14:paraId="2528E26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2.29E-04</w:t>
            </w:r>
          </w:p>
        </w:tc>
        <w:tc>
          <w:tcPr>
            <w:tcW w:w="817" w:type="dxa"/>
            <w:noWrap w:val="0"/>
            <w:vAlign w:val="center"/>
          </w:tcPr>
          <w:p w14:paraId="3716382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44" w:type="dxa"/>
            <w:gridSpan w:val="2"/>
            <w:noWrap w:val="0"/>
            <w:vAlign w:val="center"/>
          </w:tcPr>
          <w:p w14:paraId="607DAF1F">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1.12E-03</w:t>
            </w:r>
          </w:p>
        </w:tc>
        <w:tc>
          <w:tcPr>
            <w:tcW w:w="874" w:type="dxa"/>
            <w:noWrap w:val="0"/>
            <w:vAlign w:val="center"/>
          </w:tcPr>
          <w:p w14:paraId="31F817D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0.06</w:t>
            </w:r>
          </w:p>
        </w:tc>
      </w:tr>
      <w:tr w14:paraId="5842D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7391C23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2500</w:t>
            </w:r>
          </w:p>
        </w:tc>
        <w:tc>
          <w:tcPr>
            <w:tcW w:w="780" w:type="dxa"/>
            <w:noWrap w:val="0"/>
            <w:vAlign w:val="center"/>
          </w:tcPr>
          <w:p w14:paraId="02A3E75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6.17E-04</w:t>
            </w:r>
          </w:p>
        </w:tc>
        <w:tc>
          <w:tcPr>
            <w:tcW w:w="881" w:type="dxa"/>
            <w:noWrap w:val="0"/>
            <w:vAlign w:val="center"/>
          </w:tcPr>
          <w:p w14:paraId="34134C8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1.23</w:t>
            </w:r>
          </w:p>
        </w:tc>
        <w:tc>
          <w:tcPr>
            <w:tcW w:w="1125" w:type="dxa"/>
            <w:gridSpan w:val="2"/>
            <w:noWrap w:val="0"/>
            <w:vAlign w:val="center"/>
          </w:tcPr>
          <w:p w14:paraId="704522F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3.03E-03</w:t>
            </w:r>
          </w:p>
        </w:tc>
        <w:tc>
          <w:tcPr>
            <w:tcW w:w="855" w:type="dxa"/>
            <w:noWrap w:val="0"/>
            <w:vAlign w:val="center"/>
          </w:tcPr>
          <w:p w14:paraId="22237EF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6.07</w:t>
            </w:r>
          </w:p>
        </w:tc>
        <w:tc>
          <w:tcPr>
            <w:tcW w:w="1125" w:type="dxa"/>
            <w:noWrap w:val="0"/>
            <w:vAlign w:val="center"/>
          </w:tcPr>
          <w:p w14:paraId="41E421C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6.35E-04</w:t>
            </w:r>
          </w:p>
        </w:tc>
        <w:tc>
          <w:tcPr>
            <w:tcW w:w="951" w:type="dxa"/>
            <w:noWrap w:val="0"/>
            <w:vAlign w:val="center"/>
          </w:tcPr>
          <w:p w14:paraId="7485F41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3.18</w:t>
            </w:r>
          </w:p>
        </w:tc>
        <w:tc>
          <w:tcPr>
            <w:tcW w:w="1018" w:type="dxa"/>
            <w:noWrap w:val="0"/>
            <w:vAlign w:val="center"/>
          </w:tcPr>
          <w:p w14:paraId="7A7904BC">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3.18E-03</w:t>
            </w:r>
          </w:p>
        </w:tc>
        <w:tc>
          <w:tcPr>
            <w:tcW w:w="855" w:type="dxa"/>
            <w:noWrap w:val="0"/>
            <w:vAlign w:val="center"/>
          </w:tcPr>
          <w:p w14:paraId="7658D9F3">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15.88</w:t>
            </w:r>
          </w:p>
        </w:tc>
        <w:tc>
          <w:tcPr>
            <w:tcW w:w="945" w:type="dxa"/>
            <w:noWrap w:val="0"/>
            <w:vAlign w:val="center"/>
          </w:tcPr>
          <w:p w14:paraId="2CDCA2E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1.23E-06</w:t>
            </w:r>
          </w:p>
        </w:tc>
        <w:tc>
          <w:tcPr>
            <w:tcW w:w="843" w:type="dxa"/>
            <w:noWrap w:val="0"/>
            <w:vAlign w:val="center"/>
          </w:tcPr>
          <w:p w14:paraId="081D737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781" w:type="dxa"/>
            <w:noWrap w:val="0"/>
            <w:vAlign w:val="center"/>
          </w:tcPr>
          <w:p w14:paraId="42EA03E5">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6.17E-06</w:t>
            </w:r>
          </w:p>
        </w:tc>
        <w:tc>
          <w:tcPr>
            <w:tcW w:w="645" w:type="dxa"/>
            <w:noWrap w:val="0"/>
            <w:vAlign w:val="center"/>
          </w:tcPr>
          <w:p w14:paraId="2C825CC3">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825" w:type="dxa"/>
            <w:noWrap w:val="0"/>
            <w:vAlign w:val="center"/>
          </w:tcPr>
          <w:p w14:paraId="511055C2">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6.17E-04</w:t>
            </w:r>
          </w:p>
        </w:tc>
        <w:tc>
          <w:tcPr>
            <w:tcW w:w="817" w:type="dxa"/>
            <w:noWrap w:val="0"/>
            <w:vAlign w:val="center"/>
          </w:tcPr>
          <w:p w14:paraId="21ED9C6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844" w:type="dxa"/>
            <w:gridSpan w:val="2"/>
            <w:noWrap w:val="0"/>
            <w:vAlign w:val="center"/>
          </w:tcPr>
          <w:p w14:paraId="1245A86B">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9.53E-04</w:t>
            </w:r>
          </w:p>
        </w:tc>
        <w:tc>
          <w:tcPr>
            <w:tcW w:w="874" w:type="dxa"/>
            <w:noWrap w:val="0"/>
            <w:vAlign w:val="center"/>
          </w:tcPr>
          <w:p w14:paraId="4A9EE952">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0.05</w:t>
            </w:r>
          </w:p>
        </w:tc>
      </w:tr>
      <w:tr w14:paraId="2A717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34A159FA">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最大占标距离m</w:t>
            </w:r>
          </w:p>
        </w:tc>
        <w:tc>
          <w:tcPr>
            <w:tcW w:w="1666" w:type="dxa"/>
            <w:gridSpan w:val="3"/>
            <w:noWrap w:val="0"/>
            <w:vAlign w:val="center"/>
          </w:tcPr>
          <w:p w14:paraId="360B8F6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475</w:t>
            </w:r>
          </w:p>
        </w:tc>
        <w:tc>
          <w:tcPr>
            <w:tcW w:w="1975" w:type="dxa"/>
            <w:gridSpan w:val="2"/>
            <w:noWrap w:val="0"/>
            <w:vAlign w:val="center"/>
          </w:tcPr>
          <w:p w14:paraId="173D5F6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500</w:t>
            </w:r>
          </w:p>
        </w:tc>
        <w:tc>
          <w:tcPr>
            <w:tcW w:w="2076" w:type="dxa"/>
            <w:gridSpan w:val="2"/>
            <w:noWrap w:val="0"/>
            <w:vAlign w:val="center"/>
          </w:tcPr>
          <w:p w14:paraId="14991DAE">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500</w:t>
            </w:r>
          </w:p>
        </w:tc>
        <w:tc>
          <w:tcPr>
            <w:tcW w:w="1873" w:type="dxa"/>
            <w:gridSpan w:val="2"/>
            <w:noWrap w:val="0"/>
            <w:vAlign w:val="center"/>
          </w:tcPr>
          <w:p w14:paraId="0103DD4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500</w:t>
            </w:r>
          </w:p>
        </w:tc>
        <w:tc>
          <w:tcPr>
            <w:tcW w:w="1788" w:type="dxa"/>
            <w:gridSpan w:val="2"/>
            <w:noWrap w:val="0"/>
            <w:vAlign w:val="center"/>
          </w:tcPr>
          <w:p w14:paraId="0B6F1FC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475</w:t>
            </w:r>
          </w:p>
        </w:tc>
        <w:tc>
          <w:tcPr>
            <w:tcW w:w="1426" w:type="dxa"/>
            <w:gridSpan w:val="2"/>
            <w:noWrap w:val="0"/>
            <w:vAlign w:val="center"/>
          </w:tcPr>
          <w:p w14:paraId="4FB30ED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475</w:t>
            </w:r>
          </w:p>
        </w:tc>
        <w:tc>
          <w:tcPr>
            <w:tcW w:w="1647" w:type="dxa"/>
            <w:gridSpan w:val="3"/>
            <w:noWrap w:val="0"/>
            <w:vAlign w:val="center"/>
          </w:tcPr>
          <w:p w14:paraId="0CC16EC4">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475</w:t>
            </w:r>
          </w:p>
        </w:tc>
        <w:tc>
          <w:tcPr>
            <w:tcW w:w="1713" w:type="dxa"/>
            <w:gridSpan w:val="2"/>
            <w:noWrap w:val="0"/>
            <w:vAlign w:val="center"/>
          </w:tcPr>
          <w:p w14:paraId="2DBB541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500</w:t>
            </w:r>
          </w:p>
        </w:tc>
      </w:tr>
      <w:tr w14:paraId="7C674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250EE3FE">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最大占标率%</w:t>
            </w:r>
          </w:p>
        </w:tc>
        <w:tc>
          <w:tcPr>
            <w:tcW w:w="1661" w:type="dxa"/>
            <w:gridSpan w:val="2"/>
            <w:noWrap w:val="0"/>
            <w:vAlign w:val="center"/>
          </w:tcPr>
          <w:p w14:paraId="029E344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2.89</w:t>
            </w:r>
          </w:p>
        </w:tc>
        <w:tc>
          <w:tcPr>
            <w:tcW w:w="1980" w:type="dxa"/>
            <w:gridSpan w:val="3"/>
            <w:noWrap w:val="0"/>
            <w:vAlign w:val="center"/>
          </w:tcPr>
          <w:p w14:paraId="0B78D75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14.2</w:t>
            </w:r>
          </w:p>
        </w:tc>
        <w:tc>
          <w:tcPr>
            <w:tcW w:w="2076" w:type="dxa"/>
            <w:gridSpan w:val="2"/>
            <w:noWrap w:val="0"/>
            <w:vAlign w:val="center"/>
          </w:tcPr>
          <w:p w14:paraId="31109F0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7.43</w:t>
            </w:r>
          </w:p>
        </w:tc>
        <w:tc>
          <w:tcPr>
            <w:tcW w:w="1873" w:type="dxa"/>
            <w:gridSpan w:val="2"/>
            <w:noWrap w:val="0"/>
            <w:vAlign w:val="center"/>
          </w:tcPr>
          <w:p w14:paraId="5C8FA49F">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37.6</w:t>
            </w:r>
          </w:p>
        </w:tc>
        <w:tc>
          <w:tcPr>
            <w:tcW w:w="1788" w:type="dxa"/>
            <w:gridSpan w:val="2"/>
            <w:noWrap w:val="0"/>
            <w:vAlign w:val="center"/>
          </w:tcPr>
          <w:p w14:paraId="7436C3C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0.00</w:t>
            </w:r>
          </w:p>
        </w:tc>
        <w:tc>
          <w:tcPr>
            <w:tcW w:w="1426" w:type="dxa"/>
            <w:gridSpan w:val="2"/>
            <w:noWrap w:val="0"/>
            <w:vAlign w:val="center"/>
          </w:tcPr>
          <w:p w14:paraId="3FB3B5D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0.01</w:t>
            </w:r>
          </w:p>
        </w:tc>
        <w:tc>
          <w:tcPr>
            <w:tcW w:w="1647" w:type="dxa"/>
            <w:gridSpan w:val="3"/>
            <w:noWrap w:val="0"/>
            <w:vAlign w:val="center"/>
          </w:tcPr>
          <w:p w14:paraId="4217D05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0.02</w:t>
            </w:r>
          </w:p>
        </w:tc>
        <w:tc>
          <w:tcPr>
            <w:tcW w:w="1713" w:type="dxa"/>
            <w:gridSpan w:val="2"/>
            <w:noWrap w:val="0"/>
            <w:vAlign w:val="center"/>
          </w:tcPr>
          <w:p w14:paraId="75E46F8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0.11</w:t>
            </w:r>
          </w:p>
        </w:tc>
      </w:tr>
      <w:tr w14:paraId="625CD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904" w:type="dxa"/>
            <w:noWrap w:val="0"/>
            <w:vAlign w:val="center"/>
          </w:tcPr>
          <w:p w14:paraId="473DC579">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D10%最远距离m</w:t>
            </w:r>
          </w:p>
        </w:tc>
        <w:tc>
          <w:tcPr>
            <w:tcW w:w="1661" w:type="dxa"/>
            <w:gridSpan w:val="2"/>
            <w:noWrap w:val="0"/>
            <w:vAlign w:val="center"/>
          </w:tcPr>
          <w:p w14:paraId="276F50B7">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w:t>
            </w:r>
          </w:p>
        </w:tc>
        <w:tc>
          <w:tcPr>
            <w:tcW w:w="1980" w:type="dxa"/>
            <w:gridSpan w:val="3"/>
            <w:noWrap w:val="0"/>
            <w:vAlign w:val="center"/>
          </w:tcPr>
          <w:p w14:paraId="07A5010C">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1234</w:t>
            </w:r>
          </w:p>
        </w:tc>
        <w:tc>
          <w:tcPr>
            <w:tcW w:w="2076" w:type="dxa"/>
            <w:gridSpan w:val="2"/>
            <w:noWrap w:val="0"/>
            <w:vAlign w:val="center"/>
          </w:tcPr>
          <w:p w14:paraId="79F7AC40">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w:t>
            </w:r>
          </w:p>
        </w:tc>
        <w:tc>
          <w:tcPr>
            <w:tcW w:w="1873" w:type="dxa"/>
            <w:gridSpan w:val="2"/>
            <w:noWrap w:val="0"/>
            <w:vAlign w:val="center"/>
          </w:tcPr>
          <w:p w14:paraId="4F49A738">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2500</w:t>
            </w:r>
          </w:p>
        </w:tc>
        <w:tc>
          <w:tcPr>
            <w:tcW w:w="1788" w:type="dxa"/>
            <w:gridSpan w:val="2"/>
            <w:noWrap w:val="0"/>
            <w:vAlign w:val="center"/>
          </w:tcPr>
          <w:p w14:paraId="2949B4CB">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w:t>
            </w:r>
          </w:p>
        </w:tc>
        <w:tc>
          <w:tcPr>
            <w:tcW w:w="1426" w:type="dxa"/>
            <w:gridSpan w:val="2"/>
            <w:noWrap w:val="0"/>
            <w:vAlign w:val="center"/>
          </w:tcPr>
          <w:p w14:paraId="7015DD00">
            <w:pPr>
              <w:keepNext w:val="0"/>
              <w:keepLines w:val="0"/>
              <w:widowControl/>
              <w:suppressLineNumbers w:val="0"/>
              <w:ind w:left="0" w:firstLine="0"/>
              <w:jc w:val="center"/>
              <w:rPr>
                <w:rFonts w:hint="eastAsia" w:ascii="Times New Roman" w:hAnsi="Times New Roman" w:eastAsia="宋体" w:cs="Times New Roman"/>
                <w:color w:val="000000"/>
                <w:sz w:val="21"/>
                <w:szCs w:val="21"/>
                <w:vertAlign w:val="baseline"/>
                <w:lang w:val="en-US" w:eastAsia="zh-CN" w:bidi="ar"/>
              </w:rPr>
            </w:pPr>
          </w:p>
        </w:tc>
        <w:tc>
          <w:tcPr>
            <w:tcW w:w="1647" w:type="dxa"/>
            <w:gridSpan w:val="3"/>
            <w:noWrap w:val="0"/>
            <w:vAlign w:val="center"/>
          </w:tcPr>
          <w:p w14:paraId="48C4892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w:t>
            </w:r>
          </w:p>
        </w:tc>
        <w:tc>
          <w:tcPr>
            <w:tcW w:w="1713" w:type="dxa"/>
            <w:gridSpan w:val="2"/>
            <w:noWrap w:val="0"/>
            <w:vAlign w:val="center"/>
          </w:tcPr>
          <w:p w14:paraId="0D9484D1">
            <w:pPr>
              <w:keepNext w:val="0"/>
              <w:keepLines w:val="0"/>
              <w:widowControl/>
              <w:suppressLineNumbers w:val="0"/>
              <w:ind w:left="0" w:firstLine="0"/>
              <w:jc w:val="center"/>
              <w:rPr>
                <w:rFonts w:ascii="Times New Roman" w:hAnsi="Times New Roman" w:eastAsia="宋体" w:cs="Times New Roman"/>
                <w:color w:val="000000"/>
                <w:sz w:val="21"/>
                <w:szCs w:val="21"/>
                <w:vertAlign w:val="baseline"/>
                <w:lang w:val="en-US" w:eastAsia="zh-CN" w:bidi="ar"/>
              </w:rPr>
            </w:pPr>
            <w:r>
              <w:rPr>
                <w:rFonts w:hint="eastAsia" w:ascii="Times New Roman" w:hAnsi="Times New Roman" w:eastAsia="宋体" w:cs="Times New Roman"/>
                <w:color w:val="000000"/>
                <w:sz w:val="21"/>
                <w:szCs w:val="21"/>
                <w:vertAlign w:val="baseline"/>
                <w:lang w:val="en-US" w:eastAsia="zh-CN" w:bidi="ar"/>
              </w:rPr>
              <w:t>0</w:t>
            </w:r>
          </w:p>
        </w:tc>
      </w:tr>
    </w:tbl>
    <w:p w14:paraId="7CB648E2">
      <w:pPr>
        <w:keepNext/>
        <w:keepLines w:val="0"/>
        <w:pageBreakBefore w:val="0"/>
        <w:spacing w:line="360" w:lineRule="auto"/>
        <w:ind w:firstLine="480"/>
        <w:rPr>
          <w:color w:val="FF0000"/>
          <w:sz w:val="24"/>
        </w:rPr>
      </w:pPr>
    </w:p>
    <w:p w14:paraId="73DCDFCA">
      <w:pPr>
        <w:keepNext/>
        <w:keepLines w:val="0"/>
        <w:pageBreakBefore w:val="0"/>
        <w:spacing w:line="360" w:lineRule="auto"/>
        <w:ind w:firstLine="480"/>
        <w:rPr>
          <w:color w:val="FF0000"/>
          <w:sz w:val="24"/>
        </w:rPr>
        <w:sectPr>
          <w:pgSz w:w="15840" w:h="12240"/>
          <w:pgMar w:top="1800" w:right="1440" w:bottom="1800" w:left="1440" w:header="720" w:footer="720" w:gutter="0"/>
          <w:pgNumType w:start="1"/>
          <w:cols w:space="1701" w:num="1"/>
        </w:sectPr>
      </w:pPr>
    </w:p>
    <w:p w14:paraId="40BA0864">
      <w:pPr>
        <w:keepNext/>
        <w:keepLines w:val="0"/>
        <w:pageBreakBefore w:val="0"/>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根据表</w:t>
      </w:r>
      <w:r>
        <w:rPr>
          <w:rFonts w:ascii="Times New Roman" w:hAnsi="Times New Roman" w:eastAsia="宋体" w:cs="Times New Roman"/>
          <w:color w:val="000000"/>
          <w:sz w:val="24"/>
          <w:szCs w:val="24"/>
          <w:lang w:val="en-US" w:eastAsia="zh-CN"/>
        </w:rPr>
        <w:t>6.2</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lang w:val="en-US" w:eastAsia="zh-CN"/>
        </w:rPr>
        <w:t>15</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lang w:val="en-US" w:eastAsia="zh-CN"/>
        </w:rPr>
        <w:t>6.2</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lang w:val="en-US" w:eastAsia="zh-CN"/>
        </w:rPr>
        <w:t>16、6.2-17</w:t>
      </w:r>
      <w:r>
        <w:rPr>
          <w:rFonts w:ascii="Times New Roman" w:hAnsi="Times New Roman" w:eastAsia="宋体" w:cs="Times New Roman"/>
          <w:color w:val="000000"/>
          <w:sz w:val="24"/>
          <w:szCs w:val="24"/>
        </w:rPr>
        <w:t>的计算结果，本项目建成后</w:t>
      </w:r>
      <w:r>
        <w:rPr>
          <w:rFonts w:ascii="Times New Roman" w:hAnsi="Times New Roman" w:eastAsia="宋体" w:cs="Times New Roman"/>
          <w:color w:val="000000"/>
          <w:sz w:val="24"/>
          <w:szCs w:val="24"/>
          <w:lang w:val="en-US" w:eastAsia="zh-CN"/>
        </w:rPr>
        <w:t>正常情况下，有组织废气</w:t>
      </w:r>
      <w:r>
        <w:rPr>
          <w:rFonts w:ascii="Times New Roman" w:hAnsi="Times New Roman" w:eastAsia="宋体" w:cs="Times New Roman"/>
          <w:color w:val="000000"/>
          <w:sz w:val="24"/>
          <w:szCs w:val="24"/>
        </w:rPr>
        <w:t>中</w:t>
      </w:r>
      <w:r>
        <w:rPr>
          <w:rFonts w:ascii="Times New Roman" w:hAnsi="Times New Roman" w:eastAsia="宋体" w:cs="Times New Roman"/>
          <w:color w:val="000000"/>
          <w:sz w:val="24"/>
          <w:szCs w:val="24"/>
          <w:lang w:val="en-US" w:eastAsia="zh-CN"/>
        </w:rPr>
        <w:t>6</w:t>
      </w:r>
      <w:r>
        <w:rPr>
          <w:rFonts w:ascii="Times New Roman" w:hAnsi="Times New Roman" w:eastAsia="宋体" w:cs="Times New Roman"/>
          <w:color w:val="000000"/>
          <w:sz w:val="24"/>
          <w:szCs w:val="24"/>
        </w:rPr>
        <w:t>种污染物的最大地面浓度占标率P</w:t>
      </w:r>
      <w:r>
        <w:rPr>
          <w:rFonts w:ascii="Times New Roman" w:hAnsi="Times New Roman" w:eastAsia="宋体" w:cs="Times New Roman"/>
          <w:color w:val="000000"/>
          <w:sz w:val="24"/>
          <w:szCs w:val="24"/>
          <w:vertAlign w:val="subscript"/>
          <w:lang w:val="en-US" w:eastAsia="zh-CN"/>
        </w:rPr>
        <w:t>酚类</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lang w:val="en-US" w:eastAsia="zh-CN"/>
        </w:rPr>
        <w:t>7.43</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w:t>
      </w:r>
      <w:r>
        <w:rPr>
          <w:rFonts w:hint="eastAsia"/>
          <w:b w:val="0"/>
          <w:bCs w:val="0"/>
          <w:color w:val="000000"/>
          <w:sz w:val="24"/>
          <w:szCs w:val="24"/>
          <w:lang w:val="zh-CN"/>
        </w:rPr>
        <w:t>评价等级：</w:t>
      </w:r>
      <w:r>
        <w:rPr>
          <w:rFonts w:hint="eastAsia"/>
          <w:b w:val="0"/>
          <w:bCs w:val="0"/>
          <w:color w:val="000000"/>
          <w:sz w:val="24"/>
          <w:szCs w:val="24"/>
        </w:rPr>
        <w:t>二</w:t>
      </w:r>
      <w:r>
        <w:rPr>
          <w:rFonts w:hint="eastAsia"/>
          <w:b w:val="0"/>
          <w:bCs w:val="0"/>
          <w:color w:val="000000"/>
          <w:sz w:val="24"/>
          <w:szCs w:val="24"/>
          <w:lang w:val="zh-CN"/>
        </w:rPr>
        <w:t>级，</w:t>
      </w:r>
      <w:r>
        <w:rPr>
          <w:rFonts w:hint="eastAsia"/>
          <w:b w:val="0"/>
          <w:bCs w:val="0"/>
          <w:color w:val="000000"/>
          <w:sz w:val="24"/>
          <w:szCs w:val="24"/>
        </w:rPr>
        <w:t>二</w:t>
      </w:r>
      <w:r>
        <w:rPr>
          <w:rFonts w:hint="eastAsia"/>
          <w:b w:val="0"/>
          <w:bCs w:val="0"/>
          <w:color w:val="000000"/>
          <w:sz w:val="24"/>
          <w:szCs w:val="24"/>
          <w:lang w:val="zh-CN"/>
        </w:rPr>
        <w:t>级评价项目可直接引用估算模型预测结果进行评价。</w:t>
      </w:r>
      <w:r>
        <w:rPr>
          <w:rFonts w:ascii="Times New Roman" w:hAnsi="Times New Roman" w:eastAsia="宋体" w:cs="Times New Roman"/>
          <w:color w:val="000000"/>
          <w:sz w:val="24"/>
          <w:szCs w:val="24"/>
          <w:lang w:val="en-US" w:eastAsia="zh-CN"/>
        </w:rPr>
        <w:t>根据预测分析，正常情况下，TSP</w:t>
      </w:r>
      <w:r>
        <w:rPr>
          <w:rFonts w:ascii="Times New Roman" w:hAnsi="Times New Roman" w:eastAsia="宋体" w:cs="Times New Roman"/>
          <w:color w:val="000000"/>
          <w:sz w:val="24"/>
          <w:szCs w:val="24"/>
        </w:rPr>
        <w:t>最大落地浓度位于污染源下</w:t>
      </w:r>
      <w:r>
        <w:rPr>
          <w:rFonts w:ascii="Times New Roman" w:hAnsi="Times New Roman" w:eastAsia="宋体" w:cs="Times New Roman"/>
          <w:color w:val="FF0000"/>
          <w:sz w:val="24"/>
          <w:szCs w:val="24"/>
        </w:rPr>
        <w:t>风向</w:t>
      </w:r>
      <w:r>
        <w:rPr>
          <w:rFonts w:ascii="Times New Roman" w:hAnsi="Times New Roman" w:eastAsia="宋体" w:cs="Times New Roman"/>
          <w:color w:val="FF0000"/>
          <w:sz w:val="24"/>
          <w:szCs w:val="24"/>
          <w:lang w:val="en-US" w:eastAsia="zh-CN"/>
        </w:rPr>
        <w:t>8</w:t>
      </w:r>
      <w:r>
        <w:rPr>
          <w:rFonts w:hint="eastAsia" w:ascii="Times New Roman" w:hAnsi="Times New Roman" w:eastAsia="宋体" w:cs="Times New Roman"/>
          <w:color w:val="FF0000"/>
          <w:sz w:val="24"/>
          <w:szCs w:val="24"/>
          <w:lang w:val="en-US" w:eastAsia="zh-CN"/>
        </w:rPr>
        <w:t>15</w:t>
      </w:r>
      <w:r>
        <w:rPr>
          <w:rFonts w:ascii="Times New Roman" w:hAnsi="Times New Roman" w:eastAsia="宋体" w:cs="Times New Roman"/>
          <w:color w:val="FF0000"/>
          <w:sz w:val="24"/>
          <w:szCs w:val="24"/>
        </w:rPr>
        <w:t>m处</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NO</w:t>
      </w:r>
      <w:r>
        <w:rPr>
          <w:rFonts w:ascii="Times New Roman" w:hAnsi="Times New Roman" w:eastAsia="宋体" w:cs="Times New Roman"/>
          <w:color w:val="000000"/>
          <w:sz w:val="24"/>
          <w:szCs w:val="24"/>
          <w:vertAlign w:val="subscript"/>
        </w:rPr>
        <w:t>x</w:t>
      </w:r>
      <w:r>
        <w:rPr>
          <w:rFonts w:ascii="Times New Roman" w:hAnsi="Times New Roman" w:eastAsia="宋体" w:cs="Times New Roman"/>
          <w:color w:val="000000"/>
          <w:sz w:val="24"/>
          <w:szCs w:val="24"/>
        </w:rPr>
        <w:t>、SO</w:t>
      </w:r>
      <w:r>
        <w:rPr>
          <w:rFonts w:ascii="Times New Roman" w:hAnsi="Times New Roman" w:eastAsia="宋体" w:cs="Times New Roman"/>
          <w:color w:val="000000"/>
          <w:sz w:val="24"/>
          <w:szCs w:val="24"/>
          <w:vertAlign w:val="subscript"/>
        </w:rPr>
        <w:t>2</w:t>
      </w:r>
      <w:r>
        <w:rPr>
          <w:rFonts w:ascii="Times New Roman" w:hAnsi="Times New Roman" w:eastAsia="宋体" w:cs="Times New Roman"/>
          <w:color w:val="000000"/>
          <w:sz w:val="24"/>
          <w:szCs w:val="24"/>
        </w:rPr>
        <w:t>最大落地浓度位于污染</w:t>
      </w:r>
      <w:r>
        <w:rPr>
          <w:rFonts w:ascii="Times New Roman" w:hAnsi="Times New Roman" w:eastAsia="宋体" w:cs="Times New Roman"/>
          <w:color w:val="FF0000"/>
          <w:sz w:val="24"/>
          <w:szCs w:val="24"/>
        </w:rPr>
        <w:t>源下风向</w:t>
      </w:r>
      <w:r>
        <w:rPr>
          <w:rFonts w:hint="eastAsia" w:ascii="Times New Roman" w:hAnsi="Times New Roman" w:eastAsia="宋体" w:cs="Times New Roman"/>
          <w:color w:val="FF0000"/>
          <w:sz w:val="24"/>
          <w:szCs w:val="24"/>
          <w:lang w:val="en-US" w:eastAsia="zh-CN"/>
        </w:rPr>
        <w:t>7</w:t>
      </w:r>
      <w:r>
        <w:rPr>
          <w:rFonts w:ascii="Times New Roman" w:hAnsi="Times New Roman" w:eastAsia="宋体" w:cs="Times New Roman"/>
          <w:color w:val="FF0000"/>
          <w:sz w:val="24"/>
          <w:szCs w:val="24"/>
          <w:lang w:val="en-US" w:eastAsia="zh-CN"/>
        </w:rPr>
        <w:t>00</w:t>
      </w:r>
      <w:r>
        <w:rPr>
          <w:rFonts w:ascii="Times New Roman" w:hAnsi="Times New Roman" w:eastAsia="宋体" w:cs="Times New Roman"/>
          <w:color w:val="FF0000"/>
          <w:sz w:val="24"/>
          <w:szCs w:val="24"/>
        </w:rPr>
        <w:t>m处</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lang w:val="en-US" w:eastAsia="zh-CN"/>
        </w:rPr>
        <w:t>甲醛、氨、非甲烷总烃</w:t>
      </w:r>
      <w:r>
        <w:rPr>
          <w:rFonts w:ascii="Times New Roman" w:hAnsi="Times New Roman" w:eastAsia="宋体" w:cs="Times New Roman"/>
          <w:color w:val="000000"/>
          <w:sz w:val="24"/>
          <w:szCs w:val="24"/>
        </w:rPr>
        <w:t>的最大落地浓度位于污染源下风向</w:t>
      </w:r>
      <w:r>
        <w:rPr>
          <w:rFonts w:ascii="Times New Roman" w:hAnsi="Times New Roman" w:eastAsia="宋体" w:cs="Times New Roman"/>
          <w:color w:val="000000"/>
          <w:sz w:val="24"/>
          <w:szCs w:val="24"/>
          <w:lang w:val="en-US" w:eastAsia="zh-CN"/>
        </w:rPr>
        <w:t>475</w:t>
      </w:r>
      <w:r>
        <w:rPr>
          <w:rFonts w:ascii="Times New Roman" w:hAnsi="Times New Roman" w:eastAsia="宋体" w:cs="Times New Roman"/>
          <w:color w:val="000000"/>
          <w:sz w:val="24"/>
          <w:szCs w:val="24"/>
        </w:rPr>
        <w:t>m处</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lang w:val="en-US" w:eastAsia="zh-CN"/>
        </w:rPr>
        <w:t>酚类</w:t>
      </w:r>
      <w:r>
        <w:rPr>
          <w:rFonts w:ascii="Times New Roman" w:hAnsi="Times New Roman" w:eastAsia="宋体" w:cs="Times New Roman"/>
          <w:color w:val="000000"/>
          <w:sz w:val="24"/>
          <w:szCs w:val="24"/>
        </w:rPr>
        <w:t>的最大落地浓度位于污染源下风向</w:t>
      </w:r>
      <w:r>
        <w:rPr>
          <w:rFonts w:ascii="Times New Roman" w:hAnsi="Times New Roman" w:eastAsia="宋体" w:cs="Times New Roman"/>
          <w:color w:val="000000"/>
          <w:sz w:val="24"/>
          <w:szCs w:val="24"/>
          <w:lang w:val="en-US" w:eastAsia="zh-CN"/>
        </w:rPr>
        <w:t>500</w:t>
      </w:r>
      <w:r>
        <w:rPr>
          <w:rFonts w:ascii="Times New Roman" w:hAnsi="Times New Roman" w:eastAsia="宋体" w:cs="Times New Roman"/>
          <w:color w:val="000000"/>
          <w:sz w:val="24"/>
          <w:szCs w:val="24"/>
        </w:rPr>
        <w:t>m处，</w:t>
      </w:r>
      <w:r>
        <w:rPr>
          <w:rFonts w:ascii="Times New Roman" w:hAnsi="Times New Roman" w:eastAsia="宋体" w:cs="Times New Roman"/>
          <w:color w:val="000000"/>
          <w:sz w:val="24"/>
          <w:szCs w:val="24"/>
          <w:lang w:val="en-US" w:eastAsia="zh-CN"/>
        </w:rPr>
        <w:t>根据</w:t>
      </w:r>
      <w:r>
        <w:rPr>
          <w:rFonts w:ascii="Times New Roman" w:hAnsi="Times New Roman" w:eastAsia="宋体" w:cs="Times New Roman"/>
          <w:b w:val="0"/>
          <w:bCs w:val="0"/>
          <w:color w:val="000000"/>
          <w:sz w:val="24"/>
          <w:szCs w:val="24"/>
          <w:lang w:val="en-US" w:eastAsia="zh-CN"/>
        </w:rPr>
        <w:t>预测最大的落地浓度TSP、SO</w:t>
      </w:r>
      <w:r>
        <w:rPr>
          <w:rFonts w:ascii="Times New Roman" w:hAnsi="Times New Roman" w:eastAsia="宋体" w:cs="Times New Roman"/>
          <w:b w:val="0"/>
          <w:bCs w:val="0"/>
          <w:color w:val="000000"/>
          <w:sz w:val="24"/>
          <w:szCs w:val="24"/>
          <w:vertAlign w:val="subscript"/>
          <w:lang w:val="en-US" w:eastAsia="zh-CN"/>
        </w:rPr>
        <w:t>2</w:t>
      </w:r>
      <w:r>
        <w:rPr>
          <w:rFonts w:ascii="Times New Roman" w:hAnsi="Times New Roman" w:eastAsia="宋体" w:cs="Times New Roman"/>
          <w:b w:val="0"/>
          <w:bCs w:val="0"/>
          <w:color w:val="000000"/>
          <w:sz w:val="24"/>
          <w:szCs w:val="24"/>
          <w:lang w:val="en-US" w:eastAsia="zh-CN"/>
        </w:rPr>
        <w:t>、NO</w:t>
      </w:r>
      <w:r>
        <w:rPr>
          <w:rFonts w:ascii="Times New Roman" w:hAnsi="Times New Roman" w:eastAsia="宋体" w:cs="Times New Roman"/>
          <w:b w:val="0"/>
          <w:bCs w:val="0"/>
          <w:color w:val="000000"/>
          <w:sz w:val="24"/>
          <w:szCs w:val="24"/>
          <w:vertAlign w:val="subscript"/>
          <w:lang w:val="en-US" w:eastAsia="zh-CN"/>
        </w:rPr>
        <w:t>X</w:t>
      </w:r>
      <w:r>
        <w:rPr>
          <w:rFonts w:ascii="Times New Roman" w:hAnsi="Times New Roman" w:eastAsia="宋体" w:cs="Times New Roman"/>
          <w:b w:val="0"/>
          <w:bCs w:val="0"/>
          <w:color w:val="000000"/>
          <w:sz w:val="24"/>
          <w:szCs w:val="24"/>
          <w:vertAlign w:val="baseline"/>
          <w:lang w:val="en-US" w:eastAsia="zh-CN"/>
        </w:rPr>
        <w:t>、</w:t>
      </w:r>
      <w:r>
        <w:rPr>
          <w:rFonts w:ascii="Times New Roman" w:hAnsi="Times New Roman" w:eastAsia="宋体" w:cs="Times New Roman"/>
          <w:b w:val="0"/>
          <w:bCs w:val="0"/>
          <w:color w:val="000000"/>
          <w:sz w:val="24"/>
          <w:szCs w:val="24"/>
          <w:lang w:val="en-US" w:eastAsia="zh-CN"/>
        </w:rPr>
        <w:t>甲醛、酚类、氨、非甲烷总烃分</w:t>
      </w:r>
      <w:r>
        <w:rPr>
          <w:rFonts w:ascii="Times New Roman" w:hAnsi="Times New Roman" w:eastAsia="宋体" w:cs="Times New Roman"/>
          <w:b w:val="0"/>
          <w:bCs w:val="0"/>
          <w:color w:val="FF0000"/>
          <w:sz w:val="24"/>
          <w:szCs w:val="24"/>
          <w:lang w:val="en-US" w:eastAsia="zh-CN"/>
        </w:rPr>
        <w:t>别为</w:t>
      </w:r>
      <w:r>
        <w:rPr>
          <w:rFonts w:ascii="Times New Roman" w:hAnsi="Times New Roman" w:eastAsia="宋体" w:cs="Times New Roman"/>
          <w:b w:val="0"/>
          <w:bCs w:val="0"/>
          <w:color w:val="FF0000"/>
          <w:sz w:val="24"/>
          <w:szCs w:val="24"/>
          <w:vertAlign w:val="baseline"/>
          <w:lang w:val="en-US" w:eastAsia="zh-CN" w:bidi="ar"/>
        </w:rPr>
        <w:t>8.98E-03</w:t>
      </w:r>
      <w:r>
        <w:rPr>
          <w:rFonts w:ascii="Times New Roman" w:hAnsi="Times New Roman" w:eastAsia="宋体" w:cs="Times New Roman"/>
          <w:b w:val="0"/>
          <w:bCs w:val="0"/>
          <w:color w:val="FF0000"/>
          <w:sz w:val="24"/>
          <w:szCs w:val="24"/>
          <w:lang w:val="en-US" w:eastAsia="zh-CN"/>
        </w:rPr>
        <w:t>mg/m</w:t>
      </w:r>
      <w:r>
        <w:rPr>
          <w:rFonts w:ascii="Times New Roman" w:hAnsi="Times New Roman" w:eastAsia="宋体" w:cs="Times New Roman"/>
          <w:b w:val="0"/>
          <w:bCs w:val="0"/>
          <w:color w:val="FF0000"/>
          <w:sz w:val="24"/>
          <w:szCs w:val="24"/>
          <w:vertAlign w:val="superscript"/>
          <w:lang w:val="en-US" w:eastAsia="zh-CN"/>
        </w:rPr>
        <w:t>3</w:t>
      </w:r>
      <w:r>
        <w:rPr>
          <w:rFonts w:ascii="Times New Roman" w:hAnsi="Times New Roman" w:eastAsia="宋体" w:cs="Times New Roman"/>
          <w:b w:val="0"/>
          <w:bCs w:val="0"/>
          <w:color w:val="FF0000"/>
          <w:sz w:val="24"/>
          <w:szCs w:val="24"/>
          <w:lang w:val="en-US" w:eastAsia="zh-CN"/>
        </w:rPr>
        <w:t>，</w:t>
      </w:r>
      <w:r>
        <w:rPr>
          <w:rFonts w:hint="eastAsia" w:ascii="Times New Roman" w:hAnsi="Times New Roman" w:eastAsia="宋体" w:cs="Times New Roman"/>
          <w:b w:val="0"/>
          <w:bCs w:val="0"/>
          <w:color w:val="FF0000"/>
          <w:sz w:val="24"/>
          <w:szCs w:val="24"/>
          <w:vertAlign w:val="baseline"/>
          <w:lang w:val="en-US" w:eastAsia="zh-CN" w:bidi="ar"/>
        </w:rPr>
        <w:t>8.69E-04</w:t>
      </w:r>
      <w:r>
        <w:rPr>
          <w:rFonts w:ascii="Times New Roman" w:hAnsi="Times New Roman" w:eastAsia="宋体" w:cs="Times New Roman"/>
          <w:b w:val="0"/>
          <w:bCs w:val="0"/>
          <w:color w:val="FF0000"/>
          <w:sz w:val="24"/>
          <w:szCs w:val="24"/>
          <w:lang w:val="en-US" w:eastAsia="zh-CN"/>
        </w:rPr>
        <w:t>mg/m</w:t>
      </w:r>
      <w:r>
        <w:rPr>
          <w:rFonts w:ascii="Times New Roman" w:hAnsi="Times New Roman" w:eastAsia="宋体" w:cs="Times New Roman"/>
          <w:b w:val="0"/>
          <w:bCs w:val="0"/>
          <w:color w:val="FF0000"/>
          <w:sz w:val="24"/>
          <w:szCs w:val="24"/>
          <w:vertAlign w:val="superscript"/>
          <w:lang w:val="en-US" w:eastAsia="zh-CN"/>
        </w:rPr>
        <w:t>3</w:t>
      </w:r>
      <w:r>
        <w:rPr>
          <w:rFonts w:ascii="Times New Roman" w:hAnsi="Times New Roman" w:eastAsia="宋体" w:cs="Times New Roman"/>
          <w:b w:val="0"/>
          <w:bCs w:val="0"/>
          <w:color w:val="FF0000"/>
          <w:sz w:val="24"/>
          <w:szCs w:val="24"/>
          <w:lang w:eastAsia="zh-CN"/>
        </w:rPr>
        <w:t>、</w:t>
      </w:r>
      <w:r>
        <w:rPr>
          <w:rFonts w:hint="eastAsia" w:ascii="Times New Roman" w:hAnsi="Times New Roman" w:eastAsia="宋体" w:cs="Times New Roman"/>
          <w:b w:val="0"/>
          <w:bCs w:val="0"/>
          <w:color w:val="FF0000"/>
          <w:sz w:val="24"/>
          <w:szCs w:val="24"/>
          <w:vertAlign w:val="baseline"/>
          <w:lang w:val="en-US" w:eastAsia="zh-CN" w:bidi="ar"/>
        </w:rPr>
        <w:t>5.13E-03</w:t>
      </w:r>
      <w:r>
        <w:rPr>
          <w:rFonts w:ascii="Times New Roman" w:hAnsi="Times New Roman" w:eastAsia="宋体" w:cs="Times New Roman"/>
          <w:b w:val="0"/>
          <w:bCs w:val="0"/>
          <w:color w:val="FF0000"/>
          <w:sz w:val="24"/>
          <w:szCs w:val="24"/>
          <w:lang w:val="en-US" w:eastAsia="zh-CN"/>
        </w:rPr>
        <w:t>mg/m</w:t>
      </w:r>
      <w:r>
        <w:rPr>
          <w:rFonts w:ascii="Times New Roman" w:hAnsi="Times New Roman" w:eastAsia="宋体" w:cs="Times New Roman"/>
          <w:b w:val="0"/>
          <w:bCs w:val="0"/>
          <w:color w:val="FF0000"/>
          <w:sz w:val="24"/>
          <w:szCs w:val="24"/>
          <w:vertAlign w:val="superscript"/>
          <w:lang w:val="en-US" w:eastAsia="zh-CN"/>
        </w:rPr>
        <w:t>3</w:t>
      </w:r>
      <w:r>
        <w:rPr>
          <w:rFonts w:ascii="Times New Roman" w:hAnsi="Times New Roman" w:eastAsia="宋体" w:cs="Times New Roman"/>
          <w:b w:val="0"/>
          <w:bCs w:val="0"/>
          <w:color w:val="FF0000"/>
          <w:sz w:val="24"/>
          <w:szCs w:val="24"/>
          <w:vertAlign w:val="baseline"/>
          <w:lang w:val="en-US" w:eastAsia="zh-CN"/>
        </w:rPr>
        <w:t>、</w:t>
      </w:r>
      <w:r>
        <w:rPr>
          <w:rFonts w:ascii="Times New Roman" w:hAnsi="Times New Roman" w:eastAsia="宋体" w:cs="Times New Roman"/>
          <w:b w:val="0"/>
          <w:bCs w:val="0"/>
          <w:color w:val="000000"/>
          <w:sz w:val="24"/>
          <w:szCs w:val="24"/>
          <w:vertAlign w:val="baseline"/>
          <w:lang w:val="en-US" w:eastAsia="zh-CN" w:bidi="ar"/>
        </w:rPr>
        <w:t>1.44E-03</w:t>
      </w:r>
      <w:r>
        <w:rPr>
          <w:rFonts w:ascii="Times New Roman" w:hAnsi="Times New Roman" w:eastAsia="宋体" w:cs="Times New Roman"/>
          <w:b w:val="0"/>
          <w:bCs w:val="0"/>
          <w:color w:val="000000"/>
          <w:sz w:val="24"/>
          <w:szCs w:val="24"/>
          <w:lang w:val="en-US" w:eastAsia="zh-CN"/>
        </w:rPr>
        <w:t>mg/m</w:t>
      </w:r>
      <w:r>
        <w:rPr>
          <w:rFonts w:ascii="Times New Roman" w:hAnsi="Times New Roman" w:eastAsia="宋体" w:cs="Times New Roman"/>
          <w:b w:val="0"/>
          <w:bCs w:val="0"/>
          <w:color w:val="000000"/>
          <w:sz w:val="24"/>
          <w:szCs w:val="24"/>
          <w:vertAlign w:val="superscript"/>
          <w:lang w:val="en-US" w:eastAsia="zh-CN"/>
        </w:rPr>
        <w:t>3</w:t>
      </w:r>
      <w:r>
        <w:rPr>
          <w:rFonts w:ascii="Times New Roman" w:hAnsi="Times New Roman" w:eastAsia="宋体" w:cs="Times New Roman"/>
          <w:b w:val="0"/>
          <w:bCs w:val="0"/>
          <w:color w:val="000000"/>
          <w:sz w:val="24"/>
          <w:szCs w:val="24"/>
          <w:lang w:val="en-US" w:eastAsia="zh-CN"/>
        </w:rPr>
        <w:t>，</w:t>
      </w:r>
      <w:r>
        <w:rPr>
          <w:rFonts w:ascii="Times New Roman" w:hAnsi="Times New Roman" w:eastAsia="宋体" w:cs="Times New Roman"/>
          <w:b w:val="0"/>
          <w:bCs w:val="0"/>
          <w:color w:val="000000"/>
          <w:sz w:val="24"/>
          <w:szCs w:val="24"/>
          <w:vertAlign w:val="baseline"/>
          <w:lang w:val="en-US" w:eastAsia="zh-CN" w:bidi="ar"/>
        </w:rPr>
        <w:t>1.49E-03</w:t>
      </w:r>
      <w:r>
        <w:rPr>
          <w:rFonts w:ascii="Times New Roman" w:hAnsi="Times New Roman" w:eastAsia="宋体" w:cs="Times New Roman"/>
          <w:b w:val="0"/>
          <w:bCs w:val="0"/>
          <w:color w:val="000000"/>
          <w:sz w:val="24"/>
          <w:szCs w:val="24"/>
          <w:lang w:val="en-US" w:eastAsia="zh-CN"/>
        </w:rPr>
        <w:t>mg/m</w:t>
      </w:r>
      <w:r>
        <w:rPr>
          <w:rFonts w:ascii="Times New Roman" w:hAnsi="Times New Roman" w:eastAsia="宋体" w:cs="Times New Roman"/>
          <w:b w:val="0"/>
          <w:bCs w:val="0"/>
          <w:color w:val="000000"/>
          <w:sz w:val="24"/>
          <w:szCs w:val="24"/>
          <w:vertAlign w:val="superscript"/>
          <w:lang w:val="en-US" w:eastAsia="zh-CN"/>
        </w:rPr>
        <w:t>3</w:t>
      </w:r>
      <w:r>
        <w:rPr>
          <w:rFonts w:ascii="Times New Roman" w:hAnsi="Times New Roman" w:eastAsia="宋体" w:cs="Times New Roman"/>
          <w:b w:val="0"/>
          <w:bCs w:val="0"/>
          <w:color w:val="000000"/>
          <w:sz w:val="24"/>
          <w:szCs w:val="24"/>
          <w:lang w:eastAsia="zh-CN"/>
        </w:rPr>
        <w:t>、</w:t>
      </w:r>
      <w:r>
        <w:rPr>
          <w:rFonts w:ascii="Times New Roman" w:hAnsi="Times New Roman" w:eastAsia="宋体" w:cs="Times New Roman"/>
          <w:b w:val="0"/>
          <w:bCs w:val="0"/>
          <w:color w:val="000000"/>
          <w:sz w:val="24"/>
          <w:szCs w:val="24"/>
          <w:vertAlign w:val="baseline"/>
          <w:lang w:val="en-US" w:eastAsia="zh-CN" w:bidi="ar"/>
        </w:rPr>
        <w:t>2.89E-06</w:t>
      </w:r>
      <w:r>
        <w:rPr>
          <w:rFonts w:ascii="Times New Roman" w:hAnsi="Times New Roman" w:eastAsia="宋体" w:cs="Times New Roman"/>
          <w:b w:val="0"/>
          <w:bCs w:val="0"/>
          <w:color w:val="000000"/>
          <w:sz w:val="24"/>
          <w:szCs w:val="24"/>
          <w:lang w:val="en-US" w:eastAsia="zh-CN"/>
        </w:rPr>
        <w:t>mg/m</w:t>
      </w:r>
      <w:r>
        <w:rPr>
          <w:rFonts w:ascii="Times New Roman" w:hAnsi="Times New Roman" w:eastAsia="宋体" w:cs="Times New Roman"/>
          <w:b w:val="0"/>
          <w:bCs w:val="0"/>
          <w:color w:val="000000"/>
          <w:sz w:val="24"/>
          <w:szCs w:val="24"/>
          <w:vertAlign w:val="superscript"/>
          <w:lang w:val="en-US" w:eastAsia="zh-CN"/>
        </w:rPr>
        <w:t>3</w:t>
      </w:r>
      <w:r>
        <w:rPr>
          <w:rFonts w:ascii="Times New Roman" w:hAnsi="Times New Roman" w:eastAsia="宋体" w:cs="Times New Roman"/>
          <w:b w:val="0"/>
          <w:bCs w:val="0"/>
          <w:color w:val="000000"/>
          <w:sz w:val="24"/>
          <w:szCs w:val="24"/>
          <w:lang w:eastAsia="zh-CN"/>
        </w:rPr>
        <w:t>、</w:t>
      </w:r>
      <w:r>
        <w:rPr>
          <w:rFonts w:ascii="Times New Roman" w:hAnsi="Times New Roman" w:eastAsia="宋体" w:cs="Times New Roman"/>
          <w:b w:val="0"/>
          <w:bCs w:val="0"/>
          <w:color w:val="000000"/>
          <w:sz w:val="24"/>
          <w:szCs w:val="24"/>
          <w:vertAlign w:val="baseline"/>
          <w:lang w:val="en-US" w:eastAsia="zh-CN" w:bidi="ar"/>
        </w:rPr>
        <w:t>4.54E-04</w:t>
      </w:r>
      <w:r>
        <w:rPr>
          <w:rFonts w:ascii="Times New Roman" w:hAnsi="Times New Roman" w:eastAsia="宋体" w:cs="Times New Roman"/>
          <w:b w:val="0"/>
          <w:bCs w:val="0"/>
          <w:color w:val="000000"/>
          <w:sz w:val="24"/>
          <w:szCs w:val="24"/>
          <w:lang w:val="en-US" w:eastAsia="zh-CN"/>
        </w:rPr>
        <w:t>mg/m</w:t>
      </w:r>
      <w:r>
        <w:rPr>
          <w:rFonts w:ascii="Times New Roman" w:hAnsi="Times New Roman" w:eastAsia="宋体" w:cs="Times New Roman"/>
          <w:b w:val="0"/>
          <w:bCs w:val="0"/>
          <w:color w:val="000000"/>
          <w:sz w:val="24"/>
          <w:szCs w:val="24"/>
          <w:vertAlign w:val="superscript"/>
          <w:lang w:val="en-US" w:eastAsia="zh-CN"/>
        </w:rPr>
        <w:t>3</w:t>
      </w:r>
      <w:r>
        <w:rPr>
          <w:rFonts w:ascii="Times New Roman" w:hAnsi="Times New Roman" w:eastAsia="宋体" w:cs="Times New Roman"/>
          <w:b w:val="0"/>
          <w:bCs w:val="0"/>
          <w:color w:val="000000"/>
          <w:sz w:val="24"/>
          <w:szCs w:val="24"/>
          <w:vertAlign w:val="baseline"/>
          <w:lang w:val="en-US" w:eastAsia="zh-CN"/>
        </w:rPr>
        <w:t>，均</w:t>
      </w:r>
      <w:r>
        <w:rPr>
          <w:rFonts w:ascii="Times New Roman" w:hAnsi="Times New Roman" w:eastAsia="宋体" w:cs="Times New Roman"/>
          <w:b w:val="0"/>
          <w:bCs w:val="0"/>
          <w:color w:val="000000"/>
          <w:sz w:val="24"/>
          <w:szCs w:val="24"/>
        </w:rPr>
        <w:t>低于《环境空气质量标准》(GB3095-2012)二级</w:t>
      </w:r>
      <w:r>
        <w:rPr>
          <w:rFonts w:ascii="Times New Roman" w:hAnsi="Times New Roman" w:eastAsia="宋体" w:cs="Times New Roman"/>
          <w:color w:val="000000"/>
          <w:sz w:val="24"/>
          <w:szCs w:val="24"/>
        </w:rPr>
        <w:t>标准浓度限值</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《环境影响评价技术导则 大气环境》（HJ2.2-2018）附录 D中限值</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《大气污染物综合排放标准详解》</w:t>
      </w:r>
      <w:r>
        <w:rPr>
          <w:rFonts w:ascii="Times New Roman" w:hAnsi="Times New Roman" w:eastAsia="宋体" w:cs="Times New Roman"/>
          <w:color w:val="000000"/>
          <w:sz w:val="24"/>
          <w:szCs w:val="24"/>
        </w:rPr>
        <w:t>，不改变环境空气质量现状，经分析可知，经过本环评提出的除尘</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lang w:val="en-US" w:eastAsia="zh-CN"/>
        </w:rPr>
        <w:t>UV光催化活性炭吸附</w:t>
      </w:r>
      <w:r>
        <w:rPr>
          <w:rFonts w:ascii="Times New Roman" w:hAnsi="Times New Roman" w:eastAsia="宋体" w:cs="Times New Roman"/>
          <w:color w:val="000000"/>
          <w:sz w:val="24"/>
          <w:szCs w:val="24"/>
        </w:rPr>
        <w:t>措施后，</w:t>
      </w:r>
      <w:r>
        <w:rPr>
          <w:rFonts w:ascii="Times New Roman" w:hAnsi="Times New Roman" w:eastAsia="宋体" w:cs="Times New Roman"/>
          <w:color w:val="000000"/>
          <w:sz w:val="24"/>
          <w:szCs w:val="24"/>
          <w:lang w:val="en-US" w:eastAsia="zh-CN"/>
        </w:rPr>
        <w:t>供热系统</w:t>
      </w:r>
      <w:r>
        <w:rPr>
          <w:rFonts w:ascii="Times New Roman" w:hAnsi="Times New Roman" w:eastAsia="宋体" w:cs="Times New Roman"/>
          <w:color w:val="000000"/>
          <w:sz w:val="24"/>
          <w:szCs w:val="24"/>
        </w:rPr>
        <w:t>烟气</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lang w:val="en-US" w:eastAsia="zh-CN"/>
        </w:rPr>
        <w:t>生产过程产生的有组织粉尘、有机废气</w:t>
      </w:r>
      <w:r>
        <w:rPr>
          <w:rFonts w:ascii="Times New Roman" w:hAnsi="Times New Roman" w:eastAsia="宋体" w:cs="Times New Roman"/>
          <w:color w:val="000000"/>
          <w:sz w:val="24"/>
          <w:szCs w:val="24"/>
        </w:rPr>
        <w:t>对区域环境空气质量影响不大。</w:t>
      </w:r>
    </w:p>
    <w:p w14:paraId="09EE7871">
      <w:pPr>
        <w:keepNext/>
        <w:keepLines w:val="0"/>
        <w:pageBreakBefore w:val="0"/>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val="en-US" w:eastAsia="zh-CN"/>
        </w:rPr>
        <w:t>本环评针对</w:t>
      </w:r>
      <w:r>
        <w:rPr>
          <w:rFonts w:ascii="Times New Roman" w:hAnsi="Times New Roman" w:eastAsia="宋体" w:cs="Times New Roman"/>
          <w:color w:val="000000"/>
          <w:sz w:val="24"/>
          <w:szCs w:val="24"/>
        </w:rPr>
        <w:t>除尘</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lang w:val="en-US" w:eastAsia="zh-CN"/>
        </w:rPr>
        <w:t>UV光催化活性炭吸附装置非正常情况下进行了6种污染物分别进行了的预测分析，预测结果显示，</w:t>
      </w:r>
      <w:r>
        <w:rPr>
          <w:rFonts w:ascii="Times New Roman" w:hAnsi="Times New Roman" w:eastAsia="宋体" w:cs="Times New Roman"/>
          <w:color w:val="000000"/>
          <w:sz w:val="24"/>
          <w:szCs w:val="24"/>
        </w:rPr>
        <w:t>最大占标</w:t>
      </w:r>
      <w:r>
        <w:rPr>
          <w:rFonts w:ascii="Times New Roman" w:hAnsi="Times New Roman" w:eastAsia="宋体" w:cs="Times New Roman"/>
          <w:b w:val="0"/>
          <w:bCs w:val="0"/>
          <w:color w:val="000000"/>
          <w:sz w:val="24"/>
          <w:szCs w:val="24"/>
        </w:rPr>
        <w:t>率P</w:t>
      </w:r>
      <w:r>
        <w:rPr>
          <w:rFonts w:ascii="Times New Roman" w:hAnsi="Times New Roman" w:eastAsia="宋体" w:cs="Times New Roman"/>
          <w:b w:val="0"/>
          <w:bCs w:val="0"/>
          <w:color w:val="000000"/>
          <w:sz w:val="24"/>
          <w:szCs w:val="24"/>
          <w:vertAlign w:val="subscript"/>
          <w:lang w:val="en-US" w:eastAsia="zh-CN"/>
        </w:rPr>
        <w:t>酚类</w:t>
      </w:r>
      <w:r>
        <w:rPr>
          <w:rFonts w:ascii="Times New Roman" w:hAnsi="Times New Roman" w:eastAsia="宋体" w:cs="Times New Roman"/>
          <w:b w:val="0"/>
          <w:bCs w:val="0"/>
          <w:color w:val="000000"/>
          <w:sz w:val="24"/>
          <w:szCs w:val="24"/>
          <w:lang w:val="en-US" w:eastAsia="zh-CN"/>
        </w:rPr>
        <w:t>=37.6</w:t>
      </w:r>
      <w:r>
        <w:rPr>
          <w:rFonts w:ascii="Times New Roman" w:hAnsi="Times New Roman" w:eastAsia="宋体" w:cs="Times New Roman"/>
          <w:b w:val="0"/>
          <w:bCs w:val="0"/>
          <w:color w:val="000000"/>
          <w:sz w:val="24"/>
          <w:szCs w:val="24"/>
        </w:rPr>
        <w:t>%</w:t>
      </w:r>
      <w:r>
        <w:rPr>
          <w:rFonts w:ascii="Times New Roman" w:hAnsi="Times New Roman" w:eastAsia="宋体" w:cs="Times New Roman"/>
          <w:b w:val="0"/>
          <w:bCs w:val="0"/>
          <w:color w:val="000000"/>
          <w:sz w:val="24"/>
          <w:szCs w:val="24"/>
          <w:lang w:eastAsia="zh-CN"/>
        </w:rPr>
        <w:t>，</w:t>
      </w:r>
      <w:r>
        <w:rPr>
          <w:rFonts w:ascii="Times New Roman" w:hAnsi="Times New Roman" w:eastAsia="宋体" w:cs="Times New Roman"/>
          <w:b w:val="0"/>
          <w:bCs w:val="0"/>
          <w:color w:val="000000"/>
          <w:sz w:val="24"/>
          <w:szCs w:val="24"/>
          <w:highlight w:val="none"/>
          <w:lang w:val="zh-CN"/>
        </w:rPr>
        <w:t>非正常情况</w:t>
      </w:r>
      <w:r>
        <w:rPr>
          <w:rFonts w:ascii="Times New Roman" w:hAnsi="Times New Roman" w:eastAsia="宋体" w:cs="Times New Roman"/>
          <w:color w:val="000000"/>
          <w:sz w:val="24"/>
          <w:szCs w:val="24"/>
        </w:rPr>
        <w:t>有组织</w:t>
      </w:r>
      <w:r>
        <w:rPr>
          <w:rFonts w:ascii="Times New Roman" w:hAnsi="Times New Roman" w:eastAsia="宋体" w:cs="Times New Roman"/>
          <w:color w:val="000000"/>
          <w:sz w:val="24"/>
          <w:szCs w:val="24"/>
          <w:lang w:val="en-US" w:eastAsia="zh-CN"/>
        </w:rPr>
        <w:t>废气</w:t>
      </w:r>
      <w:r>
        <w:rPr>
          <w:rFonts w:ascii="Times New Roman" w:hAnsi="Times New Roman" w:eastAsia="宋体" w:cs="Times New Roman"/>
          <w:b w:val="0"/>
          <w:bCs w:val="0"/>
          <w:color w:val="000000"/>
          <w:sz w:val="24"/>
          <w:szCs w:val="24"/>
          <w:highlight w:val="none"/>
          <w:lang w:val="zh-CN"/>
        </w:rPr>
        <w:t>最大落地浓度及占标率较正常情况下增长约</w:t>
      </w:r>
      <w:r>
        <w:rPr>
          <w:rFonts w:ascii="Times New Roman" w:hAnsi="Times New Roman" w:eastAsia="宋体" w:cs="Times New Roman"/>
          <w:b w:val="0"/>
          <w:bCs w:val="0"/>
          <w:color w:val="000000"/>
          <w:sz w:val="24"/>
          <w:szCs w:val="24"/>
          <w:highlight w:val="none"/>
        </w:rPr>
        <w:t>10</w:t>
      </w:r>
      <w:r>
        <w:rPr>
          <w:rFonts w:ascii="Times New Roman" w:hAnsi="Times New Roman" w:eastAsia="宋体" w:cs="Times New Roman"/>
          <w:b w:val="0"/>
          <w:bCs w:val="0"/>
          <w:color w:val="000000"/>
          <w:sz w:val="24"/>
          <w:szCs w:val="24"/>
          <w:highlight w:val="none"/>
          <w:lang w:val="en-US" w:eastAsia="zh-CN"/>
        </w:rPr>
        <w:t>0</w:t>
      </w:r>
      <w:r>
        <w:rPr>
          <w:rFonts w:ascii="Times New Roman" w:hAnsi="Times New Roman" w:eastAsia="宋体" w:cs="Times New Roman"/>
          <w:b w:val="0"/>
          <w:bCs w:val="0"/>
          <w:color w:val="000000"/>
          <w:sz w:val="24"/>
          <w:szCs w:val="24"/>
          <w:highlight w:val="none"/>
          <w:lang w:val="zh-CN"/>
        </w:rPr>
        <w:t>倍，</w:t>
      </w:r>
      <w:r>
        <w:rPr>
          <w:rFonts w:ascii="Times New Roman" w:hAnsi="Times New Roman" w:eastAsia="宋体" w:cs="Times New Roman"/>
          <w:color w:val="000000"/>
          <w:sz w:val="24"/>
          <w:szCs w:val="24"/>
        </w:rPr>
        <w:t>环评要求</w:t>
      </w:r>
      <w:r>
        <w:rPr>
          <w:rFonts w:ascii="Times New Roman" w:hAnsi="Times New Roman" w:eastAsia="宋体" w:cs="Times New Roman"/>
          <w:color w:val="000000"/>
          <w:sz w:val="24"/>
          <w:szCs w:val="24"/>
          <w:lang w:val="en-US" w:eastAsia="zh-CN"/>
        </w:rPr>
        <w:t>建设方</w:t>
      </w:r>
      <w:r>
        <w:rPr>
          <w:rFonts w:ascii="Times New Roman" w:hAnsi="Times New Roman" w:eastAsia="宋体" w:cs="Times New Roman"/>
          <w:color w:val="000000"/>
          <w:sz w:val="24"/>
          <w:szCs w:val="24"/>
          <w:lang w:val="zh-CN"/>
        </w:rPr>
        <w:t>应加强设备维护管理，保障</w:t>
      </w:r>
      <w:r>
        <w:rPr>
          <w:rFonts w:ascii="Times New Roman" w:hAnsi="Times New Roman" w:eastAsia="宋体" w:cs="Times New Roman"/>
          <w:color w:val="000000"/>
          <w:sz w:val="24"/>
          <w:szCs w:val="24"/>
          <w:lang w:val="en-US" w:eastAsia="zh-CN"/>
        </w:rPr>
        <w:t>除尘器、UV光催化活性炭吸附装置</w:t>
      </w:r>
      <w:r>
        <w:rPr>
          <w:rFonts w:ascii="Times New Roman" w:hAnsi="Times New Roman" w:eastAsia="宋体" w:cs="Times New Roman"/>
          <w:color w:val="000000"/>
          <w:sz w:val="24"/>
          <w:szCs w:val="24"/>
          <w:lang w:val="zh-CN"/>
        </w:rPr>
        <w:t>处于良好的运行状态，降低非正常情况发生几率。</w:t>
      </w:r>
      <w:r>
        <w:rPr>
          <w:rFonts w:ascii="Times New Roman" w:hAnsi="Times New Roman" w:eastAsia="宋体" w:cs="Times New Roman"/>
          <w:color w:val="000000"/>
          <w:sz w:val="24"/>
          <w:szCs w:val="24"/>
          <w:lang w:val="en-US" w:eastAsia="zh-CN"/>
        </w:rPr>
        <w:t>为了</w:t>
      </w:r>
      <w:r>
        <w:rPr>
          <w:rFonts w:ascii="Times New Roman" w:hAnsi="Times New Roman" w:eastAsia="宋体" w:cs="Times New Roman"/>
          <w:color w:val="000000"/>
          <w:sz w:val="24"/>
          <w:szCs w:val="24"/>
        </w:rPr>
        <w:t>防止非正常排放，建设单位仍必须严格按照要求正常运作，避免事故排放的发生，并在发现事故排放情况时及时采取有效应急措施，避免对大气环境及周围敏感点产生不利影响。</w:t>
      </w:r>
    </w:p>
    <w:p w14:paraId="4D592F28">
      <w:pPr>
        <w:keepNext/>
        <w:keepLines w:val="0"/>
        <w:pageBreakBefore w:val="0"/>
        <w:spacing w:line="360" w:lineRule="auto"/>
        <w:ind w:firstLine="48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（4）排气筒高度可行性分析</w:t>
      </w:r>
    </w:p>
    <w:p w14:paraId="45AFBC02">
      <w:pPr>
        <w:keepNext/>
        <w:keepLines w:val="0"/>
        <w:pageBreakBefore w:val="0"/>
        <w:spacing w:line="360" w:lineRule="auto"/>
        <w:ind w:firstLine="48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根据预测分析，项目铺装、筛选、干燥工序的粉尘；热压贴面工序的有机废气的浓度及排放速率均能《大气污染物综合排放标准》（GB16297-1996）及</w:t>
      </w:r>
      <w:r>
        <w:rPr>
          <w:rFonts w:ascii="Times New Roman" w:hAnsi="Times New Roman" w:eastAsia="宋体" w:cs="Times New Roman"/>
          <w:color w:val="FF0000"/>
          <w:sz w:val="24"/>
          <w:szCs w:val="24"/>
          <w:lang w:val="zh-CN" w:eastAsia="zh-CN"/>
        </w:rPr>
        <w:t>《合成树脂工业污染物排放标准》（GB31572-2015）</w:t>
      </w:r>
      <w:r>
        <w:rPr>
          <w:rFonts w:hint="eastAsia" w:ascii="Times New Roman" w:hAnsi="Times New Roman" w:eastAsia="宋体" w:cs="Times New Roman"/>
          <w:color w:val="FF0000"/>
          <w:sz w:val="24"/>
          <w:szCs w:val="24"/>
          <w:lang w:val="en-US" w:eastAsia="zh-CN"/>
        </w:rPr>
        <w:t>中的限值要求，因此排气筒高度15m可行。</w:t>
      </w:r>
    </w:p>
    <w:p w14:paraId="580AE154">
      <w:pPr>
        <w:keepNext/>
        <w:keepLines w:val="0"/>
        <w:pageBreakBefore w:val="0"/>
        <w:spacing w:line="360" w:lineRule="auto"/>
        <w:ind w:firstLine="480"/>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FF0000"/>
          <w:sz w:val="24"/>
          <w:szCs w:val="24"/>
          <w:lang w:val="en-US" w:eastAsia="zh-CN"/>
        </w:rPr>
        <w:t>按照</w:t>
      </w:r>
      <w:r>
        <w:rPr>
          <w:rFonts w:ascii="Times New Roman" w:hAnsi="Times New Roman" w:eastAsia="宋体" w:cs="Times New Roman"/>
          <w:color w:val="FF0000"/>
          <w:sz w:val="24"/>
          <w:szCs w:val="24"/>
          <w:lang w:val="zh-CN" w:eastAsia="zh-CN"/>
        </w:rPr>
        <w:t>《锅炉大气污染物排放标准》（GB13271-2014）</w:t>
      </w:r>
      <w:r>
        <w:rPr>
          <w:rFonts w:ascii="Times New Roman" w:hAnsi="Times New Roman" w:eastAsia="宋体" w:cs="Times New Roman"/>
          <w:color w:val="FF0000"/>
          <w:sz w:val="24"/>
          <w:szCs w:val="24"/>
          <w:lang w:val="en-US" w:eastAsia="zh-CN"/>
        </w:rPr>
        <w:t>新建锅炉20t热载体炉烟囱最低允许高度为45m，但是厂区处于机场航线范围内，根据净空相关法律条款，不得修建不符合机场净空要求的建筑物或者设施，因此为了避免对航空飞机飞行造成影响，建设单位将锅炉烟囱设置为25m高，虽然排气筒高度达不到45m，但是根据工程分析，外排烟气可满足</w:t>
      </w:r>
      <w:r>
        <w:rPr>
          <w:rFonts w:ascii="Times New Roman" w:hAnsi="Times New Roman" w:eastAsia="宋体" w:cs="Times New Roman"/>
          <w:color w:val="FF0000"/>
          <w:sz w:val="24"/>
          <w:szCs w:val="24"/>
          <w:lang w:val="zh-CN" w:eastAsia="zh-CN"/>
        </w:rPr>
        <w:t>《锅炉大气污染物排放标准》（GB13271-2014）新建锅炉大气污染物排放标准，</w:t>
      </w:r>
      <w:r>
        <w:rPr>
          <w:rFonts w:ascii="Times New Roman" w:hAnsi="Times New Roman" w:eastAsia="宋体" w:cs="Times New Roman"/>
          <w:color w:val="FF0000"/>
          <w:sz w:val="24"/>
          <w:szCs w:val="24"/>
          <w:lang w:val="en-US" w:eastAsia="zh-CN"/>
        </w:rPr>
        <w:t>同时根据环评预测结果分析，各污染物排放最大落地浓度均低于《环境空气质量标准》(GB3095-2012)二级标准浓度限值，不会周围环境造成影响，因此，热载体炉锅炉通过水膜除尘+电离捕捉器净化处理后，通过25m高烟囱排放的方式是合理的。</w:t>
      </w:r>
    </w:p>
    <w:p w14:paraId="60ACC7DB">
      <w:pPr>
        <w:pStyle w:val="282"/>
        <w:rPr>
          <w:rFonts w:hint="eastAsia" w:ascii="Times New Roman" w:hAnsi="Times New Roman"/>
          <w:b w:val="0"/>
          <w:bCs/>
          <w:lang w:val="en-US" w:eastAsia="zh-CN"/>
        </w:rPr>
      </w:pPr>
      <w:r>
        <w:rPr>
          <w:rFonts w:hint="eastAsia" w:ascii="Times New Roman" w:hAnsi="Times New Roman"/>
          <w:b w:val="0"/>
          <w:bCs/>
          <w:lang w:val="en-US" w:eastAsia="zh-CN"/>
        </w:rPr>
        <w:t>6.2.1.3无</w:t>
      </w:r>
      <w:r>
        <w:rPr>
          <w:rFonts w:ascii="Times New Roman" w:hAnsi="Times New Roman"/>
          <w:b w:val="0"/>
          <w:bCs/>
          <w:lang w:val="en-US" w:eastAsia="zh-CN"/>
        </w:rPr>
        <w:t>组织废气影响预测分析</w:t>
      </w:r>
    </w:p>
    <w:p w14:paraId="5DF3636B">
      <w:pPr>
        <w:pStyle w:val="2"/>
        <w:keepNext w:val="0"/>
        <w:keepLines w:val="0"/>
        <w:pageBreakBefore w:val="0"/>
        <w:widowControl w:val="0"/>
        <w:numPr>
          <w:ilvl w:val="0"/>
          <w:numId w:val="0"/>
        </w:numPr>
        <w:spacing w:line="360" w:lineRule="auto"/>
        <w:ind w:firstLine="480"/>
        <w:rPr>
          <w:rFonts w:eastAsia="宋体"/>
          <w:b w:val="0"/>
          <w:bCs w:val="0"/>
          <w:color w:val="000000"/>
          <w:sz w:val="24"/>
        </w:rPr>
      </w:pPr>
      <w:r>
        <w:rPr>
          <w:rFonts w:hint="eastAsia" w:ascii="Times New Roman" w:hAnsi="Times New Roman" w:eastAsia="宋体" w:cs="Times New Roman"/>
          <w:b w:val="0"/>
          <w:bCs w:val="0"/>
          <w:color w:val="000000"/>
          <w:sz w:val="24"/>
          <w:lang w:val="en-US" w:eastAsia="zh-CN"/>
        </w:rPr>
        <w:t>（1）</w:t>
      </w:r>
      <w:r>
        <w:rPr>
          <w:rFonts w:ascii="Times New Roman" w:hAnsi="Times New Roman" w:eastAsia="宋体" w:cs="Times New Roman"/>
          <w:b w:val="0"/>
          <w:bCs w:val="0"/>
          <w:color w:val="000000"/>
          <w:sz w:val="24"/>
          <w:lang w:val="en-US" w:eastAsia="zh-CN"/>
        </w:rPr>
        <w:t>无组织粉尘排放量汇总</w:t>
      </w:r>
    </w:p>
    <w:p w14:paraId="20788F88">
      <w:pPr>
        <w:pStyle w:val="2"/>
        <w:keepNext w:val="0"/>
        <w:keepLines w:val="0"/>
        <w:pageBreakBefore w:val="0"/>
        <w:widowControl w:val="0"/>
        <w:numPr>
          <w:ilvl w:val="0"/>
          <w:numId w:val="0"/>
        </w:numPr>
        <w:spacing w:line="360" w:lineRule="auto"/>
        <w:ind w:firstLine="2168"/>
        <w:rPr>
          <w:rFonts w:ascii="Times New Roman" w:hAnsi="Times New Roman" w:eastAsia="宋体" w:cs="Times New Roman"/>
          <w:b/>
          <w:bCs/>
          <w:color w:val="000000"/>
          <w:sz w:val="24"/>
        </w:rPr>
      </w:pPr>
      <w:r>
        <w:rPr>
          <w:rFonts w:ascii="Times New Roman" w:hAnsi="Times New Roman" w:eastAsia="宋体" w:cs="Times New Roman"/>
          <w:b/>
          <w:bCs/>
          <w:color w:val="000000"/>
          <w:sz w:val="24"/>
        </w:rPr>
        <w:t>表</w:t>
      </w:r>
      <w:r>
        <w:rPr>
          <w:rFonts w:ascii="Times New Roman" w:hAnsi="Times New Roman" w:eastAsia="宋体" w:cs="Times New Roman"/>
          <w:b/>
          <w:bCs/>
          <w:color w:val="000000"/>
          <w:sz w:val="24"/>
          <w:lang w:val="en-US" w:eastAsia="zh-CN"/>
        </w:rPr>
        <w:t>6.2</w:t>
      </w:r>
      <w:r>
        <w:rPr>
          <w:rFonts w:ascii="Times New Roman" w:hAnsi="Times New Roman" w:eastAsia="宋体" w:cs="Times New Roman"/>
          <w:b/>
          <w:bCs/>
          <w:color w:val="000000"/>
          <w:sz w:val="24"/>
        </w:rPr>
        <w:t>-</w:t>
      </w:r>
      <w:r>
        <w:rPr>
          <w:rFonts w:ascii="Times New Roman" w:hAnsi="Times New Roman" w:eastAsia="宋体" w:cs="Times New Roman"/>
          <w:b/>
          <w:bCs/>
          <w:color w:val="000000"/>
          <w:sz w:val="24"/>
          <w:lang w:val="en-US" w:eastAsia="zh-CN"/>
        </w:rPr>
        <w:t>18</w:t>
      </w:r>
      <w:r>
        <w:rPr>
          <w:rFonts w:ascii="Times New Roman" w:hAnsi="Times New Roman" w:eastAsia="宋体" w:cs="Times New Roman"/>
          <w:b/>
          <w:bCs/>
          <w:color w:val="000000"/>
          <w:sz w:val="24"/>
        </w:rPr>
        <w:t>大气污染物无组织排放量核算表</w:t>
      </w:r>
    </w:p>
    <w:tbl>
      <w:tblPr>
        <w:tblStyle w:val="32"/>
        <w:tblpPr w:leftFromText="180" w:rightFromText="180" w:vertAnchor="text" w:tblpXSpec="center" w:tblpY="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7"/>
        <w:gridCol w:w="651"/>
        <w:gridCol w:w="1307"/>
        <w:gridCol w:w="765"/>
        <w:gridCol w:w="1670"/>
        <w:gridCol w:w="1509"/>
        <w:gridCol w:w="1172"/>
        <w:gridCol w:w="1058"/>
      </w:tblGrid>
      <w:tr w14:paraId="4B848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397" w:type="dxa"/>
            <w:vMerge w:val="restart"/>
            <w:noWrap w:val="0"/>
            <w:vAlign w:val="center"/>
          </w:tcPr>
          <w:p w14:paraId="6C1B5E90">
            <w:pPr>
              <w:pStyle w:val="379"/>
              <w:keepNext/>
              <w:keepLines w:val="0"/>
              <w:pageBreakBefore w:val="0"/>
              <w:spacing w:before="0" w:line="360" w:lineRule="auto"/>
              <w:rPr>
                <w:rFonts w:hint="eastAsia"/>
                <w:color w:val="000000"/>
                <w:sz w:val="21"/>
                <w:szCs w:val="21"/>
              </w:rPr>
            </w:pPr>
            <w:r>
              <w:rPr>
                <w:rFonts w:hint="eastAsia"/>
                <w:color w:val="000000"/>
                <w:sz w:val="21"/>
                <w:szCs w:val="21"/>
              </w:rPr>
              <w:t>序号</w:t>
            </w:r>
          </w:p>
        </w:tc>
        <w:tc>
          <w:tcPr>
            <w:tcW w:w="651" w:type="dxa"/>
            <w:vMerge w:val="restart"/>
            <w:noWrap w:val="0"/>
            <w:vAlign w:val="center"/>
          </w:tcPr>
          <w:p w14:paraId="31DD3101">
            <w:pPr>
              <w:pStyle w:val="379"/>
              <w:keepNext/>
              <w:keepLines w:val="0"/>
              <w:pageBreakBefore w:val="0"/>
              <w:spacing w:before="0" w:line="360" w:lineRule="auto"/>
              <w:rPr>
                <w:rFonts w:hint="eastAsia"/>
                <w:color w:val="000000"/>
                <w:sz w:val="21"/>
                <w:szCs w:val="21"/>
              </w:rPr>
            </w:pPr>
            <w:r>
              <w:rPr>
                <w:rFonts w:hint="eastAsia"/>
                <w:color w:val="000000"/>
                <w:sz w:val="21"/>
                <w:szCs w:val="21"/>
              </w:rPr>
              <w:t>排放口编号</w:t>
            </w:r>
          </w:p>
        </w:tc>
        <w:tc>
          <w:tcPr>
            <w:tcW w:w="1307" w:type="dxa"/>
            <w:vMerge w:val="restart"/>
            <w:noWrap w:val="0"/>
            <w:vAlign w:val="center"/>
          </w:tcPr>
          <w:p w14:paraId="622EFF27">
            <w:pPr>
              <w:pStyle w:val="379"/>
              <w:keepNext/>
              <w:keepLines w:val="0"/>
              <w:pageBreakBefore w:val="0"/>
              <w:spacing w:before="0" w:line="360" w:lineRule="auto"/>
              <w:rPr>
                <w:rFonts w:hint="eastAsia"/>
                <w:color w:val="000000"/>
                <w:sz w:val="21"/>
                <w:szCs w:val="21"/>
              </w:rPr>
            </w:pPr>
            <w:r>
              <w:rPr>
                <w:rFonts w:hint="eastAsia"/>
                <w:color w:val="000000"/>
                <w:sz w:val="21"/>
                <w:szCs w:val="21"/>
              </w:rPr>
              <w:t>产污</w:t>
            </w:r>
            <w:r>
              <w:rPr>
                <w:rFonts w:hint="eastAsia"/>
                <w:color w:val="000000"/>
                <w:sz w:val="21"/>
                <w:szCs w:val="21"/>
              </w:rPr>
              <w:br w:type="textWrapping" w:clear="all"/>
            </w:r>
            <w:r>
              <w:rPr>
                <w:rFonts w:hint="eastAsia"/>
                <w:color w:val="000000"/>
                <w:sz w:val="21"/>
                <w:szCs w:val="21"/>
              </w:rPr>
              <w:t>环节</w:t>
            </w:r>
          </w:p>
        </w:tc>
        <w:tc>
          <w:tcPr>
            <w:tcW w:w="765" w:type="dxa"/>
            <w:vMerge w:val="restart"/>
            <w:noWrap w:val="0"/>
            <w:vAlign w:val="center"/>
          </w:tcPr>
          <w:p w14:paraId="02A77AD6">
            <w:pPr>
              <w:pStyle w:val="379"/>
              <w:keepNext/>
              <w:keepLines w:val="0"/>
              <w:pageBreakBefore w:val="0"/>
              <w:spacing w:before="0" w:line="360" w:lineRule="auto"/>
              <w:rPr>
                <w:rFonts w:hint="eastAsia"/>
                <w:color w:val="000000"/>
                <w:sz w:val="21"/>
                <w:szCs w:val="21"/>
              </w:rPr>
            </w:pPr>
            <w:r>
              <w:rPr>
                <w:rFonts w:hint="eastAsia"/>
                <w:color w:val="000000"/>
                <w:sz w:val="21"/>
                <w:szCs w:val="21"/>
              </w:rPr>
              <w:t>污染物</w:t>
            </w:r>
          </w:p>
        </w:tc>
        <w:tc>
          <w:tcPr>
            <w:tcW w:w="1670" w:type="dxa"/>
            <w:vMerge w:val="restart"/>
            <w:noWrap w:val="0"/>
            <w:vAlign w:val="center"/>
          </w:tcPr>
          <w:p w14:paraId="4A5B24B5">
            <w:pPr>
              <w:pStyle w:val="379"/>
              <w:keepNext/>
              <w:keepLines w:val="0"/>
              <w:pageBreakBefore w:val="0"/>
              <w:spacing w:before="0" w:line="360" w:lineRule="auto"/>
              <w:rPr>
                <w:rFonts w:hint="eastAsia"/>
                <w:color w:val="000000"/>
                <w:sz w:val="21"/>
                <w:szCs w:val="21"/>
              </w:rPr>
            </w:pPr>
            <w:r>
              <w:rPr>
                <w:rFonts w:hint="eastAsia"/>
                <w:color w:val="000000"/>
                <w:sz w:val="21"/>
                <w:szCs w:val="21"/>
              </w:rPr>
              <w:t>主要污染防治措施</w:t>
            </w:r>
          </w:p>
        </w:tc>
        <w:tc>
          <w:tcPr>
            <w:tcW w:w="2681" w:type="dxa"/>
            <w:gridSpan w:val="2"/>
            <w:noWrap w:val="0"/>
            <w:vAlign w:val="center"/>
          </w:tcPr>
          <w:p w14:paraId="6CD9A9F6">
            <w:pPr>
              <w:pStyle w:val="379"/>
              <w:keepNext/>
              <w:keepLines w:val="0"/>
              <w:pageBreakBefore w:val="0"/>
              <w:spacing w:before="0" w:line="360" w:lineRule="auto"/>
              <w:rPr>
                <w:rFonts w:hint="eastAsia"/>
                <w:color w:val="000000"/>
                <w:sz w:val="21"/>
                <w:szCs w:val="21"/>
              </w:rPr>
            </w:pPr>
            <w:r>
              <w:rPr>
                <w:rFonts w:hint="eastAsia"/>
                <w:color w:val="000000"/>
                <w:sz w:val="21"/>
                <w:szCs w:val="21"/>
              </w:rPr>
              <w:t>国家或地方污染物排放标准</w:t>
            </w:r>
          </w:p>
        </w:tc>
        <w:tc>
          <w:tcPr>
            <w:tcW w:w="1058" w:type="dxa"/>
            <w:vMerge w:val="restart"/>
            <w:noWrap w:val="0"/>
            <w:vAlign w:val="center"/>
          </w:tcPr>
          <w:p w14:paraId="6EE97DAF">
            <w:pPr>
              <w:pStyle w:val="379"/>
              <w:keepNext/>
              <w:keepLines w:val="0"/>
              <w:pageBreakBefore w:val="0"/>
              <w:spacing w:before="0" w:line="360" w:lineRule="auto"/>
              <w:rPr>
                <w:rFonts w:hint="eastAsia"/>
                <w:color w:val="000000"/>
                <w:sz w:val="21"/>
                <w:szCs w:val="21"/>
              </w:rPr>
            </w:pPr>
            <w:r>
              <w:rPr>
                <w:rFonts w:hint="eastAsia"/>
                <w:color w:val="000000"/>
                <w:sz w:val="21"/>
                <w:szCs w:val="21"/>
              </w:rPr>
              <w:t>年排放量/（t/a）</w:t>
            </w:r>
          </w:p>
        </w:tc>
      </w:tr>
      <w:tr w14:paraId="01EEF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17" w:hRule="atLeast"/>
          <w:jc w:val="center"/>
        </w:trPr>
        <w:tc>
          <w:tcPr>
            <w:tcW w:w="397" w:type="dxa"/>
            <w:vMerge w:val="continue"/>
            <w:noWrap w:val="0"/>
            <w:vAlign w:val="center"/>
          </w:tcPr>
          <w:p w14:paraId="0A323350">
            <w:pPr>
              <w:pStyle w:val="379"/>
              <w:keepNext/>
              <w:keepLines w:val="0"/>
              <w:pageBreakBefore w:val="0"/>
              <w:spacing w:before="0" w:line="360" w:lineRule="auto"/>
              <w:rPr>
                <w:rFonts w:hint="eastAsia"/>
                <w:color w:val="000000"/>
                <w:sz w:val="21"/>
                <w:szCs w:val="21"/>
              </w:rPr>
            </w:pPr>
          </w:p>
        </w:tc>
        <w:tc>
          <w:tcPr>
            <w:tcW w:w="651" w:type="dxa"/>
            <w:vMerge w:val="continue"/>
            <w:noWrap w:val="0"/>
            <w:vAlign w:val="center"/>
          </w:tcPr>
          <w:p w14:paraId="2D9FD2AA">
            <w:pPr>
              <w:pStyle w:val="379"/>
              <w:keepNext/>
              <w:keepLines w:val="0"/>
              <w:pageBreakBefore w:val="0"/>
              <w:spacing w:before="0" w:line="360" w:lineRule="auto"/>
              <w:rPr>
                <w:rFonts w:hint="eastAsia"/>
                <w:color w:val="000000"/>
                <w:sz w:val="21"/>
                <w:szCs w:val="21"/>
              </w:rPr>
            </w:pPr>
          </w:p>
        </w:tc>
        <w:tc>
          <w:tcPr>
            <w:tcW w:w="1307" w:type="dxa"/>
            <w:vMerge w:val="continue"/>
            <w:noWrap w:val="0"/>
            <w:vAlign w:val="center"/>
          </w:tcPr>
          <w:p w14:paraId="6079823D">
            <w:pPr>
              <w:pStyle w:val="379"/>
              <w:keepNext/>
              <w:keepLines w:val="0"/>
              <w:pageBreakBefore w:val="0"/>
              <w:spacing w:before="0" w:line="360" w:lineRule="auto"/>
              <w:rPr>
                <w:rFonts w:hint="eastAsia"/>
                <w:color w:val="000000"/>
                <w:sz w:val="21"/>
                <w:szCs w:val="21"/>
              </w:rPr>
            </w:pPr>
          </w:p>
        </w:tc>
        <w:tc>
          <w:tcPr>
            <w:tcW w:w="765" w:type="dxa"/>
            <w:vMerge w:val="continue"/>
            <w:noWrap w:val="0"/>
            <w:vAlign w:val="center"/>
          </w:tcPr>
          <w:p w14:paraId="12063FEA">
            <w:pPr>
              <w:pStyle w:val="379"/>
              <w:keepNext/>
              <w:keepLines w:val="0"/>
              <w:pageBreakBefore w:val="0"/>
              <w:spacing w:before="0" w:line="360" w:lineRule="auto"/>
              <w:rPr>
                <w:rFonts w:hint="eastAsia"/>
                <w:color w:val="000000"/>
                <w:sz w:val="21"/>
                <w:szCs w:val="21"/>
              </w:rPr>
            </w:pPr>
          </w:p>
        </w:tc>
        <w:tc>
          <w:tcPr>
            <w:tcW w:w="1670" w:type="dxa"/>
            <w:vMerge w:val="continue"/>
            <w:noWrap w:val="0"/>
            <w:vAlign w:val="center"/>
          </w:tcPr>
          <w:p w14:paraId="71913EF2">
            <w:pPr>
              <w:pStyle w:val="379"/>
              <w:keepNext/>
              <w:keepLines w:val="0"/>
              <w:pageBreakBefore w:val="0"/>
              <w:spacing w:before="0" w:line="360" w:lineRule="auto"/>
              <w:rPr>
                <w:rFonts w:hint="eastAsia"/>
                <w:color w:val="000000"/>
                <w:sz w:val="21"/>
                <w:szCs w:val="21"/>
              </w:rPr>
            </w:pPr>
          </w:p>
        </w:tc>
        <w:tc>
          <w:tcPr>
            <w:tcW w:w="1509" w:type="dxa"/>
            <w:noWrap w:val="0"/>
            <w:vAlign w:val="center"/>
          </w:tcPr>
          <w:p w14:paraId="6745599E">
            <w:pPr>
              <w:pStyle w:val="379"/>
              <w:keepNext/>
              <w:keepLines w:val="0"/>
              <w:pageBreakBefore w:val="0"/>
              <w:spacing w:before="0" w:line="360" w:lineRule="auto"/>
              <w:rPr>
                <w:rFonts w:hint="eastAsia"/>
                <w:color w:val="000000"/>
                <w:sz w:val="21"/>
                <w:szCs w:val="21"/>
              </w:rPr>
            </w:pPr>
            <w:r>
              <w:rPr>
                <w:rFonts w:hint="eastAsia"/>
                <w:color w:val="000000"/>
                <w:sz w:val="21"/>
                <w:szCs w:val="21"/>
              </w:rPr>
              <w:t>标准名称</w:t>
            </w:r>
          </w:p>
        </w:tc>
        <w:tc>
          <w:tcPr>
            <w:tcW w:w="1172" w:type="dxa"/>
            <w:noWrap w:val="0"/>
            <w:vAlign w:val="center"/>
          </w:tcPr>
          <w:p w14:paraId="55F453CA">
            <w:pPr>
              <w:pStyle w:val="379"/>
              <w:keepNext/>
              <w:keepLines w:val="0"/>
              <w:pageBreakBefore w:val="0"/>
              <w:spacing w:before="0" w:line="360" w:lineRule="auto"/>
              <w:rPr>
                <w:rFonts w:hint="eastAsia"/>
                <w:color w:val="000000"/>
                <w:sz w:val="21"/>
                <w:szCs w:val="21"/>
              </w:rPr>
            </w:pPr>
            <w:r>
              <w:rPr>
                <w:rFonts w:hint="eastAsia"/>
                <w:color w:val="000000"/>
                <w:sz w:val="21"/>
                <w:szCs w:val="21"/>
              </w:rPr>
              <w:t>浓度限值/</w:t>
            </w:r>
          </w:p>
          <w:p w14:paraId="2136E1C4">
            <w:pPr>
              <w:pStyle w:val="379"/>
              <w:keepNext/>
              <w:keepLines w:val="0"/>
              <w:pageBreakBefore w:val="0"/>
              <w:spacing w:before="0" w:line="360" w:lineRule="auto"/>
              <w:rPr>
                <w:rFonts w:hint="eastAsia"/>
                <w:color w:val="000000"/>
                <w:sz w:val="21"/>
                <w:szCs w:val="21"/>
              </w:rPr>
            </w:pPr>
            <w:r>
              <w:rPr>
                <w:rFonts w:hint="eastAsia"/>
                <w:color w:val="000000"/>
                <w:sz w:val="21"/>
                <w:szCs w:val="21"/>
              </w:rPr>
              <w:t>（μg/m3）</w:t>
            </w:r>
          </w:p>
        </w:tc>
        <w:tc>
          <w:tcPr>
            <w:tcW w:w="1058" w:type="dxa"/>
            <w:vMerge w:val="continue"/>
            <w:noWrap w:val="0"/>
            <w:vAlign w:val="center"/>
          </w:tcPr>
          <w:p w14:paraId="5527BD5F">
            <w:pPr>
              <w:pStyle w:val="379"/>
              <w:keepNext/>
              <w:keepLines w:val="0"/>
              <w:pageBreakBefore w:val="0"/>
              <w:spacing w:before="0" w:line="360" w:lineRule="auto"/>
              <w:rPr>
                <w:rFonts w:hint="eastAsia"/>
                <w:color w:val="000000"/>
                <w:sz w:val="21"/>
                <w:szCs w:val="21"/>
              </w:rPr>
            </w:pPr>
          </w:p>
        </w:tc>
      </w:tr>
      <w:tr w14:paraId="50DB8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87" w:hRule="atLeast"/>
          <w:jc w:val="center"/>
        </w:trPr>
        <w:tc>
          <w:tcPr>
            <w:tcW w:w="397" w:type="dxa"/>
            <w:noWrap w:val="0"/>
            <w:vAlign w:val="center"/>
          </w:tcPr>
          <w:p w14:paraId="0F66436E">
            <w:pPr>
              <w:pStyle w:val="379"/>
              <w:keepNext/>
              <w:keepLines w:val="0"/>
              <w:pageBreakBefore w:val="0"/>
              <w:spacing w:before="0" w:line="360" w:lineRule="auto"/>
              <w:rPr>
                <w:rFonts w:hint="eastAsia"/>
                <w:color w:val="000000"/>
                <w:sz w:val="21"/>
                <w:szCs w:val="21"/>
              </w:rPr>
            </w:pPr>
            <w:r>
              <w:rPr>
                <w:rFonts w:hint="eastAsia"/>
                <w:color w:val="000000"/>
                <w:sz w:val="21"/>
                <w:szCs w:val="21"/>
              </w:rPr>
              <w:t>1</w:t>
            </w:r>
          </w:p>
        </w:tc>
        <w:tc>
          <w:tcPr>
            <w:tcW w:w="651" w:type="dxa"/>
            <w:noWrap w:val="0"/>
            <w:vAlign w:val="center"/>
          </w:tcPr>
          <w:p w14:paraId="76739F0B">
            <w:pPr>
              <w:pStyle w:val="379"/>
              <w:keepNext/>
              <w:keepLines w:val="0"/>
              <w:pageBreakBefore w:val="0"/>
              <w:spacing w:before="0" w:line="360" w:lineRule="auto"/>
              <w:rPr>
                <w:rFonts w:hint="eastAsia"/>
                <w:color w:val="000000"/>
                <w:sz w:val="21"/>
                <w:szCs w:val="21"/>
              </w:rPr>
            </w:pPr>
            <w:r>
              <w:rPr>
                <w:rFonts w:hint="eastAsia"/>
                <w:color w:val="000000"/>
                <w:sz w:val="21"/>
                <w:szCs w:val="21"/>
              </w:rPr>
              <w:t>/</w:t>
            </w:r>
          </w:p>
        </w:tc>
        <w:tc>
          <w:tcPr>
            <w:tcW w:w="1307" w:type="dxa"/>
            <w:noWrap w:val="0"/>
            <w:vAlign w:val="center"/>
          </w:tcPr>
          <w:p w14:paraId="0B9157FF">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刨片</w:t>
            </w:r>
          </w:p>
        </w:tc>
        <w:tc>
          <w:tcPr>
            <w:tcW w:w="765" w:type="dxa"/>
            <w:vMerge w:val="restart"/>
            <w:noWrap w:val="0"/>
            <w:vAlign w:val="center"/>
          </w:tcPr>
          <w:p w14:paraId="090DCE69">
            <w:pPr>
              <w:pStyle w:val="379"/>
              <w:keepNext/>
              <w:keepLines w:val="0"/>
              <w:pageBreakBefore w:val="0"/>
              <w:spacing w:before="0" w:line="360" w:lineRule="auto"/>
              <w:rPr>
                <w:rFonts w:hint="eastAsia"/>
                <w:color w:val="000000"/>
                <w:sz w:val="21"/>
                <w:szCs w:val="21"/>
              </w:rPr>
            </w:pPr>
            <w:r>
              <w:rPr>
                <w:rFonts w:hint="eastAsia"/>
                <w:color w:val="000000"/>
                <w:sz w:val="21"/>
                <w:szCs w:val="21"/>
              </w:rPr>
              <w:t>TSP</w:t>
            </w:r>
          </w:p>
          <w:p w14:paraId="45A59181">
            <w:pPr>
              <w:pStyle w:val="379"/>
              <w:keepNext/>
              <w:keepLines w:val="0"/>
              <w:pageBreakBefore w:val="0"/>
              <w:spacing w:before="0" w:line="360" w:lineRule="auto"/>
              <w:rPr>
                <w:rFonts w:hint="eastAsia"/>
                <w:color w:val="000000"/>
                <w:sz w:val="21"/>
                <w:szCs w:val="21"/>
              </w:rPr>
            </w:pPr>
          </w:p>
        </w:tc>
        <w:tc>
          <w:tcPr>
            <w:tcW w:w="1670" w:type="dxa"/>
            <w:noWrap w:val="0"/>
            <w:vAlign w:val="center"/>
          </w:tcPr>
          <w:p w14:paraId="2F40654F">
            <w:pPr>
              <w:pStyle w:val="379"/>
              <w:keepNext/>
              <w:keepLines w:val="0"/>
              <w:pageBreakBefore w:val="0"/>
              <w:spacing w:before="0" w:line="360" w:lineRule="auto"/>
              <w:rPr>
                <w:color w:val="000000"/>
                <w:sz w:val="21"/>
                <w:szCs w:val="21"/>
                <w:lang w:val="en-US" w:eastAsia="zh-CN"/>
              </w:rPr>
            </w:pPr>
            <w:r>
              <w:rPr>
                <w:rFonts w:hint="eastAsia" w:ascii="Times New Roman" w:hAnsi="宋体" w:eastAsia="Times New Roman" w:cs="宋体"/>
                <w:color w:val="000000"/>
                <w:sz w:val="21"/>
                <w:szCs w:val="21"/>
                <w:lang w:val="en-US" w:eastAsia="zh-CN" w:bidi="zh-CN"/>
              </w:rPr>
              <w:t>环刨设置</w:t>
            </w:r>
            <w:r>
              <w:rPr>
                <w:rFonts w:hint="eastAsia" w:ascii="Times New Roman" w:hAnsi="Times New Roman" w:eastAsia="宋体" w:cs="Times New Roman"/>
                <w:bCs/>
                <w:color w:val="000000"/>
                <w:spacing w:val="8"/>
                <w:sz w:val="21"/>
                <w:szCs w:val="21"/>
                <w:lang w:val="en-US" w:eastAsia="zh-CN"/>
              </w:rPr>
              <w:t>布袋收尘装置，无呈组织排放；其余刨片机在出料口增设自制的小型布袋除尘器，除尘效率为99%</w:t>
            </w:r>
          </w:p>
        </w:tc>
        <w:tc>
          <w:tcPr>
            <w:tcW w:w="1509" w:type="dxa"/>
            <w:vMerge w:val="restart"/>
            <w:noWrap w:val="0"/>
            <w:vAlign w:val="center"/>
          </w:tcPr>
          <w:p w14:paraId="02606D7F">
            <w:pPr>
              <w:pStyle w:val="379"/>
              <w:keepNext/>
              <w:keepLines w:val="0"/>
              <w:pageBreakBefore w:val="0"/>
              <w:spacing w:before="0" w:line="360" w:lineRule="auto"/>
              <w:rPr>
                <w:rFonts w:hint="eastAsia"/>
                <w:color w:val="000000"/>
                <w:sz w:val="21"/>
                <w:szCs w:val="21"/>
              </w:rPr>
            </w:pPr>
            <w:r>
              <w:rPr>
                <w:rFonts w:hint="eastAsia"/>
                <w:color w:val="000000"/>
                <w:sz w:val="21"/>
                <w:szCs w:val="21"/>
              </w:rPr>
              <w:t>《大气污染物综合排放标准》（GB16297—1996）</w:t>
            </w:r>
          </w:p>
        </w:tc>
        <w:tc>
          <w:tcPr>
            <w:tcW w:w="1172" w:type="dxa"/>
            <w:vMerge w:val="restart"/>
            <w:noWrap w:val="0"/>
            <w:vAlign w:val="center"/>
          </w:tcPr>
          <w:p w14:paraId="74205FD5">
            <w:pPr>
              <w:pStyle w:val="379"/>
              <w:keepNext/>
              <w:keepLines w:val="0"/>
              <w:pageBreakBefore w:val="0"/>
              <w:spacing w:before="0" w:line="360" w:lineRule="auto"/>
              <w:rPr>
                <w:rFonts w:hint="eastAsia"/>
                <w:color w:val="000000"/>
                <w:sz w:val="21"/>
                <w:szCs w:val="21"/>
              </w:rPr>
            </w:pPr>
            <w:r>
              <w:rPr>
                <w:rFonts w:hint="eastAsia"/>
                <w:color w:val="000000"/>
                <w:sz w:val="21"/>
                <w:szCs w:val="21"/>
              </w:rPr>
              <w:t>1000</w:t>
            </w:r>
          </w:p>
        </w:tc>
        <w:tc>
          <w:tcPr>
            <w:tcW w:w="1058" w:type="dxa"/>
            <w:noWrap w:val="0"/>
            <w:vAlign w:val="center"/>
          </w:tcPr>
          <w:p w14:paraId="2C6B3CF8">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0.225</w:t>
            </w:r>
          </w:p>
        </w:tc>
      </w:tr>
      <w:tr w14:paraId="36537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87" w:hRule="atLeast"/>
          <w:jc w:val="center"/>
        </w:trPr>
        <w:tc>
          <w:tcPr>
            <w:tcW w:w="397" w:type="dxa"/>
            <w:noWrap w:val="0"/>
            <w:vAlign w:val="center"/>
          </w:tcPr>
          <w:p w14:paraId="6CBBEB54">
            <w:pPr>
              <w:pStyle w:val="379"/>
              <w:keepNext/>
              <w:keepLines w:val="0"/>
              <w:pageBreakBefore w:val="0"/>
              <w:spacing w:before="0" w:line="360" w:lineRule="auto"/>
              <w:rPr>
                <w:rFonts w:hint="eastAsia"/>
                <w:color w:val="000000"/>
                <w:sz w:val="21"/>
                <w:szCs w:val="21"/>
              </w:rPr>
            </w:pPr>
            <w:r>
              <w:rPr>
                <w:rFonts w:hint="eastAsia"/>
                <w:color w:val="000000"/>
                <w:sz w:val="21"/>
                <w:szCs w:val="21"/>
              </w:rPr>
              <w:t>2</w:t>
            </w:r>
          </w:p>
        </w:tc>
        <w:tc>
          <w:tcPr>
            <w:tcW w:w="651" w:type="dxa"/>
            <w:noWrap w:val="0"/>
            <w:vAlign w:val="center"/>
          </w:tcPr>
          <w:p w14:paraId="3C32EEE7">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w:t>
            </w:r>
          </w:p>
        </w:tc>
        <w:tc>
          <w:tcPr>
            <w:tcW w:w="1307" w:type="dxa"/>
            <w:noWrap w:val="0"/>
            <w:vAlign w:val="center"/>
          </w:tcPr>
          <w:p w14:paraId="72D7AF25">
            <w:pPr>
              <w:pStyle w:val="379"/>
              <w:keepNext/>
              <w:keepLines w:val="0"/>
              <w:pageBreakBefore w:val="0"/>
              <w:spacing w:before="0" w:line="360" w:lineRule="auto"/>
              <w:rPr>
                <w:color w:val="000000"/>
                <w:sz w:val="21"/>
                <w:szCs w:val="21"/>
                <w:lang w:val="en-US"/>
              </w:rPr>
            </w:pPr>
            <w:r>
              <w:rPr>
                <w:rFonts w:hint="eastAsia"/>
                <w:color w:val="000000"/>
                <w:sz w:val="21"/>
                <w:szCs w:val="21"/>
                <w:lang w:val="en-US" w:eastAsia="zh-CN"/>
              </w:rPr>
              <w:t>锯边、砂光、开槽工段</w:t>
            </w:r>
          </w:p>
        </w:tc>
        <w:tc>
          <w:tcPr>
            <w:tcW w:w="765" w:type="dxa"/>
            <w:vMerge w:val="continue"/>
            <w:noWrap w:val="0"/>
            <w:vAlign w:val="center"/>
          </w:tcPr>
          <w:p w14:paraId="155FD883">
            <w:pPr>
              <w:pStyle w:val="379"/>
              <w:keepNext/>
              <w:keepLines w:val="0"/>
              <w:pageBreakBefore w:val="0"/>
              <w:spacing w:before="0" w:line="360" w:lineRule="auto"/>
              <w:rPr>
                <w:rFonts w:hint="eastAsia"/>
                <w:color w:val="000000"/>
                <w:sz w:val="21"/>
                <w:szCs w:val="21"/>
              </w:rPr>
            </w:pPr>
          </w:p>
        </w:tc>
        <w:tc>
          <w:tcPr>
            <w:tcW w:w="1670" w:type="dxa"/>
            <w:noWrap w:val="0"/>
            <w:vAlign w:val="center"/>
          </w:tcPr>
          <w:p w14:paraId="482FFC5D">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正压布袋除尘器（1备1用）</w:t>
            </w:r>
          </w:p>
        </w:tc>
        <w:tc>
          <w:tcPr>
            <w:tcW w:w="1509" w:type="dxa"/>
            <w:vMerge w:val="continue"/>
            <w:noWrap w:val="0"/>
            <w:vAlign w:val="center"/>
          </w:tcPr>
          <w:p w14:paraId="432A3402">
            <w:pPr>
              <w:pStyle w:val="379"/>
              <w:keepNext/>
              <w:keepLines w:val="0"/>
              <w:pageBreakBefore w:val="0"/>
              <w:spacing w:before="0" w:line="360" w:lineRule="auto"/>
              <w:rPr>
                <w:rFonts w:hint="eastAsia"/>
                <w:color w:val="000000"/>
                <w:sz w:val="21"/>
                <w:szCs w:val="21"/>
              </w:rPr>
            </w:pPr>
          </w:p>
        </w:tc>
        <w:tc>
          <w:tcPr>
            <w:tcW w:w="1172" w:type="dxa"/>
            <w:vMerge w:val="continue"/>
            <w:noWrap w:val="0"/>
            <w:vAlign w:val="center"/>
          </w:tcPr>
          <w:p w14:paraId="2427F66C">
            <w:pPr>
              <w:pStyle w:val="379"/>
              <w:keepNext/>
              <w:keepLines w:val="0"/>
              <w:pageBreakBefore w:val="0"/>
              <w:spacing w:before="0" w:line="360" w:lineRule="auto"/>
              <w:rPr>
                <w:rFonts w:hint="eastAsia"/>
                <w:color w:val="000000"/>
                <w:sz w:val="21"/>
                <w:szCs w:val="21"/>
              </w:rPr>
            </w:pPr>
          </w:p>
        </w:tc>
        <w:tc>
          <w:tcPr>
            <w:tcW w:w="1058" w:type="dxa"/>
            <w:noWrap w:val="0"/>
            <w:vAlign w:val="center"/>
          </w:tcPr>
          <w:p w14:paraId="6FB6797A">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0.58</w:t>
            </w:r>
          </w:p>
        </w:tc>
      </w:tr>
      <w:tr w14:paraId="000A0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87" w:hRule="atLeast"/>
          <w:jc w:val="center"/>
        </w:trPr>
        <w:tc>
          <w:tcPr>
            <w:tcW w:w="397" w:type="dxa"/>
            <w:noWrap w:val="0"/>
            <w:vAlign w:val="center"/>
          </w:tcPr>
          <w:p w14:paraId="1143C5B7">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3</w:t>
            </w:r>
          </w:p>
        </w:tc>
        <w:tc>
          <w:tcPr>
            <w:tcW w:w="651" w:type="dxa"/>
            <w:noWrap w:val="0"/>
            <w:vAlign w:val="center"/>
          </w:tcPr>
          <w:p w14:paraId="742B8DC1">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w:t>
            </w:r>
          </w:p>
        </w:tc>
        <w:tc>
          <w:tcPr>
            <w:tcW w:w="1307" w:type="dxa"/>
            <w:noWrap w:val="0"/>
            <w:vAlign w:val="center"/>
          </w:tcPr>
          <w:p w14:paraId="0978004C">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甲醛储存</w:t>
            </w:r>
          </w:p>
        </w:tc>
        <w:tc>
          <w:tcPr>
            <w:tcW w:w="765" w:type="dxa"/>
            <w:noWrap w:val="0"/>
            <w:vAlign w:val="center"/>
          </w:tcPr>
          <w:p w14:paraId="7B5E2FE8">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甲醛</w:t>
            </w:r>
          </w:p>
        </w:tc>
        <w:tc>
          <w:tcPr>
            <w:tcW w:w="1670" w:type="dxa"/>
            <w:noWrap w:val="0"/>
            <w:vAlign w:val="center"/>
          </w:tcPr>
          <w:p w14:paraId="483E6B56">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加强管理</w:t>
            </w:r>
          </w:p>
        </w:tc>
        <w:tc>
          <w:tcPr>
            <w:tcW w:w="1509" w:type="dxa"/>
            <w:vMerge w:val="continue"/>
            <w:noWrap w:val="0"/>
            <w:vAlign w:val="center"/>
          </w:tcPr>
          <w:p w14:paraId="05DED5F3">
            <w:pPr>
              <w:pStyle w:val="379"/>
              <w:keepNext/>
              <w:keepLines w:val="0"/>
              <w:pageBreakBefore w:val="0"/>
              <w:spacing w:before="0" w:line="360" w:lineRule="auto"/>
              <w:rPr>
                <w:rFonts w:hint="eastAsia"/>
                <w:color w:val="000000"/>
                <w:sz w:val="21"/>
                <w:szCs w:val="21"/>
              </w:rPr>
            </w:pPr>
          </w:p>
        </w:tc>
        <w:tc>
          <w:tcPr>
            <w:tcW w:w="1172" w:type="dxa"/>
            <w:noWrap w:val="0"/>
            <w:vAlign w:val="center"/>
          </w:tcPr>
          <w:p w14:paraId="62336549">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200</w:t>
            </w:r>
          </w:p>
        </w:tc>
        <w:tc>
          <w:tcPr>
            <w:tcW w:w="1058" w:type="dxa"/>
            <w:noWrap w:val="0"/>
            <w:vAlign w:val="center"/>
          </w:tcPr>
          <w:p w14:paraId="7D18CE80">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0.00109</w:t>
            </w:r>
          </w:p>
        </w:tc>
      </w:tr>
      <w:tr w14:paraId="222D0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0" w:hRule="atLeast"/>
          <w:jc w:val="center"/>
        </w:trPr>
        <w:tc>
          <w:tcPr>
            <w:tcW w:w="8529" w:type="dxa"/>
            <w:gridSpan w:val="8"/>
            <w:noWrap w:val="0"/>
            <w:vAlign w:val="center"/>
          </w:tcPr>
          <w:p w14:paraId="4C9C045B">
            <w:pPr>
              <w:pStyle w:val="379"/>
              <w:keepNext/>
              <w:keepLines w:val="0"/>
              <w:pageBreakBefore w:val="0"/>
              <w:spacing w:before="0" w:line="360" w:lineRule="auto"/>
              <w:rPr>
                <w:rFonts w:hint="eastAsia"/>
                <w:color w:val="000000"/>
                <w:sz w:val="21"/>
                <w:szCs w:val="21"/>
              </w:rPr>
            </w:pPr>
            <w:r>
              <w:rPr>
                <w:rFonts w:hint="eastAsia"/>
                <w:color w:val="000000"/>
                <w:sz w:val="21"/>
                <w:szCs w:val="21"/>
              </w:rPr>
              <w:t>无组织排放总计</w:t>
            </w:r>
          </w:p>
        </w:tc>
      </w:tr>
      <w:tr w14:paraId="60E62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67" w:hRule="atLeast"/>
          <w:jc w:val="center"/>
        </w:trPr>
        <w:tc>
          <w:tcPr>
            <w:tcW w:w="3120" w:type="dxa"/>
            <w:gridSpan w:val="4"/>
            <w:vMerge w:val="restart"/>
            <w:noWrap w:val="0"/>
            <w:vAlign w:val="center"/>
          </w:tcPr>
          <w:p w14:paraId="501C73B5">
            <w:pPr>
              <w:pStyle w:val="379"/>
              <w:keepNext/>
              <w:keepLines w:val="0"/>
              <w:pageBreakBefore w:val="0"/>
              <w:spacing w:before="0" w:line="360" w:lineRule="auto"/>
              <w:rPr>
                <w:rFonts w:hint="eastAsia"/>
                <w:color w:val="000000"/>
                <w:sz w:val="21"/>
                <w:szCs w:val="21"/>
              </w:rPr>
            </w:pPr>
            <w:r>
              <w:rPr>
                <w:rFonts w:hint="eastAsia"/>
                <w:color w:val="000000"/>
                <w:sz w:val="21"/>
                <w:szCs w:val="21"/>
              </w:rPr>
              <w:t>无组织排放总计</w:t>
            </w:r>
          </w:p>
        </w:tc>
        <w:tc>
          <w:tcPr>
            <w:tcW w:w="3179" w:type="dxa"/>
            <w:gridSpan w:val="2"/>
            <w:noWrap w:val="0"/>
            <w:vAlign w:val="center"/>
          </w:tcPr>
          <w:p w14:paraId="0D3C8322">
            <w:pPr>
              <w:pStyle w:val="379"/>
              <w:keepNext/>
              <w:keepLines w:val="0"/>
              <w:pageBreakBefore w:val="0"/>
              <w:spacing w:before="0" w:line="360" w:lineRule="auto"/>
              <w:rPr>
                <w:rFonts w:hint="eastAsia"/>
                <w:color w:val="000000"/>
                <w:sz w:val="21"/>
                <w:szCs w:val="21"/>
              </w:rPr>
            </w:pPr>
            <w:r>
              <w:rPr>
                <w:rFonts w:hint="eastAsia"/>
                <w:color w:val="000000"/>
                <w:sz w:val="21"/>
                <w:szCs w:val="21"/>
              </w:rPr>
              <w:t>颗粒物</w:t>
            </w:r>
          </w:p>
        </w:tc>
        <w:tc>
          <w:tcPr>
            <w:tcW w:w="2230" w:type="dxa"/>
            <w:gridSpan w:val="2"/>
            <w:noWrap w:val="0"/>
            <w:vAlign w:val="center"/>
          </w:tcPr>
          <w:p w14:paraId="3D89D51A">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0.805</w:t>
            </w:r>
          </w:p>
        </w:tc>
      </w:tr>
      <w:tr w14:paraId="2A7EA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67" w:hRule="atLeast"/>
          <w:jc w:val="center"/>
        </w:trPr>
        <w:tc>
          <w:tcPr>
            <w:tcW w:w="3120" w:type="dxa"/>
            <w:gridSpan w:val="4"/>
            <w:vMerge w:val="continue"/>
            <w:noWrap w:val="0"/>
            <w:vAlign w:val="center"/>
          </w:tcPr>
          <w:p w14:paraId="69B8B9D6">
            <w:pPr>
              <w:pStyle w:val="379"/>
              <w:keepNext/>
              <w:keepLines w:val="0"/>
              <w:pageBreakBefore w:val="0"/>
              <w:spacing w:before="0" w:line="360" w:lineRule="auto"/>
              <w:rPr>
                <w:rFonts w:hint="eastAsia"/>
                <w:color w:val="000000"/>
                <w:sz w:val="21"/>
                <w:szCs w:val="21"/>
              </w:rPr>
            </w:pPr>
          </w:p>
        </w:tc>
        <w:tc>
          <w:tcPr>
            <w:tcW w:w="3179" w:type="dxa"/>
            <w:gridSpan w:val="2"/>
            <w:noWrap w:val="0"/>
            <w:vAlign w:val="center"/>
          </w:tcPr>
          <w:p w14:paraId="1062A35D">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甲醛</w:t>
            </w:r>
          </w:p>
        </w:tc>
        <w:tc>
          <w:tcPr>
            <w:tcW w:w="2230" w:type="dxa"/>
            <w:gridSpan w:val="2"/>
            <w:noWrap w:val="0"/>
            <w:vAlign w:val="center"/>
          </w:tcPr>
          <w:p w14:paraId="0C445FA5">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0.00109</w:t>
            </w:r>
          </w:p>
        </w:tc>
      </w:tr>
    </w:tbl>
    <w:p w14:paraId="7A5BAD04">
      <w:pPr>
        <w:keepNext w:val="0"/>
        <w:keepLines w:val="0"/>
        <w:pageBreakBefore w:val="0"/>
        <w:widowControl/>
        <w:numPr>
          <w:ilvl w:val="0"/>
          <w:numId w:val="0"/>
        </w:numPr>
        <w:spacing w:line="360" w:lineRule="auto"/>
        <w:rPr>
          <w:color w:val="000000"/>
          <w:sz w:val="24"/>
        </w:rPr>
      </w:pPr>
      <w:r>
        <w:rPr>
          <w:rFonts w:hint="eastAsia"/>
          <w:bCs/>
          <w:color w:val="000000"/>
          <w:sz w:val="24"/>
          <w:lang w:eastAsia="zh-CN"/>
        </w:rPr>
        <w:t>（</w:t>
      </w:r>
      <w:r>
        <w:rPr>
          <w:rFonts w:hint="eastAsia"/>
          <w:bCs/>
          <w:color w:val="000000"/>
          <w:sz w:val="24"/>
          <w:lang w:val="en-US" w:eastAsia="zh-CN"/>
        </w:rPr>
        <w:t>2</w:t>
      </w:r>
      <w:r>
        <w:rPr>
          <w:rFonts w:hint="eastAsia"/>
          <w:bCs/>
          <w:color w:val="000000"/>
          <w:sz w:val="24"/>
          <w:lang w:eastAsia="zh-CN"/>
        </w:rPr>
        <w:t>）</w:t>
      </w:r>
      <w:r>
        <w:rPr>
          <w:rFonts w:hint="eastAsia"/>
          <w:bCs/>
          <w:color w:val="000000"/>
          <w:sz w:val="24"/>
        </w:rPr>
        <w:t>大气预测分析</w:t>
      </w:r>
      <w:r>
        <w:rPr>
          <w:rFonts w:hint="eastAsia"/>
          <w:bCs/>
          <w:color w:val="000000"/>
          <w:sz w:val="24"/>
          <w:lang w:val="en-US" w:eastAsia="zh-CN"/>
        </w:rPr>
        <w:t xml:space="preserve"> </w:t>
      </w:r>
    </w:p>
    <w:p w14:paraId="68FAB289">
      <w:pPr>
        <w:keepNext w:val="0"/>
        <w:keepLines w:val="0"/>
        <w:pageBreakBefore w:val="0"/>
        <w:widowControl/>
        <w:numPr>
          <w:ilvl w:val="0"/>
          <w:numId w:val="0"/>
        </w:numPr>
        <w:spacing w:line="360" w:lineRule="auto"/>
        <w:ind w:firstLine="720"/>
        <w:rPr>
          <w:color w:val="000000"/>
          <w:sz w:val="24"/>
        </w:rPr>
      </w:pPr>
      <w:r>
        <w:rPr>
          <w:color w:val="000000"/>
          <w:sz w:val="24"/>
        </w:rPr>
        <w:t>预测根据《环境影响评价技术导则大气环境》（HJ 2.2-2018）中推荐的AerScreen估算模式进行估算，预测情景为正常排放。</w:t>
      </w:r>
    </w:p>
    <w:p w14:paraId="14C642C9">
      <w:pPr>
        <w:keepNext w:val="0"/>
        <w:keepLines w:val="0"/>
        <w:pageBreakBefore w:val="0"/>
        <w:widowControl/>
        <w:numPr>
          <w:ilvl w:val="0"/>
          <w:numId w:val="0"/>
        </w:numPr>
        <w:spacing w:line="360" w:lineRule="auto"/>
        <w:ind w:firstLine="720"/>
        <w:rPr>
          <w:color w:val="000000"/>
          <w:sz w:val="24"/>
        </w:rPr>
      </w:pPr>
      <w:r>
        <w:rPr>
          <w:color w:val="000000"/>
          <w:sz w:val="24"/>
        </w:rPr>
        <w:t>①预测因子</w:t>
      </w:r>
    </w:p>
    <w:p w14:paraId="31247C52">
      <w:pPr>
        <w:keepNext w:val="0"/>
        <w:keepLines w:val="0"/>
        <w:pageBreakBefore w:val="0"/>
        <w:widowControl/>
        <w:numPr>
          <w:ilvl w:val="0"/>
          <w:numId w:val="0"/>
        </w:numPr>
        <w:spacing w:line="360" w:lineRule="auto"/>
        <w:ind w:firstLine="720"/>
        <w:rPr>
          <w:color w:val="000000"/>
          <w:sz w:val="24"/>
        </w:rPr>
      </w:pPr>
      <w:r>
        <w:rPr>
          <w:color w:val="000000"/>
          <w:sz w:val="24"/>
        </w:rPr>
        <w:t>评价等级及评价范围确定，选择项目污染源正常排放的主要污染物及排放参数（</w:t>
      </w:r>
      <w:r>
        <w:rPr>
          <w:rFonts w:hint="eastAsia"/>
          <w:color w:val="000000"/>
          <w:sz w:val="24"/>
        </w:rPr>
        <w:t>TSP</w:t>
      </w:r>
      <w:r>
        <w:rPr>
          <w:rFonts w:hint="eastAsia"/>
          <w:color w:val="000000"/>
          <w:sz w:val="24"/>
          <w:lang w:eastAsia="zh-CN"/>
        </w:rPr>
        <w:t>、</w:t>
      </w:r>
      <w:r>
        <w:rPr>
          <w:rFonts w:hint="eastAsia"/>
          <w:color w:val="000000"/>
          <w:sz w:val="24"/>
          <w:lang w:val="en-US" w:eastAsia="zh-CN"/>
        </w:rPr>
        <w:t>甲醛</w:t>
      </w:r>
      <w:r>
        <w:rPr>
          <w:color w:val="000000"/>
          <w:sz w:val="24"/>
        </w:rPr>
        <w:t>），分别计算项目污染源的最大环境影响，然后按评价工作分级判据进行分级。</w:t>
      </w:r>
    </w:p>
    <w:p w14:paraId="3B8C7F32">
      <w:pPr>
        <w:keepNext w:val="0"/>
        <w:keepLines w:val="0"/>
        <w:pageBreakBefore w:val="0"/>
        <w:widowControl/>
        <w:numPr>
          <w:ilvl w:val="0"/>
          <w:numId w:val="0"/>
        </w:numPr>
        <w:spacing w:line="360" w:lineRule="auto"/>
        <w:ind w:firstLine="720"/>
        <w:rPr>
          <w:color w:val="000000"/>
          <w:sz w:val="24"/>
        </w:rPr>
      </w:pPr>
      <w:r>
        <w:rPr>
          <w:color w:val="000000"/>
          <w:sz w:val="24"/>
        </w:rPr>
        <w:t>②预测内容</w:t>
      </w:r>
    </w:p>
    <w:p w14:paraId="7E52649E">
      <w:pPr>
        <w:keepNext w:val="0"/>
        <w:keepLines w:val="0"/>
        <w:pageBreakBefore w:val="0"/>
        <w:widowControl/>
        <w:numPr>
          <w:ilvl w:val="0"/>
          <w:numId w:val="0"/>
        </w:numPr>
        <w:spacing w:line="360" w:lineRule="auto"/>
        <w:ind w:firstLine="720"/>
        <w:rPr>
          <w:color w:val="000000"/>
          <w:sz w:val="24"/>
        </w:rPr>
      </w:pPr>
      <w:r>
        <w:rPr>
          <w:color w:val="000000"/>
          <w:sz w:val="24"/>
        </w:rPr>
        <w:t>项目预测内容为</w:t>
      </w:r>
      <w:r>
        <w:rPr>
          <w:rFonts w:hint="eastAsia"/>
          <w:color w:val="000000"/>
          <w:sz w:val="24"/>
        </w:rPr>
        <w:t>无</w:t>
      </w:r>
      <w:r>
        <w:rPr>
          <w:color w:val="000000"/>
          <w:sz w:val="24"/>
        </w:rPr>
        <w:t>组织</w:t>
      </w:r>
      <w:r>
        <w:rPr>
          <w:rFonts w:hint="eastAsia"/>
          <w:color w:val="000000"/>
          <w:sz w:val="24"/>
          <w:lang w:val="en-US" w:eastAsia="zh-CN"/>
        </w:rPr>
        <w:t>废气</w:t>
      </w:r>
      <w:r>
        <w:rPr>
          <w:color w:val="000000"/>
          <w:sz w:val="24"/>
        </w:rPr>
        <w:t>排放的最大落地浓度和距离。</w:t>
      </w:r>
    </w:p>
    <w:p w14:paraId="16851664">
      <w:pPr>
        <w:keepNext w:val="0"/>
        <w:keepLines w:val="0"/>
        <w:pageBreakBefore w:val="0"/>
        <w:widowControl/>
        <w:numPr>
          <w:ilvl w:val="0"/>
          <w:numId w:val="0"/>
        </w:numPr>
        <w:spacing w:line="360" w:lineRule="auto"/>
        <w:ind w:firstLine="720"/>
        <w:rPr>
          <w:color w:val="000000"/>
          <w:sz w:val="24"/>
        </w:rPr>
      </w:pPr>
      <w:r>
        <w:rPr>
          <w:color w:val="000000"/>
          <w:sz w:val="24"/>
        </w:rPr>
        <w:t>③预测模式</w:t>
      </w:r>
    </w:p>
    <w:p w14:paraId="10C772BC">
      <w:pPr>
        <w:keepNext w:val="0"/>
        <w:keepLines w:val="0"/>
        <w:pageBreakBefore w:val="0"/>
        <w:widowControl/>
        <w:numPr>
          <w:ilvl w:val="0"/>
          <w:numId w:val="0"/>
        </w:numPr>
        <w:spacing w:line="360" w:lineRule="auto"/>
        <w:ind w:firstLine="480"/>
        <w:rPr>
          <w:color w:val="000000"/>
          <w:sz w:val="24"/>
        </w:rPr>
      </w:pPr>
      <w:r>
        <w:rPr>
          <w:color w:val="000000"/>
          <w:sz w:val="24"/>
        </w:rPr>
        <w:t>根据评价区气象特征和本项目污染源特征，项目营运期主要特征污染因子是</w:t>
      </w:r>
      <w:r>
        <w:rPr>
          <w:rFonts w:hint="eastAsia"/>
          <w:color w:val="000000"/>
          <w:sz w:val="24"/>
        </w:rPr>
        <w:t>TSP</w:t>
      </w:r>
      <w:r>
        <w:rPr>
          <w:rFonts w:hint="eastAsia"/>
          <w:color w:val="000000"/>
          <w:sz w:val="24"/>
          <w:lang w:eastAsia="zh-CN"/>
        </w:rPr>
        <w:t>、</w:t>
      </w:r>
      <w:r>
        <w:rPr>
          <w:rFonts w:hint="eastAsia"/>
          <w:color w:val="000000"/>
          <w:sz w:val="24"/>
          <w:lang w:val="en-US" w:eastAsia="zh-CN"/>
        </w:rPr>
        <w:t>甲醛</w:t>
      </w:r>
      <w:r>
        <w:rPr>
          <w:color w:val="000000"/>
          <w:sz w:val="24"/>
        </w:rPr>
        <w:t>，</w:t>
      </w:r>
      <w:r>
        <w:rPr>
          <w:rFonts w:hint="eastAsia"/>
          <w:color w:val="000000"/>
          <w:sz w:val="24"/>
        </w:rPr>
        <w:t>按照排放方式面源进行预测</w:t>
      </w:r>
      <w:r>
        <w:rPr>
          <w:color w:val="000000"/>
          <w:sz w:val="24"/>
        </w:rPr>
        <w:t>。本次大气评价采用《环境影响评价技术导则大气环境》（HJ2.2-2018）中推荐的AerScreen方法预测。</w:t>
      </w:r>
    </w:p>
    <w:p w14:paraId="1B093879">
      <w:pPr>
        <w:keepNext w:val="0"/>
        <w:keepLines w:val="0"/>
        <w:pageBreakBefore w:val="0"/>
        <w:widowControl/>
        <w:numPr>
          <w:ilvl w:val="0"/>
          <w:numId w:val="0"/>
        </w:numPr>
        <w:spacing w:line="360" w:lineRule="auto"/>
        <w:ind w:firstLine="480"/>
        <w:rPr>
          <w:rFonts w:hint="eastAsia"/>
          <w:color w:val="000000"/>
          <w:sz w:val="24"/>
        </w:rPr>
      </w:pPr>
      <w:r>
        <w:rPr>
          <w:color w:val="000000"/>
          <w:sz w:val="24"/>
        </w:rPr>
        <w:t>④</w:t>
      </w:r>
      <w:r>
        <w:rPr>
          <w:rFonts w:hint="eastAsia"/>
          <w:color w:val="000000"/>
          <w:sz w:val="24"/>
          <w:lang w:val="en-US" w:eastAsia="zh-CN"/>
        </w:rPr>
        <w:t>无组织废气</w:t>
      </w:r>
      <w:r>
        <w:rPr>
          <w:rFonts w:hint="eastAsia"/>
          <w:color w:val="000000"/>
          <w:sz w:val="24"/>
        </w:rPr>
        <w:t>预测分析</w:t>
      </w:r>
    </w:p>
    <w:p w14:paraId="27E5D850">
      <w:pPr>
        <w:keepNext w:val="0"/>
        <w:keepLines w:val="0"/>
        <w:pageBreakBefore w:val="0"/>
        <w:widowControl/>
        <w:numPr>
          <w:ilvl w:val="0"/>
          <w:numId w:val="0"/>
        </w:numPr>
        <w:spacing w:line="360" w:lineRule="auto"/>
        <w:ind w:firstLine="480"/>
        <w:rPr>
          <w:color w:val="000000"/>
          <w:sz w:val="24"/>
        </w:rPr>
      </w:pPr>
      <w:r>
        <w:rPr>
          <w:color w:val="000000"/>
          <w:sz w:val="24"/>
        </w:rPr>
        <w:t>根据工程分析结果，本项目</w:t>
      </w:r>
      <w:r>
        <w:rPr>
          <w:rFonts w:hint="eastAsia"/>
          <w:color w:val="000000"/>
          <w:sz w:val="24"/>
          <w:lang w:val="en-US" w:eastAsia="zh-CN"/>
        </w:rPr>
        <w:t>无</w:t>
      </w:r>
      <w:r>
        <w:rPr>
          <w:rFonts w:hint="eastAsia"/>
          <w:color w:val="000000"/>
          <w:sz w:val="24"/>
        </w:rPr>
        <w:t>组织</w:t>
      </w:r>
      <w:r>
        <w:rPr>
          <w:rFonts w:hint="eastAsia"/>
          <w:color w:val="000000"/>
          <w:sz w:val="24"/>
          <w:lang w:val="en-US" w:eastAsia="zh-CN"/>
        </w:rPr>
        <w:t>废气</w:t>
      </w:r>
      <w:r>
        <w:rPr>
          <w:color w:val="000000"/>
          <w:sz w:val="24"/>
        </w:rPr>
        <w:t>的</w:t>
      </w:r>
      <w:r>
        <w:rPr>
          <w:rFonts w:hint="eastAsia"/>
          <w:color w:val="000000"/>
          <w:sz w:val="24"/>
        </w:rPr>
        <w:t>估算参数</w:t>
      </w:r>
      <w:r>
        <w:rPr>
          <w:color w:val="000000"/>
          <w:sz w:val="24"/>
        </w:rPr>
        <w:t>和</w:t>
      </w:r>
      <w:r>
        <w:rPr>
          <w:rFonts w:hint="eastAsia"/>
          <w:color w:val="000000"/>
          <w:sz w:val="24"/>
        </w:rPr>
        <w:t>估算模型计算结果</w:t>
      </w:r>
      <w:r>
        <w:rPr>
          <w:color w:val="000000"/>
          <w:sz w:val="24"/>
        </w:rPr>
        <w:t>见表</w:t>
      </w:r>
      <w:r>
        <w:rPr>
          <w:rFonts w:hint="eastAsia"/>
          <w:color w:val="000000"/>
          <w:sz w:val="24"/>
          <w:lang w:val="en-US" w:eastAsia="zh-CN"/>
        </w:rPr>
        <w:t>6.2-19</w:t>
      </w:r>
      <w:r>
        <w:rPr>
          <w:color w:val="000000"/>
          <w:sz w:val="24"/>
        </w:rPr>
        <w:t>、</w:t>
      </w:r>
      <w:r>
        <w:rPr>
          <w:rFonts w:hint="eastAsia"/>
          <w:color w:val="000000"/>
          <w:sz w:val="24"/>
          <w:lang w:val="en-US" w:eastAsia="zh-CN"/>
        </w:rPr>
        <w:t>6.2</w:t>
      </w:r>
      <w:r>
        <w:rPr>
          <w:color w:val="000000"/>
          <w:sz w:val="24"/>
        </w:rPr>
        <w:t>-</w:t>
      </w:r>
      <w:r>
        <w:rPr>
          <w:rFonts w:hint="eastAsia"/>
          <w:color w:val="000000"/>
          <w:sz w:val="24"/>
          <w:lang w:val="en-US" w:eastAsia="zh-CN"/>
        </w:rPr>
        <w:t>20</w:t>
      </w:r>
      <w:r>
        <w:rPr>
          <w:color w:val="000000"/>
          <w:sz w:val="24"/>
        </w:rPr>
        <w:t>。</w:t>
      </w:r>
    </w:p>
    <w:p w14:paraId="69FA980D">
      <w:pPr>
        <w:keepNext w:val="0"/>
        <w:keepLines w:val="0"/>
        <w:pageBreakBefore w:val="0"/>
        <w:widowControl/>
        <w:numPr>
          <w:ilvl w:val="0"/>
          <w:numId w:val="0"/>
        </w:numPr>
        <w:spacing w:line="360" w:lineRule="auto"/>
        <w:ind w:firstLine="1928"/>
        <w:rPr>
          <w:b/>
          <w:color w:val="000000"/>
          <w:sz w:val="24"/>
        </w:rPr>
      </w:pPr>
      <w:r>
        <w:rPr>
          <w:b/>
          <w:color w:val="000000"/>
          <w:sz w:val="24"/>
        </w:rPr>
        <w:t>表</w:t>
      </w:r>
      <w:r>
        <w:rPr>
          <w:rFonts w:hint="eastAsia"/>
          <w:b/>
          <w:color w:val="000000"/>
          <w:sz w:val="24"/>
          <w:lang w:val="en-US" w:eastAsia="zh-CN"/>
        </w:rPr>
        <w:t>6.2-19</w:t>
      </w:r>
      <w:r>
        <w:rPr>
          <w:rFonts w:hint="eastAsia"/>
          <w:b/>
          <w:color w:val="000000"/>
          <w:sz w:val="24"/>
        </w:rPr>
        <w:t>项目无组织</w:t>
      </w:r>
      <w:r>
        <w:rPr>
          <w:rFonts w:hint="eastAsia"/>
          <w:b/>
          <w:color w:val="000000"/>
          <w:sz w:val="24"/>
          <w:lang w:val="en-US" w:eastAsia="zh-CN"/>
        </w:rPr>
        <w:t>废气</w:t>
      </w:r>
      <w:r>
        <w:rPr>
          <w:b/>
          <w:color w:val="000000"/>
          <w:sz w:val="24"/>
        </w:rPr>
        <w:t>估算模型参数表</w:t>
      </w:r>
    </w:p>
    <w:tbl>
      <w:tblPr>
        <w:tblStyle w:val="487"/>
        <w:tblpPr w:leftFromText="180" w:rightFromText="180" w:vertAnchor="text" w:tblpXSpec="center" w:tblpY="1"/>
        <w:tblW w:w="0" w:type="auto"/>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23"/>
        <w:gridCol w:w="3742"/>
        <w:gridCol w:w="1982"/>
      </w:tblGrid>
      <w:tr w14:paraId="1DD98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blHeader/>
        </w:trPr>
        <w:tc>
          <w:tcPr>
            <w:tcW w:w="5365" w:type="dxa"/>
            <w:gridSpan w:val="2"/>
            <w:shd w:val="clear" w:color="auto" w:fill="FFFFFF"/>
            <w:noWrap w:val="0"/>
            <w:vAlign w:val="center"/>
          </w:tcPr>
          <w:p w14:paraId="55761BA1">
            <w:pPr>
              <w:pStyle w:val="379"/>
              <w:keepNext/>
              <w:keepLines w:val="0"/>
              <w:pageBreakBefore w:val="0"/>
              <w:spacing w:before="0" w:line="360" w:lineRule="auto"/>
              <w:rPr>
                <w:color w:val="000000"/>
                <w:sz w:val="21"/>
                <w:szCs w:val="21"/>
              </w:rPr>
            </w:pPr>
            <w:r>
              <w:rPr>
                <w:rFonts w:hint="eastAsia"/>
                <w:color w:val="000000"/>
                <w:sz w:val="21"/>
                <w:szCs w:val="21"/>
              </w:rPr>
              <w:t>参数</w:t>
            </w:r>
          </w:p>
        </w:tc>
        <w:tc>
          <w:tcPr>
            <w:tcW w:w="1982" w:type="dxa"/>
            <w:shd w:val="clear" w:color="auto" w:fill="FFFFFF"/>
            <w:noWrap w:val="0"/>
            <w:vAlign w:val="center"/>
          </w:tcPr>
          <w:p w14:paraId="6D123E70">
            <w:pPr>
              <w:pStyle w:val="379"/>
              <w:keepNext/>
              <w:keepLines w:val="0"/>
              <w:pageBreakBefore w:val="0"/>
              <w:spacing w:before="0" w:line="360" w:lineRule="auto"/>
              <w:rPr>
                <w:color w:val="000000"/>
                <w:sz w:val="21"/>
                <w:szCs w:val="21"/>
              </w:rPr>
            </w:pPr>
            <w:r>
              <w:rPr>
                <w:rFonts w:hint="eastAsia"/>
                <w:color w:val="000000"/>
                <w:sz w:val="21"/>
                <w:szCs w:val="21"/>
              </w:rPr>
              <w:t>取值</w:t>
            </w:r>
          </w:p>
        </w:tc>
      </w:tr>
      <w:tr w14:paraId="224D0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8" w:hRule="atLeast"/>
        </w:trPr>
        <w:tc>
          <w:tcPr>
            <w:tcW w:w="1623" w:type="dxa"/>
            <w:vMerge w:val="restart"/>
            <w:shd w:val="clear" w:color="auto" w:fill="FFFFFF"/>
            <w:noWrap w:val="0"/>
            <w:vAlign w:val="center"/>
          </w:tcPr>
          <w:p w14:paraId="136A31ED">
            <w:pPr>
              <w:pStyle w:val="379"/>
              <w:keepNext/>
              <w:keepLines w:val="0"/>
              <w:pageBreakBefore w:val="0"/>
              <w:spacing w:before="0" w:line="360" w:lineRule="auto"/>
              <w:rPr>
                <w:color w:val="000000"/>
                <w:sz w:val="21"/>
                <w:szCs w:val="21"/>
              </w:rPr>
            </w:pPr>
            <w:r>
              <w:rPr>
                <w:rFonts w:hint="eastAsia"/>
                <w:color w:val="000000"/>
                <w:sz w:val="21"/>
                <w:szCs w:val="21"/>
              </w:rPr>
              <w:t>城市</w:t>
            </w:r>
            <w:r>
              <w:rPr>
                <w:color w:val="000000"/>
                <w:sz w:val="21"/>
                <w:szCs w:val="21"/>
              </w:rPr>
              <w:t>/</w:t>
            </w:r>
            <w:r>
              <w:rPr>
                <w:rFonts w:hint="eastAsia"/>
                <w:color w:val="000000"/>
                <w:sz w:val="21"/>
                <w:szCs w:val="21"/>
              </w:rPr>
              <w:t>农村选项</w:t>
            </w:r>
          </w:p>
        </w:tc>
        <w:tc>
          <w:tcPr>
            <w:tcW w:w="3742" w:type="dxa"/>
            <w:shd w:val="clear" w:color="auto" w:fill="FFFFFF"/>
            <w:noWrap w:val="0"/>
            <w:vAlign w:val="center"/>
          </w:tcPr>
          <w:p w14:paraId="2090B94C">
            <w:pPr>
              <w:pStyle w:val="379"/>
              <w:keepNext/>
              <w:keepLines w:val="0"/>
              <w:pageBreakBefore w:val="0"/>
              <w:spacing w:before="0" w:line="360" w:lineRule="auto"/>
              <w:rPr>
                <w:color w:val="000000"/>
                <w:sz w:val="21"/>
                <w:szCs w:val="21"/>
              </w:rPr>
            </w:pPr>
            <w:r>
              <w:rPr>
                <w:rFonts w:hint="eastAsia"/>
                <w:color w:val="000000"/>
                <w:sz w:val="21"/>
                <w:szCs w:val="21"/>
              </w:rPr>
              <w:t>城市</w:t>
            </w:r>
            <w:r>
              <w:rPr>
                <w:color w:val="000000"/>
                <w:sz w:val="21"/>
                <w:szCs w:val="21"/>
              </w:rPr>
              <w:t>/</w:t>
            </w:r>
            <w:r>
              <w:rPr>
                <w:rFonts w:hint="eastAsia"/>
                <w:color w:val="000000"/>
                <w:sz w:val="21"/>
                <w:szCs w:val="21"/>
              </w:rPr>
              <w:t>农村</w:t>
            </w:r>
          </w:p>
        </w:tc>
        <w:tc>
          <w:tcPr>
            <w:tcW w:w="1982" w:type="dxa"/>
            <w:shd w:val="clear" w:color="auto" w:fill="FFFFFF"/>
            <w:noWrap w:val="0"/>
            <w:vAlign w:val="center"/>
          </w:tcPr>
          <w:p w14:paraId="2B77BA5B">
            <w:pPr>
              <w:pStyle w:val="379"/>
              <w:keepNext/>
              <w:keepLines w:val="0"/>
              <w:pageBreakBefore w:val="0"/>
              <w:spacing w:before="0" w:line="360" w:lineRule="auto"/>
              <w:rPr>
                <w:rFonts w:hint="eastAsia"/>
                <w:color w:val="000000"/>
                <w:sz w:val="21"/>
                <w:szCs w:val="21"/>
              </w:rPr>
            </w:pPr>
            <w:r>
              <w:rPr>
                <w:rFonts w:hint="eastAsia"/>
                <w:color w:val="000000"/>
                <w:sz w:val="21"/>
                <w:szCs w:val="21"/>
              </w:rPr>
              <w:t>农村</w:t>
            </w:r>
          </w:p>
        </w:tc>
      </w:tr>
      <w:tr w14:paraId="3475D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7" w:hRule="atLeast"/>
        </w:trPr>
        <w:tc>
          <w:tcPr>
            <w:tcW w:w="1623" w:type="dxa"/>
            <w:vMerge w:val="continue"/>
            <w:shd w:val="clear" w:color="auto" w:fill="FFFFFF"/>
            <w:noWrap w:val="0"/>
            <w:vAlign w:val="center"/>
          </w:tcPr>
          <w:p w14:paraId="0F4AE5C6">
            <w:pPr>
              <w:pStyle w:val="379"/>
              <w:keepNext/>
              <w:keepLines w:val="0"/>
              <w:pageBreakBefore w:val="0"/>
              <w:spacing w:before="0" w:line="360" w:lineRule="auto"/>
              <w:rPr>
                <w:color w:val="000000"/>
                <w:sz w:val="21"/>
                <w:szCs w:val="21"/>
              </w:rPr>
            </w:pPr>
          </w:p>
        </w:tc>
        <w:tc>
          <w:tcPr>
            <w:tcW w:w="3742" w:type="dxa"/>
            <w:shd w:val="clear" w:color="auto" w:fill="FFFFFF"/>
            <w:noWrap w:val="0"/>
            <w:vAlign w:val="center"/>
          </w:tcPr>
          <w:p w14:paraId="1CA868C8">
            <w:pPr>
              <w:pStyle w:val="379"/>
              <w:keepNext/>
              <w:keepLines w:val="0"/>
              <w:pageBreakBefore w:val="0"/>
              <w:spacing w:before="0" w:line="360" w:lineRule="auto"/>
              <w:rPr>
                <w:color w:val="000000"/>
                <w:sz w:val="21"/>
                <w:szCs w:val="21"/>
              </w:rPr>
            </w:pPr>
            <w:r>
              <w:rPr>
                <w:rFonts w:hint="eastAsia"/>
                <w:color w:val="000000"/>
                <w:sz w:val="21"/>
                <w:szCs w:val="21"/>
              </w:rPr>
              <w:t>人口数（城市选项时）</w:t>
            </w:r>
          </w:p>
        </w:tc>
        <w:tc>
          <w:tcPr>
            <w:tcW w:w="1982" w:type="dxa"/>
            <w:shd w:val="clear" w:color="auto" w:fill="FFFFFF"/>
            <w:noWrap w:val="0"/>
            <w:vAlign w:val="center"/>
          </w:tcPr>
          <w:p w14:paraId="0EB1B601">
            <w:pPr>
              <w:pStyle w:val="379"/>
              <w:keepNext/>
              <w:keepLines w:val="0"/>
              <w:pageBreakBefore w:val="0"/>
              <w:spacing w:before="0" w:line="360" w:lineRule="auto"/>
              <w:rPr>
                <w:rFonts w:hint="eastAsia"/>
                <w:color w:val="000000"/>
                <w:sz w:val="21"/>
                <w:szCs w:val="21"/>
              </w:rPr>
            </w:pPr>
            <w:r>
              <w:rPr>
                <w:rFonts w:hint="eastAsia"/>
                <w:color w:val="000000"/>
                <w:sz w:val="21"/>
                <w:szCs w:val="21"/>
              </w:rPr>
              <w:t>/</w:t>
            </w:r>
          </w:p>
        </w:tc>
      </w:tr>
      <w:tr w14:paraId="781BF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5365" w:type="dxa"/>
            <w:gridSpan w:val="2"/>
            <w:shd w:val="clear" w:color="auto" w:fill="FFFFFF"/>
            <w:noWrap w:val="0"/>
            <w:vAlign w:val="center"/>
          </w:tcPr>
          <w:p w14:paraId="324F1911">
            <w:pPr>
              <w:pStyle w:val="379"/>
              <w:keepNext/>
              <w:keepLines w:val="0"/>
              <w:pageBreakBefore w:val="0"/>
              <w:spacing w:before="0" w:line="360" w:lineRule="auto"/>
              <w:rPr>
                <w:color w:val="000000"/>
                <w:sz w:val="21"/>
                <w:szCs w:val="21"/>
              </w:rPr>
            </w:pPr>
            <w:r>
              <w:rPr>
                <w:rFonts w:hint="eastAsia"/>
                <w:color w:val="000000"/>
                <w:sz w:val="21"/>
                <w:szCs w:val="21"/>
              </w:rPr>
              <w:t>最高环境温度/</w:t>
            </w:r>
            <w:r>
              <w:rPr>
                <w:color w:val="000000"/>
                <w:sz w:val="21"/>
                <w:szCs w:val="21"/>
              </w:rPr>
              <w:t xml:space="preserve"> </w:t>
            </w:r>
            <w:r>
              <w:rPr>
                <w:rFonts w:hint="eastAsia" w:ascii="宋体" w:hAnsi="宋体" w:cs="宋体"/>
                <w:color w:val="000000"/>
                <w:sz w:val="21"/>
                <w:szCs w:val="21"/>
              </w:rPr>
              <w:t>℃</w:t>
            </w:r>
          </w:p>
        </w:tc>
        <w:tc>
          <w:tcPr>
            <w:tcW w:w="1982" w:type="dxa"/>
            <w:shd w:val="clear" w:color="auto" w:fill="FFFFFF"/>
            <w:noWrap w:val="0"/>
            <w:vAlign w:val="center"/>
          </w:tcPr>
          <w:p w14:paraId="37AFB4F1">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36.9</w:t>
            </w:r>
          </w:p>
        </w:tc>
      </w:tr>
      <w:tr w14:paraId="01C1B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8" w:hRule="atLeast"/>
        </w:trPr>
        <w:tc>
          <w:tcPr>
            <w:tcW w:w="5365" w:type="dxa"/>
            <w:gridSpan w:val="2"/>
            <w:shd w:val="clear" w:color="auto" w:fill="FFFFFF"/>
            <w:noWrap w:val="0"/>
            <w:vAlign w:val="center"/>
          </w:tcPr>
          <w:p w14:paraId="196F587A">
            <w:pPr>
              <w:pStyle w:val="379"/>
              <w:keepNext/>
              <w:keepLines w:val="0"/>
              <w:pageBreakBefore w:val="0"/>
              <w:spacing w:before="0" w:line="360" w:lineRule="auto"/>
              <w:rPr>
                <w:color w:val="000000"/>
                <w:sz w:val="21"/>
                <w:szCs w:val="21"/>
              </w:rPr>
            </w:pPr>
            <w:r>
              <w:rPr>
                <w:rFonts w:hint="eastAsia"/>
                <w:color w:val="000000"/>
                <w:sz w:val="21"/>
                <w:szCs w:val="21"/>
              </w:rPr>
              <w:t>最低环境温度/</w:t>
            </w:r>
            <w:r>
              <w:rPr>
                <w:color w:val="000000"/>
                <w:sz w:val="21"/>
                <w:szCs w:val="21"/>
              </w:rPr>
              <w:t xml:space="preserve"> </w:t>
            </w:r>
            <w:r>
              <w:rPr>
                <w:rFonts w:hint="eastAsia" w:ascii="宋体" w:hAnsi="宋体" w:cs="宋体"/>
                <w:color w:val="000000"/>
                <w:sz w:val="21"/>
                <w:szCs w:val="21"/>
              </w:rPr>
              <w:t>℃</w:t>
            </w:r>
          </w:p>
        </w:tc>
        <w:tc>
          <w:tcPr>
            <w:tcW w:w="1982" w:type="dxa"/>
            <w:shd w:val="clear" w:color="auto" w:fill="FFFFFF"/>
            <w:noWrap w:val="0"/>
            <w:vAlign w:val="center"/>
          </w:tcPr>
          <w:p w14:paraId="173617CA">
            <w:pPr>
              <w:pStyle w:val="379"/>
              <w:keepNext/>
              <w:keepLines w:val="0"/>
              <w:pageBreakBefore w:val="0"/>
              <w:spacing w:before="0" w:line="360" w:lineRule="auto"/>
              <w:rPr>
                <w:color w:val="000000"/>
                <w:sz w:val="21"/>
                <w:szCs w:val="21"/>
                <w:lang w:val="en-US"/>
              </w:rPr>
            </w:pPr>
            <w:r>
              <w:rPr>
                <w:rFonts w:hint="eastAsia"/>
                <w:color w:val="000000"/>
                <w:sz w:val="21"/>
                <w:szCs w:val="21"/>
                <w:lang w:val="en-US" w:eastAsia="zh-CN"/>
              </w:rPr>
              <w:t>2.1</w:t>
            </w:r>
          </w:p>
        </w:tc>
      </w:tr>
      <w:tr w14:paraId="33154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5365" w:type="dxa"/>
            <w:gridSpan w:val="2"/>
            <w:shd w:val="clear" w:color="auto" w:fill="FFFFFF"/>
            <w:noWrap w:val="0"/>
            <w:vAlign w:val="center"/>
          </w:tcPr>
          <w:p w14:paraId="58BD1C85">
            <w:pPr>
              <w:pStyle w:val="379"/>
              <w:keepNext/>
              <w:keepLines w:val="0"/>
              <w:pageBreakBefore w:val="0"/>
              <w:spacing w:before="0" w:line="360" w:lineRule="auto"/>
              <w:rPr>
                <w:color w:val="000000"/>
                <w:sz w:val="21"/>
                <w:szCs w:val="21"/>
              </w:rPr>
            </w:pPr>
            <w:r>
              <w:rPr>
                <w:rFonts w:hint="eastAsia"/>
                <w:color w:val="000000"/>
                <w:sz w:val="21"/>
                <w:szCs w:val="21"/>
              </w:rPr>
              <w:t>土地利用类型</w:t>
            </w:r>
          </w:p>
        </w:tc>
        <w:tc>
          <w:tcPr>
            <w:tcW w:w="1982" w:type="dxa"/>
            <w:shd w:val="clear" w:color="auto" w:fill="FFFFFF"/>
            <w:noWrap w:val="0"/>
            <w:vAlign w:val="center"/>
          </w:tcPr>
          <w:p w14:paraId="0E974B8B">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工业用地</w:t>
            </w:r>
          </w:p>
        </w:tc>
      </w:tr>
      <w:tr w14:paraId="58EF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5365" w:type="dxa"/>
            <w:gridSpan w:val="2"/>
            <w:shd w:val="clear" w:color="auto" w:fill="FFFFFF"/>
            <w:noWrap w:val="0"/>
            <w:vAlign w:val="center"/>
          </w:tcPr>
          <w:p w14:paraId="2615C293">
            <w:pPr>
              <w:pStyle w:val="379"/>
              <w:keepNext/>
              <w:keepLines w:val="0"/>
              <w:pageBreakBefore w:val="0"/>
              <w:spacing w:before="0" w:line="360" w:lineRule="auto"/>
              <w:rPr>
                <w:color w:val="000000"/>
                <w:sz w:val="21"/>
                <w:szCs w:val="21"/>
              </w:rPr>
            </w:pPr>
            <w:r>
              <w:rPr>
                <w:rFonts w:hint="eastAsia"/>
                <w:color w:val="000000"/>
                <w:sz w:val="21"/>
                <w:szCs w:val="21"/>
              </w:rPr>
              <w:t>区域湿度条件</w:t>
            </w:r>
          </w:p>
        </w:tc>
        <w:tc>
          <w:tcPr>
            <w:tcW w:w="1982" w:type="dxa"/>
            <w:shd w:val="clear" w:color="auto" w:fill="FFFFFF"/>
            <w:noWrap w:val="0"/>
            <w:vAlign w:val="center"/>
          </w:tcPr>
          <w:p w14:paraId="1585F198">
            <w:pPr>
              <w:pStyle w:val="379"/>
              <w:keepNext/>
              <w:keepLines w:val="0"/>
              <w:pageBreakBefore w:val="0"/>
              <w:spacing w:before="0" w:line="360" w:lineRule="auto"/>
              <w:rPr>
                <w:rFonts w:hint="eastAsia"/>
                <w:color w:val="000000"/>
                <w:sz w:val="21"/>
                <w:szCs w:val="21"/>
              </w:rPr>
            </w:pPr>
            <w:r>
              <w:rPr>
                <w:rFonts w:hint="eastAsia"/>
                <w:color w:val="000000"/>
                <w:sz w:val="21"/>
                <w:szCs w:val="21"/>
              </w:rPr>
              <w:t>潮湿</w:t>
            </w:r>
          </w:p>
        </w:tc>
      </w:tr>
      <w:tr w14:paraId="004D1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60F826FE">
            <w:pPr>
              <w:pStyle w:val="379"/>
              <w:keepNext/>
              <w:keepLines w:val="0"/>
              <w:pageBreakBefore w:val="0"/>
              <w:spacing w:before="0" w:line="360" w:lineRule="auto"/>
              <w:rPr>
                <w:color w:val="000000"/>
                <w:sz w:val="21"/>
                <w:szCs w:val="21"/>
              </w:rPr>
            </w:pPr>
            <w:r>
              <w:rPr>
                <w:rFonts w:hint="eastAsia"/>
                <w:color w:val="000000"/>
                <w:sz w:val="21"/>
                <w:szCs w:val="21"/>
              </w:rPr>
              <w:t>是否考虑地形</w:t>
            </w:r>
          </w:p>
        </w:tc>
        <w:tc>
          <w:tcPr>
            <w:tcW w:w="3742" w:type="dxa"/>
            <w:shd w:val="clear" w:color="auto" w:fill="FFFFFF"/>
            <w:noWrap w:val="0"/>
            <w:vAlign w:val="center"/>
          </w:tcPr>
          <w:p w14:paraId="4FBADB4E">
            <w:pPr>
              <w:pStyle w:val="379"/>
              <w:keepNext/>
              <w:keepLines w:val="0"/>
              <w:pageBreakBefore w:val="0"/>
              <w:spacing w:before="0" w:line="360" w:lineRule="auto"/>
              <w:rPr>
                <w:color w:val="000000"/>
                <w:sz w:val="21"/>
                <w:szCs w:val="21"/>
              </w:rPr>
            </w:pPr>
            <w:r>
              <w:rPr>
                <w:rFonts w:hint="eastAsia"/>
                <w:color w:val="000000"/>
                <w:sz w:val="21"/>
                <w:szCs w:val="21"/>
              </w:rPr>
              <w:t>考虑地形</w:t>
            </w:r>
          </w:p>
        </w:tc>
        <w:tc>
          <w:tcPr>
            <w:tcW w:w="1982" w:type="dxa"/>
            <w:shd w:val="clear" w:color="auto" w:fill="FFFFFF"/>
            <w:noWrap w:val="0"/>
            <w:vAlign w:val="center"/>
          </w:tcPr>
          <w:p w14:paraId="495BD60F">
            <w:pPr>
              <w:pStyle w:val="379"/>
              <w:keepNext/>
              <w:keepLines w:val="0"/>
              <w:pageBreakBefore w:val="0"/>
              <w:spacing w:before="0" w:line="360" w:lineRule="auto"/>
              <w:rPr>
                <w:color w:val="000000"/>
                <w:sz w:val="21"/>
                <w:szCs w:val="21"/>
              </w:rPr>
            </w:pPr>
            <w:r>
              <w:rPr>
                <w:rFonts w:hint="eastAsia" w:ascii="仿宋" w:hAnsi="仿宋" w:eastAsia="仿宋"/>
                <w:color w:val="000000"/>
                <w:sz w:val="21"/>
                <w:szCs w:val="21"/>
              </w:rPr>
              <w:t>□</w:t>
            </w:r>
            <w:r>
              <w:rPr>
                <w:rFonts w:hint="eastAsia"/>
                <w:color w:val="000000"/>
                <w:sz w:val="21"/>
                <w:szCs w:val="21"/>
              </w:rPr>
              <w:t xml:space="preserve">是 </w:t>
            </w:r>
            <w:r>
              <w:rPr>
                <w:color w:val="000000"/>
                <w:sz w:val="21"/>
                <w:szCs w:val="21"/>
              </w:rPr>
              <w:t xml:space="preserve"> </w:t>
            </w:r>
            <w:r>
              <w:rPr>
                <w:rFonts w:hint="eastAsia" w:ascii="仿宋" w:hAnsi="仿宋" w:eastAsia="仿宋"/>
                <w:color w:val="000000"/>
                <w:sz w:val="21"/>
                <w:szCs w:val="21"/>
              </w:rPr>
              <w:t>□</w:t>
            </w:r>
            <w:r>
              <w:rPr>
                <w:rFonts w:hint="eastAsia"/>
                <w:color w:val="000000"/>
                <w:sz w:val="21"/>
                <w:szCs w:val="21"/>
              </w:rPr>
              <w:t>否</w:t>
            </w:r>
          </w:p>
        </w:tc>
      </w:tr>
      <w:tr w14:paraId="3307C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37B151C0">
            <w:pPr>
              <w:pStyle w:val="379"/>
              <w:keepNext/>
              <w:keepLines w:val="0"/>
              <w:pageBreakBefore w:val="0"/>
              <w:spacing w:before="0" w:line="360" w:lineRule="auto"/>
              <w:rPr>
                <w:color w:val="000000"/>
                <w:sz w:val="21"/>
                <w:szCs w:val="21"/>
              </w:rPr>
            </w:pPr>
          </w:p>
        </w:tc>
        <w:tc>
          <w:tcPr>
            <w:tcW w:w="3742" w:type="dxa"/>
            <w:shd w:val="clear" w:color="auto" w:fill="FFFFFF"/>
            <w:noWrap w:val="0"/>
            <w:vAlign w:val="center"/>
          </w:tcPr>
          <w:p w14:paraId="1D78CF73">
            <w:pPr>
              <w:pStyle w:val="379"/>
              <w:keepNext/>
              <w:keepLines w:val="0"/>
              <w:pageBreakBefore w:val="0"/>
              <w:spacing w:before="0" w:line="360" w:lineRule="auto"/>
              <w:rPr>
                <w:color w:val="000000"/>
                <w:sz w:val="21"/>
                <w:szCs w:val="21"/>
              </w:rPr>
            </w:pPr>
            <w:r>
              <w:rPr>
                <w:rFonts w:hint="eastAsia"/>
                <w:color w:val="000000"/>
                <w:sz w:val="21"/>
                <w:szCs w:val="21"/>
              </w:rPr>
              <w:t xml:space="preserve">地形数据分辨率 </w:t>
            </w:r>
            <w:r>
              <w:rPr>
                <w:color w:val="000000"/>
                <w:sz w:val="21"/>
                <w:szCs w:val="21"/>
              </w:rPr>
              <w:t>/ m</w:t>
            </w:r>
          </w:p>
        </w:tc>
        <w:tc>
          <w:tcPr>
            <w:tcW w:w="1982" w:type="dxa"/>
            <w:shd w:val="clear" w:color="auto" w:fill="FFFFFF"/>
            <w:noWrap w:val="0"/>
            <w:vAlign w:val="center"/>
          </w:tcPr>
          <w:p w14:paraId="3718BE10">
            <w:pPr>
              <w:pStyle w:val="379"/>
              <w:keepNext/>
              <w:keepLines w:val="0"/>
              <w:pageBreakBefore w:val="0"/>
              <w:spacing w:before="0" w:line="360" w:lineRule="auto"/>
              <w:rPr>
                <w:color w:val="000000"/>
                <w:sz w:val="21"/>
                <w:szCs w:val="21"/>
              </w:rPr>
            </w:pPr>
          </w:p>
        </w:tc>
      </w:tr>
      <w:tr w14:paraId="6B481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144E586D">
            <w:pPr>
              <w:pStyle w:val="379"/>
              <w:keepNext/>
              <w:keepLines w:val="0"/>
              <w:pageBreakBefore w:val="0"/>
              <w:spacing w:before="0" w:line="360" w:lineRule="auto"/>
              <w:rPr>
                <w:color w:val="000000"/>
                <w:sz w:val="21"/>
                <w:szCs w:val="21"/>
              </w:rPr>
            </w:pPr>
            <w:r>
              <w:rPr>
                <w:rFonts w:hint="eastAsia"/>
                <w:color w:val="000000"/>
                <w:sz w:val="21"/>
                <w:szCs w:val="21"/>
              </w:rPr>
              <w:t>是否考虑岸线熏烟</w:t>
            </w:r>
          </w:p>
        </w:tc>
        <w:tc>
          <w:tcPr>
            <w:tcW w:w="3742" w:type="dxa"/>
            <w:shd w:val="clear" w:color="auto" w:fill="FFFFFF"/>
            <w:noWrap w:val="0"/>
            <w:vAlign w:val="center"/>
          </w:tcPr>
          <w:p w14:paraId="223577DB">
            <w:pPr>
              <w:pStyle w:val="379"/>
              <w:keepNext/>
              <w:keepLines w:val="0"/>
              <w:pageBreakBefore w:val="0"/>
              <w:spacing w:before="0" w:line="360" w:lineRule="auto"/>
              <w:rPr>
                <w:color w:val="000000"/>
                <w:sz w:val="21"/>
                <w:szCs w:val="21"/>
              </w:rPr>
            </w:pPr>
            <w:r>
              <w:rPr>
                <w:rFonts w:hint="eastAsia"/>
                <w:color w:val="000000"/>
                <w:sz w:val="21"/>
                <w:szCs w:val="21"/>
              </w:rPr>
              <w:t>考虑岸线熏烟</w:t>
            </w:r>
          </w:p>
        </w:tc>
        <w:tc>
          <w:tcPr>
            <w:tcW w:w="1982" w:type="dxa"/>
            <w:shd w:val="clear" w:color="auto" w:fill="FFFFFF"/>
            <w:noWrap w:val="0"/>
            <w:vAlign w:val="center"/>
          </w:tcPr>
          <w:p w14:paraId="1175D489">
            <w:pPr>
              <w:pStyle w:val="379"/>
              <w:keepNext/>
              <w:keepLines w:val="0"/>
              <w:pageBreakBefore w:val="0"/>
              <w:spacing w:before="0" w:line="360" w:lineRule="auto"/>
              <w:rPr>
                <w:color w:val="000000"/>
                <w:sz w:val="21"/>
                <w:szCs w:val="21"/>
              </w:rPr>
            </w:pPr>
            <w:r>
              <w:rPr>
                <w:rFonts w:hint="eastAsia" w:ascii="仿宋" w:hAnsi="仿宋" w:eastAsia="仿宋"/>
                <w:color w:val="000000"/>
                <w:sz w:val="21"/>
                <w:szCs w:val="21"/>
              </w:rPr>
              <w:t>□</w:t>
            </w:r>
            <w:r>
              <w:rPr>
                <w:rFonts w:hint="eastAsia"/>
                <w:color w:val="000000"/>
                <w:sz w:val="21"/>
                <w:szCs w:val="21"/>
              </w:rPr>
              <w:t xml:space="preserve">是 </w:t>
            </w:r>
            <w:r>
              <w:rPr>
                <w:color w:val="000000"/>
                <w:sz w:val="21"/>
                <w:szCs w:val="21"/>
              </w:rPr>
              <w:t xml:space="preserve"> </w:t>
            </w:r>
            <w:r>
              <w:rPr>
                <w:rFonts w:hint="eastAsia" w:ascii="仿宋" w:hAnsi="仿宋" w:eastAsia="仿宋"/>
                <w:color w:val="000000"/>
                <w:sz w:val="21"/>
                <w:szCs w:val="21"/>
              </w:rPr>
              <w:t>□</w:t>
            </w:r>
            <w:r>
              <w:rPr>
                <w:rFonts w:hint="eastAsia"/>
                <w:color w:val="000000"/>
                <w:sz w:val="21"/>
                <w:szCs w:val="21"/>
              </w:rPr>
              <w:t>否</w:t>
            </w:r>
          </w:p>
        </w:tc>
      </w:tr>
      <w:tr w14:paraId="55E67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7" w:hRule="atLeast"/>
        </w:trPr>
        <w:tc>
          <w:tcPr>
            <w:tcW w:w="1623" w:type="dxa"/>
            <w:vMerge w:val="continue"/>
            <w:shd w:val="clear" w:color="auto" w:fill="FFFFFF"/>
            <w:noWrap w:val="0"/>
            <w:vAlign w:val="center"/>
          </w:tcPr>
          <w:p w14:paraId="56D71507">
            <w:pPr>
              <w:pStyle w:val="379"/>
              <w:keepNext/>
              <w:keepLines w:val="0"/>
              <w:pageBreakBefore w:val="0"/>
              <w:spacing w:before="0" w:line="360" w:lineRule="auto"/>
              <w:rPr>
                <w:color w:val="000000"/>
                <w:sz w:val="21"/>
                <w:szCs w:val="21"/>
              </w:rPr>
            </w:pPr>
          </w:p>
        </w:tc>
        <w:tc>
          <w:tcPr>
            <w:tcW w:w="3742" w:type="dxa"/>
            <w:shd w:val="clear" w:color="auto" w:fill="FFFFFF"/>
            <w:noWrap w:val="0"/>
            <w:vAlign w:val="center"/>
          </w:tcPr>
          <w:p w14:paraId="1F384B03">
            <w:pPr>
              <w:pStyle w:val="379"/>
              <w:keepNext/>
              <w:keepLines w:val="0"/>
              <w:pageBreakBefore w:val="0"/>
              <w:spacing w:before="0" w:line="360" w:lineRule="auto"/>
              <w:rPr>
                <w:color w:val="000000"/>
                <w:sz w:val="21"/>
                <w:szCs w:val="21"/>
              </w:rPr>
            </w:pPr>
            <w:r>
              <w:rPr>
                <w:rFonts w:hint="eastAsia"/>
                <w:color w:val="000000"/>
                <w:sz w:val="21"/>
                <w:szCs w:val="21"/>
              </w:rPr>
              <w:t>岸线距离/</w:t>
            </w:r>
            <w:r>
              <w:rPr>
                <w:color w:val="000000"/>
                <w:sz w:val="21"/>
                <w:szCs w:val="21"/>
              </w:rPr>
              <w:t xml:space="preserve"> km</w:t>
            </w:r>
          </w:p>
        </w:tc>
        <w:tc>
          <w:tcPr>
            <w:tcW w:w="1982" w:type="dxa"/>
            <w:shd w:val="clear" w:color="auto" w:fill="FFFFFF"/>
            <w:noWrap w:val="0"/>
            <w:vAlign w:val="center"/>
          </w:tcPr>
          <w:p w14:paraId="19B3D30C">
            <w:pPr>
              <w:pStyle w:val="379"/>
              <w:keepNext/>
              <w:keepLines w:val="0"/>
              <w:pageBreakBefore w:val="0"/>
              <w:spacing w:before="0" w:line="360" w:lineRule="auto"/>
              <w:rPr>
                <w:rFonts w:hint="eastAsia"/>
                <w:color w:val="000000"/>
                <w:sz w:val="21"/>
                <w:szCs w:val="21"/>
              </w:rPr>
            </w:pPr>
            <w:r>
              <w:rPr>
                <w:rFonts w:hint="eastAsia"/>
                <w:color w:val="000000"/>
                <w:sz w:val="21"/>
                <w:szCs w:val="21"/>
              </w:rPr>
              <w:t>/</w:t>
            </w:r>
          </w:p>
        </w:tc>
      </w:tr>
      <w:tr w14:paraId="6D80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7876F3AB">
            <w:pPr>
              <w:pStyle w:val="379"/>
              <w:keepNext/>
              <w:keepLines w:val="0"/>
              <w:pageBreakBefore w:val="0"/>
              <w:spacing w:before="0" w:line="360" w:lineRule="auto"/>
              <w:rPr>
                <w:color w:val="000000"/>
                <w:sz w:val="21"/>
                <w:szCs w:val="21"/>
              </w:rPr>
            </w:pPr>
          </w:p>
        </w:tc>
        <w:tc>
          <w:tcPr>
            <w:tcW w:w="3742" w:type="dxa"/>
            <w:shd w:val="clear" w:color="auto" w:fill="FFFFFF"/>
            <w:noWrap w:val="0"/>
            <w:vAlign w:val="center"/>
          </w:tcPr>
          <w:p w14:paraId="3BA7CCC3">
            <w:pPr>
              <w:pStyle w:val="379"/>
              <w:keepNext/>
              <w:keepLines w:val="0"/>
              <w:pageBreakBefore w:val="0"/>
              <w:spacing w:before="0" w:line="360" w:lineRule="auto"/>
              <w:rPr>
                <w:color w:val="000000"/>
                <w:sz w:val="21"/>
                <w:szCs w:val="21"/>
              </w:rPr>
            </w:pPr>
            <w:r>
              <w:rPr>
                <w:rFonts w:hint="eastAsia"/>
                <w:color w:val="000000"/>
                <w:sz w:val="21"/>
                <w:szCs w:val="21"/>
              </w:rPr>
              <w:t>岸线方向/</w:t>
            </w:r>
            <w:r>
              <w:rPr>
                <w:color w:val="000000"/>
                <w:sz w:val="21"/>
                <w:szCs w:val="21"/>
              </w:rPr>
              <w:t xml:space="preserve"> °</w:t>
            </w:r>
          </w:p>
        </w:tc>
        <w:tc>
          <w:tcPr>
            <w:tcW w:w="1982" w:type="dxa"/>
            <w:shd w:val="clear" w:color="auto" w:fill="FFFFFF"/>
            <w:noWrap w:val="0"/>
            <w:vAlign w:val="center"/>
          </w:tcPr>
          <w:p w14:paraId="2E6E2802">
            <w:pPr>
              <w:pStyle w:val="379"/>
              <w:keepNext/>
              <w:keepLines w:val="0"/>
              <w:pageBreakBefore w:val="0"/>
              <w:spacing w:before="0" w:line="360" w:lineRule="auto"/>
              <w:rPr>
                <w:rFonts w:hint="eastAsia"/>
                <w:color w:val="000000"/>
                <w:sz w:val="21"/>
                <w:szCs w:val="21"/>
              </w:rPr>
            </w:pPr>
            <w:r>
              <w:rPr>
                <w:rFonts w:hint="eastAsia"/>
                <w:color w:val="000000"/>
                <w:sz w:val="21"/>
                <w:szCs w:val="21"/>
              </w:rPr>
              <w:t>/</w:t>
            </w:r>
          </w:p>
        </w:tc>
      </w:tr>
      <w:tr w14:paraId="0F851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5365" w:type="dxa"/>
            <w:gridSpan w:val="2"/>
            <w:shd w:val="clear" w:color="auto" w:fill="FFFFFF"/>
            <w:noWrap w:val="0"/>
            <w:vAlign w:val="center"/>
          </w:tcPr>
          <w:p w14:paraId="3A658F00">
            <w:pPr>
              <w:pStyle w:val="379"/>
              <w:keepNext/>
              <w:keepLines w:val="0"/>
              <w:pageBreakBefore w:val="0"/>
              <w:spacing w:before="0" w:line="360" w:lineRule="auto"/>
              <w:rPr>
                <w:rFonts w:hint="eastAsia"/>
                <w:color w:val="000000"/>
                <w:sz w:val="21"/>
                <w:szCs w:val="21"/>
              </w:rPr>
            </w:pPr>
            <w:r>
              <w:rPr>
                <w:rFonts w:hint="eastAsia"/>
                <w:color w:val="000000"/>
                <w:sz w:val="21"/>
                <w:szCs w:val="21"/>
              </w:rPr>
              <w:t>面源长度</w:t>
            </w:r>
          </w:p>
        </w:tc>
        <w:tc>
          <w:tcPr>
            <w:tcW w:w="1982" w:type="dxa"/>
            <w:shd w:val="clear" w:color="auto" w:fill="FFFFFF"/>
            <w:noWrap w:val="0"/>
            <w:vAlign w:val="center"/>
          </w:tcPr>
          <w:p w14:paraId="287D931F">
            <w:pPr>
              <w:pStyle w:val="379"/>
              <w:keepNext/>
              <w:keepLines w:val="0"/>
              <w:pageBreakBefore w:val="0"/>
              <w:spacing w:before="0" w:line="360" w:lineRule="auto"/>
              <w:rPr>
                <w:color w:val="000000"/>
                <w:sz w:val="21"/>
                <w:szCs w:val="21"/>
              </w:rPr>
            </w:pPr>
            <w:r>
              <w:rPr>
                <w:rFonts w:hint="eastAsia"/>
                <w:color w:val="000000"/>
                <w:sz w:val="21"/>
                <w:szCs w:val="21"/>
                <w:lang w:val="en-US" w:eastAsia="zh-CN"/>
              </w:rPr>
              <w:t>260</w:t>
            </w:r>
            <w:r>
              <w:rPr>
                <w:rFonts w:hint="eastAsia"/>
                <w:color w:val="000000"/>
                <w:sz w:val="21"/>
                <w:szCs w:val="21"/>
              </w:rPr>
              <w:t>m</w:t>
            </w:r>
          </w:p>
        </w:tc>
      </w:tr>
      <w:tr w14:paraId="51E5C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5365" w:type="dxa"/>
            <w:gridSpan w:val="2"/>
            <w:shd w:val="clear" w:color="auto" w:fill="FFFFFF"/>
            <w:noWrap w:val="0"/>
            <w:vAlign w:val="center"/>
          </w:tcPr>
          <w:p w14:paraId="673B7880">
            <w:pPr>
              <w:pStyle w:val="379"/>
              <w:keepNext/>
              <w:keepLines w:val="0"/>
              <w:pageBreakBefore w:val="0"/>
              <w:spacing w:before="0" w:line="360" w:lineRule="auto"/>
              <w:rPr>
                <w:rFonts w:hint="eastAsia"/>
                <w:color w:val="000000"/>
                <w:sz w:val="21"/>
                <w:szCs w:val="21"/>
              </w:rPr>
            </w:pPr>
            <w:r>
              <w:rPr>
                <w:rFonts w:hint="eastAsia"/>
                <w:color w:val="000000"/>
                <w:sz w:val="21"/>
                <w:szCs w:val="21"/>
              </w:rPr>
              <w:t>面源宽度</w:t>
            </w:r>
          </w:p>
        </w:tc>
        <w:tc>
          <w:tcPr>
            <w:tcW w:w="1982" w:type="dxa"/>
            <w:shd w:val="clear" w:color="auto" w:fill="FFFFFF"/>
            <w:noWrap w:val="0"/>
            <w:vAlign w:val="center"/>
          </w:tcPr>
          <w:p w14:paraId="404C1A0D">
            <w:pPr>
              <w:pStyle w:val="379"/>
              <w:keepNext/>
              <w:keepLines w:val="0"/>
              <w:pageBreakBefore w:val="0"/>
              <w:spacing w:before="0" w:line="360" w:lineRule="auto"/>
              <w:rPr>
                <w:color w:val="000000"/>
                <w:sz w:val="21"/>
                <w:szCs w:val="21"/>
              </w:rPr>
            </w:pPr>
            <w:r>
              <w:rPr>
                <w:rFonts w:hint="eastAsia"/>
                <w:color w:val="000000"/>
                <w:sz w:val="21"/>
                <w:szCs w:val="21"/>
                <w:lang w:val="en-US" w:eastAsia="zh-CN"/>
              </w:rPr>
              <w:t>95</w:t>
            </w:r>
            <w:r>
              <w:rPr>
                <w:rFonts w:hint="eastAsia"/>
                <w:color w:val="000000"/>
                <w:sz w:val="21"/>
                <w:szCs w:val="21"/>
              </w:rPr>
              <w:t>m</w:t>
            </w:r>
          </w:p>
        </w:tc>
      </w:tr>
      <w:tr w14:paraId="7E516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5365" w:type="dxa"/>
            <w:gridSpan w:val="2"/>
            <w:shd w:val="clear" w:color="auto" w:fill="FFFFFF"/>
            <w:noWrap w:val="0"/>
            <w:vAlign w:val="center"/>
          </w:tcPr>
          <w:p w14:paraId="5DC0CF59">
            <w:pPr>
              <w:pStyle w:val="379"/>
              <w:keepNext/>
              <w:keepLines w:val="0"/>
              <w:pageBreakBefore w:val="0"/>
              <w:spacing w:before="0" w:line="360" w:lineRule="auto"/>
              <w:rPr>
                <w:rFonts w:hint="eastAsia"/>
                <w:color w:val="000000"/>
                <w:sz w:val="21"/>
                <w:szCs w:val="21"/>
              </w:rPr>
            </w:pPr>
            <w:r>
              <w:rPr>
                <w:rFonts w:hint="eastAsia"/>
                <w:color w:val="000000"/>
                <w:sz w:val="21"/>
                <w:szCs w:val="21"/>
              </w:rPr>
              <w:t>源高</w:t>
            </w:r>
          </w:p>
        </w:tc>
        <w:tc>
          <w:tcPr>
            <w:tcW w:w="1982" w:type="dxa"/>
            <w:shd w:val="clear" w:color="auto" w:fill="FFFFFF"/>
            <w:noWrap w:val="0"/>
            <w:vAlign w:val="center"/>
          </w:tcPr>
          <w:p w14:paraId="25CB26D9">
            <w:pPr>
              <w:pStyle w:val="379"/>
              <w:keepNext/>
              <w:keepLines w:val="0"/>
              <w:pageBreakBefore w:val="0"/>
              <w:spacing w:before="0" w:line="360" w:lineRule="auto"/>
              <w:rPr>
                <w:color w:val="000000"/>
                <w:sz w:val="21"/>
                <w:szCs w:val="21"/>
                <w:lang w:val="en-US"/>
              </w:rPr>
            </w:pPr>
            <w:r>
              <w:rPr>
                <w:rFonts w:hint="eastAsia"/>
                <w:color w:val="000000"/>
                <w:sz w:val="21"/>
                <w:szCs w:val="21"/>
                <w:lang w:val="en-US" w:eastAsia="zh-CN"/>
              </w:rPr>
              <w:t>6m</w:t>
            </w:r>
          </w:p>
        </w:tc>
      </w:tr>
      <w:tr w14:paraId="64F93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5365" w:type="dxa"/>
            <w:gridSpan w:val="2"/>
            <w:shd w:val="clear" w:color="auto" w:fill="FFFFFF"/>
            <w:noWrap w:val="0"/>
            <w:vAlign w:val="center"/>
          </w:tcPr>
          <w:p w14:paraId="03DDF810">
            <w:pPr>
              <w:pStyle w:val="379"/>
              <w:keepNext/>
              <w:keepLines w:val="0"/>
              <w:pageBreakBefore w:val="0"/>
              <w:spacing w:before="0" w:line="360" w:lineRule="auto"/>
              <w:rPr>
                <w:rFonts w:hint="eastAsia"/>
                <w:color w:val="000000"/>
                <w:sz w:val="21"/>
                <w:szCs w:val="21"/>
              </w:rPr>
            </w:pPr>
            <w:r>
              <w:rPr>
                <w:rFonts w:hint="eastAsia"/>
                <w:color w:val="000000"/>
                <w:sz w:val="21"/>
                <w:szCs w:val="21"/>
              </w:rPr>
              <w:t>污染源类型</w:t>
            </w:r>
          </w:p>
        </w:tc>
        <w:tc>
          <w:tcPr>
            <w:tcW w:w="1982" w:type="dxa"/>
            <w:shd w:val="clear" w:color="auto" w:fill="FFFFFF"/>
            <w:noWrap w:val="0"/>
            <w:vAlign w:val="center"/>
          </w:tcPr>
          <w:p w14:paraId="4646B90A">
            <w:pPr>
              <w:pStyle w:val="379"/>
              <w:keepNext/>
              <w:keepLines w:val="0"/>
              <w:pageBreakBefore w:val="0"/>
              <w:spacing w:before="0" w:line="360" w:lineRule="auto"/>
              <w:rPr>
                <w:rFonts w:hint="eastAsia"/>
                <w:color w:val="000000"/>
                <w:sz w:val="21"/>
                <w:szCs w:val="21"/>
              </w:rPr>
            </w:pPr>
            <w:r>
              <w:rPr>
                <w:rFonts w:hint="eastAsia"/>
                <w:color w:val="000000"/>
                <w:sz w:val="21"/>
                <w:szCs w:val="21"/>
              </w:rPr>
              <w:t>面</w:t>
            </w:r>
          </w:p>
        </w:tc>
      </w:tr>
      <w:tr w14:paraId="6686B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749D2040">
            <w:pPr>
              <w:pStyle w:val="379"/>
              <w:keepNext/>
              <w:keepLines w:val="0"/>
              <w:pageBreakBefore w:val="0"/>
              <w:spacing w:before="0" w:line="360" w:lineRule="auto"/>
              <w:rPr>
                <w:rFonts w:hint="eastAsia"/>
                <w:color w:val="000000"/>
                <w:sz w:val="21"/>
                <w:szCs w:val="21"/>
              </w:rPr>
            </w:pPr>
            <w:r>
              <w:rPr>
                <w:rFonts w:hint="eastAsia"/>
                <w:color w:val="000000"/>
                <w:sz w:val="21"/>
                <w:szCs w:val="21"/>
              </w:rPr>
              <w:t>TSP</w:t>
            </w:r>
          </w:p>
        </w:tc>
        <w:tc>
          <w:tcPr>
            <w:tcW w:w="3742" w:type="dxa"/>
            <w:shd w:val="clear" w:color="auto" w:fill="FFFFFF"/>
            <w:noWrap w:val="0"/>
            <w:vAlign w:val="center"/>
          </w:tcPr>
          <w:p w14:paraId="24BDFA76">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rPr>
              <w:t>污染物</w:t>
            </w:r>
            <w:r>
              <w:rPr>
                <w:rFonts w:hint="eastAsia"/>
                <w:color w:val="000000"/>
                <w:sz w:val="21"/>
                <w:szCs w:val="21"/>
                <w:lang w:val="en-US" w:eastAsia="zh-CN"/>
              </w:rPr>
              <w:t>标准</w:t>
            </w:r>
          </w:p>
        </w:tc>
        <w:tc>
          <w:tcPr>
            <w:tcW w:w="1982" w:type="dxa"/>
            <w:shd w:val="clear" w:color="auto" w:fill="FFFFFF"/>
            <w:noWrap w:val="0"/>
            <w:vAlign w:val="center"/>
          </w:tcPr>
          <w:p w14:paraId="46B3B22A">
            <w:pPr>
              <w:pStyle w:val="379"/>
              <w:keepNext/>
              <w:keepLines w:val="0"/>
              <w:pageBreakBefore w:val="0"/>
              <w:spacing w:before="0" w:line="360" w:lineRule="auto"/>
              <w:rPr>
                <w:rFonts w:hint="eastAsia"/>
                <w:color w:val="000000"/>
                <w:sz w:val="21"/>
                <w:szCs w:val="21"/>
              </w:rPr>
            </w:pPr>
            <w:r>
              <w:rPr>
                <w:rFonts w:hint="eastAsia"/>
                <w:color w:val="000000"/>
                <w:sz w:val="21"/>
                <w:szCs w:val="21"/>
              </w:rPr>
              <w:t>0.9mg/m</w:t>
            </w:r>
            <w:r>
              <w:rPr>
                <w:rFonts w:hint="eastAsia"/>
                <w:color w:val="000000"/>
                <w:sz w:val="21"/>
                <w:szCs w:val="21"/>
                <w:vertAlign w:val="superscript"/>
              </w:rPr>
              <w:t>3</w:t>
            </w:r>
          </w:p>
        </w:tc>
      </w:tr>
      <w:tr w14:paraId="2832D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27742D36">
            <w:pPr>
              <w:pStyle w:val="379"/>
              <w:keepNext/>
              <w:keepLines w:val="0"/>
              <w:pageBreakBefore w:val="0"/>
              <w:spacing w:before="0" w:line="360" w:lineRule="auto"/>
              <w:rPr>
                <w:rFonts w:hint="eastAsia"/>
                <w:color w:val="000000"/>
                <w:sz w:val="21"/>
                <w:szCs w:val="21"/>
              </w:rPr>
            </w:pPr>
          </w:p>
        </w:tc>
        <w:tc>
          <w:tcPr>
            <w:tcW w:w="3742" w:type="dxa"/>
            <w:shd w:val="clear" w:color="auto" w:fill="FFFFFF"/>
            <w:noWrap w:val="0"/>
            <w:vAlign w:val="center"/>
          </w:tcPr>
          <w:p w14:paraId="67DAC634">
            <w:pPr>
              <w:pStyle w:val="379"/>
              <w:keepNext/>
              <w:keepLines w:val="0"/>
              <w:pageBreakBefore w:val="0"/>
              <w:spacing w:before="0" w:line="360" w:lineRule="auto"/>
              <w:rPr>
                <w:rFonts w:hint="eastAsia"/>
                <w:color w:val="000000"/>
                <w:sz w:val="21"/>
                <w:szCs w:val="21"/>
              </w:rPr>
            </w:pPr>
            <w:r>
              <w:rPr>
                <w:rFonts w:hint="eastAsia"/>
                <w:color w:val="000000"/>
                <w:sz w:val="21"/>
                <w:szCs w:val="21"/>
              </w:rPr>
              <w:t>释放速率</w:t>
            </w:r>
          </w:p>
        </w:tc>
        <w:tc>
          <w:tcPr>
            <w:tcW w:w="1982" w:type="dxa"/>
            <w:shd w:val="clear" w:color="auto" w:fill="FFFFFF"/>
            <w:noWrap w:val="0"/>
            <w:vAlign w:val="center"/>
          </w:tcPr>
          <w:p w14:paraId="70CC550E">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0.03</w:t>
            </w:r>
            <w:r>
              <w:rPr>
                <w:rFonts w:hint="eastAsia"/>
                <w:color w:val="000000"/>
                <w:sz w:val="21"/>
                <w:szCs w:val="21"/>
              </w:rPr>
              <w:t>g/s</w:t>
            </w:r>
          </w:p>
        </w:tc>
      </w:tr>
      <w:tr w14:paraId="61F00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restart"/>
            <w:shd w:val="clear" w:color="auto" w:fill="FFFFFF"/>
            <w:noWrap w:val="0"/>
            <w:vAlign w:val="center"/>
          </w:tcPr>
          <w:p w14:paraId="17DCEB1C">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甲醛</w:t>
            </w:r>
          </w:p>
        </w:tc>
        <w:tc>
          <w:tcPr>
            <w:tcW w:w="3742" w:type="dxa"/>
            <w:shd w:val="clear" w:color="auto" w:fill="FFFFFF"/>
            <w:noWrap w:val="0"/>
            <w:vAlign w:val="center"/>
          </w:tcPr>
          <w:p w14:paraId="11774C53">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污染物标准</w:t>
            </w:r>
          </w:p>
        </w:tc>
        <w:tc>
          <w:tcPr>
            <w:tcW w:w="1982" w:type="dxa"/>
            <w:shd w:val="clear" w:color="auto" w:fill="FFFFFF"/>
            <w:noWrap w:val="0"/>
            <w:vAlign w:val="center"/>
          </w:tcPr>
          <w:p w14:paraId="41F04D59">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0.05</w:t>
            </w:r>
            <w:r>
              <w:rPr>
                <w:rFonts w:hint="eastAsia"/>
                <w:color w:val="000000"/>
                <w:sz w:val="21"/>
                <w:szCs w:val="21"/>
              </w:rPr>
              <w:t>mg/m</w:t>
            </w:r>
            <w:r>
              <w:rPr>
                <w:rFonts w:hint="eastAsia"/>
                <w:color w:val="000000"/>
                <w:sz w:val="21"/>
                <w:szCs w:val="21"/>
                <w:vertAlign w:val="superscript"/>
              </w:rPr>
              <w:t>3</w:t>
            </w:r>
          </w:p>
        </w:tc>
      </w:tr>
      <w:tr w14:paraId="4002A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rPr>
        <w:tc>
          <w:tcPr>
            <w:tcW w:w="1623" w:type="dxa"/>
            <w:vMerge w:val="continue"/>
            <w:shd w:val="clear" w:color="auto" w:fill="FFFFFF"/>
            <w:noWrap w:val="0"/>
            <w:vAlign w:val="center"/>
          </w:tcPr>
          <w:p w14:paraId="7C7B659E">
            <w:pPr>
              <w:pStyle w:val="379"/>
              <w:keepNext/>
              <w:keepLines w:val="0"/>
              <w:pageBreakBefore w:val="0"/>
              <w:spacing w:before="0" w:line="360" w:lineRule="auto"/>
              <w:rPr>
                <w:rFonts w:hint="eastAsia"/>
                <w:color w:val="000000"/>
                <w:sz w:val="21"/>
                <w:szCs w:val="21"/>
              </w:rPr>
            </w:pPr>
          </w:p>
        </w:tc>
        <w:tc>
          <w:tcPr>
            <w:tcW w:w="3742" w:type="dxa"/>
            <w:shd w:val="clear" w:color="auto" w:fill="FFFFFF"/>
            <w:noWrap w:val="0"/>
            <w:vAlign w:val="center"/>
          </w:tcPr>
          <w:p w14:paraId="48ADEB8B">
            <w:pPr>
              <w:pStyle w:val="379"/>
              <w:keepNext/>
              <w:keepLines w:val="0"/>
              <w:pageBreakBefore w:val="0"/>
              <w:spacing w:before="0" w:line="360" w:lineRule="auto"/>
              <w:rPr>
                <w:rFonts w:hint="eastAsia"/>
                <w:color w:val="000000"/>
                <w:sz w:val="21"/>
                <w:szCs w:val="21"/>
              </w:rPr>
            </w:pPr>
            <w:r>
              <w:rPr>
                <w:rFonts w:hint="eastAsia"/>
                <w:color w:val="000000"/>
                <w:sz w:val="21"/>
                <w:szCs w:val="21"/>
              </w:rPr>
              <w:t>释放速率</w:t>
            </w:r>
          </w:p>
        </w:tc>
        <w:tc>
          <w:tcPr>
            <w:tcW w:w="1982" w:type="dxa"/>
            <w:shd w:val="clear" w:color="auto" w:fill="FFFFFF"/>
            <w:noWrap w:val="0"/>
            <w:vAlign w:val="center"/>
          </w:tcPr>
          <w:p w14:paraId="316FC32A">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0.00004</w:t>
            </w:r>
            <w:r>
              <w:rPr>
                <w:rFonts w:hint="eastAsia"/>
                <w:color w:val="000000"/>
                <w:sz w:val="21"/>
                <w:szCs w:val="21"/>
              </w:rPr>
              <w:t>g/s</w:t>
            </w:r>
          </w:p>
        </w:tc>
      </w:tr>
    </w:tbl>
    <w:p w14:paraId="38F6DE49">
      <w:pPr>
        <w:keepNext/>
        <w:keepLines w:val="0"/>
        <w:pageBreakBefore w:val="0"/>
        <w:widowControl/>
        <w:spacing w:line="360" w:lineRule="auto"/>
        <w:ind w:firstLine="1928"/>
        <w:jc w:val="left"/>
        <w:rPr>
          <w:rFonts w:hint="eastAsia"/>
          <w:b/>
          <w:color w:val="FF0000"/>
          <w:sz w:val="24"/>
        </w:rPr>
      </w:pPr>
    </w:p>
    <w:p w14:paraId="66AAE1A1">
      <w:pPr>
        <w:keepNext/>
        <w:keepLines w:val="0"/>
        <w:pageBreakBefore w:val="0"/>
        <w:widowControl/>
        <w:spacing w:line="360" w:lineRule="auto"/>
        <w:ind w:firstLine="1928"/>
        <w:jc w:val="left"/>
        <w:rPr>
          <w:b/>
          <w:color w:val="000000"/>
          <w:sz w:val="24"/>
        </w:rPr>
      </w:pPr>
      <w:r>
        <w:rPr>
          <w:b/>
          <w:color w:val="000000"/>
          <w:sz w:val="24"/>
        </w:rPr>
        <w:t>表</w:t>
      </w:r>
      <w:r>
        <w:rPr>
          <w:rFonts w:hint="eastAsia"/>
          <w:b/>
          <w:bCs/>
          <w:color w:val="000000"/>
          <w:sz w:val="24"/>
          <w:lang w:val="en-US" w:eastAsia="zh-CN"/>
        </w:rPr>
        <w:t>6.2-20</w:t>
      </w:r>
      <w:r>
        <w:rPr>
          <w:b/>
          <w:bCs/>
          <w:color w:val="000000"/>
          <w:sz w:val="24"/>
        </w:rPr>
        <w:t xml:space="preserve"> </w:t>
      </w:r>
      <w:r>
        <w:rPr>
          <w:b/>
          <w:color w:val="000000"/>
          <w:sz w:val="24"/>
        </w:rPr>
        <w:t>项目</w:t>
      </w:r>
      <w:r>
        <w:rPr>
          <w:rFonts w:hint="eastAsia"/>
          <w:b/>
          <w:color w:val="000000"/>
          <w:sz w:val="24"/>
        </w:rPr>
        <w:t>无组织</w:t>
      </w:r>
      <w:r>
        <w:rPr>
          <w:rFonts w:hint="eastAsia"/>
          <w:b/>
          <w:color w:val="000000"/>
          <w:sz w:val="24"/>
          <w:lang w:val="en-US" w:eastAsia="zh-CN"/>
        </w:rPr>
        <w:t>废气</w:t>
      </w:r>
      <w:r>
        <w:rPr>
          <w:rFonts w:hint="eastAsia"/>
          <w:b/>
          <w:color w:val="000000"/>
          <w:sz w:val="24"/>
        </w:rPr>
        <w:t>估算模型计算结果</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75"/>
        <w:gridCol w:w="1695"/>
        <w:gridCol w:w="1500"/>
        <w:gridCol w:w="1297"/>
        <w:gridCol w:w="1148"/>
      </w:tblGrid>
      <w:tr w14:paraId="45DA3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vMerge w:val="restart"/>
            <w:noWrap w:val="0"/>
            <w:vAlign w:val="center"/>
          </w:tcPr>
          <w:p w14:paraId="16140D33">
            <w:pPr>
              <w:pStyle w:val="379"/>
              <w:keepNext/>
              <w:keepLines w:val="0"/>
              <w:pageBreakBefore w:val="0"/>
              <w:spacing w:before="0" w:line="360" w:lineRule="auto"/>
              <w:rPr>
                <w:rFonts w:hint="eastAsia"/>
                <w:color w:val="000000"/>
                <w:sz w:val="21"/>
                <w:szCs w:val="21"/>
              </w:rPr>
            </w:pPr>
            <w:r>
              <w:rPr>
                <w:rFonts w:hint="eastAsia"/>
                <w:color w:val="000000"/>
                <w:sz w:val="21"/>
                <w:szCs w:val="21"/>
              </w:rPr>
              <w:t>距源中心下风向距离D/m</w:t>
            </w:r>
          </w:p>
        </w:tc>
        <w:tc>
          <w:tcPr>
            <w:tcW w:w="3195" w:type="dxa"/>
            <w:gridSpan w:val="2"/>
            <w:noWrap w:val="0"/>
            <w:vAlign w:val="center"/>
          </w:tcPr>
          <w:p w14:paraId="5EC1CB91">
            <w:pPr>
              <w:pStyle w:val="379"/>
              <w:keepNext/>
              <w:keepLines w:val="0"/>
              <w:pageBreakBefore w:val="0"/>
              <w:spacing w:before="0" w:line="360" w:lineRule="auto"/>
              <w:rPr>
                <w:rFonts w:hint="eastAsia"/>
                <w:color w:val="000000"/>
                <w:sz w:val="21"/>
                <w:szCs w:val="21"/>
              </w:rPr>
            </w:pPr>
            <w:r>
              <w:rPr>
                <w:rFonts w:hint="eastAsia"/>
                <w:color w:val="000000"/>
                <w:sz w:val="21"/>
                <w:szCs w:val="21"/>
              </w:rPr>
              <w:t>TSP</w:t>
            </w:r>
          </w:p>
        </w:tc>
        <w:tc>
          <w:tcPr>
            <w:tcW w:w="2445" w:type="dxa"/>
            <w:gridSpan w:val="2"/>
            <w:noWrap w:val="0"/>
            <w:vAlign w:val="center"/>
          </w:tcPr>
          <w:p w14:paraId="7AAED8FD">
            <w:pPr>
              <w:pStyle w:val="379"/>
              <w:keepNext/>
              <w:keepLines w:val="0"/>
              <w:pageBreakBefore w:val="0"/>
              <w:spacing w:before="0" w:line="360" w:lineRule="auto"/>
              <w:rPr>
                <w:rFonts w:hint="eastAsia" w:eastAsia="宋体"/>
                <w:color w:val="000000"/>
                <w:sz w:val="21"/>
                <w:szCs w:val="21"/>
                <w:lang w:eastAsia="zh-CN"/>
              </w:rPr>
            </w:pPr>
            <w:r>
              <w:rPr>
                <w:rFonts w:hint="eastAsia"/>
                <w:color w:val="000000"/>
                <w:sz w:val="21"/>
                <w:szCs w:val="21"/>
                <w:lang w:val="en-US" w:eastAsia="zh-CN"/>
              </w:rPr>
              <w:t>甲醛</w:t>
            </w:r>
          </w:p>
        </w:tc>
      </w:tr>
      <w:tr w14:paraId="075F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875" w:type="dxa"/>
            <w:vMerge w:val="continue"/>
            <w:noWrap w:val="0"/>
            <w:vAlign w:val="center"/>
          </w:tcPr>
          <w:p w14:paraId="648BA9A0">
            <w:pPr>
              <w:pStyle w:val="379"/>
              <w:keepNext/>
              <w:keepLines w:val="0"/>
              <w:pageBreakBefore w:val="0"/>
              <w:spacing w:before="0" w:line="360" w:lineRule="auto"/>
              <w:rPr>
                <w:rFonts w:hint="eastAsia"/>
                <w:color w:val="000000"/>
                <w:sz w:val="21"/>
                <w:szCs w:val="21"/>
              </w:rPr>
            </w:pPr>
          </w:p>
        </w:tc>
        <w:tc>
          <w:tcPr>
            <w:tcW w:w="1695" w:type="dxa"/>
            <w:noWrap w:val="0"/>
            <w:vAlign w:val="center"/>
          </w:tcPr>
          <w:p w14:paraId="069621F7">
            <w:pPr>
              <w:pStyle w:val="379"/>
              <w:keepNext/>
              <w:keepLines w:val="0"/>
              <w:pageBreakBefore w:val="0"/>
              <w:spacing w:before="0" w:line="360" w:lineRule="auto"/>
              <w:rPr>
                <w:rFonts w:hint="eastAsia"/>
                <w:color w:val="000000"/>
                <w:sz w:val="21"/>
                <w:szCs w:val="21"/>
              </w:rPr>
            </w:pPr>
            <w:r>
              <w:rPr>
                <w:rFonts w:hint="eastAsia"/>
                <w:color w:val="000000"/>
                <w:sz w:val="21"/>
                <w:szCs w:val="21"/>
              </w:rPr>
              <w:t>小时浓度mg/m</w:t>
            </w:r>
            <w:r>
              <w:rPr>
                <w:rFonts w:hint="eastAsia"/>
                <w:color w:val="000000"/>
                <w:sz w:val="21"/>
                <w:szCs w:val="21"/>
                <w:vertAlign w:val="superscript"/>
              </w:rPr>
              <w:t>3</w:t>
            </w:r>
          </w:p>
        </w:tc>
        <w:tc>
          <w:tcPr>
            <w:tcW w:w="1500" w:type="dxa"/>
            <w:noWrap w:val="0"/>
            <w:vAlign w:val="center"/>
          </w:tcPr>
          <w:p w14:paraId="529AF238">
            <w:pPr>
              <w:pStyle w:val="379"/>
              <w:keepNext/>
              <w:keepLines w:val="0"/>
              <w:pageBreakBefore w:val="0"/>
              <w:spacing w:before="0" w:line="360" w:lineRule="auto"/>
              <w:rPr>
                <w:rFonts w:hint="eastAsia"/>
                <w:color w:val="000000"/>
                <w:sz w:val="21"/>
                <w:szCs w:val="21"/>
              </w:rPr>
            </w:pPr>
            <w:r>
              <w:rPr>
                <w:rFonts w:hint="eastAsia"/>
                <w:color w:val="000000"/>
                <w:sz w:val="21"/>
                <w:szCs w:val="21"/>
              </w:rPr>
              <w:t>占标率%</w:t>
            </w:r>
          </w:p>
        </w:tc>
        <w:tc>
          <w:tcPr>
            <w:tcW w:w="1297" w:type="dxa"/>
            <w:noWrap w:val="0"/>
            <w:vAlign w:val="center"/>
          </w:tcPr>
          <w:p w14:paraId="46207669">
            <w:pPr>
              <w:pStyle w:val="379"/>
              <w:keepNext/>
              <w:keepLines w:val="0"/>
              <w:pageBreakBefore w:val="0"/>
              <w:spacing w:before="0" w:line="360" w:lineRule="auto"/>
              <w:rPr>
                <w:rFonts w:hint="eastAsia"/>
                <w:color w:val="000000"/>
                <w:sz w:val="21"/>
                <w:szCs w:val="21"/>
              </w:rPr>
            </w:pPr>
            <w:r>
              <w:rPr>
                <w:rFonts w:hint="eastAsia"/>
                <w:color w:val="000000"/>
                <w:sz w:val="21"/>
                <w:szCs w:val="21"/>
              </w:rPr>
              <w:t>小时浓度mg/m</w:t>
            </w:r>
            <w:r>
              <w:rPr>
                <w:rFonts w:hint="eastAsia"/>
                <w:color w:val="000000"/>
                <w:sz w:val="21"/>
                <w:szCs w:val="21"/>
                <w:vertAlign w:val="superscript"/>
              </w:rPr>
              <w:t>3</w:t>
            </w:r>
          </w:p>
        </w:tc>
        <w:tc>
          <w:tcPr>
            <w:tcW w:w="1148" w:type="dxa"/>
            <w:noWrap w:val="0"/>
            <w:vAlign w:val="center"/>
          </w:tcPr>
          <w:p w14:paraId="6C84BF4C">
            <w:pPr>
              <w:pStyle w:val="379"/>
              <w:keepNext/>
              <w:keepLines w:val="0"/>
              <w:pageBreakBefore w:val="0"/>
              <w:spacing w:before="0" w:line="360" w:lineRule="auto"/>
              <w:rPr>
                <w:rFonts w:hint="eastAsia"/>
                <w:color w:val="000000"/>
                <w:sz w:val="21"/>
                <w:szCs w:val="21"/>
              </w:rPr>
            </w:pPr>
            <w:r>
              <w:rPr>
                <w:rFonts w:hint="eastAsia"/>
                <w:color w:val="000000"/>
                <w:sz w:val="21"/>
                <w:szCs w:val="21"/>
              </w:rPr>
              <w:t>占标率%</w:t>
            </w:r>
          </w:p>
        </w:tc>
      </w:tr>
      <w:tr w14:paraId="6B64D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3224619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10</w:t>
            </w:r>
          </w:p>
        </w:tc>
        <w:tc>
          <w:tcPr>
            <w:tcW w:w="1695" w:type="dxa"/>
            <w:noWrap w:val="0"/>
            <w:vAlign w:val="center"/>
          </w:tcPr>
          <w:p w14:paraId="69D1183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2.05E-02</w:t>
            </w:r>
          </w:p>
        </w:tc>
        <w:tc>
          <w:tcPr>
            <w:tcW w:w="1500" w:type="dxa"/>
            <w:noWrap w:val="0"/>
            <w:vAlign w:val="center"/>
          </w:tcPr>
          <w:p w14:paraId="232670B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2.27</w:t>
            </w:r>
          </w:p>
        </w:tc>
        <w:tc>
          <w:tcPr>
            <w:tcW w:w="1297" w:type="dxa"/>
            <w:noWrap w:val="0"/>
            <w:vAlign w:val="center"/>
          </w:tcPr>
          <w:p w14:paraId="239C6E4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2.73E-05</w:t>
            </w:r>
          </w:p>
        </w:tc>
        <w:tc>
          <w:tcPr>
            <w:tcW w:w="1148" w:type="dxa"/>
            <w:noWrap w:val="0"/>
            <w:vAlign w:val="center"/>
          </w:tcPr>
          <w:p w14:paraId="372B063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1AC8A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3CDA93F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w:t>
            </w:r>
          </w:p>
        </w:tc>
        <w:tc>
          <w:tcPr>
            <w:tcW w:w="1695" w:type="dxa"/>
            <w:noWrap w:val="0"/>
            <w:vAlign w:val="center"/>
          </w:tcPr>
          <w:p w14:paraId="3474687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2.26E-02</w:t>
            </w:r>
          </w:p>
        </w:tc>
        <w:tc>
          <w:tcPr>
            <w:tcW w:w="1500" w:type="dxa"/>
            <w:noWrap w:val="0"/>
            <w:vAlign w:val="center"/>
          </w:tcPr>
          <w:p w14:paraId="5A45769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2.51</w:t>
            </w:r>
          </w:p>
        </w:tc>
        <w:tc>
          <w:tcPr>
            <w:tcW w:w="1297" w:type="dxa"/>
            <w:noWrap w:val="0"/>
            <w:vAlign w:val="center"/>
          </w:tcPr>
          <w:p w14:paraId="0EDC3A9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3.01E-05</w:t>
            </w:r>
          </w:p>
        </w:tc>
        <w:tc>
          <w:tcPr>
            <w:tcW w:w="1148" w:type="dxa"/>
            <w:noWrap w:val="0"/>
            <w:vAlign w:val="center"/>
          </w:tcPr>
          <w:p w14:paraId="0E32476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0.06</w:t>
            </w:r>
          </w:p>
        </w:tc>
      </w:tr>
      <w:tr w14:paraId="6CF0C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6B4B09D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50</w:t>
            </w:r>
          </w:p>
        </w:tc>
        <w:tc>
          <w:tcPr>
            <w:tcW w:w="1695" w:type="dxa"/>
            <w:noWrap w:val="0"/>
            <w:vAlign w:val="center"/>
          </w:tcPr>
          <w:p w14:paraId="5EDF235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2.59E-02</w:t>
            </w:r>
          </w:p>
        </w:tc>
        <w:tc>
          <w:tcPr>
            <w:tcW w:w="1500" w:type="dxa"/>
            <w:noWrap w:val="0"/>
            <w:vAlign w:val="center"/>
          </w:tcPr>
          <w:p w14:paraId="61C93DD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2.88</w:t>
            </w:r>
          </w:p>
        </w:tc>
        <w:tc>
          <w:tcPr>
            <w:tcW w:w="1297" w:type="dxa"/>
            <w:noWrap w:val="0"/>
            <w:vAlign w:val="center"/>
          </w:tcPr>
          <w:p w14:paraId="7AD7EFC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3.45E-05</w:t>
            </w:r>
          </w:p>
        </w:tc>
        <w:tc>
          <w:tcPr>
            <w:tcW w:w="1148" w:type="dxa"/>
            <w:noWrap w:val="0"/>
            <w:vAlign w:val="center"/>
          </w:tcPr>
          <w:p w14:paraId="273EBE2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0.07</w:t>
            </w:r>
          </w:p>
        </w:tc>
      </w:tr>
      <w:tr w14:paraId="4DF14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shd w:val="clear" w:color="auto" w:fill="FFFFFF"/>
            <w:noWrap w:val="0"/>
            <w:vAlign w:val="center"/>
          </w:tcPr>
          <w:p w14:paraId="56B3972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75</w:t>
            </w:r>
          </w:p>
        </w:tc>
        <w:tc>
          <w:tcPr>
            <w:tcW w:w="1695" w:type="dxa"/>
            <w:shd w:val="clear" w:color="auto" w:fill="FFFFFF"/>
            <w:noWrap w:val="0"/>
            <w:vAlign w:val="center"/>
          </w:tcPr>
          <w:p w14:paraId="7B7B9F8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2.89E-02</w:t>
            </w:r>
          </w:p>
        </w:tc>
        <w:tc>
          <w:tcPr>
            <w:tcW w:w="1500" w:type="dxa"/>
            <w:shd w:val="clear" w:color="auto" w:fill="FFFFFF"/>
            <w:noWrap w:val="0"/>
            <w:vAlign w:val="center"/>
          </w:tcPr>
          <w:p w14:paraId="4314801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3.21</w:t>
            </w:r>
          </w:p>
        </w:tc>
        <w:tc>
          <w:tcPr>
            <w:tcW w:w="1297" w:type="dxa"/>
            <w:shd w:val="clear" w:color="auto" w:fill="FFFFFF"/>
            <w:noWrap w:val="0"/>
            <w:vAlign w:val="center"/>
          </w:tcPr>
          <w:p w14:paraId="76B9884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3.86E-05</w:t>
            </w:r>
          </w:p>
        </w:tc>
        <w:tc>
          <w:tcPr>
            <w:tcW w:w="1148" w:type="dxa"/>
            <w:shd w:val="clear" w:color="auto" w:fill="FFFFFF"/>
            <w:noWrap w:val="0"/>
            <w:vAlign w:val="center"/>
          </w:tcPr>
          <w:p w14:paraId="433637E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64F95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6A3BB5F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100</w:t>
            </w:r>
          </w:p>
        </w:tc>
        <w:tc>
          <w:tcPr>
            <w:tcW w:w="1695" w:type="dxa"/>
            <w:noWrap w:val="0"/>
            <w:vAlign w:val="center"/>
          </w:tcPr>
          <w:p w14:paraId="45BD61D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3.17E-02</w:t>
            </w:r>
          </w:p>
        </w:tc>
        <w:tc>
          <w:tcPr>
            <w:tcW w:w="1500" w:type="dxa"/>
            <w:noWrap w:val="0"/>
            <w:vAlign w:val="center"/>
          </w:tcPr>
          <w:p w14:paraId="709222F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3.52</w:t>
            </w:r>
          </w:p>
        </w:tc>
        <w:tc>
          <w:tcPr>
            <w:tcW w:w="1297" w:type="dxa"/>
            <w:noWrap w:val="0"/>
            <w:vAlign w:val="center"/>
          </w:tcPr>
          <w:p w14:paraId="5BC6DE8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4.22E-05</w:t>
            </w:r>
          </w:p>
        </w:tc>
        <w:tc>
          <w:tcPr>
            <w:tcW w:w="1148" w:type="dxa"/>
            <w:noWrap w:val="0"/>
            <w:vAlign w:val="center"/>
          </w:tcPr>
          <w:p w14:paraId="22FD4E4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38A4C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875" w:type="dxa"/>
            <w:shd w:val="clear" w:color="auto" w:fill="FFFFFF"/>
            <w:noWrap w:val="0"/>
            <w:vAlign w:val="center"/>
          </w:tcPr>
          <w:p w14:paraId="59DFFF0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125</w:t>
            </w:r>
          </w:p>
        </w:tc>
        <w:tc>
          <w:tcPr>
            <w:tcW w:w="1695" w:type="dxa"/>
            <w:shd w:val="clear" w:color="auto" w:fill="FFFFFF"/>
            <w:noWrap w:val="0"/>
            <w:vAlign w:val="center"/>
          </w:tcPr>
          <w:p w14:paraId="6ECB91B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3.42E-02</w:t>
            </w:r>
          </w:p>
        </w:tc>
        <w:tc>
          <w:tcPr>
            <w:tcW w:w="1500" w:type="dxa"/>
            <w:shd w:val="clear" w:color="auto" w:fill="FFFFFF"/>
            <w:noWrap w:val="0"/>
            <w:vAlign w:val="center"/>
          </w:tcPr>
          <w:p w14:paraId="633AD1C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3.80</w:t>
            </w:r>
          </w:p>
        </w:tc>
        <w:tc>
          <w:tcPr>
            <w:tcW w:w="1297" w:type="dxa"/>
            <w:shd w:val="clear" w:color="auto" w:fill="FFFFFF"/>
            <w:noWrap w:val="0"/>
            <w:vAlign w:val="center"/>
          </w:tcPr>
          <w:p w14:paraId="32F4B13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4.56E-05</w:t>
            </w:r>
          </w:p>
        </w:tc>
        <w:tc>
          <w:tcPr>
            <w:tcW w:w="1148" w:type="dxa"/>
            <w:shd w:val="clear" w:color="auto" w:fill="FFFFFF"/>
            <w:noWrap w:val="0"/>
            <w:vAlign w:val="center"/>
          </w:tcPr>
          <w:p w14:paraId="2C1C184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0.09</w:t>
            </w:r>
          </w:p>
        </w:tc>
      </w:tr>
      <w:tr w14:paraId="37B83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875" w:type="dxa"/>
            <w:shd w:val="clear" w:color="auto" w:fill="FFFFFF"/>
            <w:noWrap w:val="0"/>
            <w:vAlign w:val="center"/>
          </w:tcPr>
          <w:p w14:paraId="6C57B042">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150</w:t>
            </w:r>
          </w:p>
        </w:tc>
        <w:tc>
          <w:tcPr>
            <w:tcW w:w="1695" w:type="dxa"/>
            <w:shd w:val="clear" w:color="auto" w:fill="FFFFFF"/>
            <w:noWrap w:val="0"/>
            <w:vAlign w:val="center"/>
          </w:tcPr>
          <w:p w14:paraId="073EEBD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3.54E-02</w:t>
            </w:r>
          </w:p>
        </w:tc>
        <w:tc>
          <w:tcPr>
            <w:tcW w:w="1500" w:type="dxa"/>
            <w:shd w:val="clear" w:color="auto" w:fill="FFFFFF"/>
            <w:noWrap w:val="0"/>
            <w:vAlign w:val="center"/>
          </w:tcPr>
          <w:p w14:paraId="6B8E175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3.94</w:t>
            </w:r>
          </w:p>
        </w:tc>
        <w:tc>
          <w:tcPr>
            <w:tcW w:w="1297" w:type="dxa"/>
            <w:shd w:val="clear" w:color="auto" w:fill="FFFFFF"/>
            <w:noWrap w:val="0"/>
            <w:vAlign w:val="center"/>
          </w:tcPr>
          <w:p w14:paraId="6E4C431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4.72E-05</w:t>
            </w:r>
          </w:p>
        </w:tc>
        <w:tc>
          <w:tcPr>
            <w:tcW w:w="1148" w:type="dxa"/>
            <w:shd w:val="clear" w:color="auto" w:fill="FFFFFF"/>
            <w:noWrap w:val="0"/>
            <w:vAlign w:val="center"/>
          </w:tcPr>
          <w:p w14:paraId="44813A9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0.09</w:t>
            </w:r>
          </w:p>
        </w:tc>
      </w:tr>
      <w:tr w14:paraId="39596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542C44FE">
            <w:pPr>
              <w:pStyle w:val="379"/>
              <w:keepNext/>
              <w:keepLines w:val="0"/>
              <w:pageBreakBefore w:val="0"/>
              <w:spacing w:before="0" w:line="360" w:lineRule="auto"/>
              <w:rPr>
                <w:b/>
                <w:bCs/>
                <w:color w:val="000000"/>
                <w:sz w:val="21"/>
                <w:szCs w:val="21"/>
                <w:lang w:val="en-US" w:eastAsia="zh-CN"/>
              </w:rPr>
            </w:pPr>
            <w:r>
              <w:rPr>
                <w:rFonts w:hint="eastAsia"/>
                <w:b/>
                <w:bCs/>
                <w:color w:val="000000"/>
                <w:sz w:val="21"/>
                <w:szCs w:val="21"/>
                <w:lang w:val="en-US" w:eastAsia="zh-CN"/>
              </w:rPr>
              <w:t>160</w:t>
            </w:r>
          </w:p>
        </w:tc>
        <w:tc>
          <w:tcPr>
            <w:tcW w:w="1695" w:type="dxa"/>
            <w:noWrap w:val="0"/>
            <w:vAlign w:val="center"/>
          </w:tcPr>
          <w:p w14:paraId="185688A8">
            <w:pPr>
              <w:pStyle w:val="379"/>
              <w:keepNext/>
              <w:keepLines w:val="0"/>
              <w:pageBreakBefore w:val="0"/>
              <w:spacing w:before="0" w:line="360" w:lineRule="auto"/>
              <w:rPr>
                <w:rFonts w:hint="eastAsia"/>
                <w:b/>
                <w:bCs/>
                <w:color w:val="000000"/>
                <w:sz w:val="21"/>
                <w:szCs w:val="21"/>
                <w:lang w:val="en-US" w:eastAsia="zh-CN"/>
              </w:rPr>
            </w:pPr>
            <w:r>
              <w:rPr>
                <w:rFonts w:hint="eastAsia"/>
                <w:b/>
                <w:bCs/>
                <w:color w:val="000000"/>
                <w:sz w:val="21"/>
                <w:szCs w:val="21"/>
                <w:lang w:val="en-US" w:eastAsia="zh-CN"/>
              </w:rPr>
              <w:t>3.55E-02</w:t>
            </w:r>
          </w:p>
        </w:tc>
        <w:tc>
          <w:tcPr>
            <w:tcW w:w="1500" w:type="dxa"/>
            <w:noWrap w:val="0"/>
            <w:vAlign w:val="center"/>
          </w:tcPr>
          <w:p w14:paraId="7C113550">
            <w:pPr>
              <w:pStyle w:val="379"/>
              <w:keepNext/>
              <w:keepLines w:val="0"/>
              <w:pageBreakBefore w:val="0"/>
              <w:spacing w:before="0" w:line="360" w:lineRule="auto"/>
              <w:rPr>
                <w:rFonts w:hint="eastAsia"/>
                <w:b/>
                <w:bCs/>
                <w:color w:val="000000"/>
                <w:sz w:val="21"/>
                <w:szCs w:val="21"/>
                <w:lang w:val="en-US" w:eastAsia="zh-CN"/>
              </w:rPr>
            </w:pPr>
            <w:r>
              <w:rPr>
                <w:rFonts w:hint="eastAsia"/>
                <w:b/>
                <w:bCs/>
                <w:color w:val="000000"/>
                <w:sz w:val="21"/>
                <w:szCs w:val="21"/>
                <w:lang w:val="en-US" w:eastAsia="zh-CN"/>
              </w:rPr>
              <w:t>3.95</w:t>
            </w:r>
          </w:p>
        </w:tc>
        <w:tc>
          <w:tcPr>
            <w:tcW w:w="1297" w:type="dxa"/>
            <w:noWrap w:val="0"/>
            <w:vAlign w:val="center"/>
          </w:tcPr>
          <w:p w14:paraId="0420801E">
            <w:pPr>
              <w:pStyle w:val="379"/>
              <w:keepNext/>
              <w:keepLines w:val="0"/>
              <w:pageBreakBefore w:val="0"/>
              <w:spacing w:before="0" w:line="360" w:lineRule="auto"/>
              <w:rPr>
                <w:rFonts w:hint="eastAsia"/>
                <w:b/>
                <w:bCs/>
                <w:color w:val="000000"/>
                <w:sz w:val="21"/>
                <w:szCs w:val="21"/>
                <w:lang w:val="en-US" w:eastAsia="zh-CN"/>
              </w:rPr>
            </w:pPr>
            <w:r>
              <w:rPr>
                <w:rFonts w:hint="eastAsia"/>
                <w:b/>
                <w:bCs/>
                <w:color w:val="000000"/>
                <w:sz w:val="21"/>
                <w:szCs w:val="21"/>
                <w:lang w:val="en-US" w:eastAsia="zh-CN"/>
              </w:rPr>
              <w:t>4.73E-05</w:t>
            </w:r>
          </w:p>
        </w:tc>
        <w:tc>
          <w:tcPr>
            <w:tcW w:w="1148" w:type="dxa"/>
            <w:noWrap w:val="0"/>
            <w:vAlign w:val="center"/>
          </w:tcPr>
          <w:p w14:paraId="23B6D86C">
            <w:pPr>
              <w:pStyle w:val="379"/>
              <w:keepNext/>
              <w:keepLines w:val="0"/>
              <w:pageBreakBefore w:val="0"/>
              <w:spacing w:before="0" w:line="360" w:lineRule="auto"/>
              <w:rPr>
                <w:rFonts w:hint="eastAsia"/>
                <w:b/>
                <w:bCs/>
                <w:color w:val="000000"/>
                <w:sz w:val="21"/>
                <w:szCs w:val="21"/>
                <w:lang w:val="en-US" w:eastAsia="zh-CN"/>
              </w:rPr>
            </w:pPr>
            <w:r>
              <w:rPr>
                <w:rFonts w:hint="eastAsia"/>
                <w:b/>
                <w:bCs/>
                <w:color w:val="000000"/>
                <w:sz w:val="21"/>
                <w:szCs w:val="21"/>
                <w:lang w:val="en-US" w:eastAsia="zh-CN"/>
              </w:rPr>
              <w:t>0.09</w:t>
            </w:r>
          </w:p>
        </w:tc>
      </w:tr>
      <w:tr w14:paraId="7293F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261C949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175</w:t>
            </w:r>
          </w:p>
        </w:tc>
        <w:tc>
          <w:tcPr>
            <w:tcW w:w="1695" w:type="dxa"/>
            <w:noWrap w:val="0"/>
            <w:vAlign w:val="center"/>
          </w:tcPr>
          <w:p w14:paraId="7E37770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3.53E-02</w:t>
            </w:r>
          </w:p>
        </w:tc>
        <w:tc>
          <w:tcPr>
            <w:tcW w:w="1500" w:type="dxa"/>
            <w:noWrap w:val="0"/>
            <w:vAlign w:val="center"/>
          </w:tcPr>
          <w:p w14:paraId="65C0E44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3.92</w:t>
            </w:r>
          </w:p>
        </w:tc>
        <w:tc>
          <w:tcPr>
            <w:tcW w:w="1297" w:type="dxa"/>
            <w:noWrap w:val="0"/>
            <w:vAlign w:val="center"/>
          </w:tcPr>
          <w:p w14:paraId="195045A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4.70E-05</w:t>
            </w:r>
          </w:p>
        </w:tc>
        <w:tc>
          <w:tcPr>
            <w:tcW w:w="1148" w:type="dxa"/>
            <w:noWrap w:val="0"/>
            <w:vAlign w:val="center"/>
          </w:tcPr>
          <w:p w14:paraId="7BEEF7F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0.09</w:t>
            </w:r>
          </w:p>
        </w:tc>
      </w:tr>
      <w:tr w14:paraId="406AF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66DF442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200</w:t>
            </w:r>
          </w:p>
        </w:tc>
        <w:tc>
          <w:tcPr>
            <w:tcW w:w="1695" w:type="dxa"/>
            <w:noWrap w:val="0"/>
            <w:vAlign w:val="center"/>
          </w:tcPr>
          <w:p w14:paraId="60D09E7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3.44E-02</w:t>
            </w:r>
          </w:p>
        </w:tc>
        <w:tc>
          <w:tcPr>
            <w:tcW w:w="1500" w:type="dxa"/>
            <w:noWrap w:val="0"/>
            <w:vAlign w:val="center"/>
          </w:tcPr>
          <w:p w14:paraId="291F1C0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3.82</w:t>
            </w:r>
          </w:p>
        </w:tc>
        <w:tc>
          <w:tcPr>
            <w:tcW w:w="1297" w:type="dxa"/>
            <w:noWrap w:val="0"/>
            <w:vAlign w:val="center"/>
          </w:tcPr>
          <w:p w14:paraId="227255A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4.59E-05</w:t>
            </w:r>
          </w:p>
        </w:tc>
        <w:tc>
          <w:tcPr>
            <w:tcW w:w="1148" w:type="dxa"/>
            <w:noWrap w:val="0"/>
            <w:vAlign w:val="center"/>
          </w:tcPr>
          <w:p w14:paraId="0204A44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0.09</w:t>
            </w:r>
          </w:p>
        </w:tc>
      </w:tr>
      <w:tr w14:paraId="25B5C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9F8A8C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225</w:t>
            </w:r>
          </w:p>
        </w:tc>
        <w:tc>
          <w:tcPr>
            <w:tcW w:w="1695" w:type="dxa"/>
            <w:noWrap w:val="0"/>
            <w:vAlign w:val="center"/>
          </w:tcPr>
          <w:p w14:paraId="61F64F7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3.40E-02</w:t>
            </w:r>
          </w:p>
        </w:tc>
        <w:tc>
          <w:tcPr>
            <w:tcW w:w="1500" w:type="dxa"/>
            <w:noWrap w:val="0"/>
            <w:vAlign w:val="center"/>
          </w:tcPr>
          <w:p w14:paraId="399079A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3.77</w:t>
            </w:r>
          </w:p>
        </w:tc>
        <w:tc>
          <w:tcPr>
            <w:tcW w:w="1297" w:type="dxa"/>
            <w:noWrap w:val="0"/>
            <w:vAlign w:val="center"/>
          </w:tcPr>
          <w:p w14:paraId="5B28C35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4.53E-05</w:t>
            </w:r>
          </w:p>
        </w:tc>
        <w:tc>
          <w:tcPr>
            <w:tcW w:w="1148" w:type="dxa"/>
            <w:noWrap w:val="0"/>
            <w:vAlign w:val="center"/>
          </w:tcPr>
          <w:p w14:paraId="5AEA6D8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0.09</w:t>
            </w:r>
          </w:p>
        </w:tc>
      </w:tr>
      <w:tr w14:paraId="5291C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1050FC5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250</w:t>
            </w:r>
          </w:p>
        </w:tc>
        <w:tc>
          <w:tcPr>
            <w:tcW w:w="1695" w:type="dxa"/>
            <w:noWrap w:val="0"/>
            <w:vAlign w:val="center"/>
          </w:tcPr>
          <w:p w14:paraId="2C65123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3.30E-02</w:t>
            </w:r>
          </w:p>
        </w:tc>
        <w:tc>
          <w:tcPr>
            <w:tcW w:w="1500" w:type="dxa"/>
            <w:noWrap w:val="0"/>
            <w:vAlign w:val="center"/>
          </w:tcPr>
          <w:p w14:paraId="1B9BD4A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3.67</w:t>
            </w:r>
          </w:p>
        </w:tc>
        <w:tc>
          <w:tcPr>
            <w:tcW w:w="1297" w:type="dxa"/>
            <w:noWrap w:val="0"/>
            <w:vAlign w:val="center"/>
          </w:tcPr>
          <w:p w14:paraId="64D9ABA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4.41E-05</w:t>
            </w:r>
          </w:p>
        </w:tc>
        <w:tc>
          <w:tcPr>
            <w:tcW w:w="1148" w:type="dxa"/>
            <w:noWrap w:val="0"/>
            <w:vAlign w:val="center"/>
          </w:tcPr>
          <w:p w14:paraId="3AF2E6D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0.09</w:t>
            </w:r>
          </w:p>
        </w:tc>
      </w:tr>
      <w:tr w14:paraId="3D490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59949BA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275</w:t>
            </w:r>
          </w:p>
        </w:tc>
        <w:tc>
          <w:tcPr>
            <w:tcW w:w="1695" w:type="dxa"/>
            <w:noWrap w:val="0"/>
            <w:vAlign w:val="center"/>
          </w:tcPr>
          <w:p w14:paraId="6545939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3.18E-02</w:t>
            </w:r>
          </w:p>
        </w:tc>
        <w:tc>
          <w:tcPr>
            <w:tcW w:w="1500" w:type="dxa"/>
            <w:noWrap w:val="0"/>
            <w:vAlign w:val="center"/>
          </w:tcPr>
          <w:p w14:paraId="14B4AF1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3.54</w:t>
            </w:r>
          </w:p>
        </w:tc>
        <w:tc>
          <w:tcPr>
            <w:tcW w:w="1297" w:type="dxa"/>
            <w:noWrap w:val="0"/>
            <w:vAlign w:val="center"/>
          </w:tcPr>
          <w:p w14:paraId="3EE9361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4.25E-05</w:t>
            </w:r>
          </w:p>
        </w:tc>
        <w:tc>
          <w:tcPr>
            <w:tcW w:w="1148" w:type="dxa"/>
            <w:noWrap w:val="0"/>
            <w:vAlign w:val="center"/>
          </w:tcPr>
          <w:p w14:paraId="3626027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2A95A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5E2BCA4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300</w:t>
            </w:r>
          </w:p>
        </w:tc>
        <w:tc>
          <w:tcPr>
            <w:tcW w:w="1695" w:type="dxa"/>
            <w:noWrap w:val="0"/>
            <w:vAlign w:val="center"/>
          </w:tcPr>
          <w:p w14:paraId="2D7CC63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3.08E-02</w:t>
            </w:r>
          </w:p>
        </w:tc>
        <w:tc>
          <w:tcPr>
            <w:tcW w:w="1500" w:type="dxa"/>
            <w:noWrap w:val="0"/>
            <w:vAlign w:val="center"/>
          </w:tcPr>
          <w:p w14:paraId="7C09C3B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3.42</w:t>
            </w:r>
          </w:p>
        </w:tc>
        <w:tc>
          <w:tcPr>
            <w:tcW w:w="1297" w:type="dxa"/>
            <w:noWrap w:val="0"/>
            <w:vAlign w:val="center"/>
          </w:tcPr>
          <w:p w14:paraId="0D0735B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4.11E-05</w:t>
            </w:r>
          </w:p>
        </w:tc>
        <w:tc>
          <w:tcPr>
            <w:tcW w:w="1148" w:type="dxa"/>
            <w:noWrap w:val="0"/>
            <w:vAlign w:val="center"/>
          </w:tcPr>
          <w:p w14:paraId="3DEE210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35BF9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53D616A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325</w:t>
            </w:r>
          </w:p>
        </w:tc>
        <w:tc>
          <w:tcPr>
            <w:tcW w:w="1695" w:type="dxa"/>
            <w:noWrap w:val="0"/>
            <w:vAlign w:val="center"/>
          </w:tcPr>
          <w:p w14:paraId="2B56120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3.03E-02</w:t>
            </w:r>
          </w:p>
        </w:tc>
        <w:tc>
          <w:tcPr>
            <w:tcW w:w="1500" w:type="dxa"/>
            <w:noWrap w:val="0"/>
            <w:vAlign w:val="center"/>
          </w:tcPr>
          <w:p w14:paraId="0F8D3D9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3.37</w:t>
            </w:r>
          </w:p>
        </w:tc>
        <w:tc>
          <w:tcPr>
            <w:tcW w:w="1297" w:type="dxa"/>
            <w:noWrap w:val="0"/>
            <w:vAlign w:val="center"/>
          </w:tcPr>
          <w:p w14:paraId="1F73D81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4.04E-05</w:t>
            </w:r>
          </w:p>
        </w:tc>
        <w:tc>
          <w:tcPr>
            <w:tcW w:w="1148" w:type="dxa"/>
            <w:noWrap w:val="0"/>
            <w:vAlign w:val="center"/>
          </w:tcPr>
          <w:p w14:paraId="203740E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43E07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2F27FA6B">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333</w:t>
            </w:r>
          </w:p>
        </w:tc>
        <w:tc>
          <w:tcPr>
            <w:tcW w:w="1695" w:type="dxa"/>
            <w:noWrap w:val="0"/>
            <w:vAlign w:val="center"/>
          </w:tcPr>
          <w:p w14:paraId="5AE0D5E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3.01E-02</w:t>
            </w:r>
          </w:p>
        </w:tc>
        <w:tc>
          <w:tcPr>
            <w:tcW w:w="1500" w:type="dxa"/>
            <w:noWrap w:val="0"/>
            <w:vAlign w:val="center"/>
          </w:tcPr>
          <w:p w14:paraId="5A606F8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3.35</w:t>
            </w:r>
          </w:p>
        </w:tc>
        <w:tc>
          <w:tcPr>
            <w:tcW w:w="1297" w:type="dxa"/>
            <w:noWrap w:val="0"/>
            <w:vAlign w:val="center"/>
          </w:tcPr>
          <w:p w14:paraId="160E4A2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4.02E-05</w:t>
            </w:r>
          </w:p>
        </w:tc>
        <w:tc>
          <w:tcPr>
            <w:tcW w:w="1148" w:type="dxa"/>
            <w:noWrap w:val="0"/>
            <w:vAlign w:val="center"/>
          </w:tcPr>
          <w:p w14:paraId="1667803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13A4E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BA5580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350</w:t>
            </w:r>
          </w:p>
        </w:tc>
        <w:tc>
          <w:tcPr>
            <w:tcW w:w="1695" w:type="dxa"/>
            <w:noWrap w:val="0"/>
            <w:vAlign w:val="center"/>
          </w:tcPr>
          <w:p w14:paraId="20E292F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2.97E-02</w:t>
            </w:r>
          </w:p>
        </w:tc>
        <w:tc>
          <w:tcPr>
            <w:tcW w:w="1500" w:type="dxa"/>
            <w:noWrap w:val="0"/>
            <w:vAlign w:val="center"/>
          </w:tcPr>
          <w:p w14:paraId="6802C77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3.30</w:t>
            </w:r>
          </w:p>
        </w:tc>
        <w:tc>
          <w:tcPr>
            <w:tcW w:w="1297" w:type="dxa"/>
            <w:noWrap w:val="0"/>
            <w:vAlign w:val="center"/>
          </w:tcPr>
          <w:p w14:paraId="1999737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3.96E-05</w:t>
            </w:r>
          </w:p>
        </w:tc>
        <w:tc>
          <w:tcPr>
            <w:tcW w:w="1148" w:type="dxa"/>
            <w:noWrap w:val="0"/>
            <w:vAlign w:val="center"/>
          </w:tcPr>
          <w:p w14:paraId="0CD9E7A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48196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68E5B0C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375</w:t>
            </w:r>
          </w:p>
        </w:tc>
        <w:tc>
          <w:tcPr>
            <w:tcW w:w="1695" w:type="dxa"/>
            <w:noWrap w:val="0"/>
            <w:vAlign w:val="center"/>
          </w:tcPr>
          <w:p w14:paraId="3ADE399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2.90E-02</w:t>
            </w:r>
          </w:p>
        </w:tc>
        <w:tc>
          <w:tcPr>
            <w:tcW w:w="1500" w:type="dxa"/>
            <w:noWrap w:val="0"/>
            <w:vAlign w:val="center"/>
          </w:tcPr>
          <w:p w14:paraId="15A8F8E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3.22</w:t>
            </w:r>
          </w:p>
        </w:tc>
        <w:tc>
          <w:tcPr>
            <w:tcW w:w="1297" w:type="dxa"/>
            <w:noWrap w:val="0"/>
            <w:vAlign w:val="center"/>
          </w:tcPr>
          <w:p w14:paraId="5D6548F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3.87E-05</w:t>
            </w:r>
          </w:p>
        </w:tc>
        <w:tc>
          <w:tcPr>
            <w:tcW w:w="1148" w:type="dxa"/>
            <w:noWrap w:val="0"/>
            <w:vAlign w:val="center"/>
          </w:tcPr>
          <w:p w14:paraId="1AE43CB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08932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10BE53F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400</w:t>
            </w:r>
          </w:p>
        </w:tc>
        <w:tc>
          <w:tcPr>
            <w:tcW w:w="1695" w:type="dxa"/>
            <w:noWrap w:val="0"/>
            <w:vAlign w:val="center"/>
          </w:tcPr>
          <w:p w14:paraId="3C00C45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2.82E-02</w:t>
            </w:r>
          </w:p>
        </w:tc>
        <w:tc>
          <w:tcPr>
            <w:tcW w:w="1500" w:type="dxa"/>
            <w:noWrap w:val="0"/>
            <w:vAlign w:val="center"/>
          </w:tcPr>
          <w:p w14:paraId="6032B8F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3.14</w:t>
            </w:r>
          </w:p>
        </w:tc>
        <w:tc>
          <w:tcPr>
            <w:tcW w:w="1297" w:type="dxa"/>
            <w:noWrap w:val="0"/>
            <w:vAlign w:val="center"/>
          </w:tcPr>
          <w:p w14:paraId="2BA7D85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3.77E-05</w:t>
            </w:r>
          </w:p>
        </w:tc>
        <w:tc>
          <w:tcPr>
            <w:tcW w:w="1148" w:type="dxa"/>
            <w:noWrap w:val="0"/>
            <w:vAlign w:val="center"/>
          </w:tcPr>
          <w:p w14:paraId="0E80EA6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0.08</w:t>
            </w:r>
          </w:p>
        </w:tc>
      </w:tr>
      <w:tr w14:paraId="138B0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4D5647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425</w:t>
            </w:r>
          </w:p>
        </w:tc>
        <w:tc>
          <w:tcPr>
            <w:tcW w:w="1695" w:type="dxa"/>
            <w:noWrap w:val="0"/>
            <w:vAlign w:val="center"/>
          </w:tcPr>
          <w:p w14:paraId="30AD98D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2.74E-02</w:t>
            </w:r>
          </w:p>
        </w:tc>
        <w:tc>
          <w:tcPr>
            <w:tcW w:w="1500" w:type="dxa"/>
            <w:noWrap w:val="0"/>
            <w:vAlign w:val="center"/>
          </w:tcPr>
          <w:p w14:paraId="1CD2D2C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3.05</w:t>
            </w:r>
          </w:p>
        </w:tc>
        <w:tc>
          <w:tcPr>
            <w:tcW w:w="1297" w:type="dxa"/>
            <w:noWrap w:val="0"/>
            <w:vAlign w:val="center"/>
          </w:tcPr>
          <w:p w14:paraId="53421AA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3.66E-05</w:t>
            </w:r>
          </w:p>
        </w:tc>
        <w:tc>
          <w:tcPr>
            <w:tcW w:w="1148" w:type="dxa"/>
            <w:noWrap w:val="0"/>
            <w:vAlign w:val="center"/>
          </w:tcPr>
          <w:p w14:paraId="42E7128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0.07</w:t>
            </w:r>
          </w:p>
        </w:tc>
      </w:tr>
      <w:tr w14:paraId="0ACF4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2D64EEB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450</w:t>
            </w:r>
          </w:p>
        </w:tc>
        <w:tc>
          <w:tcPr>
            <w:tcW w:w="1695" w:type="dxa"/>
            <w:noWrap w:val="0"/>
            <w:vAlign w:val="center"/>
          </w:tcPr>
          <w:p w14:paraId="35F1B80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2.66E-02</w:t>
            </w:r>
          </w:p>
        </w:tc>
        <w:tc>
          <w:tcPr>
            <w:tcW w:w="1500" w:type="dxa"/>
            <w:noWrap w:val="0"/>
            <w:vAlign w:val="center"/>
          </w:tcPr>
          <w:p w14:paraId="1A1B2AB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2.96</w:t>
            </w:r>
          </w:p>
        </w:tc>
        <w:tc>
          <w:tcPr>
            <w:tcW w:w="1297" w:type="dxa"/>
            <w:noWrap w:val="0"/>
            <w:vAlign w:val="center"/>
          </w:tcPr>
          <w:p w14:paraId="6A1264C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3.55E-05</w:t>
            </w:r>
          </w:p>
        </w:tc>
        <w:tc>
          <w:tcPr>
            <w:tcW w:w="1148" w:type="dxa"/>
            <w:noWrap w:val="0"/>
            <w:vAlign w:val="center"/>
          </w:tcPr>
          <w:p w14:paraId="1D81D04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0.07</w:t>
            </w:r>
          </w:p>
        </w:tc>
      </w:tr>
      <w:tr w14:paraId="55754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196E4E5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475</w:t>
            </w:r>
          </w:p>
        </w:tc>
        <w:tc>
          <w:tcPr>
            <w:tcW w:w="1695" w:type="dxa"/>
            <w:noWrap w:val="0"/>
            <w:vAlign w:val="center"/>
          </w:tcPr>
          <w:p w14:paraId="6976869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2.58E-02</w:t>
            </w:r>
          </w:p>
        </w:tc>
        <w:tc>
          <w:tcPr>
            <w:tcW w:w="1500" w:type="dxa"/>
            <w:noWrap w:val="0"/>
            <w:vAlign w:val="center"/>
          </w:tcPr>
          <w:p w14:paraId="463A929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2.87</w:t>
            </w:r>
          </w:p>
        </w:tc>
        <w:tc>
          <w:tcPr>
            <w:tcW w:w="1297" w:type="dxa"/>
            <w:noWrap w:val="0"/>
            <w:vAlign w:val="center"/>
          </w:tcPr>
          <w:p w14:paraId="3FC4538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3.44E-05</w:t>
            </w:r>
          </w:p>
        </w:tc>
        <w:tc>
          <w:tcPr>
            <w:tcW w:w="1148" w:type="dxa"/>
            <w:noWrap w:val="0"/>
            <w:vAlign w:val="center"/>
          </w:tcPr>
          <w:p w14:paraId="6CC3020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0.07</w:t>
            </w:r>
          </w:p>
        </w:tc>
      </w:tr>
      <w:tr w14:paraId="45795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120A568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500</w:t>
            </w:r>
          </w:p>
        </w:tc>
        <w:tc>
          <w:tcPr>
            <w:tcW w:w="1695" w:type="dxa"/>
            <w:noWrap w:val="0"/>
            <w:vAlign w:val="center"/>
          </w:tcPr>
          <w:p w14:paraId="05CA69C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2.50E-02</w:t>
            </w:r>
          </w:p>
        </w:tc>
        <w:tc>
          <w:tcPr>
            <w:tcW w:w="1500" w:type="dxa"/>
            <w:noWrap w:val="0"/>
            <w:vAlign w:val="center"/>
          </w:tcPr>
          <w:p w14:paraId="0582F34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2.78</w:t>
            </w:r>
          </w:p>
        </w:tc>
        <w:tc>
          <w:tcPr>
            <w:tcW w:w="1297" w:type="dxa"/>
            <w:noWrap w:val="0"/>
            <w:vAlign w:val="center"/>
          </w:tcPr>
          <w:p w14:paraId="384A675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3.34E-05</w:t>
            </w:r>
          </w:p>
        </w:tc>
        <w:tc>
          <w:tcPr>
            <w:tcW w:w="1148" w:type="dxa"/>
            <w:noWrap w:val="0"/>
            <w:vAlign w:val="center"/>
          </w:tcPr>
          <w:p w14:paraId="0A9139D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0.07</w:t>
            </w:r>
          </w:p>
        </w:tc>
      </w:tr>
      <w:tr w14:paraId="250D1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18BABBE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525</w:t>
            </w:r>
          </w:p>
        </w:tc>
        <w:tc>
          <w:tcPr>
            <w:tcW w:w="1695" w:type="dxa"/>
            <w:noWrap w:val="0"/>
            <w:vAlign w:val="center"/>
          </w:tcPr>
          <w:p w14:paraId="6F35397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2.43E-02</w:t>
            </w:r>
          </w:p>
        </w:tc>
        <w:tc>
          <w:tcPr>
            <w:tcW w:w="1500" w:type="dxa"/>
            <w:noWrap w:val="0"/>
            <w:vAlign w:val="center"/>
          </w:tcPr>
          <w:p w14:paraId="4A884C5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2.69</w:t>
            </w:r>
          </w:p>
        </w:tc>
        <w:tc>
          <w:tcPr>
            <w:tcW w:w="1297" w:type="dxa"/>
            <w:noWrap w:val="0"/>
            <w:vAlign w:val="center"/>
          </w:tcPr>
          <w:p w14:paraId="4A1F886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3.23E-05</w:t>
            </w:r>
          </w:p>
        </w:tc>
        <w:tc>
          <w:tcPr>
            <w:tcW w:w="1148" w:type="dxa"/>
            <w:noWrap w:val="0"/>
            <w:vAlign w:val="center"/>
          </w:tcPr>
          <w:p w14:paraId="4EF8782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0.06</w:t>
            </w:r>
          </w:p>
        </w:tc>
      </w:tr>
      <w:tr w14:paraId="47E66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3C3F78A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550</w:t>
            </w:r>
          </w:p>
        </w:tc>
        <w:tc>
          <w:tcPr>
            <w:tcW w:w="1695" w:type="dxa"/>
            <w:noWrap w:val="0"/>
            <w:vAlign w:val="center"/>
          </w:tcPr>
          <w:p w14:paraId="760CCB4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2.36E-02</w:t>
            </w:r>
          </w:p>
        </w:tc>
        <w:tc>
          <w:tcPr>
            <w:tcW w:w="1500" w:type="dxa"/>
            <w:noWrap w:val="0"/>
            <w:vAlign w:val="center"/>
          </w:tcPr>
          <w:p w14:paraId="0189939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2.62</w:t>
            </w:r>
          </w:p>
        </w:tc>
        <w:tc>
          <w:tcPr>
            <w:tcW w:w="1297" w:type="dxa"/>
            <w:noWrap w:val="0"/>
            <w:vAlign w:val="center"/>
          </w:tcPr>
          <w:p w14:paraId="0A8507D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3.14E-05</w:t>
            </w:r>
          </w:p>
        </w:tc>
        <w:tc>
          <w:tcPr>
            <w:tcW w:w="1148" w:type="dxa"/>
            <w:noWrap w:val="0"/>
            <w:vAlign w:val="center"/>
          </w:tcPr>
          <w:p w14:paraId="4CD4422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0.06</w:t>
            </w:r>
          </w:p>
        </w:tc>
      </w:tr>
      <w:tr w14:paraId="2336F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C13D96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575</w:t>
            </w:r>
          </w:p>
        </w:tc>
        <w:tc>
          <w:tcPr>
            <w:tcW w:w="1695" w:type="dxa"/>
            <w:noWrap w:val="0"/>
            <w:vAlign w:val="center"/>
          </w:tcPr>
          <w:p w14:paraId="41609A7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2.29E-02</w:t>
            </w:r>
          </w:p>
        </w:tc>
        <w:tc>
          <w:tcPr>
            <w:tcW w:w="1500" w:type="dxa"/>
            <w:noWrap w:val="0"/>
            <w:vAlign w:val="center"/>
          </w:tcPr>
          <w:p w14:paraId="0FF1D3F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2.54</w:t>
            </w:r>
          </w:p>
        </w:tc>
        <w:tc>
          <w:tcPr>
            <w:tcW w:w="1297" w:type="dxa"/>
            <w:noWrap w:val="0"/>
            <w:vAlign w:val="center"/>
          </w:tcPr>
          <w:p w14:paraId="63F3FBF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3.05E-05</w:t>
            </w:r>
          </w:p>
        </w:tc>
        <w:tc>
          <w:tcPr>
            <w:tcW w:w="1148" w:type="dxa"/>
            <w:noWrap w:val="0"/>
            <w:vAlign w:val="center"/>
          </w:tcPr>
          <w:p w14:paraId="2A51643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0.06</w:t>
            </w:r>
          </w:p>
        </w:tc>
      </w:tr>
      <w:tr w14:paraId="63C46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64BFC5C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600</w:t>
            </w:r>
          </w:p>
        </w:tc>
        <w:tc>
          <w:tcPr>
            <w:tcW w:w="1695" w:type="dxa"/>
            <w:noWrap w:val="0"/>
            <w:vAlign w:val="center"/>
          </w:tcPr>
          <w:p w14:paraId="7F9EFE2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2.22E-02</w:t>
            </w:r>
          </w:p>
        </w:tc>
        <w:tc>
          <w:tcPr>
            <w:tcW w:w="1500" w:type="dxa"/>
            <w:noWrap w:val="0"/>
            <w:vAlign w:val="center"/>
          </w:tcPr>
          <w:p w14:paraId="7E5B211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2.47</w:t>
            </w:r>
          </w:p>
        </w:tc>
        <w:tc>
          <w:tcPr>
            <w:tcW w:w="1297" w:type="dxa"/>
            <w:noWrap w:val="0"/>
            <w:vAlign w:val="center"/>
          </w:tcPr>
          <w:p w14:paraId="1EED20B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2.96E-05</w:t>
            </w:r>
          </w:p>
        </w:tc>
        <w:tc>
          <w:tcPr>
            <w:tcW w:w="1148" w:type="dxa"/>
            <w:noWrap w:val="0"/>
            <w:vAlign w:val="center"/>
          </w:tcPr>
          <w:p w14:paraId="098B7FC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0.06</w:t>
            </w:r>
          </w:p>
        </w:tc>
      </w:tr>
      <w:tr w14:paraId="06064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93CEDF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625</w:t>
            </w:r>
          </w:p>
        </w:tc>
        <w:tc>
          <w:tcPr>
            <w:tcW w:w="1695" w:type="dxa"/>
            <w:noWrap w:val="0"/>
            <w:vAlign w:val="center"/>
          </w:tcPr>
          <w:p w14:paraId="7E1FBB0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2.16E-02</w:t>
            </w:r>
          </w:p>
        </w:tc>
        <w:tc>
          <w:tcPr>
            <w:tcW w:w="1500" w:type="dxa"/>
            <w:noWrap w:val="0"/>
            <w:vAlign w:val="center"/>
          </w:tcPr>
          <w:p w14:paraId="42BCC38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2.40</w:t>
            </w:r>
          </w:p>
        </w:tc>
        <w:tc>
          <w:tcPr>
            <w:tcW w:w="1297" w:type="dxa"/>
            <w:noWrap w:val="0"/>
            <w:vAlign w:val="center"/>
          </w:tcPr>
          <w:p w14:paraId="54EFB28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2.87E-05</w:t>
            </w:r>
          </w:p>
        </w:tc>
        <w:tc>
          <w:tcPr>
            <w:tcW w:w="1148" w:type="dxa"/>
            <w:noWrap w:val="0"/>
            <w:vAlign w:val="center"/>
          </w:tcPr>
          <w:p w14:paraId="2F7104A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0.06</w:t>
            </w:r>
          </w:p>
        </w:tc>
      </w:tr>
      <w:tr w14:paraId="43638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0DAFA83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650</w:t>
            </w:r>
          </w:p>
        </w:tc>
        <w:tc>
          <w:tcPr>
            <w:tcW w:w="1695" w:type="dxa"/>
            <w:noWrap w:val="0"/>
            <w:vAlign w:val="center"/>
          </w:tcPr>
          <w:p w14:paraId="3853134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2.09E-02</w:t>
            </w:r>
          </w:p>
        </w:tc>
        <w:tc>
          <w:tcPr>
            <w:tcW w:w="1500" w:type="dxa"/>
            <w:noWrap w:val="0"/>
            <w:vAlign w:val="center"/>
          </w:tcPr>
          <w:p w14:paraId="483FCCF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2.33</w:t>
            </w:r>
          </w:p>
        </w:tc>
        <w:tc>
          <w:tcPr>
            <w:tcW w:w="1297" w:type="dxa"/>
            <w:noWrap w:val="0"/>
            <w:vAlign w:val="center"/>
          </w:tcPr>
          <w:p w14:paraId="5440488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2.79E-05</w:t>
            </w:r>
          </w:p>
        </w:tc>
        <w:tc>
          <w:tcPr>
            <w:tcW w:w="1148" w:type="dxa"/>
            <w:noWrap w:val="0"/>
            <w:vAlign w:val="center"/>
          </w:tcPr>
          <w:p w14:paraId="24CE60C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0.06</w:t>
            </w:r>
          </w:p>
        </w:tc>
      </w:tr>
      <w:tr w14:paraId="55CF8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5845A71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675</w:t>
            </w:r>
          </w:p>
        </w:tc>
        <w:tc>
          <w:tcPr>
            <w:tcW w:w="1695" w:type="dxa"/>
            <w:noWrap w:val="0"/>
            <w:vAlign w:val="center"/>
          </w:tcPr>
          <w:p w14:paraId="12730B3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2.03E-02</w:t>
            </w:r>
          </w:p>
        </w:tc>
        <w:tc>
          <w:tcPr>
            <w:tcW w:w="1500" w:type="dxa"/>
            <w:noWrap w:val="0"/>
            <w:vAlign w:val="center"/>
          </w:tcPr>
          <w:p w14:paraId="3F9D5EE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2.26</w:t>
            </w:r>
          </w:p>
        </w:tc>
        <w:tc>
          <w:tcPr>
            <w:tcW w:w="1297" w:type="dxa"/>
            <w:noWrap w:val="0"/>
            <w:vAlign w:val="center"/>
          </w:tcPr>
          <w:p w14:paraId="7E4D9CC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2.71E-05</w:t>
            </w:r>
          </w:p>
        </w:tc>
        <w:tc>
          <w:tcPr>
            <w:tcW w:w="1148" w:type="dxa"/>
            <w:noWrap w:val="0"/>
            <w:vAlign w:val="center"/>
          </w:tcPr>
          <w:p w14:paraId="0B9D668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479F1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200BA81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700</w:t>
            </w:r>
          </w:p>
        </w:tc>
        <w:tc>
          <w:tcPr>
            <w:tcW w:w="1695" w:type="dxa"/>
            <w:noWrap w:val="0"/>
            <w:vAlign w:val="center"/>
          </w:tcPr>
          <w:p w14:paraId="52C018B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1.98E-02</w:t>
            </w:r>
          </w:p>
        </w:tc>
        <w:tc>
          <w:tcPr>
            <w:tcW w:w="1500" w:type="dxa"/>
            <w:noWrap w:val="0"/>
            <w:vAlign w:val="center"/>
          </w:tcPr>
          <w:p w14:paraId="242B14D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2.19</w:t>
            </w:r>
          </w:p>
        </w:tc>
        <w:tc>
          <w:tcPr>
            <w:tcW w:w="1297" w:type="dxa"/>
            <w:noWrap w:val="0"/>
            <w:vAlign w:val="center"/>
          </w:tcPr>
          <w:p w14:paraId="18522B4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2.63E-05</w:t>
            </w:r>
          </w:p>
        </w:tc>
        <w:tc>
          <w:tcPr>
            <w:tcW w:w="1148" w:type="dxa"/>
            <w:noWrap w:val="0"/>
            <w:vAlign w:val="center"/>
          </w:tcPr>
          <w:p w14:paraId="52FBA93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23406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68CF81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725</w:t>
            </w:r>
          </w:p>
        </w:tc>
        <w:tc>
          <w:tcPr>
            <w:tcW w:w="1695" w:type="dxa"/>
            <w:noWrap w:val="0"/>
            <w:vAlign w:val="center"/>
          </w:tcPr>
          <w:p w14:paraId="450D614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1.92E-02</w:t>
            </w:r>
          </w:p>
        </w:tc>
        <w:tc>
          <w:tcPr>
            <w:tcW w:w="1500" w:type="dxa"/>
            <w:noWrap w:val="0"/>
            <w:vAlign w:val="center"/>
          </w:tcPr>
          <w:p w14:paraId="0C299BA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2.13</w:t>
            </w:r>
          </w:p>
        </w:tc>
        <w:tc>
          <w:tcPr>
            <w:tcW w:w="1297" w:type="dxa"/>
            <w:noWrap w:val="0"/>
            <w:vAlign w:val="center"/>
          </w:tcPr>
          <w:p w14:paraId="3F7CCAF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2.56E-05</w:t>
            </w:r>
          </w:p>
        </w:tc>
        <w:tc>
          <w:tcPr>
            <w:tcW w:w="1148" w:type="dxa"/>
            <w:noWrap w:val="0"/>
            <w:vAlign w:val="center"/>
          </w:tcPr>
          <w:p w14:paraId="1E674F4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4F8B1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D2BF2F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750</w:t>
            </w:r>
          </w:p>
        </w:tc>
        <w:tc>
          <w:tcPr>
            <w:tcW w:w="1695" w:type="dxa"/>
            <w:noWrap w:val="0"/>
            <w:vAlign w:val="center"/>
          </w:tcPr>
          <w:p w14:paraId="1428762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1.87E-02</w:t>
            </w:r>
          </w:p>
        </w:tc>
        <w:tc>
          <w:tcPr>
            <w:tcW w:w="1500" w:type="dxa"/>
            <w:noWrap w:val="0"/>
            <w:vAlign w:val="center"/>
          </w:tcPr>
          <w:p w14:paraId="5470C99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2.07</w:t>
            </w:r>
          </w:p>
        </w:tc>
        <w:tc>
          <w:tcPr>
            <w:tcW w:w="1297" w:type="dxa"/>
            <w:noWrap w:val="0"/>
            <w:vAlign w:val="center"/>
          </w:tcPr>
          <w:p w14:paraId="1706432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2.49E-05</w:t>
            </w:r>
          </w:p>
        </w:tc>
        <w:tc>
          <w:tcPr>
            <w:tcW w:w="1148" w:type="dxa"/>
            <w:noWrap w:val="0"/>
            <w:vAlign w:val="center"/>
          </w:tcPr>
          <w:p w14:paraId="494A90A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4F917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03D7E4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775</w:t>
            </w:r>
          </w:p>
        </w:tc>
        <w:tc>
          <w:tcPr>
            <w:tcW w:w="1695" w:type="dxa"/>
            <w:noWrap w:val="0"/>
            <w:vAlign w:val="center"/>
          </w:tcPr>
          <w:p w14:paraId="6406FBA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1.81E-02</w:t>
            </w:r>
          </w:p>
        </w:tc>
        <w:tc>
          <w:tcPr>
            <w:tcW w:w="1500" w:type="dxa"/>
            <w:noWrap w:val="0"/>
            <w:vAlign w:val="center"/>
          </w:tcPr>
          <w:p w14:paraId="0B85729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2.01</w:t>
            </w:r>
          </w:p>
        </w:tc>
        <w:tc>
          <w:tcPr>
            <w:tcW w:w="1297" w:type="dxa"/>
            <w:noWrap w:val="0"/>
            <w:vAlign w:val="center"/>
          </w:tcPr>
          <w:p w14:paraId="18651F3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2.42E-05</w:t>
            </w:r>
          </w:p>
        </w:tc>
        <w:tc>
          <w:tcPr>
            <w:tcW w:w="1148" w:type="dxa"/>
            <w:noWrap w:val="0"/>
            <w:vAlign w:val="center"/>
          </w:tcPr>
          <w:p w14:paraId="3184EED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70D42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23B4F0EF">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800</w:t>
            </w:r>
          </w:p>
        </w:tc>
        <w:tc>
          <w:tcPr>
            <w:tcW w:w="1695" w:type="dxa"/>
            <w:noWrap w:val="0"/>
            <w:vAlign w:val="center"/>
          </w:tcPr>
          <w:p w14:paraId="191B139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1.76E-02</w:t>
            </w:r>
          </w:p>
        </w:tc>
        <w:tc>
          <w:tcPr>
            <w:tcW w:w="1500" w:type="dxa"/>
            <w:noWrap w:val="0"/>
            <w:vAlign w:val="center"/>
          </w:tcPr>
          <w:p w14:paraId="45629AC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1.96</w:t>
            </w:r>
          </w:p>
        </w:tc>
        <w:tc>
          <w:tcPr>
            <w:tcW w:w="1297" w:type="dxa"/>
            <w:noWrap w:val="0"/>
            <w:vAlign w:val="center"/>
          </w:tcPr>
          <w:p w14:paraId="104451D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2.35E-05</w:t>
            </w:r>
          </w:p>
        </w:tc>
        <w:tc>
          <w:tcPr>
            <w:tcW w:w="1148" w:type="dxa"/>
            <w:noWrap w:val="0"/>
            <w:vAlign w:val="center"/>
          </w:tcPr>
          <w:p w14:paraId="52AED0C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24D9C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E8138A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825</w:t>
            </w:r>
          </w:p>
        </w:tc>
        <w:tc>
          <w:tcPr>
            <w:tcW w:w="1695" w:type="dxa"/>
            <w:noWrap w:val="0"/>
            <w:vAlign w:val="center"/>
          </w:tcPr>
          <w:p w14:paraId="36592EB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1.72E-02</w:t>
            </w:r>
          </w:p>
        </w:tc>
        <w:tc>
          <w:tcPr>
            <w:tcW w:w="1500" w:type="dxa"/>
            <w:noWrap w:val="0"/>
            <w:vAlign w:val="center"/>
          </w:tcPr>
          <w:p w14:paraId="01A74E3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1.91</w:t>
            </w:r>
          </w:p>
        </w:tc>
        <w:tc>
          <w:tcPr>
            <w:tcW w:w="1297" w:type="dxa"/>
            <w:noWrap w:val="0"/>
            <w:vAlign w:val="center"/>
          </w:tcPr>
          <w:p w14:paraId="355DB8F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2.29E-05</w:t>
            </w:r>
          </w:p>
        </w:tc>
        <w:tc>
          <w:tcPr>
            <w:tcW w:w="1148" w:type="dxa"/>
            <w:noWrap w:val="0"/>
            <w:vAlign w:val="center"/>
          </w:tcPr>
          <w:p w14:paraId="6F8052B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0.05</w:t>
            </w:r>
          </w:p>
        </w:tc>
      </w:tr>
      <w:tr w14:paraId="6EE48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3349E91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850</w:t>
            </w:r>
          </w:p>
        </w:tc>
        <w:tc>
          <w:tcPr>
            <w:tcW w:w="1695" w:type="dxa"/>
            <w:noWrap w:val="0"/>
            <w:vAlign w:val="center"/>
          </w:tcPr>
          <w:p w14:paraId="3017C6B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1.67E-02</w:t>
            </w:r>
          </w:p>
        </w:tc>
        <w:tc>
          <w:tcPr>
            <w:tcW w:w="1500" w:type="dxa"/>
            <w:noWrap w:val="0"/>
            <w:vAlign w:val="center"/>
          </w:tcPr>
          <w:p w14:paraId="140517C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1.86</w:t>
            </w:r>
          </w:p>
        </w:tc>
        <w:tc>
          <w:tcPr>
            <w:tcW w:w="1297" w:type="dxa"/>
            <w:noWrap w:val="0"/>
            <w:vAlign w:val="center"/>
          </w:tcPr>
          <w:p w14:paraId="500E8A5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2.23E-05</w:t>
            </w:r>
          </w:p>
        </w:tc>
        <w:tc>
          <w:tcPr>
            <w:tcW w:w="1148" w:type="dxa"/>
            <w:noWrap w:val="0"/>
            <w:vAlign w:val="center"/>
          </w:tcPr>
          <w:p w14:paraId="2B42EE6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0.04</w:t>
            </w:r>
          </w:p>
        </w:tc>
      </w:tr>
      <w:tr w14:paraId="47541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3A1605B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875</w:t>
            </w:r>
          </w:p>
        </w:tc>
        <w:tc>
          <w:tcPr>
            <w:tcW w:w="1695" w:type="dxa"/>
            <w:noWrap w:val="0"/>
            <w:vAlign w:val="center"/>
          </w:tcPr>
          <w:p w14:paraId="678510B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1.63E-02</w:t>
            </w:r>
          </w:p>
        </w:tc>
        <w:tc>
          <w:tcPr>
            <w:tcW w:w="1500" w:type="dxa"/>
            <w:noWrap w:val="0"/>
            <w:vAlign w:val="center"/>
          </w:tcPr>
          <w:p w14:paraId="3DFF0CC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1.81</w:t>
            </w:r>
          </w:p>
        </w:tc>
        <w:tc>
          <w:tcPr>
            <w:tcW w:w="1297" w:type="dxa"/>
            <w:noWrap w:val="0"/>
            <w:vAlign w:val="center"/>
          </w:tcPr>
          <w:p w14:paraId="4B64798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2.17E-05</w:t>
            </w:r>
          </w:p>
        </w:tc>
        <w:tc>
          <w:tcPr>
            <w:tcW w:w="1148" w:type="dxa"/>
            <w:noWrap w:val="0"/>
            <w:vAlign w:val="center"/>
          </w:tcPr>
          <w:p w14:paraId="7EA424F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0.04</w:t>
            </w:r>
          </w:p>
        </w:tc>
      </w:tr>
      <w:tr w14:paraId="0EDDD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27DA896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900</w:t>
            </w:r>
          </w:p>
        </w:tc>
        <w:tc>
          <w:tcPr>
            <w:tcW w:w="1695" w:type="dxa"/>
            <w:noWrap w:val="0"/>
            <w:vAlign w:val="center"/>
          </w:tcPr>
          <w:p w14:paraId="4EF5C937">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1.58E-02</w:t>
            </w:r>
          </w:p>
        </w:tc>
        <w:tc>
          <w:tcPr>
            <w:tcW w:w="1500" w:type="dxa"/>
            <w:noWrap w:val="0"/>
            <w:vAlign w:val="center"/>
          </w:tcPr>
          <w:p w14:paraId="382AFCB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1.76</w:t>
            </w:r>
          </w:p>
        </w:tc>
        <w:tc>
          <w:tcPr>
            <w:tcW w:w="1297" w:type="dxa"/>
            <w:noWrap w:val="0"/>
            <w:vAlign w:val="center"/>
          </w:tcPr>
          <w:p w14:paraId="2C0C541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2.11E-05</w:t>
            </w:r>
          </w:p>
        </w:tc>
        <w:tc>
          <w:tcPr>
            <w:tcW w:w="1148" w:type="dxa"/>
            <w:noWrap w:val="0"/>
            <w:vAlign w:val="center"/>
          </w:tcPr>
          <w:p w14:paraId="1CA81AA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0.04</w:t>
            </w:r>
          </w:p>
        </w:tc>
      </w:tr>
      <w:tr w14:paraId="524F0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03F97F8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925</w:t>
            </w:r>
          </w:p>
        </w:tc>
        <w:tc>
          <w:tcPr>
            <w:tcW w:w="1695" w:type="dxa"/>
            <w:noWrap w:val="0"/>
            <w:vAlign w:val="center"/>
          </w:tcPr>
          <w:p w14:paraId="35B190B8">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1.54E-02</w:t>
            </w:r>
          </w:p>
        </w:tc>
        <w:tc>
          <w:tcPr>
            <w:tcW w:w="1500" w:type="dxa"/>
            <w:noWrap w:val="0"/>
            <w:vAlign w:val="center"/>
          </w:tcPr>
          <w:p w14:paraId="0A5124A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1.71</w:t>
            </w:r>
          </w:p>
        </w:tc>
        <w:tc>
          <w:tcPr>
            <w:tcW w:w="1297" w:type="dxa"/>
            <w:noWrap w:val="0"/>
            <w:vAlign w:val="center"/>
          </w:tcPr>
          <w:p w14:paraId="17FB5CF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2.06E-05</w:t>
            </w:r>
          </w:p>
        </w:tc>
        <w:tc>
          <w:tcPr>
            <w:tcW w:w="1148" w:type="dxa"/>
            <w:noWrap w:val="0"/>
            <w:vAlign w:val="center"/>
          </w:tcPr>
          <w:p w14:paraId="138B37D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0.04</w:t>
            </w:r>
          </w:p>
        </w:tc>
      </w:tr>
      <w:tr w14:paraId="1867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332ED6D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950</w:t>
            </w:r>
          </w:p>
        </w:tc>
        <w:tc>
          <w:tcPr>
            <w:tcW w:w="1695" w:type="dxa"/>
            <w:noWrap w:val="0"/>
            <w:vAlign w:val="center"/>
          </w:tcPr>
          <w:p w14:paraId="68737E1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1.50E-02</w:t>
            </w:r>
          </w:p>
        </w:tc>
        <w:tc>
          <w:tcPr>
            <w:tcW w:w="1500" w:type="dxa"/>
            <w:noWrap w:val="0"/>
            <w:vAlign w:val="center"/>
          </w:tcPr>
          <w:p w14:paraId="196CCBBC">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1.67</w:t>
            </w:r>
          </w:p>
        </w:tc>
        <w:tc>
          <w:tcPr>
            <w:tcW w:w="1297" w:type="dxa"/>
            <w:noWrap w:val="0"/>
            <w:vAlign w:val="center"/>
          </w:tcPr>
          <w:p w14:paraId="44AC2CE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2.00E-05</w:t>
            </w:r>
          </w:p>
        </w:tc>
        <w:tc>
          <w:tcPr>
            <w:tcW w:w="1148" w:type="dxa"/>
            <w:noWrap w:val="0"/>
            <w:vAlign w:val="center"/>
          </w:tcPr>
          <w:p w14:paraId="269FF2B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0.04</w:t>
            </w:r>
          </w:p>
        </w:tc>
      </w:tr>
      <w:tr w14:paraId="1060E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0112B19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975</w:t>
            </w:r>
          </w:p>
        </w:tc>
        <w:tc>
          <w:tcPr>
            <w:tcW w:w="1695" w:type="dxa"/>
            <w:noWrap w:val="0"/>
            <w:vAlign w:val="center"/>
          </w:tcPr>
          <w:p w14:paraId="54D7B31B">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1.46E-02</w:t>
            </w:r>
          </w:p>
        </w:tc>
        <w:tc>
          <w:tcPr>
            <w:tcW w:w="1500" w:type="dxa"/>
            <w:noWrap w:val="0"/>
            <w:vAlign w:val="center"/>
          </w:tcPr>
          <w:p w14:paraId="7A0AD43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1.63</w:t>
            </w:r>
          </w:p>
        </w:tc>
        <w:tc>
          <w:tcPr>
            <w:tcW w:w="1297" w:type="dxa"/>
            <w:noWrap w:val="0"/>
            <w:vAlign w:val="center"/>
          </w:tcPr>
          <w:p w14:paraId="4BCBC9B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1.95E-05</w:t>
            </w:r>
          </w:p>
        </w:tc>
        <w:tc>
          <w:tcPr>
            <w:tcW w:w="1148" w:type="dxa"/>
            <w:noWrap w:val="0"/>
            <w:vAlign w:val="center"/>
          </w:tcPr>
          <w:p w14:paraId="6E385BB2">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0.04</w:t>
            </w:r>
          </w:p>
        </w:tc>
      </w:tr>
      <w:tr w14:paraId="7AD27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5653E9D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1000</w:t>
            </w:r>
          </w:p>
        </w:tc>
        <w:tc>
          <w:tcPr>
            <w:tcW w:w="1695" w:type="dxa"/>
            <w:noWrap w:val="0"/>
            <w:vAlign w:val="center"/>
          </w:tcPr>
          <w:p w14:paraId="7F598E5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1.43E-02</w:t>
            </w:r>
          </w:p>
        </w:tc>
        <w:tc>
          <w:tcPr>
            <w:tcW w:w="1500" w:type="dxa"/>
            <w:noWrap w:val="0"/>
            <w:vAlign w:val="center"/>
          </w:tcPr>
          <w:p w14:paraId="43E92D1A">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1.59</w:t>
            </w:r>
          </w:p>
        </w:tc>
        <w:tc>
          <w:tcPr>
            <w:tcW w:w="1297" w:type="dxa"/>
            <w:noWrap w:val="0"/>
            <w:vAlign w:val="center"/>
          </w:tcPr>
          <w:p w14:paraId="0851569D">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1.90E-05</w:t>
            </w:r>
          </w:p>
        </w:tc>
        <w:tc>
          <w:tcPr>
            <w:tcW w:w="1148" w:type="dxa"/>
            <w:noWrap w:val="0"/>
            <w:vAlign w:val="center"/>
          </w:tcPr>
          <w:p w14:paraId="5612C3C9">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0.04</w:t>
            </w:r>
          </w:p>
        </w:tc>
      </w:tr>
      <w:tr w14:paraId="590CA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875" w:type="dxa"/>
            <w:noWrap w:val="0"/>
            <w:vAlign w:val="center"/>
          </w:tcPr>
          <w:p w14:paraId="29BF3C90">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1500</w:t>
            </w:r>
          </w:p>
        </w:tc>
        <w:tc>
          <w:tcPr>
            <w:tcW w:w="1695" w:type="dxa"/>
            <w:noWrap w:val="0"/>
            <w:vAlign w:val="center"/>
          </w:tcPr>
          <w:p w14:paraId="68A274B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9.27E-03</w:t>
            </w:r>
          </w:p>
        </w:tc>
        <w:tc>
          <w:tcPr>
            <w:tcW w:w="1500" w:type="dxa"/>
            <w:noWrap w:val="0"/>
            <w:vAlign w:val="center"/>
          </w:tcPr>
          <w:p w14:paraId="37BBD4F1">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1.03</w:t>
            </w:r>
          </w:p>
        </w:tc>
        <w:tc>
          <w:tcPr>
            <w:tcW w:w="1297" w:type="dxa"/>
            <w:noWrap w:val="0"/>
            <w:vAlign w:val="center"/>
          </w:tcPr>
          <w:p w14:paraId="24CE40F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1.24E-05</w:t>
            </w:r>
          </w:p>
        </w:tc>
        <w:tc>
          <w:tcPr>
            <w:tcW w:w="1148" w:type="dxa"/>
            <w:noWrap w:val="0"/>
            <w:vAlign w:val="center"/>
          </w:tcPr>
          <w:p w14:paraId="0266DB25">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0.02</w:t>
            </w:r>
          </w:p>
        </w:tc>
      </w:tr>
      <w:tr w14:paraId="55802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1D2C54A4">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2000</w:t>
            </w:r>
          </w:p>
        </w:tc>
        <w:tc>
          <w:tcPr>
            <w:tcW w:w="1695" w:type="dxa"/>
            <w:noWrap w:val="0"/>
            <w:vAlign w:val="center"/>
          </w:tcPr>
          <w:p w14:paraId="0BC66995">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6.81E-03</w:t>
            </w:r>
          </w:p>
        </w:tc>
        <w:tc>
          <w:tcPr>
            <w:tcW w:w="1500" w:type="dxa"/>
            <w:noWrap w:val="0"/>
            <w:vAlign w:val="center"/>
          </w:tcPr>
          <w:p w14:paraId="1EEB27BB">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0.76</w:t>
            </w:r>
          </w:p>
        </w:tc>
        <w:tc>
          <w:tcPr>
            <w:tcW w:w="1297" w:type="dxa"/>
            <w:noWrap w:val="0"/>
            <w:vAlign w:val="center"/>
          </w:tcPr>
          <w:p w14:paraId="56334571">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9.08E-06</w:t>
            </w:r>
          </w:p>
        </w:tc>
        <w:tc>
          <w:tcPr>
            <w:tcW w:w="1148" w:type="dxa"/>
            <w:noWrap w:val="0"/>
            <w:vAlign w:val="center"/>
          </w:tcPr>
          <w:p w14:paraId="101BFF03">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0.02</w:t>
            </w:r>
          </w:p>
        </w:tc>
      </w:tr>
      <w:tr w14:paraId="33248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4378419E">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2500</w:t>
            </w:r>
          </w:p>
        </w:tc>
        <w:tc>
          <w:tcPr>
            <w:tcW w:w="1695" w:type="dxa"/>
            <w:noWrap w:val="0"/>
            <w:vAlign w:val="center"/>
          </w:tcPr>
          <w:p w14:paraId="52EEFD36">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5.16E-03</w:t>
            </w:r>
          </w:p>
        </w:tc>
        <w:tc>
          <w:tcPr>
            <w:tcW w:w="1500" w:type="dxa"/>
            <w:noWrap w:val="0"/>
            <w:vAlign w:val="center"/>
          </w:tcPr>
          <w:p w14:paraId="6E510931">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0.57</w:t>
            </w:r>
          </w:p>
        </w:tc>
        <w:tc>
          <w:tcPr>
            <w:tcW w:w="1297" w:type="dxa"/>
            <w:noWrap w:val="0"/>
            <w:vAlign w:val="center"/>
          </w:tcPr>
          <w:p w14:paraId="4B01B203">
            <w:pPr>
              <w:pStyle w:val="379"/>
              <w:keepNext/>
              <w:keepLines w:val="0"/>
              <w:pageBreakBefore w:val="0"/>
              <w:spacing w:before="0" w:line="360" w:lineRule="auto"/>
              <w:rPr>
                <w:rFonts w:hint="eastAsia"/>
                <w:color w:val="000000"/>
                <w:sz w:val="21"/>
                <w:szCs w:val="21"/>
                <w:lang w:val="en-US" w:eastAsia="zh-CN"/>
              </w:rPr>
            </w:pPr>
            <w:r>
              <w:rPr>
                <w:rFonts w:hint="eastAsia"/>
                <w:color w:val="000000"/>
                <w:sz w:val="21"/>
                <w:szCs w:val="21"/>
                <w:lang w:val="en-US" w:eastAsia="zh-CN"/>
              </w:rPr>
              <w:t>6.88E-06</w:t>
            </w:r>
          </w:p>
        </w:tc>
        <w:tc>
          <w:tcPr>
            <w:tcW w:w="1148" w:type="dxa"/>
            <w:noWrap w:val="0"/>
            <w:vAlign w:val="center"/>
          </w:tcPr>
          <w:p w14:paraId="76488C77">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0.01</w:t>
            </w:r>
          </w:p>
        </w:tc>
      </w:tr>
      <w:tr w14:paraId="53A0E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875" w:type="dxa"/>
            <w:noWrap w:val="0"/>
            <w:vAlign w:val="center"/>
          </w:tcPr>
          <w:p w14:paraId="14964F37">
            <w:pPr>
              <w:pStyle w:val="379"/>
              <w:keepNext/>
              <w:keepLines w:val="0"/>
              <w:pageBreakBefore w:val="0"/>
              <w:spacing w:before="0" w:line="360" w:lineRule="auto"/>
              <w:rPr>
                <w:rFonts w:hint="eastAsia"/>
                <w:color w:val="000000"/>
                <w:sz w:val="21"/>
                <w:szCs w:val="21"/>
              </w:rPr>
            </w:pPr>
            <w:r>
              <w:rPr>
                <w:rFonts w:hint="eastAsia"/>
                <w:color w:val="000000"/>
                <w:sz w:val="21"/>
                <w:szCs w:val="21"/>
              </w:rPr>
              <w:t>最大占标距离m</w:t>
            </w:r>
          </w:p>
        </w:tc>
        <w:tc>
          <w:tcPr>
            <w:tcW w:w="3195" w:type="dxa"/>
            <w:gridSpan w:val="2"/>
            <w:noWrap w:val="0"/>
            <w:vAlign w:val="center"/>
          </w:tcPr>
          <w:p w14:paraId="7EB4DEED">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160</w:t>
            </w:r>
          </w:p>
        </w:tc>
        <w:tc>
          <w:tcPr>
            <w:tcW w:w="2445" w:type="dxa"/>
            <w:gridSpan w:val="2"/>
            <w:noWrap w:val="0"/>
            <w:vAlign w:val="center"/>
          </w:tcPr>
          <w:p w14:paraId="775013D5">
            <w:pPr>
              <w:pStyle w:val="379"/>
              <w:keepNext/>
              <w:keepLines w:val="0"/>
              <w:pageBreakBefore w:val="0"/>
              <w:spacing w:before="0" w:line="360" w:lineRule="auto"/>
              <w:rPr>
                <w:color w:val="000000"/>
                <w:sz w:val="21"/>
                <w:szCs w:val="21"/>
                <w:lang w:val="en-US" w:eastAsia="zh-CN"/>
              </w:rPr>
            </w:pPr>
            <w:r>
              <w:rPr>
                <w:rFonts w:hint="eastAsia"/>
                <w:color w:val="000000"/>
                <w:sz w:val="21"/>
                <w:szCs w:val="21"/>
                <w:lang w:val="en-US" w:eastAsia="zh-CN"/>
              </w:rPr>
              <w:t>160</w:t>
            </w:r>
          </w:p>
        </w:tc>
      </w:tr>
      <w:tr w14:paraId="3609D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875" w:type="dxa"/>
            <w:noWrap w:val="0"/>
            <w:vAlign w:val="center"/>
          </w:tcPr>
          <w:p w14:paraId="3596B2DB">
            <w:pPr>
              <w:pStyle w:val="379"/>
              <w:keepNext/>
              <w:keepLines w:val="0"/>
              <w:pageBreakBefore w:val="0"/>
              <w:spacing w:before="0" w:line="360" w:lineRule="auto"/>
              <w:rPr>
                <w:rFonts w:hint="eastAsia"/>
                <w:color w:val="000000"/>
                <w:sz w:val="21"/>
                <w:szCs w:val="21"/>
              </w:rPr>
            </w:pPr>
            <w:r>
              <w:rPr>
                <w:rFonts w:hint="eastAsia"/>
                <w:color w:val="000000"/>
                <w:sz w:val="21"/>
                <w:szCs w:val="21"/>
              </w:rPr>
              <w:t>最大占标率%</w:t>
            </w:r>
          </w:p>
        </w:tc>
        <w:tc>
          <w:tcPr>
            <w:tcW w:w="3195" w:type="dxa"/>
            <w:gridSpan w:val="2"/>
            <w:noWrap w:val="0"/>
            <w:vAlign w:val="center"/>
          </w:tcPr>
          <w:p w14:paraId="2568819E">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3.9</w:t>
            </w:r>
          </w:p>
        </w:tc>
        <w:tc>
          <w:tcPr>
            <w:tcW w:w="2445" w:type="dxa"/>
            <w:gridSpan w:val="2"/>
            <w:noWrap w:val="0"/>
            <w:vAlign w:val="center"/>
          </w:tcPr>
          <w:p w14:paraId="70EC6752">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0.09</w:t>
            </w:r>
          </w:p>
        </w:tc>
      </w:tr>
      <w:tr w14:paraId="7E72B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875" w:type="dxa"/>
            <w:noWrap w:val="0"/>
            <w:vAlign w:val="center"/>
          </w:tcPr>
          <w:p w14:paraId="09EFBED3">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rPr>
              <w:t>D10%最远距离</w:t>
            </w:r>
            <w:r>
              <w:rPr>
                <w:rFonts w:hint="eastAsia"/>
                <w:color w:val="000000"/>
                <w:sz w:val="21"/>
                <w:szCs w:val="21"/>
                <w:lang w:val="en-US" w:eastAsia="zh-CN"/>
              </w:rPr>
              <w:t>m</w:t>
            </w:r>
          </w:p>
        </w:tc>
        <w:tc>
          <w:tcPr>
            <w:tcW w:w="3195" w:type="dxa"/>
            <w:gridSpan w:val="2"/>
            <w:noWrap w:val="0"/>
            <w:vAlign w:val="center"/>
          </w:tcPr>
          <w:p w14:paraId="7D064F4F">
            <w:pPr>
              <w:pStyle w:val="379"/>
              <w:keepNext/>
              <w:keepLines w:val="0"/>
              <w:pageBreakBefore w:val="0"/>
              <w:spacing w:before="0" w:line="360" w:lineRule="auto"/>
              <w:rPr>
                <w:rFonts w:hint="eastAsia"/>
                <w:color w:val="000000"/>
                <w:sz w:val="21"/>
                <w:szCs w:val="21"/>
              </w:rPr>
            </w:pPr>
            <w:r>
              <w:rPr>
                <w:rFonts w:hint="eastAsia"/>
                <w:color w:val="000000"/>
                <w:sz w:val="21"/>
                <w:szCs w:val="21"/>
              </w:rPr>
              <w:t>0</w:t>
            </w:r>
          </w:p>
        </w:tc>
        <w:tc>
          <w:tcPr>
            <w:tcW w:w="2445" w:type="dxa"/>
            <w:gridSpan w:val="2"/>
            <w:noWrap w:val="0"/>
            <w:vAlign w:val="center"/>
          </w:tcPr>
          <w:p w14:paraId="359BEC9C">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0</w:t>
            </w:r>
          </w:p>
        </w:tc>
      </w:tr>
    </w:tbl>
    <w:p w14:paraId="4F25B55E">
      <w:pPr>
        <w:keepNext/>
        <w:keepLines w:val="0"/>
        <w:pageBreakBefore w:val="0"/>
        <w:widowControl/>
        <w:spacing w:line="360" w:lineRule="auto"/>
        <w:rPr>
          <w:rFonts w:hint="eastAsia"/>
          <w:b w:val="0"/>
          <w:bCs w:val="0"/>
          <w:color w:val="000000"/>
          <w:sz w:val="24"/>
          <w:szCs w:val="24"/>
        </w:rPr>
      </w:pPr>
      <w:r>
        <w:rPr>
          <w:rFonts w:hint="eastAsia"/>
          <w:b w:val="0"/>
          <w:bCs w:val="0"/>
          <w:color w:val="000000"/>
          <w:sz w:val="24"/>
          <w:szCs w:val="24"/>
        </w:rPr>
        <w:t xml:space="preserve"> </w:t>
      </w:r>
      <w:r>
        <w:rPr>
          <w:b w:val="0"/>
          <w:bCs w:val="0"/>
          <w:color w:val="000000"/>
          <w:sz w:val="24"/>
          <w:szCs w:val="24"/>
        </w:rPr>
        <w:t>根据</w:t>
      </w:r>
      <w:r>
        <w:rPr>
          <w:rFonts w:hint="eastAsia"/>
          <w:b w:val="0"/>
          <w:bCs w:val="0"/>
          <w:color w:val="000000"/>
          <w:sz w:val="24"/>
          <w:szCs w:val="24"/>
          <w:lang w:val="en-US" w:eastAsia="zh-CN"/>
        </w:rPr>
        <w:t>表6.2-20</w:t>
      </w:r>
      <w:r>
        <w:rPr>
          <w:b w:val="0"/>
          <w:bCs w:val="0"/>
          <w:color w:val="000000"/>
          <w:sz w:val="24"/>
          <w:szCs w:val="24"/>
        </w:rPr>
        <w:t>预测结果，项目无组织粉尘</w:t>
      </w:r>
      <w:r>
        <w:rPr>
          <w:rFonts w:hint="eastAsia"/>
          <w:b w:val="0"/>
          <w:bCs w:val="0"/>
          <w:color w:val="000000"/>
          <w:sz w:val="24"/>
          <w:szCs w:val="24"/>
        </w:rPr>
        <w:t>最大占标率为</w:t>
      </w:r>
      <w:r>
        <w:rPr>
          <w:rFonts w:hint="eastAsia"/>
          <w:b w:val="0"/>
          <w:bCs w:val="0"/>
          <w:color w:val="000000"/>
          <w:sz w:val="24"/>
          <w:szCs w:val="24"/>
          <w:lang w:val="en-US" w:eastAsia="zh-CN"/>
        </w:rPr>
        <w:t>3.98</w:t>
      </w:r>
      <w:r>
        <w:rPr>
          <w:rFonts w:hint="eastAsia"/>
          <w:b w:val="0"/>
          <w:bCs w:val="0"/>
          <w:color w:val="000000"/>
          <w:sz w:val="24"/>
          <w:szCs w:val="24"/>
        </w:rPr>
        <w:t>%，</w:t>
      </w:r>
      <w:r>
        <w:rPr>
          <w:rFonts w:hint="eastAsia"/>
          <w:b w:val="0"/>
          <w:bCs w:val="0"/>
          <w:color w:val="000000"/>
          <w:sz w:val="24"/>
          <w:szCs w:val="24"/>
          <w:lang w:val="zh-CN"/>
        </w:rPr>
        <w:t>评价等级：</w:t>
      </w:r>
      <w:r>
        <w:rPr>
          <w:rFonts w:hint="eastAsia"/>
          <w:b w:val="0"/>
          <w:bCs w:val="0"/>
          <w:color w:val="000000"/>
          <w:sz w:val="24"/>
          <w:szCs w:val="24"/>
        </w:rPr>
        <w:t>二</w:t>
      </w:r>
      <w:r>
        <w:rPr>
          <w:rFonts w:hint="eastAsia"/>
          <w:b w:val="0"/>
          <w:bCs w:val="0"/>
          <w:color w:val="000000"/>
          <w:sz w:val="24"/>
          <w:szCs w:val="24"/>
          <w:lang w:val="zh-CN"/>
        </w:rPr>
        <w:t>级，</w:t>
      </w:r>
      <w:r>
        <w:rPr>
          <w:rFonts w:hint="eastAsia"/>
          <w:b w:val="0"/>
          <w:bCs w:val="0"/>
          <w:color w:val="000000"/>
          <w:sz w:val="24"/>
          <w:szCs w:val="24"/>
        </w:rPr>
        <w:t>二</w:t>
      </w:r>
      <w:r>
        <w:rPr>
          <w:rFonts w:hint="eastAsia"/>
          <w:b w:val="0"/>
          <w:bCs w:val="0"/>
          <w:color w:val="000000"/>
          <w:sz w:val="24"/>
          <w:szCs w:val="24"/>
          <w:lang w:val="zh-CN"/>
        </w:rPr>
        <w:t>级评价项目可直接引用估算模型预测结果进行评价。</w:t>
      </w:r>
      <w:r>
        <w:rPr>
          <w:rFonts w:hint="eastAsia"/>
          <w:b w:val="0"/>
          <w:bCs w:val="0"/>
          <w:color w:val="000000"/>
          <w:sz w:val="24"/>
          <w:szCs w:val="24"/>
          <w:lang w:val="en-US" w:eastAsia="zh-CN"/>
        </w:rPr>
        <w:t>无组织粉尘、甲醛</w:t>
      </w:r>
      <w:r>
        <w:rPr>
          <w:rFonts w:hint="eastAsia"/>
          <w:b w:val="0"/>
          <w:bCs w:val="0"/>
          <w:color w:val="000000"/>
          <w:sz w:val="24"/>
          <w:szCs w:val="24"/>
        </w:rPr>
        <w:t>最大落地</w:t>
      </w:r>
      <w:r>
        <w:rPr>
          <w:b w:val="0"/>
          <w:bCs w:val="0"/>
          <w:color w:val="000000"/>
          <w:sz w:val="24"/>
          <w:szCs w:val="24"/>
        </w:rPr>
        <w:t>处浓度为</w:t>
      </w:r>
      <w:r>
        <w:rPr>
          <w:rFonts w:hint="eastAsia"/>
          <w:b w:val="0"/>
          <w:bCs w:val="0"/>
          <w:color w:val="000000"/>
          <w:sz w:val="24"/>
          <w:szCs w:val="24"/>
          <w:lang w:val="en-US" w:eastAsia="zh-CN"/>
        </w:rPr>
        <w:t>3.55E-02</w:t>
      </w:r>
      <w:r>
        <w:rPr>
          <w:b w:val="0"/>
          <w:bCs w:val="0"/>
          <w:color w:val="000000"/>
          <w:sz w:val="24"/>
          <w:szCs w:val="24"/>
        </w:rPr>
        <w:t>mg/m</w:t>
      </w:r>
      <w:r>
        <w:rPr>
          <w:b w:val="0"/>
          <w:bCs w:val="0"/>
          <w:color w:val="000000"/>
          <w:sz w:val="24"/>
          <w:szCs w:val="24"/>
          <w:vertAlign w:val="superscript"/>
        </w:rPr>
        <w:t>3</w:t>
      </w:r>
      <w:r>
        <w:rPr>
          <w:rFonts w:hint="eastAsia"/>
          <w:b w:val="0"/>
          <w:bCs w:val="0"/>
          <w:color w:val="000000"/>
          <w:sz w:val="24"/>
          <w:szCs w:val="24"/>
          <w:vertAlign w:val="baseline"/>
          <w:lang w:eastAsia="zh-CN"/>
        </w:rPr>
        <w:t>、</w:t>
      </w:r>
      <w:r>
        <w:rPr>
          <w:rFonts w:hint="eastAsia"/>
          <w:b w:val="0"/>
          <w:bCs w:val="0"/>
          <w:color w:val="000000"/>
          <w:sz w:val="24"/>
          <w:szCs w:val="24"/>
          <w:lang w:val="en-US" w:eastAsia="zh-CN"/>
        </w:rPr>
        <w:t>4.73E-05</w:t>
      </w:r>
      <w:r>
        <w:rPr>
          <w:b w:val="0"/>
          <w:bCs w:val="0"/>
          <w:color w:val="000000"/>
          <w:sz w:val="24"/>
          <w:szCs w:val="24"/>
        </w:rPr>
        <w:t>mg/m</w:t>
      </w:r>
      <w:r>
        <w:rPr>
          <w:b w:val="0"/>
          <w:bCs w:val="0"/>
          <w:color w:val="000000"/>
          <w:sz w:val="24"/>
          <w:szCs w:val="24"/>
          <w:vertAlign w:val="superscript"/>
        </w:rPr>
        <w:t>3</w:t>
      </w:r>
      <w:r>
        <w:rPr>
          <w:b w:val="0"/>
          <w:bCs w:val="0"/>
          <w:color w:val="000000"/>
          <w:sz w:val="24"/>
          <w:szCs w:val="24"/>
        </w:rPr>
        <w:t>，</w:t>
      </w:r>
      <w:r>
        <w:rPr>
          <w:rFonts w:hint="eastAsia" w:eastAsia="宋体"/>
          <w:b w:val="0"/>
          <w:bCs w:val="0"/>
          <w:color w:val="000000"/>
          <w:sz w:val="24"/>
          <w:szCs w:val="24"/>
          <w:lang w:val="en-US" w:eastAsia="zh-CN"/>
        </w:rPr>
        <w:t>无组织粉尘</w:t>
      </w:r>
      <w:r>
        <w:rPr>
          <w:rFonts w:hint="eastAsia"/>
          <w:b w:val="0"/>
          <w:bCs w:val="0"/>
          <w:color w:val="000000"/>
          <w:sz w:val="24"/>
          <w:szCs w:val="24"/>
        </w:rPr>
        <w:t>低于(GB3095-2012)《环境空气质量标准》二级标准浓度限值</w:t>
      </w:r>
      <w:r>
        <w:rPr>
          <w:rFonts w:hint="eastAsia" w:eastAsia="宋体"/>
          <w:b w:val="0"/>
          <w:bCs w:val="0"/>
          <w:color w:val="000000"/>
          <w:sz w:val="24"/>
          <w:szCs w:val="24"/>
          <w:lang w:eastAsia="zh-CN"/>
        </w:rPr>
        <w:t>；</w:t>
      </w:r>
      <w:r>
        <w:rPr>
          <w:rFonts w:hint="eastAsia" w:eastAsia="宋体"/>
          <w:b w:val="0"/>
          <w:bCs w:val="0"/>
          <w:color w:val="000000"/>
          <w:sz w:val="24"/>
          <w:szCs w:val="24"/>
          <w:lang w:val="en-US" w:eastAsia="zh-CN"/>
        </w:rPr>
        <w:t>甲醛低于</w:t>
      </w:r>
      <w:r>
        <w:rPr>
          <w:spacing w:val="-9"/>
          <w:sz w:val="24"/>
          <w:szCs w:val="24"/>
          <w:vertAlign w:val="baseline"/>
        </w:rPr>
        <w:t>《环境影响评价技术导则 大气环境》</w:t>
      </w:r>
      <w:r>
        <w:rPr>
          <w:spacing w:val="-3"/>
          <w:sz w:val="24"/>
          <w:szCs w:val="24"/>
          <w:vertAlign w:val="baseline"/>
        </w:rPr>
        <w:t>（</w:t>
      </w:r>
      <w:r>
        <w:rPr>
          <w:rFonts w:ascii="Times New Roman" w:eastAsia="Times New Roman"/>
          <w:spacing w:val="-3"/>
          <w:sz w:val="24"/>
          <w:szCs w:val="24"/>
          <w:vertAlign w:val="baseline"/>
        </w:rPr>
        <w:t>HJ2.2-2018</w:t>
      </w:r>
      <w:r>
        <w:rPr>
          <w:spacing w:val="-3"/>
          <w:sz w:val="24"/>
          <w:szCs w:val="24"/>
          <w:vertAlign w:val="baseline"/>
        </w:rPr>
        <w:t>）</w:t>
      </w:r>
      <w:r>
        <w:rPr>
          <w:spacing w:val="-20"/>
          <w:sz w:val="24"/>
          <w:szCs w:val="24"/>
          <w:vertAlign w:val="baseline"/>
        </w:rPr>
        <w:t xml:space="preserve">附录 </w:t>
      </w:r>
      <w:r>
        <w:rPr>
          <w:rFonts w:ascii="Times New Roman" w:eastAsia="Times New Roman"/>
          <w:sz w:val="24"/>
          <w:szCs w:val="24"/>
          <w:vertAlign w:val="baseline"/>
        </w:rPr>
        <w:t xml:space="preserve">D </w:t>
      </w:r>
      <w:r>
        <w:rPr>
          <w:spacing w:val="-3"/>
          <w:sz w:val="24"/>
          <w:szCs w:val="24"/>
          <w:vertAlign w:val="baseline"/>
        </w:rPr>
        <w:t>中的参考限值</w:t>
      </w:r>
      <w:r>
        <w:rPr>
          <w:rFonts w:hint="eastAsia"/>
          <w:b w:val="0"/>
          <w:bCs w:val="0"/>
          <w:color w:val="000000"/>
          <w:sz w:val="24"/>
          <w:szCs w:val="24"/>
        </w:rPr>
        <w:t>要求。经过勘查，项目下风向</w:t>
      </w:r>
      <w:r>
        <w:rPr>
          <w:rFonts w:hint="eastAsia"/>
          <w:b w:val="0"/>
          <w:bCs w:val="0"/>
          <w:color w:val="000000"/>
          <w:sz w:val="24"/>
          <w:szCs w:val="24"/>
          <w:lang w:val="en-US" w:eastAsia="zh-CN"/>
        </w:rPr>
        <w:t>160</w:t>
      </w:r>
      <w:r>
        <w:rPr>
          <w:rFonts w:hint="eastAsia"/>
          <w:b w:val="0"/>
          <w:bCs w:val="0"/>
          <w:color w:val="000000"/>
          <w:sz w:val="24"/>
          <w:szCs w:val="24"/>
        </w:rPr>
        <w:t>m处无人居住，因此经过大气预测分析，经过本项目提出的降尘措施后，无组织粉尘经过空气扩散，对敏感点影响不大。</w:t>
      </w:r>
    </w:p>
    <w:p w14:paraId="6C4BAB00">
      <w:pPr>
        <w:keepNext w:val="0"/>
        <w:keepLines w:val="0"/>
        <w:widowControl/>
        <w:suppressLineNumbers w:val="0"/>
        <w:ind w:left="1920" w:hanging="1440"/>
        <w:jc w:val="left"/>
        <w:rPr>
          <w:rFonts w:ascii="Times New Roman" w:hAnsi="Times New Roman"/>
          <w:b/>
          <w:bCs/>
          <w:color w:val="000000"/>
          <w:sz w:val="24"/>
          <w:szCs w:val="24"/>
        </w:rPr>
      </w:pPr>
      <w:r>
        <w:rPr>
          <w:rFonts w:ascii="宋体" w:hAnsi="宋体" w:eastAsia="宋体" w:cs="宋体"/>
          <w:sz w:val="24"/>
          <w:szCs w:val="24"/>
          <w:lang w:val="en-US" w:eastAsia="zh-CN" w:bidi="ar"/>
        </w:rPr>
        <w:drawing>
          <wp:inline distT="0" distB="0" distL="0" distR="0">
            <wp:extent cx="5106035" cy="2651760"/>
            <wp:effectExtent l="0" t="0" r="0" b="0"/>
            <wp:docPr id="46" name="_x0000_i3126"/>
            <wp:cNvGraphicFramePr/>
            <a:graphic xmlns:a="http://schemas.openxmlformats.org/drawingml/2006/main">
              <a:graphicData uri="http://schemas.openxmlformats.org/drawingml/2006/picture">
                <pic:pic xmlns:pic="http://schemas.openxmlformats.org/drawingml/2006/picture">
                  <pic:nvPicPr>
                    <pic:cNvPr id="46" name="_x0000_i3126"/>
                    <pic:cNvPicPr/>
                  </pic:nvPicPr>
                  <pic:blipFill>
                    <a:blip r:embed="rId59"/>
                    <a:stretch>
                      <a:fillRect/>
                    </a:stretch>
                  </pic:blipFill>
                  <pic:spPr>
                    <a:xfrm>
                      <a:off x="0" y="0"/>
                      <a:ext cx="5106060" cy="2651900"/>
                    </a:xfrm>
                    <a:prstGeom prst="rect">
                      <a:avLst/>
                    </a:prstGeom>
                    <a:noFill/>
                    <a:ln>
                      <a:noFill/>
                    </a:ln>
                  </pic:spPr>
                </pic:pic>
              </a:graphicData>
            </a:graphic>
          </wp:inline>
        </w:drawing>
      </w:r>
      <w:r>
        <w:rPr>
          <w:rFonts w:hint="eastAsia" w:ascii="宋体" w:hAnsi="宋体" w:eastAsia="宋体" w:cs="宋体"/>
          <w:sz w:val="24"/>
          <w:szCs w:val="24"/>
          <w:lang w:val="en-US" w:eastAsia="zh-CN" w:bidi="ar"/>
        </w:rPr>
        <w:t xml:space="preserve"> </w:t>
      </w:r>
      <w:r>
        <w:rPr>
          <w:rFonts w:ascii="Times New Roman" w:hAnsi="Times New Roman"/>
          <w:b/>
          <w:bCs/>
          <w:color w:val="000000"/>
          <w:sz w:val="24"/>
          <w:szCs w:val="24"/>
        </w:rPr>
        <w:t>图</w:t>
      </w:r>
      <w:r>
        <w:rPr>
          <w:rFonts w:hint="eastAsia" w:ascii="Times New Roman" w:hAnsi="Times New Roman"/>
          <w:b/>
          <w:bCs/>
          <w:color w:val="000000"/>
          <w:sz w:val="24"/>
          <w:szCs w:val="24"/>
          <w:lang w:val="en-US" w:eastAsia="zh-CN"/>
        </w:rPr>
        <w:t>6.2</w:t>
      </w:r>
      <w:r>
        <w:rPr>
          <w:rFonts w:ascii="Times New Roman" w:hAnsi="Times New Roman"/>
          <w:b/>
          <w:bCs/>
          <w:color w:val="000000"/>
          <w:sz w:val="24"/>
          <w:szCs w:val="24"/>
        </w:rPr>
        <w:t>-</w:t>
      </w:r>
      <w:r>
        <w:rPr>
          <w:rFonts w:hint="eastAsia" w:ascii="Times New Roman" w:hAnsi="Times New Roman"/>
          <w:b/>
          <w:bCs/>
          <w:color w:val="000000"/>
          <w:sz w:val="24"/>
          <w:szCs w:val="24"/>
          <w:lang w:val="en-US" w:eastAsia="zh-CN"/>
        </w:rPr>
        <w:t>7</w:t>
      </w:r>
      <w:r>
        <w:rPr>
          <w:rFonts w:ascii="Times New Roman" w:hAnsi="Times New Roman"/>
          <w:b/>
          <w:bCs/>
          <w:color w:val="000000"/>
          <w:sz w:val="24"/>
          <w:szCs w:val="24"/>
        </w:rPr>
        <w:t xml:space="preserve"> 无组织粉尘浓度-距离曲线图</w:t>
      </w:r>
    </w:p>
    <w:p w14:paraId="4FAA65E0">
      <w:pPr>
        <w:keepNext w:val="0"/>
        <w:keepLines w:val="0"/>
        <w:widowControl/>
        <w:numPr>
          <w:ilvl w:val="0"/>
          <w:numId w:val="0"/>
        </w:numPr>
        <w:suppressLineNumbers w:val="0"/>
        <w:jc w:val="left"/>
        <w:rPr>
          <w:color w:val="000000"/>
          <w:sz w:val="24"/>
        </w:rPr>
      </w:pPr>
      <w:r>
        <w:rPr>
          <w:rFonts w:hint="eastAsia"/>
          <w:color w:val="000000"/>
          <w:sz w:val="24"/>
          <w:lang w:eastAsia="zh-CN"/>
        </w:rPr>
        <w:t>（</w:t>
      </w:r>
      <w:r>
        <w:rPr>
          <w:rFonts w:hint="eastAsia"/>
          <w:color w:val="000000"/>
          <w:sz w:val="24"/>
          <w:lang w:val="en-US" w:eastAsia="zh-CN"/>
        </w:rPr>
        <w:t>3</w:t>
      </w:r>
      <w:r>
        <w:rPr>
          <w:rFonts w:hint="eastAsia"/>
          <w:color w:val="000000"/>
          <w:sz w:val="24"/>
          <w:lang w:eastAsia="zh-CN"/>
        </w:rPr>
        <w:t>）</w:t>
      </w:r>
      <w:r>
        <w:rPr>
          <w:rFonts w:hint="eastAsia"/>
          <w:color w:val="000000"/>
          <w:sz w:val="24"/>
        </w:rPr>
        <w:t>大气</w:t>
      </w:r>
      <w:r>
        <w:rPr>
          <w:color w:val="000000"/>
          <w:sz w:val="24"/>
        </w:rPr>
        <w:t>环境防护距离</w:t>
      </w:r>
    </w:p>
    <w:p w14:paraId="07D5839A">
      <w:pPr>
        <w:keepNext w:val="0"/>
        <w:keepLines w:val="0"/>
        <w:widowControl/>
        <w:numPr>
          <w:ilvl w:val="0"/>
          <w:numId w:val="0"/>
        </w:numPr>
        <w:suppressLineNumbers w:val="0"/>
        <w:ind w:firstLine="480"/>
        <w:jc w:val="left"/>
        <w:rPr>
          <w:color w:val="000000"/>
          <w:sz w:val="24"/>
        </w:rPr>
      </w:pPr>
      <w:r>
        <w:rPr>
          <w:rFonts w:hint="eastAsia"/>
          <w:color w:val="000000"/>
          <w:sz w:val="24"/>
        </w:rPr>
        <w:t>本</w:t>
      </w:r>
      <w:r>
        <w:rPr>
          <w:rFonts w:hint="eastAsia"/>
          <w:color w:val="000000"/>
          <w:sz w:val="24"/>
          <w:szCs w:val="24"/>
        </w:rPr>
        <w:t>项目无组织排放污染物主要为粉尘</w:t>
      </w:r>
      <w:r>
        <w:rPr>
          <w:rFonts w:hint="eastAsia"/>
          <w:color w:val="000000"/>
          <w:sz w:val="24"/>
          <w:szCs w:val="24"/>
          <w:lang w:eastAsia="zh-CN"/>
        </w:rPr>
        <w:t>、</w:t>
      </w:r>
      <w:r>
        <w:rPr>
          <w:rFonts w:hint="eastAsia"/>
          <w:color w:val="000000"/>
          <w:sz w:val="24"/>
          <w:szCs w:val="24"/>
          <w:lang w:val="en-US" w:eastAsia="zh-CN"/>
        </w:rPr>
        <w:t>甲醛</w:t>
      </w:r>
      <w:r>
        <w:rPr>
          <w:rFonts w:hint="eastAsia"/>
          <w:color w:val="000000"/>
          <w:sz w:val="24"/>
          <w:szCs w:val="24"/>
        </w:rPr>
        <w:t>，根据类比调查，排放速率</w:t>
      </w:r>
      <w:r>
        <w:rPr>
          <w:rFonts w:hint="eastAsia"/>
          <w:color w:val="000000"/>
          <w:sz w:val="24"/>
          <w:szCs w:val="24"/>
          <w:lang w:val="en-US" w:eastAsia="zh-CN"/>
        </w:rPr>
        <w:t>分别</w:t>
      </w:r>
      <w:r>
        <w:rPr>
          <w:color w:val="000000"/>
          <w:sz w:val="24"/>
          <w:szCs w:val="24"/>
        </w:rPr>
        <w:t>为</w:t>
      </w:r>
      <w:r>
        <w:rPr>
          <w:rFonts w:hint="eastAsia"/>
          <w:color w:val="000000"/>
          <w:sz w:val="24"/>
          <w:szCs w:val="24"/>
        </w:rPr>
        <w:t>0.</w:t>
      </w:r>
      <w:r>
        <w:rPr>
          <w:rFonts w:hint="eastAsia"/>
          <w:color w:val="000000"/>
          <w:sz w:val="24"/>
          <w:szCs w:val="24"/>
          <w:lang w:val="en-US" w:eastAsia="zh-CN"/>
        </w:rPr>
        <w:t>03</w:t>
      </w:r>
      <w:r>
        <w:rPr>
          <w:color w:val="000000"/>
          <w:sz w:val="24"/>
          <w:szCs w:val="24"/>
        </w:rPr>
        <w:t>g/s</w:t>
      </w:r>
      <w:r>
        <w:rPr>
          <w:rFonts w:hint="eastAsia"/>
          <w:color w:val="000000"/>
          <w:sz w:val="24"/>
          <w:szCs w:val="24"/>
          <w:lang w:eastAsia="zh-CN"/>
        </w:rPr>
        <w:t>、</w:t>
      </w:r>
      <w:r>
        <w:rPr>
          <w:rFonts w:hint="eastAsia"/>
          <w:color w:val="000000"/>
          <w:sz w:val="24"/>
          <w:szCs w:val="24"/>
          <w:lang w:val="en-US" w:eastAsia="zh-CN"/>
        </w:rPr>
        <w:t>0.00004g/s</w:t>
      </w:r>
      <w:r>
        <w:rPr>
          <w:color w:val="000000"/>
          <w:sz w:val="24"/>
          <w:szCs w:val="24"/>
        </w:rPr>
        <w:t>，排放源长</w:t>
      </w:r>
      <w:r>
        <w:rPr>
          <w:rFonts w:hint="eastAsia"/>
          <w:color w:val="000000"/>
          <w:sz w:val="24"/>
          <w:szCs w:val="24"/>
          <w:lang w:val="en-US" w:eastAsia="zh-CN"/>
        </w:rPr>
        <w:t>260</w:t>
      </w:r>
      <w:r>
        <w:rPr>
          <w:color w:val="000000"/>
          <w:sz w:val="24"/>
          <w:szCs w:val="24"/>
        </w:rPr>
        <w:t>m，宽</w:t>
      </w:r>
      <w:r>
        <w:rPr>
          <w:rFonts w:hint="eastAsia"/>
          <w:color w:val="000000"/>
          <w:sz w:val="24"/>
          <w:szCs w:val="24"/>
          <w:lang w:val="en-US" w:eastAsia="zh-CN"/>
        </w:rPr>
        <w:t>95</w:t>
      </w:r>
      <w:r>
        <w:rPr>
          <w:color w:val="000000"/>
          <w:sz w:val="24"/>
          <w:szCs w:val="24"/>
        </w:rPr>
        <w:t>m。</w:t>
      </w:r>
    </w:p>
    <w:p w14:paraId="04F9524B">
      <w:pPr>
        <w:keepNext w:val="0"/>
        <w:keepLines w:val="0"/>
        <w:widowControl/>
        <w:numPr>
          <w:ilvl w:val="0"/>
          <w:numId w:val="0"/>
        </w:numPr>
        <w:suppressLineNumbers w:val="0"/>
        <w:ind w:firstLine="2409"/>
        <w:jc w:val="left"/>
        <w:rPr>
          <w:b/>
          <w:bCs/>
          <w:color w:val="000000"/>
          <w:sz w:val="24"/>
        </w:rPr>
      </w:pPr>
      <w:r>
        <w:rPr>
          <w:b/>
          <w:bCs/>
          <w:color w:val="000000"/>
          <w:sz w:val="24"/>
        </w:rPr>
        <w:t>表</w:t>
      </w:r>
      <w:r>
        <w:rPr>
          <w:rFonts w:hint="eastAsia"/>
          <w:b/>
          <w:bCs/>
          <w:color w:val="000000"/>
          <w:sz w:val="24"/>
          <w:lang w:val="en-US" w:eastAsia="zh-CN"/>
        </w:rPr>
        <w:t>6.2</w:t>
      </w:r>
      <w:r>
        <w:rPr>
          <w:rFonts w:hint="eastAsia"/>
          <w:b/>
          <w:bCs/>
          <w:color w:val="000000"/>
          <w:sz w:val="24"/>
        </w:rPr>
        <w:t>-</w:t>
      </w:r>
      <w:r>
        <w:rPr>
          <w:rFonts w:hint="eastAsia"/>
          <w:b/>
          <w:bCs/>
          <w:color w:val="000000"/>
          <w:sz w:val="24"/>
          <w:lang w:val="en-US" w:eastAsia="zh-CN"/>
        </w:rPr>
        <w:t>21</w:t>
      </w:r>
      <w:r>
        <w:rPr>
          <w:rFonts w:hint="eastAsia"/>
          <w:b/>
          <w:bCs/>
          <w:color w:val="000000"/>
          <w:sz w:val="24"/>
        </w:rPr>
        <w:t>大气环境</w:t>
      </w:r>
      <w:r>
        <w:rPr>
          <w:b/>
          <w:bCs/>
          <w:color w:val="000000"/>
          <w:sz w:val="24"/>
        </w:rPr>
        <w:t>防护距离计算表</w:t>
      </w:r>
    </w:p>
    <w:tbl>
      <w:tblPr>
        <w:tblStyle w:val="32"/>
        <w:tblpPr w:leftFromText="180" w:rightFromText="180" w:vertAnchor="text" w:tblpXSpec="center" w:tblpY="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9"/>
        <w:gridCol w:w="1410"/>
        <w:gridCol w:w="1484"/>
        <w:gridCol w:w="1480"/>
        <w:gridCol w:w="3228"/>
      </w:tblGrid>
      <w:tr w14:paraId="42426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69" w:type="dxa"/>
            <w:noWrap w:val="0"/>
            <w:vAlign w:val="center"/>
          </w:tcPr>
          <w:p w14:paraId="3CE0883C">
            <w:pPr>
              <w:pStyle w:val="379"/>
              <w:keepNext/>
              <w:keepLines w:val="0"/>
              <w:pageBreakBefore w:val="0"/>
              <w:spacing w:before="0" w:line="360" w:lineRule="auto"/>
              <w:rPr>
                <w:rFonts w:hint="eastAsia"/>
                <w:b/>
                <w:bCs/>
                <w:color w:val="000000"/>
                <w:sz w:val="21"/>
                <w:szCs w:val="21"/>
              </w:rPr>
            </w:pPr>
            <w:r>
              <w:rPr>
                <w:rFonts w:hint="eastAsia"/>
                <w:b/>
                <w:bCs/>
                <w:color w:val="000000"/>
                <w:sz w:val="21"/>
                <w:szCs w:val="21"/>
              </w:rPr>
              <w:t>污染物</w:t>
            </w:r>
          </w:p>
        </w:tc>
        <w:tc>
          <w:tcPr>
            <w:tcW w:w="1410" w:type="dxa"/>
            <w:noWrap w:val="0"/>
            <w:vAlign w:val="center"/>
          </w:tcPr>
          <w:p w14:paraId="5FF84E75">
            <w:pPr>
              <w:pStyle w:val="379"/>
              <w:keepNext/>
              <w:keepLines w:val="0"/>
              <w:pageBreakBefore w:val="0"/>
              <w:spacing w:before="0" w:line="360" w:lineRule="auto"/>
              <w:rPr>
                <w:rFonts w:hint="eastAsia"/>
                <w:b/>
                <w:bCs/>
                <w:color w:val="000000"/>
                <w:sz w:val="21"/>
                <w:szCs w:val="21"/>
              </w:rPr>
            </w:pPr>
            <w:r>
              <w:rPr>
                <w:rFonts w:hint="eastAsia"/>
                <w:b/>
                <w:bCs/>
                <w:color w:val="000000"/>
                <w:sz w:val="21"/>
                <w:szCs w:val="21"/>
              </w:rPr>
              <w:t>排放源强</w:t>
            </w:r>
          </w:p>
        </w:tc>
        <w:tc>
          <w:tcPr>
            <w:tcW w:w="1484" w:type="dxa"/>
            <w:noWrap w:val="0"/>
            <w:vAlign w:val="center"/>
          </w:tcPr>
          <w:p w14:paraId="02FA8D56">
            <w:pPr>
              <w:pStyle w:val="379"/>
              <w:keepNext/>
              <w:keepLines w:val="0"/>
              <w:pageBreakBefore w:val="0"/>
              <w:spacing w:before="0" w:line="360" w:lineRule="auto"/>
              <w:rPr>
                <w:rFonts w:hint="eastAsia"/>
                <w:b/>
                <w:bCs/>
                <w:color w:val="000000"/>
                <w:sz w:val="21"/>
                <w:szCs w:val="21"/>
              </w:rPr>
            </w:pPr>
            <w:r>
              <w:rPr>
                <w:rFonts w:hint="eastAsia"/>
                <w:b/>
                <w:bCs/>
                <w:color w:val="000000"/>
                <w:sz w:val="21"/>
                <w:szCs w:val="21"/>
              </w:rPr>
              <w:t>面积</w:t>
            </w:r>
          </w:p>
        </w:tc>
        <w:tc>
          <w:tcPr>
            <w:tcW w:w="1480" w:type="dxa"/>
            <w:noWrap w:val="0"/>
            <w:vAlign w:val="center"/>
          </w:tcPr>
          <w:p w14:paraId="51362C8A">
            <w:pPr>
              <w:pStyle w:val="379"/>
              <w:keepNext/>
              <w:keepLines w:val="0"/>
              <w:pageBreakBefore w:val="0"/>
              <w:spacing w:before="0" w:line="360" w:lineRule="auto"/>
              <w:rPr>
                <w:rFonts w:hint="eastAsia"/>
                <w:b/>
                <w:bCs/>
                <w:color w:val="000000"/>
                <w:sz w:val="21"/>
                <w:szCs w:val="21"/>
              </w:rPr>
            </w:pPr>
            <w:r>
              <w:rPr>
                <w:rFonts w:hint="eastAsia"/>
                <w:b/>
                <w:bCs/>
                <w:color w:val="000000"/>
                <w:sz w:val="21"/>
                <w:szCs w:val="21"/>
              </w:rPr>
              <w:t>有效高度</w:t>
            </w:r>
          </w:p>
        </w:tc>
        <w:tc>
          <w:tcPr>
            <w:tcW w:w="3228" w:type="dxa"/>
            <w:noWrap w:val="0"/>
            <w:vAlign w:val="center"/>
          </w:tcPr>
          <w:p w14:paraId="2E5A8DB2">
            <w:pPr>
              <w:pStyle w:val="379"/>
              <w:keepNext/>
              <w:keepLines w:val="0"/>
              <w:pageBreakBefore w:val="0"/>
              <w:spacing w:before="0" w:line="360" w:lineRule="auto"/>
              <w:rPr>
                <w:rFonts w:hint="eastAsia"/>
                <w:b/>
                <w:bCs/>
                <w:color w:val="000000"/>
                <w:sz w:val="21"/>
                <w:szCs w:val="21"/>
              </w:rPr>
            </w:pPr>
            <w:r>
              <w:rPr>
                <w:rFonts w:hint="eastAsia"/>
                <w:b/>
                <w:bCs/>
                <w:color w:val="000000"/>
                <w:sz w:val="21"/>
                <w:szCs w:val="21"/>
              </w:rPr>
              <w:t>计算大气环境防护距离，m</w:t>
            </w:r>
          </w:p>
        </w:tc>
      </w:tr>
      <w:tr w14:paraId="7C20A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969" w:type="dxa"/>
            <w:noWrap w:val="0"/>
            <w:vAlign w:val="center"/>
          </w:tcPr>
          <w:p w14:paraId="01BC3BCA">
            <w:pPr>
              <w:pStyle w:val="379"/>
              <w:keepNext/>
              <w:keepLines w:val="0"/>
              <w:pageBreakBefore w:val="0"/>
              <w:spacing w:before="0" w:line="360" w:lineRule="auto"/>
              <w:rPr>
                <w:rFonts w:hint="eastAsia"/>
                <w:color w:val="000000"/>
                <w:sz w:val="21"/>
                <w:szCs w:val="21"/>
              </w:rPr>
            </w:pPr>
            <w:r>
              <w:rPr>
                <w:rFonts w:hint="eastAsia"/>
                <w:color w:val="000000"/>
                <w:sz w:val="21"/>
                <w:szCs w:val="21"/>
              </w:rPr>
              <w:t>粉尘</w:t>
            </w:r>
          </w:p>
        </w:tc>
        <w:tc>
          <w:tcPr>
            <w:tcW w:w="1410" w:type="dxa"/>
            <w:noWrap w:val="0"/>
            <w:vAlign w:val="center"/>
          </w:tcPr>
          <w:p w14:paraId="2B29BADB">
            <w:pPr>
              <w:pStyle w:val="379"/>
              <w:keepNext/>
              <w:keepLines w:val="0"/>
              <w:pageBreakBefore w:val="0"/>
              <w:spacing w:before="0" w:line="360" w:lineRule="auto"/>
              <w:rPr>
                <w:rFonts w:hint="eastAsia"/>
                <w:color w:val="000000"/>
                <w:sz w:val="21"/>
                <w:szCs w:val="21"/>
              </w:rPr>
            </w:pPr>
            <w:r>
              <w:rPr>
                <w:rFonts w:hint="eastAsia"/>
                <w:color w:val="000000"/>
                <w:sz w:val="21"/>
                <w:szCs w:val="21"/>
              </w:rPr>
              <w:t xml:space="preserve">  0.</w:t>
            </w:r>
            <w:r>
              <w:rPr>
                <w:rFonts w:hint="eastAsia"/>
                <w:color w:val="000000"/>
                <w:sz w:val="21"/>
                <w:szCs w:val="21"/>
                <w:lang w:val="en-US" w:eastAsia="zh-CN"/>
              </w:rPr>
              <w:t>03</w:t>
            </w:r>
            <w:r>
              <w:rPr>
                <w:rFonts w:hint="eastAsia"/>
                <w:color w:val="000000"/>
                <w:sz w:val="21"/>
                <w:szCs w:val="21"/>
              </w:rPr>
              <w:t>g/s</w:t>
            </w:r>
          </w:p>
        </w:tc>
        <w:tc>
          <w:tcPr>
            <w:tcW w:w="1484" w:type="dxa"/>
            <w:vMerge w:val="restart"/>
            <w:noWrap w:val="0"/>
            <w:vAlign w:val="center"/>
          </w:tcPr>
          <w:p w14:paraId="627AD79A">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260</w:t>
            </w:r>
            <w:r>
              <w:rPr>
                <w:rFonts w:hint="eastAsia"/>
                <w:color w:val="000000"/>
                <w:sz w:val="21"/>
                <w:szCs w:val="21"/>
              </w:rPr>
              <w:t>m×</w:t>
            </w:r>
            <w:r>
              <w:rPr>
                <w:rFonts w:hint="eastAsia"/>
                <w:color w:val="000000"/>
                <w:sz w:val="21"/>
                <w:szCs w:val="21"/>
                <w:lang w:val="en-US" w:eastAsia="zh-CN"/>
              </w:rPr>
              <w:t>95</w:t>
            </w:r>
            <w:r>
              <w:rPr>
                <w:rFonts w:hint="eastAsia"/>
                <w:color w:val="000000"/>
                <w:sz w:val="21"/>
                <w:szCs w:val="21"/>
              </w:rPr>
              <w:t>m</w:t>
            </w:r>
          </w:p>
        </w:tc>
        <w:tc>
          <w:tcPr>
            <w:tcW w:w="1480" w:type="dxa"/>
            <w:vMerge w:val="restart"/>
            <w:noWrap w:val="0"/>
            <w:vAlign w:val="center"/>
          </w:tcPr>
          <w:p w14:paraId="0D968C72">
            <w:pPr>
              <w:pStyle w:val="379"/>
              <w:keepNext/>
              <w:keepLines w:val="0"/>
              <w:pageBreakBefore w:val="0"/>
              <w:spacing w:before="0" w:line="360" w:lineRule="auto"/>
              <w:rPr>
                <w:rFonts w:hint="eastAsia"/>
                <w:color w:val="000000"/>
                <w:sz w:val="21"/>
                <w:szCs w:val="21"/>
              </w:rPr>
            </w:pPr>
            <w:r>
              <w:rPr>
                <w:rFonts w:hint="eastAsia"/>
                <w:color w:val="000000"/>
                <w:sz w:val="21"/>
                <w:szCs w:val="21"/>
                <w:lang w:val="en-US" w:eastAsia="zh-CN"/>
              </w:rPr>
              <w:t>6</w:t>
            </w:r>
            <w:r>
              <w:rPr>
                <w:rFonts w:hint="eastAsia"/>
                <w:color w:val="000000"/>
                <w:sz w:val="21"/>
                <w:szCs w:val="21"/>
              </w:rPr>
              <w:t>m</w:t>
            </w:r>
          </w:p>
        </w:tc>
        <w:tc>
          <w:tcPr>
            <w:tcW w:w="3228" w:type="dxa"/>
            <w:noWrap w:val="0"/>
            <w:vAlign w:val="center"/>
          </w:tcPr>
          <w:p w14:paraId="712FD78C">
            <w:pPr>
              <w:pStyle w:val="379"/>
              <w:keepNext/>
              <w:keepLines w:val="0"/>
              <w:pageBreakBefore w:val="0"/>
              <w:spacing w:before="0" w:line="360" w:lineRule="auto"/>
              <w:rPr>
                <w:rFonts w:hint="eastAsia"/>
                <w:color w:val="000000"/>
                <w:sz w:val="21"/>
                <w:szCs w:val="21"/>
              </w:rPr>
            </w:pPr>
            <w:r>
              <w:rPr>
                <w:rFonts w:hint="eastAsia"/>
                <w:color w:val="000000"/>
                <w:sz w:val="21"/>
                <w:szCs w:val="21"/>
              </w:rPr>
              <w:t>无超标点</w:t>
            </w:r>
          </w:p>
        </w:tc>
      </w:tr>
      <w:tr w14:paraId="74F7A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969" w:type="dxa"/>
            <w:noWrap w:val="0"/>
            <w:vAlign w:val="center"/>
          </w:tcPr>
          <w:p w14:paraId="04B0B5AC">
            <w:pPr>
              <w:pStyle w:val="379"/>
              <w:keepNext/>
              <w:keepLines w:val="0"/>
              <w:pageBreakBefore w:val="0"/>
              <w:spacing w:before="0" w:line="360" w:lineRule="auto"/>
              <w:rPr>
                <w:rFonts w:hint="eastAsia" w:eastAsia="宋体"/>
                <w:color w:val="000000"/>
                <w:sz w:val="21"/>
                <w:szCs w:val="21"/>
                <w:lang w:val="en-US" w:eastAsia="zh-CN"/>
              </w:rPr>
            </w:pPr>
            <w:r>
              <w:rPr>
                <w:rFonts w:hint="eastAsia"/>
                <w:color w:val="000000"/>
                <w:sz w:val="21"/>
                <w:szCs w:val="21"/>
                <w:lang w:val="en-US" w:eastAsia="zh-CN"/>
              </w:rPr>
              <w:t>甲醛</w:t>
            </w:r>
          </w:p>
        </w:tc>
        <w:tc>
          <w:tcPr>
            <w:tcW w:w="1410" w:type="dxa"/>
            <w:noWrap w:val="0"/>
            <w:vAlign w:val="center"/>
          </w:tcPr>
          <w:p w14:paraId="35B34F88">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0.00004g/s</w:t>
            </w:r>
          </w:p>
        </w:tc>
        <w:tc>
          <w:tcPr>
            <w:tcW w:w="1484" w:type="dxa"/>
            <w:vMerge w:val="continue"/>
            <w:noWrap w:val="0"/>
            <w:vAlign w:val="center"/>
          </w:tcPr>
          <w:p w14:paraId="0FF7154C">
            <w:pPr>
              <w:pStyle w:val="379"/>
              <w:keepNext/>
              <w:keepLines w:val="0"/>
              <w:pageBreakBefore w:val="0"/>
              <w:spacing w:before="0" w:line="360" w:lineRule="auto"/>
              <w:rPr>
                <w:rFonts w:hint="eastAsia"/>
                <w:color w:val="000000"/>
                <w:sz w:val="21"/>
                <w:szCs w:val="21"/>
              </w:rPr>
            </w:pPr>
          </w:p>
        </w:tc>
        <w:tc>
          <w:tcPr>
            <w:tcW w:w="1480" w:type="dxa"/>
            <w:vMerge w:val="continue"/>
            <w:noWrap w:val="0"/>
            <w:vAlign w:val="center"/>
          </w:tcPr>
          <w:p w14:paraId="1255B517">
            <w:pPr>
              <w:pStyle w:val="379"/>
              <w:keepNext/>
              <w:keepLines w:val="0"/>
              <w:pageBreakBefore w:val="0"/>
              <w:spacing w:before="0" w:line="360" w:lineRule="auto"/>
              <w:rPr>
                <w:rFonts w:hint="eastAsia"/>
                <w:color w:val="000000"/>
                <w:sz w:val="21"/>
                <w:szCs w:val="21"/>
                <w:lang w:val="en-US" w:eastAsia="zh-CN"/>
              </w:rPr>
            </w:pPr>
          </w:p>
        </w:tc>
        <w:tc>
          <w:tcPr>
            <w:tcW w:w="3228" w:type="dxa"/>
            <w:noWrap w:val="0"/>
            <w:vAlign w:val="center"/>
          </w:tcPr>
          <w:p w14:paraId="513E581F">
            <w:pPr>
              <w:pStyle w:val="379"/>
              <w:keepNext/>
              <w:keepLines w:val="0"/>
              <w:pageBreakBefore w:val="0"/>
              <w:spacing w:before="0" w:line="360" w:lineRule="auto"/>
              <w:rPr>
                <w:rFonts w:eastAsia="宋体"/>
                <w:color w:val="000000"/>
                <w:sz w:val="21"/>
                <w:szCs w:val="21"/>
                <w:lang w:val="en-US" w:eastAsia="zh-CN"/>
              </w:rPr>
            </w:pPr>
            <w:r>
              <w:rPr>
                <w:rFonts w:hint="eastAsia"/>
                <w:color w:val="000000"/>
                <w:sz w:val="21"/>
                <w:szCs w:val="21"/>
                <w:lang w:val="en-US" w:eastAsia="zh-CN"/>
              </w:rPr>
              <w:t>无超标点</w:t>
            </w:r>
          </w:p>
        </w:tc>
      </w:tr>
    </w:tbl>
    <w:p w14:paraId="01279C75">
      <w:pPr>
        <w:keepNext/>
        <w:keepLines w:val="0"/>
        <w:pageBreakBefore w:val="0"/>
        <w:spacing w:line="360" w:lineRule="auto"/>
        <w:ind w:firstLine="480"/>
        <w:rPr>
          <w:rFonts w:hint="eastAsia"/>
          <w:color w:val="000000"/>
          <w:sz w:val="24"/>
        </w:rPr>
      </w:pPr>
      <w:r>
        <w:rPr>
          <w:color w:val="000000"/>
          <w:sz w:val="24"/>
        </w:rPr>
        <w:t>根据《环境影响评价技术导则——大气环境》（HJ2.2-20</w:t>
      </w:r>
      <w:r>
        <w:rPr>
          <w:rFonts w:hint="eastAsia"/>
          <w:color w:val="000000"/>
          <w:sz w:val="24"/>
        </w:rPr>
        <w:t>1</w:t>
      </w:r>
      <w:r>
        <w:rPr>
          <w:color w:val="000000"/>
          <w:sz w:val="24"/>
        </w:rPr>
        <w:t>8）上的要求，该项目计算得到的大气环境防护距离为0米</w:t>
      </w:r>
      <w:r>
        <w:rPr>
          <w:rFonts w:hint="eastAsia"/>
          <w:color w:val="000000"/>
          <w:sz w:val="24"/>
        </w:rPr>
        <w:t>，因此本项目不设大气环境防护距离。</w:t>
      </w:r>
    </w:p>
    <w:p w14:paraId="26BCCCA9">
      <w:pPr>
        <w:keepNext/>
        <w:keepLines w:val="0"/>
        <w:pageBreakBefore w:val="0"/>
        <w:spacing w:line="360" w:lineRule="auto"/>
        <w:ind w:firstLine="480"/>
        <w:rPr>
          <w:rFonts w:hint="eastAsia"/>
          <w:color w:val="000000"/>
          <w:sz w:val="24"/>
        </w:rPr>
      </w:pPr>
      <w:r>
        <w:rPr>
          <w:rFonts w:hint="eastAsia"/>
          <w:color w:val="000000"/>
          <w:sz w:val="24"/>
        </w:rPr>
        <w:t>综上所述，项目营运期的</w:t>
      </w:r>
      <w:r>
        <w:rPr>
          <w:rFonts w:hint="eastAsia"/>
          <w:color w:val="000000"/>
          <w:sz w:val="24"/>
          <w:lang w:val="en-US" w:eastAsia="zh-CN"/>
        </w:rPr>
        <w:t>各大气污染物</w:t>
      </w:r>
      <w:r>
        <w:rPr>
          <w:rFonts w:hint="eastAsia"/>
          <w:color w:val="000000"/>
          <w:sz w:val="24"/>
        </w:rPr>
        <w:t>经过本环评提出的措施后，均能做到达标排放，对周围环境影响不大。</w:t>
      </w:r>
    </w:p>
    <w:p w14:paraId="7BF1BA9F">
      <w:pPr>
        <w:pStyle w:val="282"/>
      </w:pPr>
      <w:r>
        <w:rPr>
          <w:rFonts w:hint="eastAsia"/>
          <w:lang w:val="en-US" w:eastAsia="zh-CN"/>
        </w:rPr>
        <w:t>6</w:t>
      </w:r>
      <w:r>
        <w:rPr>
          <w:rFonts w:hint="eastAsia"/>
        </w:rPr>
        <w:t>.2.1</w:t>
      </w:r>
      <w:r>
        <w:rPr>
          <w:rFonts w:hint="eastAsia"/>
          <w:lang w:val="en-US" w:eastAsia="zh-CN"/>
        </w:rPr>
        <w:t>.4</w:t>
      </w:r>
      <w:r>
        <w:rPr>
          <w:rFonts w:hint="eastAsia"/>
        </w:rPr>
        <w:t>恶臭影响分析</w:t>
      </w:r>
    </w:p>
    <w:p w14:paraId="664689F4">
      <w:pPr>
        <w:spacing w:line="360" w:lineRule="auto"/>
        <w:ind w:firstLine="480"/>
        <w:rPr>
          <w:color w:val="000000"/>
          <w:sz w:val="24"/>
          <w:szCs w:val="22"/>
          <w:lang w:val="zh-CN" w:eastAsia="zh-CN"/>
        </w:rPr>
      </w:pPr>
      <w:bookmarkStart w:id="156" w:name="_Hlk1394989"/>
      <w:r>
        <w:rPr>
          <w:color w:val="000000"/>
          <w:sz w:val="24"/>
          <w:szCs w:val="22"/>
          <w:lang w:val="zh-CN" w:eastAsia="zh-CN"/>
        </w:rPr>
        <w:t>项目生产过程中产生的异味主要来源于生产区、产品储存区内甲醛、苯酚、VOCs 等物质挥发产生。项目</w:t>
      </w:r>
      <w:r>
        <w:rPr>
          <w:rFonts w:hint="eastAsia"/>
          <w:color w:val="000000"/>
          <w:sz w:val="24"/>
          <w:szCs w:val="22"/>
          <w:lang w:val="en-US" w:eastAsia="zh-CN"/>
        </w:rPr>
        <w:t>甲醛</w:t>
      </w:r>
      <w:r>
        <w:rPr>
          <w:color w:val="000000"/>
          <w:sz w:val="24"/>
          <w:szCs w:val="22"/>
          <w:lang w:val="zh-CN" w:eastAsia="zh-CN"/>
        </w:rPr>
        <w:t>采用</w:t>
      </w:r>
      <w:r>
        <w:rPr>
          <w:rFonts w:hint="eastAsia"/>
          <w:color w:val="000000"/>
          <w:sz w:val="24"/>
          <w:szCs w:val="22"/>
          <w:lang w:val="en-US" w:eastAsia="zh-CN"/>
        </w:rPr>
        <w:t>拱顶</w:t>
      </w:r>
      <w:r>
        <w:rPr>
          <w:color w:val="000000"/>
          <w:sz w:val="24"/>
          <w:szCs w:val="22"/>
          <w:lang w:val="zh-CN" w:eastAsia="zh-CN"/>
        </w:rPr>
        <w:t>罐，减少储罐区大小呼吸废气排放， 同时项目甲醛采用无泄漏泵输送，装卸采用专用卸货泵，符合《挥发性有机物无组织排放控制标准》（GB37822-2019）中 VOCs 物料转移和输送无组织排放控制要求；项目其他原料储罐、反应釜均为密封结构，生产过程（物料运输、反应等）为密闭过程，产生的废气经冷凝器收集</w:t>
      </w:r>
      <w:r>
        <w:rPr>
          <w:rFonts w:hint="eastAsia"/>
          <w:color w:val="000000"/>
          <w:sz w:val="24"/>
          <w:szCs w:val="22"/>
          <w:lang w:val="en-US" w:eastAsia="zh-CN"/>
        </w:rPr>
        <w:t>后，通过UV光催化活性炭吸附装置</w:t>
      </w:r>
      <w:r>
        <w:rPr>
          <w:color w:val="000000"/>
          <w:sz w:val="24"/>
          <w:szCs w:val="22"/>
          <w:lang w:val="zh-CN" w:eastAsia="zh-CN"/>
        </w:rPr>
        <w:t>吸收后有组织排放，无组织排放量较少；同时项目方经常检查设备腐蚀情况，对腐蚀严重设备及时进行更换</w:t>
      </w:r>
      <w:r>
        <w:rPr>
          <w:rFonts w:hint="eastAsia"/>
          <w:color w:val="000000"/>
          <w:sz w:val="24"/>
          <w:szCs w:val="22"/>
          <w:lang w:val="zh-CN" w:eastAsia="zh-CN"/>
        </w:rPr>
        <w:t>，</w:t>
      </w:r>
      <w:r>
        <w:rPr>
          <w:color w:val="000000"/>
          <w:sz w:val="24"/>
          <w:szCs w:val="22"/>
          <w:lang w:val="zh-CN" w:eastAsia="zh-CN"/>
        </w:rPr>
        <w:t>可减少原料的蒸发损耗</w:t>
      </w:r>
      <w:r>
        <w:rPr>
          <w:rFonts w:hint="eastAsia"/>
          <w:color w:val="FF0000"/>
          <w:sz w:val="24"/>
          <w:szCs w:val="22"/>
          <w:lang w:val="zh-CN" w:eastAsia="zh-CN"/>
        </w:rPr>
        <w:t>；</w:t>
      </w:r>
      <w:r>
        <w:rPr>
          <w:rFonts w:hint="eastAsia" w:ascii="宋体" w:hAnsi="宋体"/>
          <w:color w:val="FF0000"/>
          <w:sz w:val="24"/>
          <w:lang w:val="en-US" w:eastAsia="zh-CN"/>
        </w:rPr>
        <w:t>加强对</w:t>
      </w:r>
      <w:r>
        <w:rPr>
          <w:rFonts w:ascii="宋体" w:hAnsi="宋体"/>
          <w:color w:val="FF0000"/>
          <w:sz w:val="24"/>
        </w:rPr>
        <w:t>车间进行通风换气，建设单位加强员工个人防护措施，如佩戴防毒口罩或其他等效防护措施，</w:t>
      </w:r>
      <w:r>
        <w:rPr>
          <w:rFonts w:ascii="Times New Roman" w:hAnsi="Times New Roman" w:cs="Times New Roman"/>
          <w:color w:val="FF0000"/>
          <w:sz w:val="24"/>
          <w:lang w:val="en-US" w:eastAsia="zh-CN"/>
        </w:rPr>
        <w:t>根据建设单位委托云南天朗职业卫生技术服务有限公司出具的检测报告（TLZW/JCBG-051-2019）</w:t>
      </w:r>
      <w:r>
        <w:rPr>
          <w:rFonts w:hint="eastAsia" w:ascii="Times New Roman" w:hAnsi="Times New Roman" w:cs="Times New Roman"/>
          <w:color w:val="FF0000"/>
          <w:sz w:val="24"/>
          <w:lang w:val="en-US" w:eastAsia="zh-CN"/>
        </w:rPr>
        <w:t>，</w:t>
      </w:r>
      <w:r>
        <w:rPr>
          <w:rFonts w:ascii="Times New Roman" w:hAnsi="Times New Roman" w:cs="Times New Roman"/>
          <w:color w:val="FF0000"/>
          <w:sz w:val="24"/>
          <w:lang w:val="en-US" w:eastAsia="zh-CN"/>
        </w:rPr>
        <w:t>对</w:t>
      </w:r>
      <w:r>
        <w:rPr>
          <w:rFonts w:hint="eastAsia" w:ascii="宋体" w:hAnsi="宋体"/>
          <w:color w:val="FF0000"/>
          <w:sz w:val="24"/>
          <w:lang w:val="en-US" w:eastAsia="zh-CN"/>
        </w:rPr>
        <w:t>项</w:t>
      </w:r>
      <w:r>
        <w:rPr>
          <w:rFonts w:ascii="Times New Roman" w:hAnsi="Times New Roman" w:eastAsia="宋体" w:cs="Times New Roman"/>
          <w:color w:val="FF0000"/>
          <w:sz w:val="24"/>
          <w:szCs w:val="24"/>
          <w:lang w:val="en-US" w:eastAsia="zh-CN"/>
        </w:rPr>
        <w:t>目工</w:t>
      </w:r>
      <w:r>
        <w:rPr>
          <w:rFonts w:hint="eastAsia" w:ascii="宋体" w:hAnsi="宋体"/>
          <w:color w:val="FF0000"/>
          <w:sz w:val="24"/>
          <w:lang w:val="en-US" w:eastAsia="zh-CN"/>
        </w:rPr>
        <w:t>作场所中的有毒有害物质进行监测，其甲醛、苯酚在生产车间内最大浓度分别为</w:t>
      </w:r>
      <w:r>
        <w:rPr>
          <w:rFonts w:ascii="Times New Roman" w:hAnsi="Times New Roman" w:eastAsia="宋体" w:cs="Times New Roman"/>
          <w:color w:val="FF0000"/>
          <w:sz w:val="24"/>
          <w:szCs w:val="24"/>
          <w:lang w:val="en-US" w:eastAsia="zh-CN"/>
        </w:rPr>
        <w:t>0.968</w:t>
      </w:r>
      <w:r>
        <w:rPr>
          <w:rFonts w:ascii="Times New Roman" w:hAnsi="Times New Roman" w:eastAsia="宋体" w:cs="Times New Roman"/>
          <w:i w:val="0"/>
          <w:caps w:val="0"/>
          <w:color w:val="FF0000"/>
          <w:spacing w:val="0"/>
          <w:sz w:val="24"/>
          <w:szCs w:val="24"/>
          <w:shd w:val="clear" w:color="auto" w:fill="FFFFFF"/>
        </w:rPr>
        <w:t>μg</w:t>
      </w:r>
      <w:r>
        <w:rPr>
          <w:rFonts w:ascii="Times New Roman" w:hAnsi="Times New Roman" w:eastAsia="宋体" w:cs="Times New Roman"/>
          <w:i w:val="0"/>
          <w:caps w:val="0"/>
          <w:color w:val="FF0000"/>
          <w:spacing w:val="0"/>
          <w:sz w:val="24"/>
          <w:szCs w:val="24"/>
          <w:shd w:val="clear" w:color="auto" w:fill="FFFFFF"/>
          <w:lang w:val="en-US" w:eastAsia="zh-CN"/>
        </w:rPr>
        <w:t>/m</w:t>
      </w:r>
      <w:r>
        <w:rPr>
          <w:rFonts w:ascii="Times New Roman" w:hAnsi="Times New Roman" w:eastAsia="宋体" w:cs="Times New Roman"/>
          <w:i w:val="0"/>
          <w:caps w:val="0"/>
          <w:color w:val="FF0000"/>
          <w:spacing w:val="0"/>
          <w:sz w:val="24"/>
          <w:szCs w:val="24"/>
          <w:shd w:val="clear" w:color="auto" w:fill="FFFFFF"/>
          <w:vertAlign w:val="superscript"/>
          <w:lang w:val="en-US" w:eastAsia="zh-CN"/>
        </w:rPr>
        <w:t>3</w:t>
      </w:r>
      <w:r>
        <w:rPr>
          <w:rFonts w:ascii="Times New Roman" w:hAnsi="Times New Roman" w:eastAsia="宋体" w:cs="Times New Roman"/>
          <w:i w:val="0"/>
          <w:caps w:val="0"/>
          <w:color w:val="FF0000"/>
          <w:spacing w:val="0"/>
          <w:sz w:val="24"/>
          <w:szCs w:val="24"/>
          <w:shd w:val="clear" w:color="auto" w:fill="FFFFFF"/>
          <w:lang w:val="en-US" w:eastAsia="zh-CN"/>
        </w:rPr>
        <w:t>、1.0</w:t>
      </w:r>
      <w:r>
        <w:rPr>
          <w:rFonts w:hint="eastAsia" w:ascii="Times New Roman" w:hAnsi="Times New Roman" w:eastAsia="宋体" w:cs="Times New Roman"/>
          <w:color w:val="FF0000"/>
          <w:sz w:val="24"/>
          <w:szCs w:val="24"/>
          <w:lang w:val="en-US" w:eastAsia="zh-CN"/>
        </w:rPr>
        <w:t>0</w:t>
      </w:r>
      <w:r>
        <w:rPr>
          <w:rFonts w:ascii="Times New Roman" w:hAnsi="Times New Roman" w:eastAsia="宋体" w:cs="Times New Roman"/>
          <w:i w:val="0"/>
          <w:caps w:val="0"/>
          <w:color w:val="FF0000"/>
          <w:spacing w:val="0"/>
          <w:sz w:val="24"/>
          <w:szCs w:val="24"/>
          <w:shd w:val="clear" w:color="auto" w:fill="FFFFFF"/>
        </w:rPr>
        <w:t>μg</w:t>
      </w:r>
      <w:r>
        <w:rPr>
          <w:rFonts w:ascii="Times New Roman" w:hAnsi="Times New Roman" w:eastAsia="宋体" w:cs="Times New Roman"/>
          <w:i w:val="0"/>
          <w:caps w:val="0"/>
          <w:color w:val="FF0000"/>
          <w:spacing w:val="0"/>
          <w:sz w:val="24"/>
          <w:szCs w:val="24"/>
          <w:shd w:val="clear" w:color="auto" w:fill="FFFFFF"/>
          <w:lang w:val="en-US" w:eastAsia="zh-CN"/>
        </w:rPr>
        <w:t>/m</w:t>
      </w:r>
      <w:r>
        <w:rPr>
          <w:rFonts w:ascii="Times New Roman" w:hAnsi="Times New Roman" w:eastAsia="宋体" w:cs="Times New Roman"/>
          <w:i w:val="0"/>
          <w:caps w:val="0"/>
          <w:color w:val="FF0000"/>
          <w:spacing w:val="0"/>
          <w:sz w:val="24"/>
          <w:szCs w:val="24"/>
          <w:shd w:val="clear" w:color="auto" w:fill="FFFFFF"/>
          <w:vertAlign w:val="superscript"/>
          <w:lang w:val="en-US" w:eastAsia="zh-CN"/>
        </w:rPr>
        <w:t>3</w:t>
      </w:r>
      <w:r>
        <w:rPr>
          <w:rFonts w:hint="eastAsia" w:ascii="Times New Roman" w:hAnsi="Times New Roman" w:eastAsia="宋体" w:cs="Times New Roman"/>
          <w:i w:val="0"/>
          <w:caps w:val="0"/>
          <w:color w:val="FF0000"/>
          <w:spacing w:val="0"/>
          <w:sz w:val="24"/>
          <w:szCs w:val="24"/>
          <w:shd w:val="clear" w:color="auto" w:fill="FFFFFF"/>
          <w:vertAlign w:val="baseline"/>
          <w:lang w:val="en-US" w:eastAsia="zh-CN"/>
        </w:rPr>
        <w:t>，可</w:t>
      </w:r>
      <w:r>
        <w:rPr>
          <w:rFonts w:hint="eastAsia" w:ascii="宋体" w:hAnsi="宋体"/>
          <w:color w:val="FF0000"/>
          <w:sz w:val="24"/>
          <w:lang w:val="en-US" w:eastAsia="zh-CN"/>
        </w:rPr>
        <w:t>满足</w:t>
      </w:r>
      <w:r>
        <w:rPr>
          <w:rFonts w:ascii="宋体" w:hAnsi="宋体"/>
          <w:color w:val="FF0000"/>
          <w:sz w:val="24"/>
        </w:rPr>
        <w:t>《工作场所有害因素职业接触限值</w:t>
      </w:r>
      <w:r>
        <w:rPr>
          <w:color w:val="FF0000"/>
          <w:sz w:val="24"/>
        </w:rPr>
        <w:t xml:space="preserve"> </w:t>
      </w:r>
      <w:r>
        <w:rPr>
          <w:rFonts w:ascii="宋体" w:hAnsi="宋体"/>
          <w:color w:val="FF0000"/>
          <w:sz w:val="24"/>
        </w:rPr>
        <w:t>化学有害因素》（</w:t>
      </w:r>
      <w:r>
        <w:rPr>
          <w:color w:val="FF0000"/>
          <w:sz w:val="24"/>
        </w:rPr>
        <w:t>GBZ2.1-2007</w:t>
      </w:r>
      <w:r>
        <w:rPr>
          <w:rFonts w:ascii="宋体" w:hAnsi="宋体"/>
          <w:color w:val="FF0000"/>
          <w:sz w:val="24"/>
        </w:rPr>
        <w:t>）中</w:t>
      </w:r>
      <w:r>
        <w:rPr>
          <w:color w:val="FF0000"/>
          <w:sz w:val="24"/>
        </w:rPr>
        <w:t>“</w:t>
      </w:r>
      <w:r>
        <w:rPr>
          <w:rFonts w:ascii="宋体" w:hAnsi="宋体"/>
          <w:color w:val="FF0000"/>
          <w:sz w:val="24"/>
        </w:rPr>
        <w:t>工作场所空气中甲醛</w:t>
      </w:r>
      <w:r>
        <w:rPr>
          <w:rFonts w:hint="eastAsia" w:ascii="宋体" w:hAnsi="宋体"/>
          <w:color w:val="FF0000"/>
          <w:sz w:val="24"/>
          <w:lang w:eastAsia="zh-CN"/>
        </w:rPr>
        <w:t>、</w:t>
      </w:r>
      <w:r>
        <w:rPr>
          <w:rFonts w:hint="eastAsia" w:ascii="宋体" w:hAnsi="宋体"/>
          <w:color w:val="FF0000"/>
          <w:sz w:val="24"/>
          <w:lang w:val="en-US" w:eastAsia="zh-CN"/>
        </w:rPr>
        <w:t>苯酚</w:t>
      </w:r>
      <w:r>
        <w:rPr>
          <w:rFonts w:ascii="宋体" w:hAnsi="宋体"/>
          <w:color w:val="FF0000"/>
          <w:sz w:val="24"/>
        </w:rPr>
        <w:t>最高容许浓度</w:t>
      </w:r>
      <w:r>
        <w:rPr>
          <w:color w:val="FF0000"/>
          <w:sz w:val="24"/>
        </w:rPr>
        <w:t>”</w:t>
      </w:r>
      <w:r>
        <w:rPr>
          <w:rFonts w:ascii="宋体" w:hAnsi="宋体"/>
          <w:color w:val="FF0000"/>
          <w:sz w:val="24"/>
        </w:rPr>
        <w:t>的限值（甲醛最高容许浓度</w:t>
      </w:r>
      <w:r>
        <w:rPr>
          <w:color w:val="FF0000"/>
          <w:sz w:val="24"/>
        </w:rPr>
        <w:t>≤0.5mg/m³</w:t>
      </w:r>
      <w:r>
        <w:rPr>
          <w:rFonts w:hint="eastAsia"/>
          <w:color w:val="FF0000"/>
          <w:sz w:val="24"/>
          <w:lang w:eastAsia="zh-CN"/>
        </w:rPr>
        <w:t>，</w:t>
      </w:r>
      <w:r>
        <w:rPr>
          <w:rFonts w:hint="eastAsia"/>
          <w:color w:val="FF0000"/>
          <w:sz w:val="24"/>
          <w:lang w:val="en-US" w:eastAsia="zh-CN"/>
        </w:rPr>
        <w:t>酚最高容许浓度</w:t>
      </w:r>
      <w:r>
        <w:rPr>
          <w:color w:val="FF0000"/>
          <w:sz w:val="24"/>
        </w:rPr>
        <w:t>≤</w:t>
      </w:r>
      <w:r>
        <w:rPr>
          <w:rFonts w:hint="eastAsia"/>
          <w:color w:val="FF0000"/>
          <w:sz w:val="24"/>
          <w:lang w:val="en-US" w:eastAsia="zh-CN"/>
        </w:rPr>
        <w:t>10</w:t>
      </w:r>
      <w:r>
        <w:rPr>
          <w:color w:val="FF0000"/>
          <w:sz w:val="24"/>
        </w:rPr>
        <w:t>mg/m³</w:t>
      </w:r>
      <w:r>
        <w:rPr>
          <w:rFonts w:ascii="宋体" w:hAnsi="宋体"/>
          <w:color w:val="FF0000"/>
          <w:sz w:val="24"/>
        </w:rPr>
        <w:t>）</w:t>
      </w:r>
      <w:r>
        <w:rPr>
          <w:rFonts w:hint="eastAsia" w:ascii="Times New Roman" w:hAnsi="Times New Roman" w:cs="宋体"/>
          <w:color w:val="FF0000"/>
          <w:sz w:val="24"/>
          <w:lang w:bidi="ar"/>
        </w:rPr>
        <w:t>。</w:t>
      </w:r>
      <w:r>
        <w:rPr>
          <w:rFonts w:hint="eastAsia" w:ascii="Times New Roman" w:hAnsi="Times New Roman" w:cs="宋体"/>
          <w:color w:val="FF0000"/>
          <w:sz w:val="24"/>
          <w:lang w:val="en-US" w:eastAsia="zh-CN" w:bidi="ar"/>
        </w:rPr>
        <w:t>同时</w:t>
      </w:r>
      <w:r>
        <w:rPr>
          <w:color w:val="FF0000"/>
          <w:sz w:val="24"/>
          <w:szCs w:val="22"/>
          <w:lang w:val="zh-CN" w:eastAsia="zh-CN"/>
        </w:rPr>
        <w:t>根据前文预测结果可知，项目厂界污染物浓度满足大气污染物厂界浓度限值，因此，项目因甲醛、苯酚、VOCs 等物质少量挥发而产生的臭气浓度较低，经稀释扩散后厂界臭气浓度可达 GB14554-93《恶臭污染物排放标准》二级标准。</w:t>
      </w:r>
      <w:r>
        <w:rPr>
          <w:rFonts w:hint="eastAsia"/>
          <w:color w:val="FF0000"/>
          <w:sz w:val="24"/>
          <w:szCs w:val="22"/>
          <w:lang w:val="en-US" w:eastAsia="zh-CN"/>
        </w:rPr>
        <w:t>后期要求企业</w:t>
      </w:r>
      <w:r>
        <w:rPr>
          <w:color w:val="FF0000"/>
          <w:sz w:val="24"/>
          <w:szCs w:val="22"/>
          <w:lang w:val="zh-CN" w:eastAsia="zh-CN"/>
        </w:rPr>
        <w:t>加强对生产设施的管理和维护，杜绝事故排放，以避免臭气对周围环境产生影响。</w:t>
      </w:r>
      <w:r>
        <w:rPr>
          <w:rFonts w:hint="eastAsia"/>
          <w:color w:val="FF0000"/>
          <w:sz w:val="24"/>
          <w:szCs w:val="22"/>
          <w:lang w:val="zh-CN" w:eastAsia="zh-CN"/>
        </w:rPr>
        <w:t>（</w:t>
      </w:r>
      <w:r>
        <w:rPr>
          <w:rFonts w:hint="eastAsia"/>
          <w:color w:val="FF0000"/>
          <w:sz w:val="24"/>
          <w:szCs w:val="22"/>
          <w:lang w:val="en-US" w:eastAsia="zh-CN"/>
        </w:rPr>
        <w:t>见附件13</w:t>
      </w:r>
      <w:r>
        <w:rPr>
          <w:rFonts w:hint="eastAsia"/>
          <w:color w:val="FF0000"/>
          <w:sz w:val="24"/>
          <w:szCs w:val="22"/>
          <w:lang w:val="zh-CN" w:eastAsia="zh-CN"/>
        </w:rPr>
        <w:t>）</w:t>
      </w:r>
    </w:p>
    <w:p w14:paraId="6A76D2F7">
      <w:pPr>
        <w:keepNext w:val="0"/>
        <w:keepLines w:val="0"/>
        <w:pageBreakBefore w:val="0"/>
        <w:widowControl w:val="0"/>
        <w:spacing w:after="0" w:line="360" w:lineRule="auto"/>
        <w:ind w:left="0" w:right="0"/>
        <w:jc w:val="both"/>
        <w:rPr>
          <w:rFonts w:ascii="Times New Roman" w:hAnsi="宋体" w:eastAsia="Times New Roman" w:cs="宋体"/>
          <w:color w:val="FF0000"/>
          <w:sz w:val="24"/>
          <w:szCs w:val="24"/>
          <w:lang w:val="en-US" w:eastAsia="zh-CN" w:bidi="zh-CN"/>
        </w:rPr>
      </w:pPr>
      <w:r>
        <w:rPr>
          <w:rFonts w:hint="eastAsia" w:ascii="Times New Roman" w:hAnsi="宋体" w:eastAsia="Times New Roman" w:cs="宋体"/>
          <w:color w:val="FF0000"/>
          <w:sz w:val="24"/>
          <w:szCs w:val="24"/>
          <w:lang w:val="en-US" w:eastAsia="zh-CN" w:bidi="zh-CN"/>
        </w:rPr>
        <w:t>建设方不在厂区露天堆放场地大量的堆存竹子，尤其是雨季，竹子入场后将及时的进行断竹、刨片后储存在刨片仓库内，因此不会出现雨水浸泡竹子的问题，因此只要做好合理妥善堆放竹子，避免雨水浸泡，不会出现腐烂异味扰民及雨水浸泡随意乱排的问题。</w:t>
      </w:r>
    </w:p>
    <w:bookmarkEnd w:id="156"/>
    <w:p w14:paraId="545FA318">
      <w:pPr>
        <w:pStyle w:val="282"/>
        <w:rPr>
          <w:rFonts w:hint="eastAsia" w:ascii="Times New Roman" w:hAnsi="Times New Roman"/>
          <w:b w:val="0"/>
          <w:bCs/>
          <w:lang w:val="en-US" w:eastAsia="zh-CN"/>
        </w:rPr>
      </w:pPr>
      <w:r>
        <w:rPr>
          <w:rFonts w:hint="eastAsia" w:ascii="Times New Roman" w:hAnsi="Times New Roman"/>
          <w:b w:val="0"/>
          <w:bCs/>
          <w:lang w:val="en-US" w:eastAsia="zh-CN"/>
        </w:rPr>
        <w:t>6.2.1.5项目备用柴油发电机燃料燃烧废气</w:t>
      </w:r>
    </w:p>
    <w:p w14:paraId="788E439B">
      <w:pPr>
        <w:pStyle w:val="256"/>
        <w:keepNext w:val="0"/>
        <w:keepLines w:val="0"/>
        <w:pageBreakBefore w:val="0"/>
        <w:widowControl w:val="0"/>
        <w:spacing w:after="0" w:line="360" w:lineRule="auto"/>
        <w:ind w:left="0" w:firstLine="360"/>
        <w:rPr>
          <w:color w:val="000000"/>
          <w:sz w:val="24"/>
          <w:szCs w:val="24"/>
        </w:rPr>
      </w:pPr>
      <w:r>
        <w:rPr>
          <w:rFonts w:hint="eastAsia"/>
          <w:color w:val="000000"/>
          <w:sz w:val="24"/>
          <w:highlight w:val="none"/>
          <w:lang w:val="en-US" w:eastAsia="zh-CN"/>
        </w:rPr>
        <w:t>改扩建</w:t>
      </w:r>
      <w:r>
        <w:rPr>
          <w:rFonts w:hint="eastAsia"/>
          <w:color w:val="000000"/>
          <w:sz w:val="24"/>
          <w:highlight w:val="none"/>
        </w:rPr>
        <w:t>后，</w:t>
      </w:r>
      <w:r>
        <w:rPr>
          <w:rFonts w:hint="eastAsia"/>
          <w:color w:val="000000"/>
          <w:sz w:val="24"/>
          <w:szCs w:val="24"/>
        </w:rPr>
        <w:t>项目的柴油应急发电机，使用轻质柴油为燃料，发电机的使用时间较少，仅在停电时使用。一年使用2-3次，</w:t>
      </w:r>
      <w:r>
        <w:rPr>
          <w:color w:val="000000"/>
          <w:sz w:val="24"/>
          <w:szCs w:val="24"/>
        </w:rPr>
        <w:t>产生的污染物主要为总烃、CO、NO</w:t>
      </w:r>
      <w:r>
        <w:rPr>
          <w:color w:val="000000"/>
          <w:sz w:val="24"/>
          <w:szCs w:val="24"/>
          <w:vertAlign w:val="subscript"/>
        </w:rPr>
        <w:t>x</w:t>
      </w:r>
      <w:r>
        <w:rPr>
          <w:color w:val="000000"/>
          <w:sz w:val="24"/>
          <w:szCs w:val="24"/>
        </w:rPr>
        <w:t>等，</w:t>
      </w:r>
      <w:r>
        <w:rPr>
          <w:rFonts w:hint="eastAsia"/>
          <w:color w:val="000000"/>
          <w:sz w:val="24"/>
          <w:szCs w:val="24"/>
        </w:rPr>
        <w:t>发电机放置于专门的设备间内，</w:t>
      </w:r>
      <w:r>
        <w:rPr>
          <w:color w:val="000000"/>
          <w:sz w:val="24"/>
          <w:szCs w:val="24"/>
        </w:rPr>
        <w:t>发电机配有废气过滤棉，</w:t>
      </w:r>
      <w:r>
        <w:rPr>
          <w:rFonts w:hint="eastAsia"/>
          <w:color w:val="000000"/>
          <w:sz w:val="24"/>
          <w:szCs w:val="24"/>
        </w:rPr>
        <w:t>经过废气吸附过滤后，有效的降低废气的排放，并通过排烟系统排出设备间外，实现与外环境的换气，排气口</w:t>
      </w:r>
      <w:r>
        <w:rPr>
          <w:rFonts w:hint="eastAsia"/>
          <w:color w:val="000000"/>
          <w:sz w:val="24"/>
          <w:szCs w:val="24"/>
          <w:lang w:val="en-US" w:eastAsia="zh-CN"/>
        </w:rPr>
        <w:t>不得</w:t>
      </w:r>
      <w:r>
        <w:rPr>
          <w:rFonts w:hint="eastAsia"/>
          <w:color w:val="000000"/>
          <w:sz w:val="24"/>
          <w:szCs w:val="24"/>
        </w:rPr>
        <w:t>面向人口密集的方向，排气筒高度不低于2.5m，通过大气扩散、绿化吸附后对环境影响不大。</w:t>
      </w:r>
    </w:p>
    <w:p w14:paraId="617C126B">
      <w:pPr>
        <w:pStyle w:val="282"/>
        <w:rPr>
          <w:rFonts w:hint="eastAsia"/>
        </w:rPr>
      </w:pPr>
      <w:r>
        <w:rPr>
          <w:rFonts w:hint="eastAsia"/>
          <w:lang w:val="en-US" w:eastAsia="zh-CN"/>
        </w:rPr>
        <w:t>6</w:t>
      </w:r>
      <w:r>
        <w:rPr>
          <w:rFonts w:hint="eastAsia"/>
        </w:rPr>
        <w:t>.2.1.</w:t>
      </w:r>
      <w:r>
        <w:rPr>
          <w:rFonts w:hint="eastAsia"/>
          <w:lang w:val="en-US" w:eastAsia="zh-CN"/>
        </w:rPr>
        <w:t>6</w:t>
      </w:r>
      <w:r>
        <w:rPr>
          <w:rFonts w:hint="eastAsia"/>
        </w:rPr>
        <w:t>食堂油烟</w:t>
      </w:r>
    </w:p>
    <w:p w14:paraId="7F7578DF">
      <w:pPr>
        <w:pStyle w:val="2"/>
        <w:ind w:firstLine="480"/>
        <w:rPr>
          <w:sz w:val="24"/>
          <w:szCs w:val="24"/>
        </w:rPr>
      </w:pPr>
      <w:r>
        <w:rPr>
          <w:rFonts w:hint="eastAsia"/>
          <w:sz w:val="24"/>
          <w:szCs w:val="24"/>
        </w:rPr>
        <w:t>项目区设有1个工食堂，供员工就餐，经过调查，食堂采用瓶装液化气、电作为燃料，属清洁能源，使用时无大的燃烧废气污染</w:t>
      </w:r>
      <w:r>
        <w:rPr>
          <w:sz w:val="24"/>
          <w:szCs w:val="24"/>
        </w:rPr>
        <w:t>物排放。项目设基准灶头数为</w:t>
      </w:r>
      <w:r>
        <w:rPr>
          <w:rFonts w:hint="eastAsia"/>
          <w:sz w:val="24"/>
          <w:szCs w:val="24"/>
        </w:rPr>
        <w:t>2</w:t>
      </w:r>
      <w:r>
        <w:rPr>
          <w:sz w:val="24"/>
          <w:szCs w:val="24"/>
        </w:rPr>
        <w:t>个，按</w:t>
      </w:r>
      <w:r>
        <w:rPr>
          <w:rFonts w:hint="eastAsia"/>
          <w:sz w:val="24"/>
          <w:szCs w:val="24"/>
        </w:rPr>
        <w:t>人员20</w:t>
      </w:r>
      <w:r>
        <w:rPr>
          <w:rFonts w:hint="eastAsia"/>
          <w:sz w:val="24"/>
          <w:szCs w:val="24"/>
          <w:lang w:val="en-US" w:eastAsia="zh-CN"/>
        </w:rPr>
        <w:t>0</w:t>
      </w:r>
      <w:r>
        <w:rPr>
          <w:sz w:val="24"/>
          <w:szCs w:val="24"/>
        </w:rPr>
        <w:t>人计算</w:t>
      </w:r>
      <w:r>
        <w:rPr>
          <w:rFonts w:hint="eastAsia"/>
          <w:sz w:val="24"/>
          <w:szCs w:val="24"/>
        </w:rPr>
        <w:t>，</w:t>
      </w:r>
      <w:r>
        <w:rPr>
          <w:sz w:val="24"/>
          <w:szCs w:val="24"/>
        </w:rPr>
        <w:t>则</w:t>
      </w:r>
      <w:r>
        <w:rPr>
          <w:rFonts w:hAnsi="宋体"/>
          <w:color w:val="000000"/>
          <w:sz w:val="24"/>
        </w:rPr>
        <w:t>油烟产生量</w:t>
      </w:r>
      <w:r>
        <w:rPr>
          <w:rFonts w:hint="eastAsia" w:hAnsi="宋体"/>
          <w:color w:val="000000"/>
          <w:sz w:val="24"/>
        </w:rPr>
        <w:t>约</w:t>
      </w:r>
      <w:r>
        <w:rPr>
          <w:rFonts w:hAnsi="宋体"/>
          <w:color w:val="000000"/>
          <w:sz w:val="24"/>
        </w:rPr>
        <w:t>为</w:t>
      </w:r>
      <w:r>
        <w:rPr>
          <w:rFonts w:hint="eastAsia" w:hAnsi="宋体"/>
          <w:color w:val="000000"/>
          <w:sz w:val="24"/>
        </w:rPr>
        <w:t>0.</w:t>
      </w:r>
      <w:r>
        <w:rPr>
          <w:rFonts w:hint="eastAsia" w:hAnsi="宋体"/>
          <w:color w:val="000000"/>
          <w:sz w:val="24"/>
          <w:lang w:val="en-US" w:eastAsia="zh-CN"/>
        </w:rPr>
        <w:t>075</w:t>
      </w:r>
      <w:r>
        <w:rPr>
          <w:rFonts w:hAnsi="宋体"/>
          <w:color w:val="000000"/>
          <w:sz w:val="24"/>
        </w:rPr>
        <w:t>kg/d</w:t>
      </w:r>
      <w:r>
        <w:rPr>
          <w:rFonts w:hint="eastAsia"/>
          <w:sz w:val="24"/>
          <w:szCs w:val="24"/>
        </w:rPr>
        <w:t>，</w:t>
      </w:r>
      <w:r>
        <w:rPr>
          <w:rFonts w:hint="eastAsia"/>
          <w:sz w:val="24"/>
          <w:szCs w:val="24"/>
          <w:lang w:val="en-US" w:eastAsia="zh-CN"/>
        </w:rPr>
        <w:t>22.5</w:t>
      </w:r>
      <w:r>
        <w:rPr>
          <w:rFonts w:hint="eastAsia"/>
          <w:sz w:val="24"/>
          <w:szCs w:val="24"/>
        </w:rPr>
        <w:t>kg/a</w:t>
      </w:r>
      <w:r>
        <w:rPr>
          <w:sz w:val="24"/>
          <w:szCs w:val="24"/>
        </w:rPr>
        <w:t>。</w:t>
      </w:r>
      <w:r>
        <w:rPr>
          <w:rFonts w:hint="eastAsia"/>
          <w:sz w:val="24"/>
          <w:szCs w:val="24"/>
        </w:rPr>
        <w:t>只要按照环评的要求企业</w:t>
      </w:r>
      <w:r>
        <w:rPr>
          <w:sz w:val="24"/>
          <w:szCs w:val="24"/>
        </w:rPr>
        <w:t>安装</w:t>
      </w:r>
      <w:r>
        <w:rPr>
          <w:rFonts w:hint="eastAsia"/>
          <w:sz w:val="24"/>
          <w:szCs w:val="24"/>
        </w:rPr>
        <w:t>1套合格的</w:t>
      </w:r>
      <w:r>
        <w:rPr>
          <w:sz w:val="24"/>
          <w:szCs w:val="24"/>
        </w:rPr>
        <w:t>油烟净化</w:t>
      </w:r>
      <w:r>
        <w:rPr>
          <w:rFonts w:hint="eastAsia"/>
          <w:sz w:val="24"/>
          <w:szCs w:val="24"/>
        </w:rPr>
        <w:t>装置（净化率达60%以上）</w:t>
      </w:r>
      <w:r>
        <w:rPr>
          <w:sz w:val="24"/>
          <w:szCs w:val="24"/>
        </w:rPr>
        <w:t>，油烟经过净化后</w:t>
      </w:r>
      <w:r>
        <w:rPr>
          <w:rFonts w:hint="eastAsia"/>
          <w:sz w:val="24"/>
          <w:szCs w:val="24"/>
        </w:rPr>
        <w:t>引至食堂的屋顶排放</w:t>
      </w:r>
      <w:r>
        <w:rPr>
          <w:sz w:val="24"/>
          <w:szCs w:val="24"/>
        </w:rPr>
        <w:t>，</w:t>
      </w:r>
      <w:r>
        <w:rPr>
          <w:rFonts w:hint="eastAsia"/>
          <w:sz w:val="24"/>
          <w:szCs w:val="24"/>
        </w:rPr>
        <w:t>油烟排放量为</w:t>
      </w:r>
      <w:r>
        <w:rPr>
          <w:rFonts w:hint="eastAsia"/>
          <w:sz w:val="24"/>
          <w:szCs w:val="24"/>
          <w:lang w:val="en-US" w:eastAsia="zh-CN"/>
        </w:rPr>
        <w:t>9.0</w:t>
      </w:r>
      <w:r>
        <w:rPr>
          <w:rFonts w:hint="eastAsia"/>
          <w:sz w:val="24"/>
          <w:szCs w:val="24"/>
        </w:rPr>
        <w:t>kg/a，</w:t>
      </w:r>
      <w:r>
        <w:rPr>
          <w:sz w:val="24"/>
          <w:szCs w:val="24"/>
        </w:rPr>
        <w:t>排放浓度降至</w:t>
      </w:r>
      <w:r>
        <w:rPr>
          <w:rFonts w:hint="eastAsia"/>
          <w:sz w:val="24"/>
          <w:szCs w:val="24"/>
        </w:rPr>
        <w:t>1.</w:t>
      </w:r>
      <w:r>
        <w:rPr>
          <w:rFonts w:hint="eastAsia"/>
          <w:sz w:val="24"/>
          <w:szCs w:val="24"/>
          <w:lang w:val="en-US" w:eastAsia="zh-CN"/>
        </w:rPr>
        <w:t>68</w:t>
      </w:r>
      <w:r>
        <w:rPr>
          <w:sz w:val="24"/>
          <w:szCs w:val="24"/>
        </w:rPr>
        <w:t>mg/m</w:t>
      </w:r>
      <w:r>
        <w:rPr>
          <w:sz w:val="24"/>
          <w:szCs w:val="24"/>
          <w:vertAlign w:val="superscript"/>
        </w:rPr>
        <w:t>3</w:t>
      </w:r>
      <w:r>
        <w:rPr>
          <w:sz w:val="24"/>
          <w:szCs w:val="24"/>
        </w:rPr>
        <w:t>，净化后浓度低于标准2mg/m</w:t>
      </w:r>
      <w:r>
        <w:rPr>
          <w:sz w:val="24"/>
          <w:szCs w:val="24"/>
          <w:vertAlign w:val="superscript"/>
        </w:rPr>
        <w:t>3</w:t>
      </w:r>
      <w:r>
        <w:rPr>
          <w:rFonts w:hint="eastAsia"/>
          <w:sz w:val="24"/>
          <w:szCs w:val="24"/>
        </w:rPr>
        <w:t>，</w:t>
      </w:r>
      <w:r>
        <w:rPr>
          <w:sz w:val="24"/>
          <w:szCs w:val="24"/>
        </w:rPr>
        <w:t>达到《饮食业油烟排放标准</w:t>
      </w:r>
      <w:r>
        <w:rPr>
          <w:rFonts w:hint="eastAsia"/>
          <w:sz w:val="24"/>
          <w:szCs w:val="24"/>
        </w:rPr>
        <w:t>（试行）</w:t>
      </w:r>
      <w:r>
        <w:rPr>
          <w:sz w:val="24"/>
          <w:szCs w:val="24"/>
        </w:rPr>
        <w:t>》</w:t>
      </w:r>
      <w:r>
        <w:rPr>
          <w:rFonts w:hint="eastAsia"/>
          <w:sz w:val="24"/>
          <w:szCs w:val="24"/>
        </w:rPr>
        <w:t>（</w:t>
      </w:r>
      <w:r>
        <w:rPr>
          <w:sz w:val="24"/>
          <w:szCs w:val="24"/>
        </w:rPr>
        <w:t>GB18483-2001</w:t>
      </w:r>
      <w:r>
        <w:rPr>
          <w:rFonts w:hint="eastAsia"/>
          <w:sz w:val="24"/>
          <w:szCs w:val="24"/>
        </w:rPr>
        <w:t>）</w:t>
      </w:r>
      <w:r>
        <w:rPr>
          <w:sz w:val="24"/>
          <w:szCs w:val="24"/>
        </w:rPr>
        <w:t>要求</w:t>
      </w:r>
      <w:r>
        <w:rPr>
          <w:rFonts w:hint="eastAsia"/>
          <w:sz w:val="24"/>
          <w:szCs w:val="24"/>
        </w:rPr>
        <w:t>，对周围大气环境影响不大。由于食堂油烟排放时间不长，规模较小，只要采用合格的油烟净化设备，做到达标排放，且排气筒的设置符合规定要求，对食堂内部和周围环境影响不大。</w:t>
      </w:r>
    </w:p>
    <w:p w14:paraId="69814B11">
      <w:pPr>
        <w:pStyle w:val="282"/>
        <w:rPr>
          <w:rFonts w:hint="eastAsia"/>
          <w:szCs w:val="24"/>
        </w:rPr>
      </w:pPr>
      <w:r>
        <w:rPr>
          <w:rFonts w:hint="eastAsia"/>
          <w:lang w:val="en-US" w:eastAsia="zh-CN"/>
        </w:rPr>
        <w:t>6</w:t>
      </w:r>
      <w:r>
        <w:rPr>
          <w:rFonts w:hint="eastAsia"/>
        </w:rPr>
        <w:t>.2.1.</w:t>
      </w:r>
      <w:r>
        <w:rPr>
          <w:rFonts w:hint="eastAsia"/>
          <w:lang w:val="en-US" w:eastAsia="zh-CN"/>
        </w:rPr>
        <w:t>7</w:t>
      </w:r>
      <w:r>
        <w:rPr>
          <w:rFonts w:hint="eastAsia"/>
        </w:rPr>
        <w:t>汽车尾气</w:t>
      </w:r>
    </w:p>
    <w:p w14:paraId="2495BD18">
      <w:pPr>
        <w:pStyle w:val="2"/>
        <w:ind w:firstLine="480"/>
        <w:rPr>
          <w:rFonts w:hint="eastAsia"/>
          <w:sz w:val="24"/>
          <w:szCs w:val="24"/>
        </w:rPr>
      </w:pPr>
      <w:r>
        <w:rPr>
          <w:rFonts w:hint="eastAsia"/>
          <w:sz w:val="24"/>
          <w:szCs w:val="24"/>
        </w:rPr>
        <w:t xml:space="preserve"> </w:t>
      </w:r>
      <w:r>
        <w:rPr>
          <w:sz w:val="24"/>
          <w:szCs w:val="24"/>
        </w:rPr>
        <w:t>本项目</w:t>
      </w:r>
      <w:r>
        <w:rPr>
          <w:rFonts w:hint="eastAsia"/>
          <w:sz w:val="24"/>
          <w:szCs w:val="24"/>
        </w:rPr>
        <w:t>运行时原料及产品运输车辆进出入时，产生的少量尾气，其中包含CO、HC化合物、NO</w:t>
      </w:r>
      <w:r>
        <w:rPr>
          <w:rFonts w:hint="eastAsia"/>
          <w:sz w:val="24"/>
          <w:szCs w:val="24"/>
          <w:vertAlign w:val="subscript"/>
        </w:rPr>
        <w:t>X</w:t>
      </w:r>
      <w:r>
        <w:rPr>
          <w:rFonts w:hint="eastAsia"/>
          <w:sz w:val="24"/>
          <w:szCs w:val="24"/>
        </w:rPr>
        <w:t>等污染物，属为无组织排放，通过空气自然扩散及厂区绿化吸收，对周围大气环境影响不大。</w:t>
      </w:r>
    </w:p>
    <w:p w14:paraId="5FA0AB4C">
      <w:pPr>
        <w:pStyle w:val="282"/>
        <w:rPr>
          <w:rFonts w:ascii="Times New Roman" w:hAnsi="Times New Roman"/>
          <w:b w:val="0"/>
          <w:bCs/>
          <w:lang w:val="en-US" w:eastAsia="zh-CN"/>
        </w:rPr>
      </w:pPr>
      <w:r>
        <w:rPr>
          <w:rFonts w:hint="eastAsia" w:ascii="Times New Roman" w:hAnsi="Times New Roman"/>
          <w:b w:val="0"/>
          <w:bCs/>
          <w:lang w:val="en-US" w:eastAsia="zh-CN"/>
        </w:rPr>
        <w:t>6.2.1.8大气环境影响评价自查表</w:t>
      </w:r>
    </w:p>
    <w:p w14:paraId="7339737B">
      <w:pPr>
        <w:pStyle w:val="212"/>
        <w:spacing w:before="156"/>
      </w:pPr>
      <w:r>
        <w:t xml:space="preserve"> </w:t>
      </w:r>
      <w:r>
        <w:rPr>
          <w:rFonts w:ascii="Times New Roman" w:hAnsi="Times New Roman" w:eastAsia="宋体" w:cs="Times New Roman"/>
          <w:b/>
          <w:bCs/>
          <w:sz w:val="24"/>
          <w:szCs w:val="24"/>
          <w:lang w:val="en-US" w:eastAsia="zh-CN"/>
        </w:rPr>
        <w:t>表6.2-22</w:t>
      </w:r>
      <w:r>
        <w:rPr>
          <w:rFonts w:ascii="Times New Roman" w:hAnsi="Times New Roman" w:eastAsia="宋体" w:cs="Times New Roman"/>
          <w:b/>
          <w:bCs/>
          <w:color w:val="000000"/>
          <w:sz w:val="24"/>
          <w:szCs w:val="24"/>
        </w:rPr>
        <w:t>建设项目大气环境影响评价自查表</w:t>
      </w:r>
    </w:p>
    <w:tbl>
      <w:tblPr>
        <w:tblStyle w:val="489"/>
        <w:tblW w:w="9499" w:type="dxa"/>
        <w:tblInd w:w="-175" w:type="dxa"/>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Layout w:type="fixed"/>
        <w:tblCellMar>
          <w:top w:w="0" w:type="dxa"/>
          <w:left w:w="28" w:type="dxa"/>
          <w:bottom w:w="0" w:type="dxa"/>
          <w:right w:w="28" w:type="dxa"/>
        </w:tblCellMar>
      </w:tblPr>
      <w:tblGrid>
        <w:gridCol w:w="1029"/>
        <w:gridCol w:w="1772"/>
        <w:gridCol w:w="1024"/>
        <w:gridCol w:w="395"/>
        <w:gridCol w:w="120"/>
        <w:gridCol w:w="272"/>
        <w:gridCol w:w="133"/>
        <w:gridCol w:w="122"/>
        <w:gridCol w:w="590"/>
        <w:gridCol w:w="279"/>
        <w:gridCol w:w="122"/>
        <w:gridCol w:w="110"/>
        <w:gridCol w:w="541"/>
        <w:gridCol w:w="437"/>
        <w:gridCol w:w="188"/>
        <w:gridCol w:w="597"/>
        <w:gridCol w:w="72"/>
        <w:gridCol w:w="180"/>
        <w:gridCol w:w="247"/>
        <w:gridCol w:w="511"/>
        <w:gridCol w:w="758"/>
      </w:tblGrid>
      <w:tr w14:paraId="27A18E59">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2801" w:type="dxa"/>
            <w:gridSpan w:val="2"/>
            <w:noWrap w:val="0"/>
            <w:vAlign w:val="center"/>
          </w:tcPr>
          <w:p w14:paraId="00EDAFBC">
            <w:pPr>
              <w:pStyle w:val="379"/>
              <w:spacing w:before="0" w:after="0" w:line="260" w:lineRule="atLeast"/>
              <w:rPr>
                <w:rFonts w:ascii="Times New Roman" w:hAnsi="Times New Roman"/>
                <w:color w:val="000000"/>
              </w:rPr>
            </w:pPr>
            <w:r>
              <w:rPr>
                <w:rFonts w:hint="eastAsia" w:ascii="Times New Roman" w:hAnsi="Times New Roman"/>
                <w:color w:val="000000"/>
              </w:rPr>
              <w:t>工作内容</w:t>
            </w:r>
          </w:p>
        </w:tc>
        <w:tc>
          <w:tcPr>
            <w:tcW w:w="6698" w:type="dxa"/>
            <w:gridSpan w:val="19"/>
            <w:noWrap w:val="0"/>
            <w:vAlign w:val="center"/>
          </w:tcPr>
          <w:p w14:paraId="170517C3">
            <w:pPr>
              <w:pStyle w:val="379"/>
              <w:spacing w:before="0" w:after="0" w:line="260" w:lineRule="atLeast"/>
              <w:rPr>
                <w:rFonts w:ascii="Times New Roman" w:hAnsi="Times New Roman"/>
                <w:color w:val="000000"/>
              </w:rPr>
            </w:pPr>
            <w:r>
              <w:rPr>
                <w:rFonts w:hint="eastAsia" w:ascii="Times New Roman" w:hAnsi="Times New Roman"/>
                <w:color w:val="000000"/>
              </w:rPr>
              <w:t>自查项目</w:t>
            </w:r>
          </w:p>
        </w:tc>
      </w:tr>
      <w:tr w14:paraId="1DA0E105">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restart"/>
            <w:noWrap w:val="0"/>
            <w:vAlign w:val="center"/>
          </w:tcPr>
          <w:p w14:paraId="1410B3BD">
            <w:pPr>
              <w:pStyle w:val="379"/>
              <w:spacing w:before="0" w:after="0" w:line="260" w:lineRule="atLeast"/>
              <w:rPr>
                <w:rFonts w:ascii="Times New Roman" w:hAnsi="Times New Roman"/>
                <w:color w:val="000000"/>
              </w:rPr>
            </w:pPr>
            <w:r>
              <w:rPr>
                <w:rFonts w:hint="eastAsia" w:ascii="Times New Roman" w:hAnsi="Times New Roman"/>
                <w:color w:val="000000"/>
              </w:rPr>
              <w:t>评价等级与范围</w:t>
            </w:r>
          </w:p>
        </w:tc>
        <w:tc>
          <w:tcPr>
            <w:tcW w:w="1772" w:type="dxa"/>
            <w:noWrap w:val="0"/>
            <w:vAlign w:val="center"/>
          </w:tcPr>
          <w:p w14:paraId="03A34CD0">
            <w:pPr>
              <w:pStyle w:val="379"/>
              <w:spacing w:before="0" w:after="0" w:line="260" w:lineRule="atLeast"/>
              <w:rPr>
                <w:rFonts w:ascii="Times New Roman" w:hAnsi="Times New Roman"/>
                <w:color w:val="000000"/>
              </w:rPr>
            </w:pPr>
            <w:r>
              <w:rPr>
                <w:rFonts w:hint="eastAsia" w:ascii="Times New Roman" w:hAnsi="Times New Roman"/>
                <w:color w:val="000000"/>
              </w:rPr>
              <w:t>评价等级</w:t>
            </w:r>
          </w:p>
        </w:tc>
        <w:tc>
          <w:tcPr>
            <w:tcW w:w="2656" w:type="dxa"/>
            <w:gridSpan w:val="7"/>
            <w:noWrap w:val="0"/>
            <w:vAlign w:val="center"/>
          </w:tcPr>
          <w:p w14:paraId="0575AA15">
            <w:pPr>
              <w:pStyle w:val="379"/>
              <w:spacing w:before="0" w:after="0" w:line="260" w:lineRule="atLeast"/>
              <w:rPr>
                <w:rFonts w:ascii="Times New Roman" w:hAnsi="Times New Roman"/>
                <w:color w:val="000000"/>
              </w:rPr>
            </w:pPr>
            <w:r>
              <w:rPr>
                <w:rFonts w:hint="eastAsia" w:ascii="Times New Roman" w:hAnsi="Times New Roman"/>
                <w:color w:val="000000"/>
              </w:rPr>
              <w:t>一级</w:t>
            </w:r>
            <w:r>
              <w:rPr>
                <w:rFonts w:hint="eastAsia" w:ascii="仿宋" w:hAnsi="仿宋" w:eastAsia="仿宋"/>
                <w:color w:val="000000"/>
              </w:rPr>
              <w:t>□</w:t>
            </w:r>
          </w:p>
        </w:tc>
        <w:tc>
          <w:tcPr>
            <w:tcW w:w="2346" w:type="dxa"/>
            <w:gridSpan w:val="8"/>
            <w:noWrap w:val="0"/>
            <w:vAlign w:val="center"/>
          </w:tcPr>
          <w:p w14:paraId="16CEDF06">
            <w:pPr>
              <w:pStyle w:val="379"/>
              <w:spacing w:before="0" w:after="0" w:line="260" w:lineRule="atLeast"/>
              <w:rPr>
                <w:rFonts w:ascii="Times New Roman" w:hAnsi="Times New Roman"/>
                <w:color w:val="000000"/>
              </w:rPr>
            </w:pPr>
            <w:r>
              <w:rPr>
                <w:rFonts w:hint="eastAsia" w:ascii="Times New Roman" w:hAnsi="Times New Roman"/>
                <w:color w:val="000000"/>
              </w:rPr>
              <w:t>二级</w:t>
            </w:r>
            <w:r>
              <w:rPr>
                <w:rFonts w:ascii="Wingdings 2" w:hAnsi="Wingdings 2" w:eastAsia="Wingdings 2" w:cs="Wingdings 2"/>
                <w:color w:val="000000"/>
              </w:rPr>
              <w:t>R</w:t>
            </w:r>
          </w:p>
        </w:tc>
        <w:tc>
          <w:tcPr>
            <w:tcW w:w="1696" w:type="dxa"/>
            <w:gridSpan w:val="4"/>
            <w:noWrap w:val="0"/>
            <w:vAlign w:val="center"/>
          </w:tcPr>
          <w:p w14:paraId="78A9CCCD">
            <w:pPr>
              <w:pStyle w:val="379"/>
              <w:spacing w:before="0" w:after="0" w:line="260" w:lineRule="atLeast"/>
              <w:rPr>
                <w:rFonts w:ascii="Times New Roman" w:hAnsi="Times New Roman"/>
                <w:color w:val="000000"/>
              </w:rPr>
            </w:pPr>
            <w:r>
              <w:rPr>
                <w:rFonts w:hint="eastAsia" w:ascii="Times New Roman" w:hAnsi="Times New Roman"/>
                <w:color w:val="000000"/>
              </w:rPr>
              <w:t>三级</w:t>
            </w:r>
            <w:r>
              <w:rPr>
                <w:rFonts w:ascii="Wingdings 2" w:hAnsi="Wingdings 2" w:eastAsia="Wingdings 2" w:cs="Wingdings 2"/>
                <w:color w:val="000000"/>
              </w:rPr>
              <w:t>£</w:t>
            </w:r>
          </w:p>
        </w:tc>
      </w:tr>
      <w:tr w14:paraId="10877625">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25" w:hRule="atLeast"/>
        </w:trPr>
        <w:tc>
          <w:tcPr>
            <w:tcW w:w="1029" w:type="dxa"/>
            <w:vMerge w:val="continue"/>
            <w:noWrap w:val="0"/>
            <w:vAlign w:val="center"/>
          </w:tcPr>
          <w:p w14:paraId="4B978163">
            <w:pPr>
              <w:pStyle w:val="379"/>
              <w:spacing w:before="0" w:after="0" w:line="260" w:lineRule="atLeast"/>
              <w:rPr>
                <w:rFonts w:ascii="Times New Roman" w:hAnsi="Times New Roman"/>
                <w:color w:val="000000"/>
              </w:rPr>
            </w:pPr>
          </w:p>
        </w:tc>
        <w:tc>
          <w:tcPr>
            <w:tcW w:w="1772" w:type="dxa"/>
            <w:noWrap w:val="0"/>
            <w:vAlign w:val="center"/>
          </w:tcPr>
          <w:p w14:paraId="6C408A91">
            <w:pPr>
              <w:pStyle w:val="379"/>
              <w:spacing w:before="0" w:after="0" w:line="260" w:lineRule="atLeast"/>
              <w:rPr>
                <w:rFonts w:ascii="Times New Roman" w:hAnsi="Times New Roman"/>
                <w:color w:val="000000"/>
              </w:rPr>
            </w:pPr>
            <w:r>
              <w:rPr>
                <w:rFonts w:hint="eastAsia" w:ascii="Times New Roman" w:hAnsi="Times New Roman"/>
                <w:color w:val="000000"/>
              </w:rPr>
              <w:t>评价范围</w:t>
            </w:r>
          </w:p>
        </w:tc>
        <w:tc>
          <w:tcPr>
            <w:tcW w:w="2656" w:type="dxa"/>
            <w:gridSpan w:val="7"/>
            <w:noWrap w:val="0"/>
            <w:vAlign w:val="center"/>
          </w:tcPr>
          <w:p w14:paraId="3A75F726">
            <w:pPr>
              <w:pStyle w:val="379"/>
              <w:spacing w:before="0" w:after="0" w:line="260" w:lineRule="atLeast"/>
              <w:rPr>
                <w:rFonts w:ascii="Times New Roman" w:hAnsi="Times New Roman"/>
                <w:color w:val="000000"/>
              </w:rPr>
            </w:pPr>
            <w:r>
              <w:rPr>
                <w:rFonts w:hint="eastAsia" w:ascii="Times New Roman" w:hAnsi="Times New Roman"/>
                <w:color w:val="000000"/>
              </w:rPr>
              <w:t>边长</w:t>
            </w:r>
            <w:r>
              <w:rPr>
                <w:rFonts w:ascii="Times New Roman" w:hAnsi="Times New Roman"/>
                <w:color w:val="000000"/>
              </w:rPr>
              <w:t>=50km</w:t>
            </w:r>
            <w:r>
              <w:rPr>
                <w:rFonts w:hint="eastAsia" w:ascii="仿宋" w:hAnsi="仿宋" w:eastAsia="仿宋"/>
                <w:color w:val="000000"/>
              </w:rPr>
              <w:t>□</w:t>
            </w:r>
          </w:p>
        </w:tc>
        <w:tc>
          <w:tcPr>
            <w:tcW w:w="2346" w:type="dxa"/>
            <w:gridSpan w:val="8"/>
            <w:noWrap w:val="0"/>
            <w:vAlign w:val="center"/>
          </w:tcPr>
          <w:p w14:paraId="67D856F5">
            <w:pPr>
              <w:pStyle w:val="379"/>
              <w:spacing w:before="0" w:after="0" w:line="260" w:lineRule="atLeast"/>
              <w:rPr>
                <w:rFonts w:ascii="Times New Roman" w:hAnsi="Times New Roman"/>
                <w:color w:val="000000"/>
              </w:rPr>
            </w:pPr>
            <w:r>
              <w:rPr>
                <w:rFonts w:hint="eastAsia" w:ascii="Times New Roman" w:hAnsi="Times New Roman"/>
                <w:color w:val="000000"/>
              </w:rPr>
              <w:t>边长</w:t>
            </w:r>
            <w:r>
              <w:rPr>
                <w:rFonts w:ascii="Times New Roman" w:hAnsi="Times New Roman"/>
                <w:color w:val="000000"/>
              </w:rPr>
              <w:t>5</w:t>
            </w:r>
            <w:r>
              <w:rPr>
                <w:rFonts w:hint="eastAsia" w:ascii="Times New Roman" w:hAnsi="Times New Roman"/>
                <w:color w:val="000000"/>
              </w:rPr>
              <w:t>～</w:t>
            </w:r>
            <w:r>
              <w:rPr>
                <w:rFonts w:ascii="Times New Roman" w:hAnsi="Times New Roman"/>
                <w:color w:val="000000"/>
              </w:rPr>
              <w:t>50km</w:t>
            </w:r>
            <w:r>
              <w:rPr>
                <w:rFonts w:ascii="Wingdings 2" w:hAnsi="Wingdings 2" w:eastAsia="Wingdings 2" w:cs="Wingdings 2"/>
                <w:color w:val="000000"/>
              </w:rPr>
              <w:t>R</w:t>
            </w:r>
          </w:p>
        </w:tc>
        <w:tc>
          <w:tcPr>
            <w:tcW w:w="1696" w:type="dxa"/>
            <w:gridSpan w:val="4"/>
            <w:noWrap w:val="0"/>
            <w:vAlign w:val="center"/>
          </w:tcPr>
          <w:p w14:paraId="3DA1AEBF">
            <w:pPr>
              <w:pStyle w:val="379"/>
              <w:spacing w:before="0" w:after="0" w:line="260" w:lineRule="atLeast"/>
              <w:rPr>
                <w:rFonts w:ascii="Times New Roman" w:hAnsi="Times New Roman"/>
                <w:color w:val="000000"/>
              </w:rPr>
            </w:pPr>
            <w:r>
              <w:rPr>
                <w:rFonts w:hint="eastAsia" w:ascii="Times New Roman" w:hAnsi="Times New Roman"/>
                <w:color w:val="000000"/>
              </w:rPr>
              <w:t>边长</w:t>
            </w:r>
            <w:r>
              <w:rPr>
                <w:rFonts w:hint="eastAsia" w:ascii="仿宋" w:hAnsi="仿宋" w:eastAsia="仿宋"/>
                <w:color w:val="000000"/>
              </w:rPr>
              <w:t>＜</w:t>
            </w:r>
            <w:r>
              <w:rPr>
                <w:rFonts w:ascii="Times New Roman" w:hAnsi="Times New Roman"/>
                <w:color w:val="000000"/>
              </w:rPr>
              <w:t>5 km</w:t>
            </w:r>
            <w:r>
              <w:rPr>
                <w:rFonts w:ascii="Wingdings 2" w:hAnsi="Wingdings 2" w:eastAsia="Wingdings 2" w:cs="Wingdings 2"/>
                <w:color w:val="000000"/>
              </w:rPr>
              <w:t>£</w:t>
            </w:r>
          </w:p>
        </w:tc>
      </w:tr>
      <w:tr w14:paraId="7C89DFB0">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restart"/>
            <w:noWrap w:val="0"/>
            <w:vAlign w:val="center"/>
          </w:tcPr>
          <w:p w14:paraId="0451FAC1">
            <w:pPr>
              <w:pStyle w:val="379"/>
              <w:spacing w:before="0" w:after="0" w:line="260" w:lineRule="atLeast"/>
              <w:rPr>
                <w:rFonts w:ascii="Times New Roman" w:hAnsi="Times New Roman"/>
                <w:color w:val="000000"/>
              </w:rPr>
            </w:pPr>
            <w:r>
              <w:rPr>
                <w:rFonts w:hint="eastAsia" w:ascii="Times New Roman" w:hAnsi="Times New Roman"/>
                <w:color w:val="000000"/>
              </w:rPr>
              <w:t>评价因子</w:t>
            </w:r>
          </w:p>
        </w:tc>
        <w:tc>
          <w:tcPr>
            <w:tcW w:w="1772" w:type="dxa"/>
            <w:noWrap w:val="0"/>
            <w:vAlign w:val="center"/>
          </w:tcPr>
          <w:p w14:paraId="4E0598C6">
            <w:pPr>
              <w:pStyle w:val="379"/>
              <w:spacing w:before="0" w:after="0" w:line="260" w:lineRule="atLeast"/>
              <w:rPr>
                <w:rFonts w:ascii="Times New Roman" w:hAnsi="Times New Roman"/>
                <w:color w:val="000000"/>
              </w:rPr>
            </w:pPr>
            <w:r>
              <w:rPr>
                <w:rFonts w:ascii="Times New Roman" w:hAnsi="Times New Roman"/>
                <w:color w:val="000000"/>
              </w:rPr>
              <w:t>SO</w:t>
            </w:r>
            <w:r>
              <w:rPr>
                <w:rFonts w:ascii="Times New Roman" w:hAnsi="Times New Roman"/>
                <w:color w:val="000000"/>
                <w:vertAlign w:val="subscript"/>
              </w:rPr>
              <w:t xml:space="preserve">2 </w:t>
            </w:r>
            <w:r>
              <w:rPr>
                <w:rFonts w:ascii="Times New Roman" w:hAnsi="Times New Roman"/>
                <w:color w:val="000000"/>
              </w:rPr>
              <w:t>+NO</w:t>
            </w:r>
            <w:r>
              <w:rPr>
                <w:rFonts w:ascii="Times New Roman" w:hAnsi="Times New Roman"/>
                <w:i/>
                <w:color w:val="000000"/>
                <w:vertAlign w:val="subscript"/>
              </w:rPr>
              <w:t>x</w:t>
            </w:r>
            <w:r>
              <w:rPr>
                <w:rFonts w:hint="eastAsia" w:ascii="Times New Roman" w:hAnsi="Times New Roman"/>
                <w:color w:val="000000"/>
              </w:rPr>
              <w:t>排放量</w:t>
            </w:r>
          </w:p>
        </w:tc>
        <w:tc>
          <w:tcPr>
            <w:tcW w:w="1419" w:type="dxa"/>
            <w:gridSpan w:val="2"/>
            <w:noWrap w:val="0"/>
            <w:vAlign w:val="center"/>
          </w:tcPr>
          <w:p w14:paraId="3B48FE20">
            <w:pPr>
              <w:pStyle w:val="379"/>
              <w:spacing w:before="0" w:after="0" w:line="260" w:lineRule="atLeast"/>
              <w:rPr>
                <w:rFonts w:ascii="Times New Roman" w:hAnsi="Times New Roman"/>
                <w:color w:val="000000"/>
              </w:rPr>
            </w:pPr>
            <w:r>
              <w:rPr>
                <w:rFonts w:hint="eastAsia" w:ascii="仿宋" w:hAnsi="仿宋" w:eastAsia="仿宋"/>
                <w:color w:val="000000"/>
              </w:rPr>
              <w:t>≥</w:t>
            </w:r>
            <w:r>
              <w:rPr>
                <w:rFonts w:ascii="Times New Roman" w:hAnsi="Times New Roman"/>
                <w:color w:val="000000"/>
              </w:rPr>
              <w:t xml:space="preserve"> 2000t/a</w:t>
            </w:r>
            <w:r>
              <w:rPr>
                <w:rFonts w:hint="eastAsia" w:ascii="仿宋" w:hAnsi="仿宋" w:eastAsia="仿宋"/>
                <w:color w:val="000000"/>
              </w:rPr>
              <w:t>□</w:t>
            </w:r>
          </w:p>
        </w:tc>
        <w:tc>
          <w:tcPr>
            <w:tcW w:w="3583" w:type="dxa"/>
            <w:gridSpan w:val="13"/>
            <w:noWrap w:val="0"/>
            <w:vAlign w:val="center"/>
          </w:tcPr>
          <w:p w14:paraId="106808D5">
            <w:pPr>
              <w:pStyle w:val="379"/>
              <w:spacing w:before="0" w:after="0" w:line="260" w:lineRule="atLeast"/>
              <w:rPr>
                <w:rFonts w:ascii="Times New Roman" w:hAnsi="Times New Roman"/>
                <w:color w:val="000000"/>
              </w:rPr>
            </w:pPr>
            <w:r>
              <w:rPr>
                <w:rFonts w:ascii="Times New Roman" w:hAnsi="Times New Roman" w:eastAsia="仿宋"/>
                <w:color w:val="000000"/>
              </w:rPr>
              <w:t xml:space="preserve">500 ~ </w:t>
            </w:r>
            <w:r>
              <w:rPr>
                <w:rFonts w:ascii="Times New Roman" w:hAnsi="Times New Roman"/>
                <w:color w:val="000000"/>
              </w:rPr>
              <w:t>2000t/a</w:t>
            </w:r>
            <w:r>
              <w:rPr>
                <w:rFonts w:hint="eastAsia" w:ascii="仿宋" w:hAnsi="仿宋" w:eastAsia="仿宋"/>
                <w:color w:val="000000"/>
              </w:rPr>
              <w:t>□</w:t>
            </w:r>
          </w:p>
        </w:tc>
        <w:tc>
          <w:tcPr>
            <w:tcW w:w="1696" w:type="dxa"/>
            <w:gridSpan w:val="4"/>
            <w:noWrap w:val="0"/>
            <w:vAlign w:val="center"/>
          </w:tcPr>
          <w:p w14:paraId="42C9BD1B">
            <w:pPr>
              <w:pStyle w:val="379"/>
              <w:spacing w:before="0" w:after="0" w:line="260" w:lineRule="atLeast"/>
              <w:rPr>
                <w:rFonts w:ascii="Times New Roman" w:hAnsi="Times New Roman"/>
                <w:color w:val="000000"/>
              </w:rPr>
            </w:pPr>
            <w:r>
              <w:rPr>
                <w:rFonts w:hint="eastAsia" w:ascii="仿宋" w:hAnsi="仿宋" w:eastAsia="仿宋"/>
                <w:color w:val="000000"/>
              </w:rPr>
              <w:t>＜</w:t>
            </w:r>
            <w:r>
              <w:rPr>
                <w:rFonts w:ascii="Times New Roman" w:hAnsi="Times New Roman"/>
                <w:color w:val="000000"/>
              </w:rPr>
              <w:t>500 t/a</w:t>
            </w:r>
            <w:r>
              <w:rPr>
                <w:rFonts w:ascii="Wingdings 2" w:hAnsi="Wingdings 2" w:eastAsia="Wingdings 2" w:cs="Wingdings 2"/>
                <w:color w:val="000000"/>
              </w:rPr>
              <w:t>R</w:t>
            </w:r>
          </w:p>
        </w:tc>
      </w:tr>
      <w:tr w14:paraId="4882AA49">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646" w:hRule="atLeast"/>
        </w:trPr>
        <w:tc>
          <w:tcPr>
            <w:tcW w:w="1029" w:type="dxa"/>
            <w:vMerge w:val="continue"/>
            <w:noWrap w:val="0"/>
            <w:vAlign w:val="center"/>
          </w:tcPr>
          <w:p w14:paraId="7B12FD2C">
            <w:pPr>
              <w:pStyle w:val="379"/>
              <w:spacing w:before="0" w:after="0" w:line="260" w:lineRule="atLeast"/>
              <w:rPr>
                <w:rFonts w:ascii="Times New Roman" w:hAnsi="Times New Roman"/>
                <w:color w:val="000000"/>
              </w:rPr>
            </w:pPr>
          </w:p>
        </w:tc>
        <w:tc>
          <w:tcPr>
            <w:tcW w:w="1772" w:type="dxa"/>
            <w:noWrap w:val="0"/>
            <w:vAlign w:val="center"/>
          </w:tcPr>
          <w:p w14:paraId="092BA959">
            <w:pPr>
              <w:pStyle w:val="379"/>
              <w:spacing w:before="0" w:after="0" w:line="260" w:lineRule="atLeast"/>
              <w:rPr>
                <w:rFonts w:ascii="Times New Roman" w:hAnsi="Times New Roman"/>
                <w:color w:val="000000"/>
              </w:rPr>
            </w:pPr>
            <w:r>
              <w:rPr>
                <w:rFonts w:hint="eastAsia" w:ascii="Times New Roman" w:hAnsi="Times New Roman"/>
                <w:color w:val="000000"/>
              </w:rPr>
              <w:t>评价因子</w:t>
            </w:r>
          </w:p>
        </w:tc>
        <w:tc>
          <w:tcPr>
            <w:tcW w:w="3708" w:type="dxa"/>
            <w:gridSpan w:val="11"/>
            <w:noWrap w:val="0"/>
            <w:vAlign w:val="center"/>
          </w:tcPr>
          <w:p w14:paraId="08EE3C54">
            <w:pPr>
              <w:pStyle w:val="379"/>
              <w:spacing w:before="0" w:after="0" w:line="260" w:lineRule="atLeast"/>
              <w:jc w:val="both"/>
              <w:rPr>
                <w:rFonts w:ascii="Times New Roman" w:hAnsi="Times New Roman"/>
                <w:color w:val="000000"/>
              </w:rPr>
            </w:pPr>
            <w:r>
              <w:rPr>
                <w:rFonts w:hint="eastAsia" w:ascii="Times New Roman" w:hAnsi="Times New Roman"/>
                <w:color w:val="000000"/>
              </w:rPr>
              <w:t>基本污染物 (</w:t>
            </w:r>
            <w:r>
              <w:rPr>
                <w:rFonts w:ascii="Times New Roman" w:hAnsi="Times New Roman"/>
                <w:color w:val="000000"/>
              </w:rPr>
              <w:t xml:space="preserve"> </w:t>
            </w:r>
            <w:r>
              <w:rPr>
                <w:rFonts w:hint="eastAsia" w:ascii="Calibri" w:hAnsi="Calibri"/>
                <w:color w:val="000000"/>
                <w:lang w:val="en-US" w:eastAsia="zh-CN"/>
              </w:rPr>
              <w:t>TSP、SO</w:t>
            </w:r>
            <w:r>
              <w:rPr>
                <w:rFonts w:hint="eastAsia" w:ascii="Calibri" w:hAnsi="Calibri"/>
                <w:color w:val="000000"/>
                <w:vertAlign w:val="subscript"/>
                <w:lang w:val="en-US" w:eastAsia="zh-CN"/>
              </w:rPr>
              <w:t>2</w:t>
            </w:r>
            <w:r>
              <w:rPr>
                <w:rFonts w:hint="eastAsia" w:ascii="Calibri" w:hAnsi="Calibri"/>
                <w:color w:val="000000"/>
                <w:lang w:val="en-US" w:eastAsia="zh-CN"/>
              </w:rPr>
              <w:t>、NO</w:t>
            </w:r>
            <w:r>
              <w:rPr>
                <w:rFonts w:hint="eastAsia" w:ascii="Calibri" w:hAnsi="Calibri"/>
                <w:color w:val="000000"/>
                <w:vertAlign w:val="subscript"/>
                <w:lang w:val="en-US" w:eastAsia="zh-CN"/>
              </w:rPr>
              <w:t>X</w:t>
            </w:r>
            <w:r>
              <w:rPr>
                <w:rFonts w:ascii="Times New Roman" w:hAnsi="Times New Roman"/>
                <w:color w:val="000000"/>
                <w:vertAlign w:val="subscript"/>
              </w:rPr>
              <w:t xml:space="preserve"> </w:t>
            </w:r>
            <w:r>
              <w:rPr>
                <w:rFonts w:hint="eastAsia" w:ascii="Calibri" w:hAnsi="Calibri"/>
                <w:color w:val="000000"/>
                <w:lang w:val="en-US" w:eastAsia="zh-CN"/>
              </w:rPr>
              <w:t xml:space="preserve">              </w:t>
            </w:r>
            <w:r>
              <w:rPr>
                <w:rFonts w:ascii="Times New Roman" w:hAnsi="Times New Roman"/>
                <w:color w:val="000000"/>
              </w:rPr>
              <w:t>)</w:t>
            </w:r>
          </w:p>
          <w:p w14:paraId="074E3BFB">
            <w:pPr>
              <w:pStyle w:val="379"/>
              <w:spacing w:before="0" w:after="0" w:line="260" w:lineRule="atLeast"/>
              <w:jc w:val="both"/>
              <w:rPr>
                <w:rFonts w:ascii="Times New Roman" w:hAnsi="Times New Roman"/>
                <w:color w:val="000000"/>
              </w:rPr>
            </w:pPr>
            <w:r>
              <w:rPr>
                <w:rFonts w:hint="eastAsia" w:ascii="Times New Roman" w:hAnsi="Times New Roman"/>
                <w:color w:val="000000"/>
              </w:rPr>
              <w:t>其他污染物 (</w:t>
            </w:r>
            <w:r>
              <w:rPr>
                <w:rFonts w:ascii="Times New Roman" w:hAnsi="Times New Roman"/>
                <w:color w:val="000000"/>
              </w:rPr>
              <w:t xml:space="preserve"> </w:t>
            </w:r>
            <w:r>
              <w:rPr>
                <w:rFonts w:hint="eastAsia" w:ascii="Calibri" w:hAnsi="Calibri"/>
                <w:color w:val="000000"/>
                <w:lang w:val="en-US" w:eastAsia="zh-CN"/>
              </w:rPr>
              <w:t>甲醛、酚类、非甲烷总烃、NH</w:t>
            </w:r>
            <w:r>
              <w:rPr>
                <w:rFonts w:hint="eastAsia" w:ascii="Calibri" w:hAnsi="Calibri"/>
                <w:color w:val="000000"/>
                <w:vertAlign w:val="subscript"/>
                <w:lang w:val="en-US" w:eastAsia="zh-CN"/>
              </w:rPr>
              <w:t>3</w:t>
            </w:r>
            <w:r>
              <w:rPr>
                <w:rFonts w:ascii="Times New Roman" w:hAnsi="Times New Roman"/>
                <w:color w:val="000000"/>
                <w:vertAlign w:val="subscript"/>
              </w:rPr>
              <w:t xml:space="preserve">  </w:t>
            </w:r>
            <w:r>
              <w:rPr>
                <w:rFonts w:ascii="Times New Roman" w:hAnsi="Times New Roman"/>
                <w:color w:val="000000"/>
              </w:rPr>
              <w:t xml:space="preserve">             )</w:t>
            </w:r>
          </w:p>
        </w:tc>
        <w:tc>
          <w:tcPr>
            <w:tcW w:w="2990" w:type="dxa"/>
            <w:gridSpan w:val="8"/>
            <w:noWrap w:val="0"/>
            <w:vAlign w:val="center"/>
          </w:tcPr>
          <w:p w14:paraId="4EA270D8">
            <w:pPr>
              <w:pStyle w:val="379"/>
              <w:spacing w:before="0" w:after="0" w:line="260" w:lineRule="atLeast"/>
              <w:ind w:right="470"/>
              <w:jc w:val="right"/>
              <w:rPr>
                <w:rFonts w:ascii="Times New Roman" w:hAnsi="Times New Roman"/>
                <w:color w:val="000000"/>
              </w:rPr>
            </w:pPr>
            <w:r>
              <w:rPr>
                <w:rFonts w:hint="eastAsia" w:ascii="Times New Roman" w:hAnsi="Times New Roman"/>
                <w:color w:val="000000"/>
              </w:rPr>
              <w:t>包括二次</w:t>
            </w:r>
            <w:r>
              <w:rPr>
                <w:rFonts w:ascii="Times New Roman" w:hAnsi="Times New Roman"/>
                <w:color w:val="000000"/>
              </w:rPr>
              <w:t>PM</w:t>
            </w:r>
            <w:r>
              <w:rPr>
                <w:rFonts w:ascii="Times New Roman" w:hAnsi="Times New Roman"/>
                <w:color w:val="000000"/>
                <w:vertAlign w:val="subscript"/>
              </w:rPr>
              <w:t>2.5</w:t>
            </w:r>
            <w:r>
              <w:rPr>
                <w:rFonts w:hint="eastAsia" w:ascii="仿宋" w:hAnsi="仿宋" w:eastAsia="仿宋"/>
                <w:color w:val="000000"/>
              </w:rPr>
              <w:t>□</w:t>
            </w:r>
          </w:p>
          <w:p w14:paraId="6C5BF7EA">
            <w:pPr>
              <w:pStyle w:val="379"/>
              <w:spacing w:before="0" w:after="0" w:line="260" w:lineRule="atLeast"/>
              <w:ind w:right="470"/>
              <w:jc w:val="right"/>
              <w:rPr>
                <w:rFonts w:ascii="Times New Roman" w:hAnsi="Times New Roman"/>
                <w:color w:val="000000"/>
              </w:rPr>
            </w:pPr>
            <w:r>
              <w:rPr>
                <w:rFonts w:hint="eastAsia" w:ascii="Times New Roman" w:hAnsi="Times New Roman"/>
                <w:color w:val="000000"/>
              </w:rPr>
              <w:t>不包括二次</w:t>
            </w:r>
            <w:r>
              <w:rPr>
                <w:rFonts w:ascii="Times New Roman" w:hAnsi="Times New Roman"/>
                <w:color w:val="000000"/>
              </w:rPr>
              <w:t>PM</w:t>
            </w:r>
            <w:r>
              <w:rPr>
                <w:rFonts w:ascii="Times New Roman" w:hAnsi="Times New Roman"/>
                <w:color w:val="000000"/>
                <w:vertAlign w:val="subscript"/>
              </w:rPr>
              <w:t>2.5</w:t>
            </w:r>
            <w:r>
              <w:rPr>
                <w:rFonts w:ascii="Wingdings 2" w:hAnsi="Wingdings 2" w:eastAsia="Wingdings 2" w:cs="Wingdings 2"/>
                <w:color w:val="000000"/>
              </w:rPr>
              <w:t>R</w:t>
            </w:r>
          </w:p>
        </w:tc>
      </w:tr>
      <w:tr w14:paraId="0A9F2095">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noWrap w:val="0"/>
            <w:vAlign w:val="center"/>
          </w:tcPr>
          <w:p w14:paraId="092DC3E5">
            <w:pPr>
              <w:pStyle w:val="379"/>
              <w:spacing w:before="0" w:after="0" w:line="260" w:lineRule="atLeast"/>
              <w:rPr>
                <w:rFonts w:ascii="Times New Roman" w:hAnsi="Times New Roman"/>
                <w:color w:val="000000"/>
              </w:rPr>
            </w:pPr>
            <w:r>
              <w:rPr>
                <w:rFonts w:hint="eastAsia" w:ascii="Times New Roman" w:hAnsi="Times New Roman"/>
                <w:color w:val="000000"/>
              </w:rPr>
              <w:t>评价标准</w:t>
            </w:r>
          </w:p>
        </w:tc>
        <w:tc>
          <w:tcPr>
            <w:tcW w:w="1772" w:type="dxa"/>
            <w:noWrap w:val="0"/>
            <w:vAlign w:val="center"/>
          </w:tcPr>
          <w:p w14:paraId="10322747">
            <w:pPr>
              <w:pStyle w:val="379"/>
              <w:spacing w:before="0" w:after="0" w:line="260" w:lineRule="atLeast"/>
              <w:rPr>
                <w:rFonts w:ascii="Times New Roman" w:hAnsi="Times New Roman"/>
                <w:color w:val="000000"/>
              </w:rPr>
            </w:pPr>
            <w:r>
              <w:rPr>
                <w:rFonts w:hint="eastAsia" w:ascii="Times New Roman" w:hAnsi="Times New Roman"/>
                <w:color w:val="000000"/>
              </w:rPr>
              <w:t>评价标准</w:t>
            </w:r>
          </w:p>
        </w:tc>
        <w:tc>
          <w:tcPr>
            <w:tcW w:w="2066" w:type="dxa"/>
            <w:gridSpan w:val="6"/>
            <w:noWrap w:val="0"/>
            <w:vAlign w:val="center"/>
          </w:tcPr>
          <w:p w14:paraId="0F30EC78">
            <w:pPr>
              <w:pStyle w:val="379"/>
              <w:spacing w:before="0" w:after="0" w:line="260" w:lineRule="atLeast"/>
              <w:rPr>
                <w:rFonts w:ascii="Times New Roman" w:hAnsi="Times New Roman"/>
                <w:color w:val="000000"/>
              </w:rPr>
            </w:pPr>
            <w:r>
              <w:rPr>
                <w:rFonts w:hint="eastAsia" w:ascii="Times New Roman" w:hAnsi="Times New Roman"/>
                <w:color w:val="000000"/>
              </w:rPr>
              <w:t>国家标准</w:t>
            </w:r>
            <w:r>
              <w:rPr>
                <w:rFonts w:ascii="Wingdings 2" w:hAnsi="Wingdings 2" w:eastAsia="Wingdings 2" w:cs="Wingdings 2"/>
                <w:color w:val="000000"/>
              </w:rPr>
              <w:t>R</w:t>
            </w:r>
          </w:p>
        </w:tc>
        <w:tc>
          <w:tcPr>
            <w:tcW w:w="1642" w:type="dxa"/>
            <w:gridSpan w:val="5"/>
            <w:noWrap w:val="0"/>
            <w:vAlign w:val="center"/>
          </w:tcPr>
          <w:p w14:paraId="45C49862">
            <w:pPr>
              <w:pStyle w:val="379"/>
              <w:spacing w:before="0" w:after="0" w:line="260" w:lineRule="atLeast"/>
              <w:rPr>
                <w:rFonts w:ascii="Times New Roman" w:hAnsi="Times New Roman"/>
                <w:color w:val="000000"/>
              </w:rPr>
            </w:pPr>
            <w:r>
              <w:rPr>
                <w:rFonts w:hint="eastAsia" w:ascii="Times New Roman" w:hAnsi="Times New Roman"/>
                <w:color w:val="000000"/>
              </w:rPr>
              <w:t xml:space="preserve">地方标准 </w:t>
            </w:r>
            <w:r>
              <w:rPr>
                <w:rFonts w:hint="eastAsia" w:ascii="仿宋" w:hAnsi="仿宋" w:eastAsia="仿宋"/>
                <w:color w:val="000000"/>
              </w:rPr>
              <w:t>□</w:t>
            </w:r>
          </w:p>
        </w:tc>
        <w:tc>
          <w:tcPr>
            <w:tcW w:w="1721" w:type="dxa"/>
            <w:gridSpan w:val="6"/>
            <w:noWrap w:val="0"/>
            <w:vAlign w:val="center"/>
          </w:tcPr>
          <w:p w14:paraId="77D09C3A">
            <w:pPr>
              <w:pStyle w:val="379"/>
              <w:spacing w:before="0" w:after="0" w:line="260" w:lineRule="atLeast"/>
              <w:rPr>
                <w:rFonts w:ascii="Times New Roman" w:hAnsi="Times New Roman"/>
                <w:color w:val="000000"/>
              </w:rPr>
            </w:pPr>
            <w:r>
              <w:rPr>
                <w:rFonts w:hint="eastAsia" w:ascii="Times New Roman" w:hAnsi="Times New Roman"/>
                <w:color w:val="000000"/>
              </w:rPr>
              <w:t>附录</w:t>
            </w:r>
            <w:r>
              <w:rPr>
                <w:rFonts w:ascii="Times New Roman" w:hAnsi="Times New Roman"/>
                <w:color w:val="000000"/>
              </w:rPr>
              <w:t xml:space="preserve">D </w:t>
            </w:r>
            <w:r>
              <w:rPr>
                <w:rFonts w:hint="eastAsia" w:ascii="仿宋" w:hAnsi="仿宋" w:eastAsia="仿宋"/>
                <w:color w:val="000000"/>
              </w:rPr>
              <w:t>□</w:t>
            </w:r>
          </w:p>
        </w:tc>
        <w:tc>
          <w:tcPr>
            <w:tcW w:w="1269" w:type="dxa"/>
            <w:gridSpan w:val="2"/>
            <w:noWrap w:val="0"/>
            <w:vAlign w:val="center"/>
          </w:tcPr>
          <w:p w14:paraId="72D2CF67">
            <w:pPr>
              <w:pStyle w:val="379"/>
              <w:spacing w:before="0" w:after="0" w:line="260" w:lineRule="atLeast"/>
              <w:rPr>
                <w:rFonts w:ascii="Times New Roman" w:hAnsi="Times New Roman"/>
                <w:color w:val="000000"/>
              </w:rPr>
            </w:pPr>
            <w:r>
              <w:rPr>
                <w:rFonts w:hint="eastAsia" w:ascii="Times New Roman" w:hAnsi="Times New Roman"/>
                <w:color w:val="000000"/>
              </w:rPr>
              <w:t xml:space="preserve">其他标准 </w:t>
            </w:r>
            <w:r>
              <w:rPr>
                <w:rFonts w:hint="eastAsia" w:ascii="仿宋" w:hAnsi="仿宋" w:eastAsia="仿宋"/>
                <w:color w:val="000000"/>
              </w:rPr>
              <w:t>□</w:t>
            </w:r>
          </w:p>
        </w:tc>
      </w:tr>
      <w:tr w14:paraId="5529367E">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restart"/>
            <w:noWrap w:val="0"/>
            <w:vAlign w:val="center"/>
          </w:tcPr>
          <w:p w14:paraId="153025E5">
            <w:pPr>
              <w:pStyle w:val="379"/>
              <w:spacing w:before="0" w:after="0" w:line="260" w:lineRule="atLeast"/>
              <w:rPr>
                <w:rFonts w:ascii="Times New Roman" w:hAnsi="Times New Roman"/>
                <w:color w:val="000000"/>
              </w:rPr>
            </w:pPr>
            <w:r>
              <w:rPr>
                <w:rFonts w:hint="eastAsia" w:ascii="Times New Roman" w:hAnsi="Times New Roman"/>
                <w:color w:val="000000"/>
              </w:rPr>
              <w:t>现状评价</w:t>
            </w:r>
          </w:p>
        </w:tc>
        <w:tc>
          <w:tcPr>
            <w:tcW w:w="1772" w:type="dxa"/>
            <w:noWrap w:val="0"/>
            <w:vAlign w:val="center"/>
          </w:tcPr>
          <w:p w14:paraId="70AEBB18">
            <w:pPr>
              <w:pStyle w:val="379"/>
              <w:spacing w:before="0" w:after="0" w:line="260" w:lineRule="atLeast"/>
              <w:rPr>
                <w:rFonts w:ascii="Times New Roman" w:hAnsi="Times New Roman"/>
                <w:color w:val="000000"/>
              </w:rPr>
            </w:pPr>
            <w:r>
              <w:rPr>
                <w:rFonts w:hint="eastAsia" w:ascii="Times New Roman" w:hAnsi="Times New Roman"/>
                <w:color w:val="000000"/>
              </w:rPr>
              <w:t>环境功能区</w:t>
            </w:r>
          </w:p>
        </w:tc>
        <w:tc>
          <w:tcPr>
            <w:tcW w:w="2656" w:type="dxa"/>
            <w:gridSpan w:val="7"/>
            <w:noWrap w:val="0"/>
            <w:vAlign w:val="center"/>
          </w:tcPr>
          <w:p w14:paraId="40CDC91E">
            <w:pPr>
              <w:pStyle w:val="379"/>
              <w:spacing w:before="0" w:after="0" w:line="260" w:lineRule="atLeast"/>
              <w:rPr>
                <w:rFonts w:ascii="Times New Roman" w:hAnsi="Times New Roman"/>
                <w:color w:val="000000"/>
              </w:rPr>
            </w:pPr>
            <w:r>
              <w:rPr>
                <w:rFonts w:hint="eastAsia" w:ascii="Times New Roman" w:hAnsi="Times New Roman"/>
                <w:color w:val="000000"/>
              </w:rPr>
              <w:t>一类区</w:t>
            </w:r>
            <w:r>
              <w:rPr>
                <w:rFonts w:hint="eastAsia" w:ascii="仿宋" w:hAnsi="仿宋" w:eastAsia="仿宋"/>
                <w:color w:val="000000"/>
              </w:rPr>
              <w:t>□</w:t>
            </w:r>
          </w:p>
        </w:tc>
        <w:tc>
          <w:tcPr>
            <w:tcW w:w="2274" w:type="dxa"/>
            <w:gridSpan w:val="7"/>
            <w:noWrap w:val="0"/>
            <w:vAlign w:val="center"/>
          </w:tcPr>
          <w:p w14:paraId="72B5029C">
            <w:pPr>
              <w:pStyle w:val="379"/>
              <w:spacing w:before="0" w:after="0" w:line="260" w:lineRule="atLeast"/>
              <w:rPr>
                <w:rFonts w:ascii="Times New Roman" w:hAnsi="Times New Roman"/>
                <w:color w:val="000000"/>
              </w:rPr>
            </w:pPr>
            <w:r>
              <w:rPr>
                <w:rFonts w:hint="eastAsia" w:ascii="Times New Roman" w:hAnsi="Times New Roman"/>
                <w:color w:val="000000"/>
              </w:rPr>
              <w:t>二类区</w:t>
            </w:r>
            <w:r>
              <w:rPr>
                <w:rFonts w:ascii="Wingdings 2" w:hAnsi="Wingdings 2" w:eastAsia="Wingdings 2" w:cs="Wingdings 2"/>
                <w:color w:val="000000"/>
              </w:rPr>
              <w:t>R</w:t>
            </w:r>
          </w:p>
        </w:tc>
        <w:tc>
          <w:tcPr>
            <w:tcW w:w="1768" w:type="dxa"/>
            <w:gridSpan w:val="5"/>
            <w:noWrap w:val="0"/>
            <w:vAlign w:val="center"/>
          </w:tcPr>
          <w:p w14:paraId="30519398">
            <w:pPr>
              <w:pStyle w:val="379"/>
              <w:spacing w:before="0" w:after="0" w:line="260" w:lineRule="atLeast"/>
              <w:rPr>
                <w:rFonts w:ascii="Times New Roman" w:hAnsi="Times New Roman"/>
                <w:color w:val="000000"/>
              </w:rPr>
            </w:pPr>
            <w:r>
              <w:rPr>
                <w:rFonts w:hint="eastAsia" w:ascii="Times New Roman" w:hAnsi="Times New Roman"/>
                <w:color w:val="000000"/>
              </w:rPr>
              <w:t>一类区和二类区</w:t>
            </w:r>
            <w:r>
              <w:rPr>
                <w:rFonts w:hint="eastAsia" w:ascii="仿宋" w:hAnsi="仿宋" w:eastAsia="仿宋"/>
                <w:color w:val="000000"/>
              </w:rPr>
              <w:t>□</w:t>
            </w:r>
          </w:p>
        </w:tc>
      </w:tr>
      <w:tr w14:paraId="16163423">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75C7FBDE">
            <w:pPr>
              <w:pStyle w:val="379"/>
              <w:spacing w:before="0" w:after="0" w:line="260" w:lineRule="atLeast"/>
              <w:rPr>
                <w:rFonts w:ascii="Times New Roman" w:hAnsi="Times New Roman"/>
                <w:color w:val="000000"/>
              </w:rPr>
            </w:pPr>
          </w:p>
        </w:tc>
        <w:tc>
          <w:tcPr>
            <w:tcW w:w="1772" w:type="dxa"/>
            <w:noWrap w:val="0"/>
            <w:vAlign w:val="center"/>
          </w:tcPr>
          <w:p w14:paraId="7C0C7615">
            <w:pPr>
              <w:pStyle w:val="379"/>
              <w:spacing w:before="0" w:after="0" w:line="260" w:lineRule="atLeast"/>
              <w:rPr>
                <w:rFonts w:ascii="Times New Roman" w:hAnsi="Times New Roman"/>
                <w:color w:val="000000"/>
              </w:rPr>
            </w:pPr>
            <w:r>
              <w:rPr>
                <w:rFonts w:hint="eastAsia" w:ascii="Times New Roman" w:hAnsi="Times New Roman"/>
                <w:color w:val="000000"/>
              </w:rPr>
              <w:t>评价基准年</w:t>
            </w:r>
          </w:p>
        </w:tc>
        <w:tc>
          <w:tcPr>
            <w:tcW w:w="6698" w:type="dxa"/>
            <w:gridSpan w:val="19"/>
            <w:noWrap w:val="0"/>
            <w:vAlign w:val="center"/>
          </w:tcPr>
          <w:p w14:paraId="4C085E53">
            <w:pPr>
              <w:pStyle w:val="379"/>
              <w:spacing w:before="0" w:after="0" w:line="260" w:lineRule="atLeast"/>
              <w:rPr>
                <w:rFonts w:ascii="Times New Roman" w:hAnsi="Times New Roman"/>
                <w:color w:val="000000"/>
              </w:rPr>
            </w:pPr>
            <w:r>
              <w:rPr>
                <w:rFonts w:hint="eastAsia" w:ascii="Times New Roman" w:hAnsi="Times New Roman"/>
                <w:color w:val="000000"/>
              </w:rPr>
              <w:t>（</w:t>
            </w:r>
            <w:r>
              <w:rPr>
                <w:rFonts w:ascii="Times New Roman" w:hAnsi="Times New Roman"/>
                <w:color w:val="000000"/>
              </w:rPr>
              <w:t xml:space="preserve">  </w:t>
            </w:r>
            <w:r>
              <w:rPr>
                <w:rFonts w:hint="eastAsia" w:ascii="Calibri" w:hAnsi="Calibri"/>
                <w:color w:val="000000"/>
                <w:lang w:val="en-US" w:eastAsia="zh-CN"/>
              </w:rPr>
              <w:t>2019</w:t>
            </w:r>
            <w:r>
              <w:rPr>
                <w:rFonts w:ascii="Times New Roman" w:hAnsi="Times New Roman"/>
                <w:color w:val="000000"/>
              </w:rPr>
              <w:t xml:space="preserve"> </w:t>
            </w:r>
            <w:r>
              <w:rPr>
                <w:rFonts w:hint="eastAsia" w:ascii="Times New Roman" w:hAnsi="Times New Roman"/>
                <w:color w:val="000000"/>
              </w:rPr>
              <w:t>）年</w:t>
            </w:r>
          </w:p>
        </w:tc>
      </w:tr>
      <w:tr w14:paraId="501560AD">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7DD3FA0B">
            <w:pPr>
              <w:pStyle w:val="379"/>
              <w:spacing w:before="0" w:after="0" w:line="260" w:lineRule="atLeast"/>
              <w:rPr>
                <w:rFonts w:ascii="Times New Roman" w:hAnsi="Times New Roman"/>
                <w:color w:val="000000"/>
              </w:rPr>
            </w:pPr>
          </w:p>
        </w:tc>
        <w:tc>
          <w:tcPr>
            <w:tcW w:w="1772" w:type="dxa"/>
            <w:noWrap w:val="0"/>
            <w:vAlign w:val="center"/>
          </w:tcPr>
          <w:p w14:paraId="7F78D41F">
            <w:pPr>
              <w:pStyle w:val="379"/>
              <w:spacing w:before="0" w:after="0" w:line="260" w:lineRule="atLeast"/>
              <w:rPr>
                <w:rFonts w:ascii="Times New Roman" w:hAnsi="Times New Roman"/>
                <w:color w:val="000000"/>
              </w:rPr>
            </w:pPr>
            <w:r>
              <w:rPr>
                <w:rFonts w:hint="eastAsia" w:ascii="Times New Roman" w:hAnsi="Times New Roman"/>
                <w:color w:val="000000"/>
              </w:rPr>
              <w:t>环境空气质量</w:t>
            </w:r>
            <w:r>
              <w:rPr>
                <w:rFonts w:ascii="Times New Roman" w:hAnsi="Times New Roman"/>
                <w:color w:val="000000"/>
              </w:rPr>
              <w:br w:type="textWrapping" w:clear="all"/>
            </w:r>
            <w:r>
              <w:rPr>
                <w:rFonts w:hint="eastAsia" w:ascii="Times New Roman" w:hAnsi="Times New Roman"/>
                <w:color w:val="000000"/>
              </w:rPr>
              <w:t>现状调查数据来源</w:t>
            </w:r>
          </w:p>
        </w:tc>
        <w:tc>
          <w:tcPr>
            <w:tcW w:w="2656" w:type="dxa"/>
            <w:gridSpan w:val="7"/>
            <w:noWrap w:val="0"/>
            <w:vAlign w:val="center"/>
          </w:tcPr>
          <w:p w14:paraId="4174AA7E">
            <w:pPr>
              <w:pStyle w:val="379"/>
              <w:spacing w:before="0" w:after="0" w:line="260" w:lineRule="atLeast"/>
              <w:rPr>
                <w:rFonts w:ascii="Times New Roman" w:hAnsi="Times New Roman"/>
                <w:color w:val="000000"/>
              </w:rPr>
            </w:pPr>
            <w:r>
              <w:rPr>
                <w:rFonts w:hint="eastAsia" w:ascii="Times New Roman" w:hAnsi="Times New Roman"/>
                <w:color w:val="000000"/>
              </w:rPr>
              <w:t>长期例行监测数据</w:t>
            </w:r>
            <w:r>
              <w:rPr>
                <w:rFonts w:hint="eastAsia" w:ascii="仿宋" w:hAnsi="仿宋" w:eastAsia="仿宋"/>
                <w:color w:val="000000"/>
              </w:rPr>
              <w:t>□</w:t>
            </w:r>
          </w:p>
        </w:tc>
        <w:tc>
          <w:tcPr>
            <w:tcW w:w="2346" w:type="dxa"/>
            <w:gridSpan w:val="8"/>
            <w:noWrap w:val="0"/>
            <w:vAlign w:val="center"/>
          </w:tcPr>
          <w:p w14:paraId="4E8C6AF3">
            <w:pPr>
              <w:pStyle w:val="379"/>
              <w:spacing w:before="0" w:after="0" w:line="260" w:lineRule="atLeast"/>
              <w:rPr>
                <w:rFonts w:ascii="Times New Roman" w:hAnsi="Times New Roman"/>
                <w:color w:val="000000"/>
              </w:rPr>
            </w:pPr>
            <w:r>
              <w:rPr>
                <w:rFonts w:hint="eastAsia" w:ascii="Times New Roman" w:hAnsi="Times New Roman"/>
                <w:color w:val="000000"/>
              </w:rPr>
              <w:t>主管部门发布的数据</w:t>
            </w:r>
            <w:r>
              <w:rPr>
                <w:rFonts w:ascii="Wingdings 2" w:hAnsi="Wingdings 2" w:eastAsia="Wingdings 2" w:cs="Wingdings 2"/>
                <w:color w:val="000000"/>
              </w:rPr>
              <w:t>R</w:t>
            </w:r>
          </w:p>
        </w:tc>
        <w:tc>
          <w:tcPr>
            <w:tcW w:w="1696" w:type="dxa"/>
            <w:gridSpan w:val="4"/>
            <w:noWrap w:val="0"/>
            <w:vAlign w:val="center"/>
          </w:tcPr>
          <w:p w14:paraId="3440290B">
            <w:pPr>
              <w:pStyle w:val="379"/>
              <w:spacing w:before="0" w:after="0" w:line="260" w:lineRule="atLeast"/>
              <w:rPr>
                <w:rFonts w:ascii="Times New Roman" w:hAnsi="Times New Roman"/>
                <w:color w:val="000000"/>
              </w:rPr>
            </w:pPr>
            <w:r>
              <w:rPr>
                <w:rFonts w:hint="eastAsia" w:ascii="Times New Roman" w:hAnsi="Times New Roman"/>
                <w:color w:val="000000"/>
              </w:rPr>
              <w:t>现状补充监测</w:t>
            </w:r>
            <w:r>
              <w:rPr>
                <w:rFonts w:ascii="Wingdings 2" w:hAnsi="Wingdings 2" w:eastAsia="Wingdings 2" w:cs="Wingdings 2"/>
                <w:color w:val="000000"/>
              </w:rPr>
              <w:t>R</w:t>
            </w:r>
          </w:p>
        </w:tc>
      </w:tr>
      <w:tr w14:paraId="48589C42">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47341258">
            <w:pPr>
              <w:pStyle w:val="379"/>
              <w:spacing w:before="0" w:after="0" w:line="260" w:lineRule="atLeast"/>
              <w:rPr>
                <w:rFonts w:ascii="Times New Roman" w:hAnsi="Times New Roman"/>
                <w:color w:val="000000"/>
              </w:rPr>
            </w:pPr>
          </w:p>
        </w:tc>
        <w:tc>
          <w:tcPr>
            <w:tcW w:w="1772" w:type="dxa"/>
            <w:noWrap w:val="0"/>
            <w:vAlign w:val="center"/>
          </w:tcPr>
          <w:p w14:paraId="70DEF680">
            <w:pPr>
              <w:pStyle w:val="379"/>
              <w:spacing w:before="0" w:after="0" w:line="260" w:lineRule="atLeast"/>
              <w:rPr>
                <w:rFonts w:ascii="Times New Roman" w:hAnsi="Times New Roman"/>
                <w:color w:val="000000"/>
              </w:rPr>
            </w:pPr>
            <w:r>
              <w:rPr>
                <w:rFonts w:hint="eastAsia" w:ascii="Times New Roman" w:hAnsi="Times New Roman"/>
                <w:color w:val="000000"/>
              </w:rPr>
              <w:t>现状评价</w:t>
            </w:r>
          </w:p>
        </w:tc>
        <w:tc>
          <w:tcPr>
            <w:tcW w:w="3708" w:type="dxa"/>
            <w:gridSpan w:val="11"/>
            <w:noWrap w:val="0"/>
            <w:vAlign w:val="center"/>
          </w:tcPr>
          <w:p w14:paraId="70801D51">
            <w:pPr>
              <w:pStyle w:val="379"/>
              <w:spacing w:before="0" w:after="0" w:line="260" w:lineRule="atLeast"/>
              <w:rPr>
                <w:rFonts w:ascii="Times New Roman" w:hAnsi="Times New Roman"/>
                <w:color w:val="000000"/>
              </w:rPr>
            </w:pPr>
            <w:r>
              <w:rPr>
                <w:rFonts w:hint="eastAsia" w:ascii="Times New Roman" w:hAnsi="Times New Roman"/>
                <w:color w:val="000000"/>
              </w:rPr>
              <w:t>达标区</w:t>
            </w:r>
            <w:r>
              <w:rPr>
                <w:rFonts w:ascii="Wingdings 2" w:hAnsi="Wingdings 2" w:eastAsia="Wingdings 2" w:cs="Wingdings 2"/>
                <w:color w:val="000000"/>
              </w:rPr>
              <w:t>R</w:t>
            </w:r>
          </w:p>
        </w:tc>
        <w:tc>
          <w:tcPr>
            <w:tcW w:w="2990" w:type="dxa"/>
            <w:gridSpan w:val="8"/>
            <w:noWrap w:val="0"/>
            <w:vAlign w:val="center"/>
          </w:tcPr>
          <w:p w14:paraId="1C835804">
            <w:pPr>
              <w:pStyle w:val="379"/>
              <w:spacing w:before="0" w:after="0" w:line="260" w:lineRule="atLeast"/>
              <w:rPr>
                <w:rFonts w:ascii="Times New Roman" w:hAnsi="Times New Roman"/>
                <w:color w:val="000000"/>
              </w:rPr>
            </w:pPr>
            <w:r>
              <w:rPr>
                <w:rFonts w:hint="eastAsia" w:ascii="Times New Roman" w:hAnsi="Times New Roman"/>
                <w:color w:val="000000"/>
              </w:rPr>
              <w:t>不达标区</w:t>
            </w:r>
            <w:r>
              <w:rPr>
                <w:rFonts w:hint="eastAsia" w:ascii="仿宋" w:hAnsi="仿宋" w:eastAsia="仿宋"/>
                <w:color w:val="000000"/>
              </w:rPr>
              <w:t>□</w:t>
            </w:r>
          </w:p>
        </w:tc>
      </w:tr>
      <w:tr w14:paraId="408274FB">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noWrap w:val="0"/>
            <w:vAlign w:val="center"/>
          </w:tcPr>
          <w:p w14:paraId="106634DC">
            <w:pPr>
              <w:pStyle w:val="379"/>
              <w:spacing w:before="0" w:after="0" w:line="260" w:lineRule="atLeast"/>
              <w:rPr>
                <w:rFonts w:ascii="Times New Roman" w:hAnsi="Times New Roman"/>
                <w:color w:val="000000"/>
              </w:rPr>
            </w:pPr>
            <w:r>
              <w:rPr>
                <w:rFonts w:hint="eastAsia" w:ascii="Times New Roman" w:hAnsi="Times New Roman"/>
                <w:color w:val="000000"/>
              </w:rPr>
              <w:t>污染源</w:t>
            </w:r>
            <w:r>
              <w:rPr>
                <w:rFonts w:ascii="Times New Roman" w:hAnsi="Times New Roman"/>
                <w:color w:val="000000"/>
              </w:rPr>
              <w:br w:type="textWrapping" w:clear="all"/>
            </w:r>
            <w:r>
              <w:rPr>
                <w:rFonts w:hint="eastAsia" w:ascii="Times New Roman" w:hAnsi="Times New Roman"/>
                <w:color w:val="000000"/>
              </w:rPr>
              <w:t>调查</w:t>
            </w:r>
          </w:p>
        </w:tc>
        <w:tc>
          <w:tcPr>
            <w:tcW w:w="1772" w:type="dxa"/>
            <w:noWrap w:val="0"/>
            <w:vAlign w:val="center"/>
          </w:tcPr>
          <w:p w14:paraId="17F3716E">
            <w:pPr>
              <w:pStyle w:val="379"/>
              <w:spacing w:before="0" w:after="0" w:line="260" w:lineRule="atLeast"/>
              <w:rPr>
                <w:rFonts w:ascii="Times New Roman" w:hAnsi="Times New Roman"/>
                <w:color w:val="000000"/>
              </w:rPr>
            </w:pPr>
            <w:r>
              <w:rPr>
                <w:rFonts w:hint="eastAsia" w:ascii="Times New Roman" w:hAnsi="Times New Roman"/>
                <w:color w:val="000000"/>
              </w:rPr>
              <w:t>调查内容</w:t>
            </w:r>
          </w:p>
        </w:tc>
        <w:tc>
          <w:tcPr>
            <w:tcW w:w="2066" w:type="dxa"/>
            <w:gridSpan w:val="6"/>
            <w:noWrap w:val="0"/>
            <w:vAlign w:val="center"/>
          </w:tcPr>
          <w:p w14:paraId="691DFC89">
            <w:pPr>
              <w:pStyle w:val="379"/>
              <w:spacing w:before="0" w:after="0" w:line="260" w:lineRule="atLeast"/>
              <w:jc w:val="right"/>
              <w:rPr>
                <w:rFonts w:ascii="Times New Roman" w:hAnsi="Times New Roman"/>
                <w:color w:val="000000"/>
              </w:rPr>
            </w:pPr>
            <w:r>
              <w:rPr>
                <w:rFonts w:hint="eastAsia" w:ascii="Times New Roman" w:hAnsi="Times New Roman"/>
                <w:color w:val="000000"/>
              </w:rPr>
              <w:t>本项目正常排放源</w:t>
            </w:r>
            <w:r>
              <w:rPr>
                <w:rFonts w:ascii="Times New Roman" w:hAnsi="Times New Roman"/>
                <w:color w:val="000000"/>
              </w:rPr>
              <w:t xml:space="preserve"> </w:t>
            </w:r>
            <w:r>
              <w:rPr>
                <w:rFonts w:ascii="Wingdings 2" w:hAnsi="Wingdings 2" w:eastAsia="Wingdings 2" w:cs="Wingdings 2"/>
                <w:color w:val="000000"/>
              </w:rPr>
              <w:t>R</w:t>
            </w:r>
          </w:p>
          <w:p w14:paraId="4C6C3991">
            <w:pPr>
              <w:pStyle w:val="379"/>
              <w:spacing w:before="0" w:after="0" w:line="260" w:lineRule="atLeast"/>
              <w:jc w:val="right"/>
              <w:rPr>
                <w:rFonts w:ascii="Times New Roman" w:hAnsi="Times New Roman"/>
                <w:color w:val="000000"/>
              </w:rPr>
            </w:pPr>
            <w:r>
              <w:rPr>
                <w:rFonts w:hint="eastAsia" w:ascii="Times New Roman" w:hAnsi="Times New Roman"/>
                <w:color w:val="000000"/>
              </w:rPr>
              <w:t>本项目非正常排放源</w:t>
            </w:r>
            <w:r>
              <w:rPr>
                <w:rFonts w:ascii="Times New Roman" w:hAnsi="Times New Roman"/>
                <w:color w:val="000000"/>
              </w:rPr>
              <w:t xml:space="preserve"> </w:t>
            </w:r>
            <w:r>
              <w:rPr>
                <w:rFonts w:ascii="Wingdings 2" w:hAnsi="Wingdings 2" w:eastAsia="Wingdings 2" w:cs="Wingdings 2"/>
                <w:color w:val="000000"/>
              </w:rPr>
              <w:t>R</w:t>
            </w:r>
          </w:p>
          <w:p w14:paraId="5DF2B7DB">
            <w:pPr>
              <w:pStyle w:val="379"/>
              <w:spacing w:before="0" w:after="0" w:line="260" w:lineRule="atLeast"/>
              <w:jc w:val="right"/>
              <w:rPr>
                <w:rFonts w:ascii="Times New Roman" w:hAnsi="Times New Roman"/>
                <w:color w:val="000000"/>
              </w:rPr>
            </w:pPr>
            <w:r>
              <w:rPr>
                <w:rFonts w:hint="eastAsia" w:ascii="Times New Roman" w:hAnsi="Times New Roman"/>
                <w:color w:val="000000"/>
              </w:rPr>
              <w:t>现有污染源</w:t>
            </w:r>
            <w:r>
              <w:rPr>
                <w:rFonts w:ascii="Times New Roman" w:hAnsi="Times New Roman"/>
                <w:color w:val="000000"/>
              </w:rPr>
              <w:t xml:space="preserve"> </w:t>
            </w:r>
            <w:r>
              <w:rPr>
                <w:rFonts w:hint="eastAsia" w:ascii="仿宋" w:hAnsi="仿宋" w:eastAsia="仿宋"/>
                <w:color w:val="000000"/>
              </w:rPr>
              <w:t>□</w:t>
            </w:r>
          </w:p>
        </w:tc>
        <w:tc>
          <w:tcPr>
            <w:tcW w:w="1642" w:type="dxa"/>
            <w:gridSpan w:val="5"/>
            <w:noWrap w:val="0"/>
            <w:vAlign w:val="center"/>
          </w:tcPr>
          <w:p w14:paraId="07EEC919">
            <w:pPr>
              <w:pStyle w:val="379"/>
              <w:spacing w:before="0" w:after="0" w:line="260" w:lineRule="atLeast"/>
              <w:rPr>
                <w:rFonts w:ascii="Times New Roman" w:hAnsi="Times New Roman"/>
                <w:color w:val="000000"/>
              </w:rPr>
            </w:pPr>
            <w:r>
              <w:rPr>
                <w:rFonts w:hint="eastAsia" w:ascii="Times New Roman" w:hAnsi="Times New Roman"/>
                <w:color w:val="000000"/>
              </w:rPr>
              <w:t>拟替代的污染源</w:t>
            </w:r>
            <w:r>
              <w:rPr>
                <w:rFonts w:hint="eastAsia" w:ascii="仿宋" w:hAnsi="仿宋" w:eastAsia="仿宋"/>
                <w:color w:val="000000"/>
              </w:rPr>
              <w:t>□</w:t>
            </w:r>
          </w:p>
        </w:tc>
        <w:tc>
          <w:tcPr>
            <w:tcW w:w="1721" w:type="dxa"/>
            <w:gridSpan w:val="6"/>
            <w:noWrap w:val="0"/>
            <w:vAlign w:val="center"/>
          </w:tcPr>
          <w:p w14:paraId="78A63E68">
            <w:pPr>
              <w:pStyle w:val="379"/>
              <w:spacing w:before="0" w:after="0" w:line="260" w:lineRule="atLeast"/>
              <w:rPr>
                <w:rFonts w:ascii="Times New Roman" w:hAnsi="Times New Roman"/>
                <w:color w:val="000000"/>
              </w:rPr>
            </w:pPr>
            <w:r>
              <w:rPr>
                <w:rFonts w:hint="eastAsia" w:ascii="Times New Roman" w:hAnsi="Times New Roman"/>
                <w:color w:val="000000"/>
              </w:rPr>
              <w:t>其他在建、拟建项目污染源</w:t>
            </w:r>
            <w:r>
              <w:rPr>
                <w:rFonts w:hint="eastAsia" w:ascii="仿宋" w:hAnsi="仿宋" w:eastAsia="仿宋"/>
                <w:color w:val="000000"/>
              </w:rPr>
              <w:t>□</w:t>
            </w:r>
          </w:p>
        </w:tc>
        <w:tc>
          <w:tcPr>
            <w:tcW w:w="1269" w:type="dxa"/>
            <w:gridSpan w:val="2"/>
            <w:noWrap w:val="0"/>
            <w:vAlign w:val="center"/>
          </w:tcPr>
          <w:p w14:paraId="2D5DDD9C">
            <w:pPr>
              <w:pStyle w:val="379"/>
              <w:spacing w:before="0" w:after="0" w:line="260" w:lineRule="atLeast"/>
              <w:rPr>
                <w:rFonts w:ascii="Times New Roman" w:hAnsi="Times New Roman"/>
                <w:color w:val="000000"/>
              </w:rPr>
            </w:pPr>
            <w:r>
              <w:rPr>
                <w:rFonts w:hint="eastAsia" w:ascii="Times New Roman" w:hAnsi="Times New Roman"/>
                <w:color w:val="000000"/>
              </w:rPr>
              <w:t>区域污染源</w:t>
            </w:r>
            <w:r>
              <w:rPr>
                <w:rFonts w:hint="eastAsia" w:ascii="仿宋" w:hAnsi="仿宋" w:eastAsia="仿宋"/>
                <w:color w:val="000000"/>
              </w:rPr>
              <w:t>□</w:t>
            </w:r>
          </w:p>
        </w:tc>
      </w:tr>
      <w:tr w14:paraId="4AEC5F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restart"/>
            <w:noWrap w:val="0"/>
            <w:vAlign w:val="center"/>
          </w:tcPr>
          <w:p w14:paraId="31868B18">
            <w:pPr>
              <w:pStyle w:val="379"/>
              <w:spacing w:before="0" w:after="0" w:line="260" w:lineRule="atLeast"/>
              <w:rPr>
                <w:rFonts w:ascii="Times New Roman" w:hAnsi="Times New Roman"/>
                <w:color w:val="000000"/>
              </w:rPr>
            </w:pPr>
            <w:r>
              <w:rPr>
                <w:rFonts w:hint="eastAsia" w:ascii="Times New Roman" w:hAnsi="Times New Roman"/>
                <w:color w:val="000000"/>
              </w:rPr>
              <w:t>大气环境影响预测与</w:t>
            </w:r>
            <w:r>
              <w:rPr>
                <w:rFonts w:ascii="Times New Roman" w:hAnsi="Times New Roman"/>
                <w:color w:val="000000"/>
              </w:rPr>
              <w:br w:type="textWrapping" w:clear="all"/>
            </w:r>
            <w:r>
              <w:rPr>
                <w:rFonts w:hint="eastAsia" w:ascii="Times New Roman" w:hAnsi="Times New Roman"/>
                <w:color w:val="000000"/>
              </w:rPr>
              <w:t>评价</w:t>
            </w:r>
          </w:p>
        </w:tc>
        <w:tc>
          <w:tcPr>
            <w:tcW w:w="1772" w:type="dxa"/>
            <w:noWrap w:val="0"/>
            <w:vAlign w:val="center"/>
          </w:tcPr>
          <w:p w14:paraId="5EEA7D56">
            <w:pPr>
              <w:pStyle w:val="379"/>
              <w:spacing w:before="0" w:after="0" w:line="260" w:lineRule="atLeast"/>
              <w:rPr>
                <w:rFonts w:ascii="Times New Roman" w:hAnsi="Times New Roman"/>
                <w:color w:val="000000"/>
              </w:rPr>
            </w:pPr>
            <w:r>
              <w:rPr>
                <w:rFonts w:hint="eastAsia" w:ascii="Times New Roman" w:hAnsi="Times New Roman"/>
                <w:color w:val="000000"/>
              </w:rPr>
              <w:t>预测模型</w:t>
            </w:r>
          </w:p>
        </w:tc>
        <w:tc>
          <w:tcPr>
            <w:tcW w:w="1024" w:type="dxa"/>
            <w:noWrap w:val="0"/>
            <w:vAlign w:val="center"/>
          </w:tcPr>
          <w:p w14:paraId="49068AE9">
            <w:pPr>
              <w:pStyle w:val="379"/>
              <w:spacing w:before="0" w:after="0" w:line="260" w:lineRule="atLeast"/>
              <w:rPr>
                <w:rFonts w:ascii="Times New Roman" w:hAnsi="Times New Roman"/>
                <w:color w:val="000000"/>
              </w:rPr>
            </w:pPr>
            <w:r>
              <w:rPr>
                <w:rFonts w:ascii="Times New Roman" w:hAnsi="Times New Roman"/>
                <w:color w:val="000000"/>
                <w:szCs w:val="18"/>
              </w:rPr>
              <w:t>AERMOD</w:t>
            </w:r>
            <w:r>
              <w:rPr>
                <w:rFonts w:ascii="Times New Roman" w:hAnsi="Times New Roman"/>
                <w:color w:val="000000"/>
                <w:szCs w:val="18"/>
              </w:rPr>
              <w:br w:type="textWrapping" w:clear="all"/>
            </w:r>
            <w:r>
              <w:rPr>
                <w:rFonts w:ascii="Wingdings 2" w:hAnsi="Wingdings 2" w:eastAsia="Wingdings 2" w:cs="Wingdings 2"/>
                <w:color w:val="000000"/>
              </w:rPr>
              <w:t>R</w:t>
            </w:r>
          </w:p>
        </w:tc>
        <w:tc>
          <w:tcPr>
            <w:tcW w:w="920" w:type="dxa"/>
            <w:gridSpan w:val="4"/>
            <w:noWrap w:val="0"/>
            <w:vAlign w:val="center"/>
          </w:tcPr>
          <w:p w14:paraId="2370E3E6">
            <w:pPr>
              <w:pStyle w:val="379"/>
              <w:spacing w:before="0" w:after="0" w:line="260" w:lineRule="atLeast"/>
              <w:rPr>
                <w:rFonts w:ascii="Times New Roman" w:hAnsi="Times New Roman"/>
                <w:color w:val="000000"/>
              </w:rPr>
            </w:pPr>
            <w:r>
              <w:rPr>
                <w:rFonts w:ascii="Times New Roman" w:hAnsi="Times New Roman"/>
                <w:color w:val="000000"/>
                <w:szCs w:val="18"/>
              </w:rPr>
              <w:t>ADMS</w:t>
            </w:r>
            <w:r>
              <w:rPr>
                <w:rFonts w:ascii="Times New Roman" w:hAnsi="Times New Roman"/>
                <w:color w:val="000000"/>
                <w:szCs w:val="18"/>
              </w:rPr>
              <w:br w:type="textWrapping" w:clear="all"/>
            </w:r>
            <w:r>
              <w:rPr>
                <w:rFonts w:hint="eastAsia" w:ascii="仿宋" w:hAnsi="仿宋" w:eastAsia="仿宋"/>
                <w:color w:val="000000"/>
              </w:rPr>
              <w:t>□</w:t>
            </w:r>
          </w:p>
        </w:tc>
        <w:tc>
          <w:tcPr>
            <w:tcW w:w="1113" w:type="dxa"/>
            <w:gridSpan w:val="4"/>
            <w:noWrap w:val="0"/>
            <w:vAlign w:val="center"/>
          </w:tcPr>
          <w:p w14:paraId="7F338A78">
            <w:pPr>
              <w:pStyle w:val="379"/>
              <w:spacing w:before="0" w:after="0" w:line="260" w:lineRule="atLeast"/>
              <w:rPr>
                <w:rFonts w:ascii="Times New Roman" w:hAnsi="Times New Roman"/>
                <w:color w:val="000000"/>
              </w:rPr>
            </w:pPr>
            <w:r>
              <w:rPr>
                <w:rFonts w:ascii="Times New Roman" w:hAnsi="Times New Roman"/>
                <w:color w:val="000000"/>
                <w:szCs w:val="18"/>
              </w:rPr>
              <w:t>AUSTAL2000</w:t>
            </w:r>
            <w:r>
              <w:rPr>
                <w:rFonts w:ascii="Times New Roman" w:hAnsi="Times New Roman"/>
                <w:color w:val="000000"/>
                <w:szCs w:val="18"/>
              </w:rPr>
              <w:br w:type="textWrapping" w:clear="all"/>
            </w:r>
            <w:r>
              <w:rPr>
                <w:rFonts w:hint="eastAsia" w:ascii="仿宋" w:hAnsi="仿宋" w:eastAsia="仿宋"/>
                <w:color w:val="000000"/>
              </w:rPr>
              <w:t>□</w:t>
            </w:r>
          </w:p>
        </w:tc>
        <w:tc>
          <w:tcPr>
            <w:tcW w:w="1088" w:type="dxa"/>
            <w:gridSpan w:val="3"/>
            <w:noWrap w:val="0"/>
            <w:vAlign w:val="center"/>
          </w:tcPr>
          <w:p w14:paraId="72B57E53">
            <w:pPr>
              <w:pStyle w:val="379"/>
              <w:spacing w:before="0" w:after="0" w:line="260" w:lineRule="atLeast"/>
              <w:rPr>
                <w:rFonts w:ascii="Times New Roman" w:hAnsi="Times New Roman"/>
                <w:color w:val="000000"/>
              </w:rPr>
            </w:pPr>
            <w:r>
              <w:rPr>
                <w:rFonts w:ascii="Times New Roman" w:hAnsi="Times New Roman"/>
                <w:color w:val="000000"/>
                <w:szCs w:val="18"/>
              </w:rPr>
              <w:t>EDMS/AEDT</w:t>
            </w:r>
            <w:r>
              <w:rPr>
                <w:rFonts w:ascii="Times New Roman" w:hAnsi="Times New Roman"/>
                <w:color w:val="000000"/>
                <w:szCs w:val="18"/>
              </w:rPr>
              <w:br w:type="textWrapping" w:clear="all"/>
            </w:r>
            <w:r>
              <w:rPr>
                <w:rFonts w:hint="eastAsia" w:ascii="仿宋" w:hAnsi="仿宋" w:eastAsia="仿宋"/>
                <w:color w:val="000000"/>
              </w:rPr>
              <w:t>□</w:t>
            </w:r>
          </w:p>
        </w:tc>
        <w:tc>
          <w:tcPr>
            <w:tcW w:w="857" w:type="dxa"/>
            <w:gridSpan w:val="3"/>
            <w:noWrap w:val="0"/>
            <w:vAlign w:val="center"/>
          </w:tcPr>
          <w:p w14:paraId="6B0D1234">
            <w:pPr>
              <w:pStyle w:val="379"/>
              <w:spacing w:before="0" w:after="0" w:line="260" w:lineRule="atLeast"/>
              <w:rPr>
                <w:rFonts w:ascii="Times New Roman" w:hAnsi="Times New Roman"/>
                <w:color w:val="000000"/>
              </w:rPr>
            </w:pPr>
            <w:r>
              <w:rPr>
                <w:rFonts w:ascii="Times New Roman" w:hAnsi="Times New Roman"/>
                <w:color w:val="000000"/>
                <w:szCs w:val="18"/>
              </w:rPr>
              <w:t>CALPUFF</w:t>
            </w:r>
            <w:r>
              <w:rPr>
                <w:rFonts w:ascii="Times New Roman" w:hAnsi="Times New Roman"/>
                <w:color w:val="000000"/>
                <w:szCs w:val="18"/>
              </w:rPr>
              <w:br w:type="textWrapping" w:clear="all"/>
            </w:r>
            <w:r>
              <w:rPr>
                <w:rFonts w:hint="eastAsia" w:ascii="仿宋" w:hAnsi="仿宋" w:eastAsia="仿宋"/>
                <w:color w:val="000000"/>
              </w:rPr>
              <w:t>□</w:t>
            </w:r>
          </w:p>
        </w:tc>
        <w:tc>
          <w:tcPr>
            <w:tcW w:w="938" w:type="dxa"/>
            <w:gridSpan w:val="3"/>
            <w:noWrap w:val="0"/>
            <w:vAlign w:val="center"/>
          </w:tcPr>
          <w:p w14:paraId="19D18598">
            <w:pPr>
              <w:pStyle w:val="379"/>
              <w:spacing w:before="0" w:after="0" w:line="260" w:lineRule="atLeast"/>
              <w:rPr>
                <w:rFonts w:ascii="Times New Roman" w:hAnsi="Times New Roman"/>
                <w:color w:val="000000"/>
              </w:rPr>
            </w:pPr>
            <w:r>
              <w:rPr>
                <w:rFonts w:hint="eastAsia" w:ascii="Times New Roman" w:hAnsi="Times New Roman"/>
                <w:color w:val="000000"/>
                <w:szCs w:val="18"/>
              </w:rPr>
              <w:t>网格模型</w:t>
            </w:r>
            <w:r>
              <w:rPr>
                <w:rFonts w:ascii="Times New Roman" w:hAnsi="Times New Roman"/>
                <w:color w:val="000000"/>
                <w:szCs w:val="18"/>
              </w:rPr>
              <w:br w:type="textWrapping" w:clear="all"/>
            </w:r>
            <w:r>
              <w:rPr>
                <w:rFonts w:hint="eastAsia" w:ascii="仿宋" w:hAnsi="仿宋" w:eastAsia="仿宋"/>
                <w:color w:val="000000"/>
              </w:rPr>
              <w:t>□</w:t>
            </w:r>
          </w:p>
        </w:tc>
        <w:tc>
          <w:tcPr>
            <w:tcW w:w="758" w:type="dxa"/>
            <w:noWrap w:val="0"/>
            <w:vAlign w:val="center"/>
          </w:tcPr>
          <w:p w14:paraId="3609DDBB">
            <w:pPr>
              <w:pStyle w:val="379"/>
              <w:spacing w:before="0" w:after="0" w:line="260" w:lineRule="atLeast"/>
              <w:rPr>
                <w:rFonts w:ascii="Times New Roman" w:hAnsi="Times New Roman"/>
                <w:color w:val="000000"/>
              </w:rPr>
            </w:pPr>
            <w:r>
              <w:rPr>
                <w:rFonts w:hint="eastAsia" w:ascii="Times New Roman" w:hAnsi="Times New Roman"/>
                <w:color w:val="000000"/>
              </w:rPr>
              <w:t>其他</w:t>
            </w:r>
            <w:r>
              <w:rPr>
                <w:rFonts w:ascii="Times New Roman" w:hAnsi="Times New Roman"/>
                <w:color w:val="000000"/>
              </w:rPr>
              <w:br w:type="textWrapping" w:clear="all"/>
            </w:r>
            <w:r>
              <w:rPr>
                <w:rFonts w:hint="eastAsia" w:ascii="仿宋" w:hAnsi="仿宋" w:eastAsia="仿宋"/>
                <w:color w:val="000000"/>
              </w:rPr>
              <w:t>□</w:t>
            </w:r>
          </w:p>
        </w:tc>
      </w:tr>
      <w:tr w14:paraId="2DFD9CF9">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72" w:hRule="atLeast"/>
        </w:trPr>
        <w:tc>
          <w:tcPr>
            <w:tcW w:w="1029" w:type="dxa"/>
            <w:vMerge w:val="continue"/>
            <w:noWrap w:val="0"/>
            <w:vAlign w:val="center"/>
          </w:tcPr>
          <w:p w14:paraId="153A93B6">
            <w:pPr>
              <w:pStyle w:val="379"/>
              <w:spacing w:before="0" w:after="0" w:line="260" w:lineRule="atLeast"/>
              <w:rPr>
                <w:rFonts w:ascii="Times New Roman" w:hAnsi="Times New Roman"/>
                <w:color w:val="000000"/>
              </w:rPr>
            </w:pPr>
          </w:p>
        </w:tc>
        <w:tc>
          <w:tcPr>
            <w:tcW w:w="1772" w:type="dxa"/>
            <w:noWrap w:val="0"/>
            <w:vAlign w:val="center"/>
          </w:tcPr>
          <w:p w14:paraId="3BAF0BC7">
            <w:pPr>
              <w:pStyle w:val="379"/>
              <w:spacing w:before="0" w:after="0" w:line="260" w:lineRule="atLeast"/>
              <w:rPr>
                <w:rFonts w:ascii="Times New Roman" w:hAnsi="Times New Roman"/>
                <w:color w:val="000000"/>
              </w:rPr>
            </w:pPr>
            <w:r>
              <w:rPr>
                <w:rFonts w:hint="eastAsia" w:ascii="Times New Roman" w:hAnsi="Times New Roman"/>
                <w:color w:val="000000"/>
              </w:rPr>
              <w:t>预测范围</w:t>
            </w:r>
          </w:p>
        </w:tc>
        <w:tc>
          <w:tcPr>
            <w:tcW w:w="1944" w:type="dxa"/>
            <w:gridSpan w:val="5"/>
            <w:noWrap w:val="0"/>
            <w:vAlign w:val="center"/>
          </w:tcPr>
          <w:p w14:paraId="740BE815">
            <w:pPr>
              <w:pStyle w:val="379"/>
              <w:spacing w:before="0" w:after="0" w:line="260" w:lineRule="atLeast"/>
              <w:rPr>
                <w:rFonts w:ascii="Times New Roman" w:hAnsi="Times New Roman"/>
                <w:color w:val="000000"/>
                <w:szCs w:val="18"/>
              </w:rPr>
            </w:pPr>
            <w:r>
              <w:rPr>
                <w:rFonts w:hint="eastAsia" w:ascii="Times New Roman" w:hAnsi="Times New Roman"/>
                <w:color w:val="000000"/>
              </w:rPr>
              <w:t>边长</w:t>
            </w:r>
            <w:r>
              <w:rPr>
                <w:rFonts w:hint="eastAsia" w:ascii="仿宋" w:hAnsi="仿宋" w:eastAsia="仿宋"/>
                <w:color w:val="000000"/>
              </w:rPr>
              <w:t>≥</w:t>
            </w:r>
            <w:r>
              <w:rPr>
                <w:rFonts w:ascii="Times New Roman" w:hAnsi="Times New Roman"/>
                <w:color w:val="000000"/>
              </w:rPr>
              <w:t xml:space="preserve"> 50km</w:t>
            </w:r>
            <w:r>
              <w:rPr>
                <w:rFonts w:hint="eastAsia" w:ascii="仿宋" w:hAnsi="仿宋" w:eastAsia="仿宋"/>
                <w:color w:val="000000"/>
              </w:rPr>
              <w:t>□</w:t>
            </w:r>
          </w:p>
        </w:tc>
        <w:tc>
          <w:tcPr>
            <w:tcW w:w="3058" w:type="dxa"/>
            <w:gridSpan w:val="10"/>
            <w:noWrap w:val="0"/>
            <w:vAlign w:val="center"/>
          </w:tcPr>
          <w:p w14:paraId="6FB1BFEA">
            <w:pPr>
              <w:pStyle w:val="379"/>
              <w:spacing w:before="0" w:after="0" w:line="260" w:lineRule="atLeast"/>
              <w:rPr>
                <w:rFonts w:ascii="Times New Roman" w:hAnsi="Times New Roman"/>
                <w:color w:val="000000"/>
                <w:szCs w:val="18"/>
              </w:rPr>
            </w:pPr>
            <w:r>
              <w:rPr>
                <w:rFonts w:hint="eastAsia" w:ascii="Times New Roman" w:hAnsi="Times New Roman"/>
                <w:color w:val="000000"/>
              </w:rPr>
              <w:t>边长</w:t>
            </w:r>
            <w:r>
              <w:rPr>
                <w:rFonts w:ascii="Times New Roman" w:hAnsi="Times New Roman"/>
                <w:color w:val="000000"/>
              </w:rPr>
              <w:t>5</w:t>
            </w:r>
            <w:r>
              <w:rPr>
                <w:rFonts w:hint="eastAsia" w:ascii="Times New Roman" w:hAnsi="Times New Roman"/>
                <w:color w:val="000000"/>
              </w:rPr>
              <w:t>～</w:t>
            </w:r>
            <w:r>
              <w:rPr>
                <w:rFonts w:ascii="Times New Roman" w:hAnsi="Times New Roman"/>
                <w:color w:val="000000"/>
              </w:rPr>
              <w:t xml:space="preserve">50km </w:t>
            </w:r>
            <w:r>
              <w:rPr>
                <w:rFonts w:ascii="Wingdings 2" w:hAnsi="Wingdings 2" w:eastAsia="Wingdings 2" w:cs="Wingdings 2"/>
                <w:color w:val="000000"/>
              </w:rPr>
              <w:t>R</w:t>
            </w:r>
          </w:p>
        </w:tc>
        <w:tc>
          <w:tcPr>
            <w:tcW w:w="1696" w:type="dxa"/>
            <w:gridSpan w:val="4"/>
            <w:noWrap w:val="0"/>
            <w:vAlign w:val="center"/>
          </w:tcPr>
          <w:p w14:paraId="2B2176DE">
            <w:pPr>
              <w:pStyle w:val="379"/>
              <w:spacing w:before="0" w:after="0" w:line="260" w:lineRule="atLeast"/>
              <w:rPr>
                <w:rFonts w:ascii="Times New Roman" w:hAnsi="Times New Roman"/>
                <w:color w:val="000000"/>
              </w:rPr>
            </w:pPr>
            <w:r>
              <w:rPr>
                <w:rFonts w:hint="eastAsia" w:ascii="Times New Roman" w:hAnsi="Times New Roman"/>
                <w:color w:val="000000"/>
              </w:rPr>
              <w:t>边长</w:t>
            </w:r>
            <w:r>
              <w:rPr>
                <w:rFonts w:ascii="Times New Roman" w:hAnsi="Times New Roman"/>
                <w:color w:val="000000"/>
              </w:rPr>
              <w:t xml:space="preserve"> = 5 km </w:t>
            </w:r>
            <w:r>
              <w:rPr>
                <w:rFonts w:ascii="Wingdings 2" w:hAnsi="Wingdings 2" w:eastAsia="Wingdings 2" w:cs="Wingdings 2"/>
                <w:color w:val="000000"/>
              </w:rPr>
              <w:t>£</w:t>
            </w:r>
          </w:p>
        </w:tc>
      </w:tr>
      <w:tr w14:paraId="605431A4">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401" w:hRule="atLeast"/>
        </w:trPr>
        <w:tc>
          <w:tcPr>
            <w:tcW w:w="1029" w:type="dxa"/>
            <w:vMerge w:val="continue"/>
            <w:noWrap w:val="0"/>
            <w:vAlign w:val="center"/>
          </w:tcPr>
          <w:p w14:paraId="081A1167">
            <w:pPr>
              <w:pStyle w:val="379"/>
              <w:spacing w:before="0" w:after="0" w:line="260" w:lineRule="atLeast"/>
              <w:rPr>
                <w:rFonts w:ascii="Times New Roman" w:hAnsi="Times New Roman"/>
                <w:color w:val="000000"/>
              </w:rPr>
            </w:pPr>
          </w:p>
        </w:tc>
        <w:tc>
          <w:tcPr>
            <w:tcW w:w="1772" w:type="dxa"/>
            <w:noWrap w:val="0"/>
            <w:vAlign w:val="center"/>
          </w:tcPr>
          <w:p w14:paraId="519F2B8E">
            <w:pPr>
              <w:pStyle w:val="379"/>
              <w:spacing w:before="0" w:after="0" w:line="260" w:lineRule="atLeast"/>
              <w:rPr>
                <w:rFonts w:ascii="Times New Roman" w:hAnsi="Times New Roman"/>
                <w:color w:val="000000"/>
              </w:rPr>
            </w:pPr>
            <w:r>
              <w:rPr>
                <w:rFonts w:hint="eastAsia" w:ascii="Times New Roman" w:hAnsi="Times New Roman"/>
                <w:color w:val="000000"/>
              </w:rPr>
              <w:t>预测因子</w:t>
            </w:r>
          </w:p>
        </w:tc>
        <w:tc>
          <w:tcPr>
            <w:tcW w:w="3708" w:type="dxa"/>
            <w:gridSpan w:val="11"/>
            <w:noWrap w:val="0"/>
            <w:vAlign w:val="center"/>
          </w:tcPr>
          <w:p w14:paraId="780AFA53">
            <w:pPr>
              <w:pStyle w:val="379"/>
              <w:spacing w:before="0" w:after="0" w:line="260" w:lineRule="atLeast"/>
              <w:rPr>
                <w:rFonts w:ascii="Times New Roman" w:hAnsi="Times New Roman"/>
                <w:color w:val="000000"/>
              </w:rPr>
            </w:pPr>
            <w:r>
              <w:rPr>
                <w:rFonts w:hint="eastAsia" w:ascii="Times New Roman" w:hAnsi="Times New Roman"/>
                <w:color w:val="000000"/>
              </w:rPr>
              <w:t>预测因子(</w:t>
            </w:r>
            <w:r>
              <w:rPr>
                <w:rFonts w:ascii="Times New Roman" w:hAnsi="Times New Roman"/>
                <w:color w:val="000000"/>
              </w:rPr>
              <w:t xml:space="preserve"> </w:t>
            </w:r>
            <w:r>
              <w:rPr>
                <w:rFonts w:hint="eastAsia" w:ascii="Calibri" w:hAnsi="Calibri"/>
                <w:color w:val="000000"/>
                <w:lang w:val="en-US" w:eastAsia="zh-CN"/>
              </w:rPr>
              <w:t>TSP、SO</w:t>
            </w:r>
            <w:r>
              <w:rPr>
                <w:rFonts w:hint="eastAsia" w:ascii="Calibri" w:hAnsi="Calibri"/>
                <w:color w:val="000000"/>
                <w:vertAlign w:val="subscript"/>
                <w:lang w:val="en-US" w:eastAsia="zh-CN"/>
              </w:rPr>
              <w:t>2</w:t>
            </w:r>
            <w:r>
              <w:rPr>
                <w:rFonts w:hint="eastAsia" w:ascii="Calibri" w:hAnsi="Calibri"/>
                <w:color w:val="000000"/>
                <w:lang w:val="en-US" w:eastAsia="zh-CN"/>
              </w:rPr>
              <w:t>、NO</w:t>
            </w:r>
            <w:r>
              <w:rPr>
                <w:rFonts w:hint="eastAsia" w:ascii="Calibri" w:hAnsi="Calibri"/>
                <w:color w:val="000000"/>
                <w:vertAlign w:val="subscript"/>
                <w:lang w:val="en-US" w:eastAsia="zh-CN"/>
              </w:rPr>
              <w:t>X</w:t>
            </w:r>
            <w:r>
              <w:rPr>
                <w:rFonts w:ascii="Times New Roman" w:hAnsi="Times New Roman"/>
                <w:color w:val="000000"/>
                <w:vertAlign w:val="subscript"/>
              </w:rPr>
              <w:t xml:space="preserve"> </w:t>
            </w:r>
            <w:r>
              <w:rPr>
                <w:rFonts w:hint="eastAsia" w:ascii="Calibri" w:hAnsi="Calibri"/>
                <w:color w:val="000000"/>
                <w:vertAlign w:val="baseline"/>
                <w:lang w:eastAsia="zh-CN"/>
              </w:rPr>
              <w:t>、</w:t>
            </w:r>
            <w:r>
              <w:rPr>
                <w:rFonts w:hint="eastAsia" w:ascii="Calibri" w:hAnsi="Calibri"/>
                <w:color w:val="000000"/>
                <w:lang w:val="en-US" w:eastAsia="zh-CN"/>
              </w:rPr>
              <w:t xml:space="preserve"> 甲醛、酚类、非甲烷总烃、NH</w:t>
            </w:r>
            <w:r>
              <w:rPr>
                <w:rFonts w:hint="eastAsia" w:ascii="Calibri" w:hAnsi="Calibri"/>
                <w:color w:val="000000"/>
                <w:vertAlign w:val="subscript"/>
                <w:lang w:val="en-US" w:eastAsia="zh-CN"/>
              </w:rPr>
              <w:t>3</w:t>
            </w:r>
            <w:r>
              <w:rPr>
                <w:rFonts w:ascii="Times New Roman" w:hAnsi="Times New Roman"/>
                <w:color w:val="000000"/>
                <w:vertAlign w:val="subscript"/>
              </w:rPr>
              <w:t xml:space="preserve">  </w:t>
            </w:r>
            <w:r>
              <w:rPr>
                <w:rFonts w:ascii="Times New Roman" w:hAnsi="Times New Roman"/>
                <w:color w:val="000000"/>
              </w:rPr>
              <w:t xml:space="preserve">   </w:t>
            </w:r>
            <w:r>
              <w:rPr>
                <w:rFonts w:hint="eastAsia" w:ascii="Calibri" w:hAnsi="Calibri"/>
                <w:color w:val="000000"/>
                <w:lang w:val="en-US" w:eastAsia="zh-CN"/>
              </w:rPr>
              <w:t xml:space="preserve"> </w:t>
            </w:r>
            <w:r>
              <w:rPr>
                <w:rFonts w:ascii="Times New Roman" w:hAnsi="Times New Roman"/>
                <w:color w:val="000000"/>
              </w:rPr>
              <w:t xml:space="preserve">   )</w:t>
            </w:r>
          </w:p>
        </w:tc>
        <w:tc>
          <w:tcPr>
            <w:tcW w:w="2990" w:type="dxa"/>
            <w:gridSpan w:val="8"/>
            <w:noWrap w:val="0"/>
            <w:vAlign w:val="center"/>
          </w:tcPr>
          <w:p w14:paraId="151EE525">
            <w:pPr>
              <w:pStyle w:val="379"/>
              <w:spacing w:before="0" w:after="0" w:line="260" w:lineRule="atLeast"/>
              <w:ind w:right="631"/>
              <w:jc w:val="right"/>
              <w:rPr>
                <w:rFonts w:ascii="Times New Roman" w:hAnsi="Times New Roman"/>
                <w:color w:val="000000"/>
              </w:rPr>
            </w:pPr>
            <w:r>
              <w:rPr>
                <w:rFonts w:hint="eastAsia" w:ascii="Times New Roman" w:hAnsi="Times New Roman"/>
                <w:color w:val="000000"/>
              </w:rPr>
              <w:t>包括二次</w:t>
            </w:r>
            <w:r>
              <w:rPr>
                <w:rFonts w:ascii="Times New Roman" w:hAnsi="Times New Roman"/>
                <w:color w:val="000000"/>
              </w:rPr>
              <w:t>PM</w:t>
            </w:r>
            <w:r>
              <w:rPr>
                <w:rFonts w:ascii="Times New Roman" w:hAnsi="Times New Roman"/>
                <w:color w:val="000000"/>
                <w:vertAlign w:val="subscript"/>
              </w:rPr>
              <w:t>2.5</w:t>
            </w:r>
            <w:r>
              <w:rPr>
                <w:rFonts w:ascii="Times New Roman" w:hAnsi="Times New Roman"/>
                <w:color w:val="000000"/>
              </w:rPr>
              <w:t xml:space="preserve"> </w:t>
            </w:r>
            <w:r>
              <w:rPr>
                <w:rFonts w:hint="eastAsia" w:ascii="仿宋" w:hAnsi="仿宋" w:eastAsia="仿宋"/>
                <w:color w:val="000000"/>
              </w:rPr>
              <w:t>□</w:t>
            </w:r>
          </w:p>
          <w:p w14:paraId="0D201761">
            <w:pPr>
              <w:pStyle w:val="379"/>
              <w:spacing w:before="0" w:after="0" w:line="260" w:lineRule="atLeast"/>
              <w:ind w:right="631"/>
              <w:jc w:val="right"/>
              <w:rPr>
                <w:rFonts w:ascii="Times New Roman" w:hAnsi="Times New Roman"/>
                <w:color w:val="000000"/>
              </w:rPr>
            </w:pPr>
            <w:r>
              <w:rPr>
                <w:rFonts w:hint="eastAsia" w:ascii="Times New Roman" w:hAnsi="Times New Roman"/>
                <w:color w:val="000000"/>
              </w:rPr>
              <w:t>不包括二次</w:t>
            </w:r>
            <w:r>
              <w:rPr>
                <w:rFonts w:ascii="Times New Roman" w:hAnsi="Times New Roman"/>
                <w:color w:val="000000"/>
              </w:rPr>
              <w:t>PM</w:t>
            </w:r>
            <w:r>
              <w:rPr>
                <w:rFonts w:ascii="Times New Roman" w:hAnsi="Times New Roman"/>
                <w:color w:val="000000"/>
                <w:vertAlign w:val="subscript"/>
              </w:rPr>
              <w:t>2.5</w:t>
            </w:r>
            <w:r>
              <w:rPr>
                <w:rFonts w:ascii="Times New Roman" w:hAnsi="Times New Roman"/>
                <w:color w:val="000000"/>
              </w:rPr>
              <w:t xml:space="preserve"> </w:t>
            </w:r>
            <w:r>
              <w:rPr>
                <w:rFonts w:ascii="Wingdings 2" w:hAnsi="Wingdings 2" w:eastAsia="Wingdings 2" w:cs="Wingdings 2"/>
                <w:color w:val="000000"/>
              </w:rPr>
              <w:t>R</w:t>
            </w:r>
          </w:p>
        </w:tc>
      </w:tr>
      <w:tr w14:paraId="65E54C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7C5C5275">
            <w:pPr>
              <w:pStyle w:val="379"/>
              <w:spacing w:before="0" w:after="0" w:line="260" w:lineRule="atLeast"/>
              <w:rPr>
                <w:rFonts w:ascii="Times New Roman" w:hAnsi="Times New Roman"/>
                <w:color w:val="000000"/>
              </w:rPr>
            </w:pPr>
          </w:p>
        </w:tc>
        <w:tc>
          <w:tcPr>
            <w:tcW w:w="1772" w:type="dxa"/>
            <w:noWrap w:val="0"/>
            <w:vAlign w:val="center"/>
          </w:tcPr>
          <w:p w14:paraId="5B91820D">
            <w:pPr>
              <w:pStyle w:val="379"/>
              <w:spacing w:before="0" w:after="0" w:line="260" w:lineRule="atLeast"/>
              <w:rPr>
                <w:rFonts w:ascii="Times New Roman" w:hAnsi="Times New Roman"/>
                <w:color w:val="000000"/>
              </w:rPr>
            </w:pPr>
            <w:r>
              <w:rPr>
                <w:rFonts w:hint="eastAsia" w:ascii="Times New Roman" w:hAnsi="Times New Roman"/>
                <w:color w:val="000000"/>
              </w:rPr>
              <w:t>正常排放短期浓度</w:t>
            </w:r>
            <w:r>
              <w:rPr>
                <w:rFonts w:ascii="Times New Roman" w:hAnsi="Times New Roman"/>
                <w:color w:val="000000"/>
              </w:rPr>
              <w:br w:type="textWrapping" w:clear="all"/>
            </w:r>
            <w:r>
              <w:rPr>
                <w:rFonts w:hint="eastAsia" w:ascii="Times New Roman" w:hAnsi="Times New Roman"/>
                <w:color w:val="000000"/>
              </w:rPr>
              <w:t>贡献值</w:t>
            </w:r>
          </w:p>
        </w:tc>
        <w:tc>
          <w:tcPr>
            <w:tcW w:w="3708" w:type="dxa"/>
            <w:gridSpan w:val="11"/>
            <w:noWrap w:val="0"/>
            <w:vAlign w:val="center"/>
          </w:tcPr>
          <w:p w14:paraId="59486126">
            <w:pPr>
              <w:pStyle w:val="379"/>
              <w:spacing w:before="0" w:after="0" w:line="260" w:lineRule="atLeast"/>
              <w:rPr>
                <w:rFonts w:ascii="Times New Roman" w:hAnsi="Times New Roman"/>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本项目</m:t>
                  </m:r>
                  <m:ctrlPr>
                    <w:rPr>
                      <w:rFonts w:ascii="Cambria Math" w:hAnsi="Cambria Math"/>
                      <w:i/>
                      <w:color w:val="000000"/>
                    </w:rPr>
                  </m:ctrlPr>
                </m:sub>
              </m:sSub>
            </m:oMath>
            <w:r>
              <w:rPr>
                <w:rFonts w:hint="eastAsia" w:ascii="Times New Roman" w:hAnsi="Times New Roman"/>
                <w:color w:val="000000"/>
              </w:rPr>
              <w:t>最大占标率</w:t>
            </w:r>
            <w:r>
              <w:rPr>
                <w:rFonts w:hint="eastAsia" w:ascii="仿宋" w:hAnsi="仿宋" w:eastAsia="仿宋"/>
                <w:color w:val="000000"/>
              </w:rPr>
              <w:t>≤</w:t>
            </w:r>
            <w:r>
              <w:rPr>
                <w:rFonts w:ascii="Times New Roman" w:hAnsi="Times New Roman"/>
                <w:color w:val="000000"/>
              </w:rPr>
              <w:t>100%</w:t>
            </w:r>
            <w:r>
              <w:rPr>
                <w:rFonts w:ascii="Wingdings 2" w:hAnsi="Wingdings 2" w:eastAsia="Wingdings 2" w:cs="Wingdings 2"/>
                <w:color w:val="000000"/>
              </w:rPr>
              <w:t>R</w:t>
            </w:r>
          </w:p>
        </w:tc>
        <w:tc>
          <w:tcPr>
            <w:tcW w:w="2990" w:type="dxa"/>
            <w:gridSpan w:val="8"/>
            <w:noWrap w:val="0"/>
            <w:vAlign w:val="center"/>
          </w:tcPr>
          <w:p w14:paraId="4C78ACB5">
            <w:pPr>
              <w:pStyle w:val="379"/>
              <w:spacing w:before="0" w:after="0" w:line="260" w:lineRule="atLeast"/>
              <w:rPr>
                <w:rFonts w:ascii="Times New Roman" w:hAnsi="Times New Roman"/>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本项目</m:t>
                  </m:r>
                  <m:ctrlPr>
                    <w:rPr>
                      <w:rFonts w:ascii="Cambria Math" w:hAnsi="Cambria Math"/>
                      <w:i/>
                      <w:color w:val="000000"/>
                    </w:rPr>
                  </m:ctrlPr>
                </m:sub>
              </m:sSub>
            </m:oMath>
            <w:r>
              <w:rPr>
                <w:rFonts w:hint="eastAsia" w:ascii="Times New Roman" w:hAnsi="Times New Roman"/>
                <w:color w:val="000000"/>
              </w:rPr>
              <w:t>最大占标率</w:t>
            </w:r>
            <w:r>
              <w:rPr>
                <w:rFonts w:hint="eastAsia" w:ascii="仿宋" w:hAnsi="仿宋" w:eastAsia="仿宋"/>
                <w:color w:val="000000"/>
              </w:rPr>
              <w:t>＞</w:t>
            </w:r>
            <w:r>
              <w:rPr>
                <w:rFonts w:ascii="Times New Roman" w:hAnsi="Times New Roman"/>
                <w:color w:val="000000"/>
              </w:rPr>
              <w:t xml:space="preserve">100% </w:t>
            </w:r>
            <w:r>
              <w:rPr>
                <w:rFonts w:hint="eastAsia" w:ascii="仿宋" w:hAnsi="仿宋" w:eastAsia="仿宋"/>
                <w:color w:val="000000"/>
              </w:rPr>
              <w:t>□</w:t>
            </w:r>
          </w:p>
        </w:tc>
      </w:tr>
      <w:tr w14:paraId="69E456D8">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489" w:hRule="atLeast"/>
        </w:trPr>
        <w:tc>
          <w:tcPr>
            <w:tcW w:w="1029" w:type="dxa"/>
            <w:vMerge w:val="continue"/>
            <w:noWrap w:val="0"/>
            <w:vAlign w:val="center"/>
          </w:tcPr>
          <w:p w14:paraId="48D50989">
            <w:pPr>
              <w:pStyle w:val="379"/>
              <w:spacing w:before="0" w:after="0" w:line="260" w:lineRule="atLeast"/>
              <w:rPr>
                <w:rFonts w:ascii="Times New Roman" w:hAnsi="Times New Roman"/>
                <w:color w:val="000000"/>
              </w:rPr>
            </w:pPr>
          </w:p>
        </w:tc>
        <w:tc>
          <w:tcPr>
            <w:tcW w:w="1772" w:type="dxa"/>
            <w:vMerge w:val="restart"/>
            <w:noWrap w:val="0"/>
            <w:vAlign w:val="center"/>
          </w:tcPr>
          <w:p w14:paraId="0A7DAA0C">
            <w:pPr>
              <w:pStyle w:val="379"/>
              <w:spacing w:before="0" w:after="0" w:line="260" w:lineRule="atLeast"/>
              <w:rPr>
                <w:rFonts w:ascii="Times New Roman" w:hAnsi="Times New Roman"/>
                <w:color w:val="000000"/>
              </w:rPr>
            </w:pPr>
            <w:r>
              <w:rPr>
                <w:rFonts w:hint="eastAsia" w:ascii="Times New Roman" w:hAnsi="Times New Roman"/>
                <w:color w:val="000000"/>
              </w:rPr>
              <w:t>正常排放年均浓度</w:t>
            </w:r>
            <w:r>
              <w:rPr>
                <w:rFonts w:ascii="Times New Roman" w:hAnsi="Times New Roman"/>
                <w:color w:val="000000"/>
              </w:rPr>
              <w:br w:type="textWrapping" w:clear="all"/>
            </w:r>
            <w:r>
              <w:rPr>
                <w:rFonts w:hint="eastAsia" w:ascii="Times New Roman" w:hAnsi="Times New Roman"/>
                <w:color w:val="000000"/>
              </w:rPr>
              <w:t>贡献值</w:t>
            </w:r>
          </w:p>
        </w:tc>
        <w:tc>
          <w:tcPr>
            <w:tcW w:w="1024" w:type="dxa"/>
            <w:noWrap w:val="0"/>
            <w:vAlign w:val="center"/>
          </w:tcPr>
          <w:p w14:paraId="45046568">
            <w:pPr>
              <w:pStyle w:val="379"/>
              <w:spacing w:before="0" w:after="0" w:line="260" w:lineRule="atLeast"/>
              <w:rPr>
                <w:rFonts w:ascii="Times New Roman" w:hAnsi="Times New Roman"/>
                <w:color w:val="000000"/>
              </w:rPr>
            </w:pPr>
            <w:r>
              <w:rPr>
                <w:rFonts w:hint="eastAsia" w:ascii="Times New Roman" w:hAnsi="Times New Roman"/>
                <w:color w:val="000000"/>
              </w:rPr>
              <w:t>一类区</w:t>
            </w:r>
          </w:p>
        </w:tc>
        <w:tc>
          <w:tcPr>
            <w:tcW w:w="2684" w:type="dxa"/>
            <w:gridSpan w:val="10"/>
            <w:noWrap w:val="0"/>
            <w:vAlign w:val="center"/>
          </w:tcPr>
          <w:p w14:paraId="21CC5A6D">
            <w:pPr>
              <w:pStyle w:val="379"/>
              <w:spacing w:before="31" w:after="31" w:line="260" w:lineRule="atLeast"/>
              <w:rPr>
                <w:rFonts w:ascii="Calibri" w:hAnsi="Calibri"/>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本项目</m:t>
                  </m:r>
                  <m:ctrlPr>
                    <w:rPr>
                      <w:rFonts w:ascii="Cambria Math" w:hAnsi="Cambria Math"/>
                      <w:i/>
                      <w:color w:val="000000"/>
                    </w:rPr>
                  </m:ctrlPr>
                </m:sub>
              </m:sSub>
            </m:oMath>
            <w:r>
              <w:rPr>
                <w:rFonts w:hint="eastAsia" w:ascii="Times New Roman" w:hAnsi="Times New Roman"/>
                <w:color w:val="000000"/>
              </w:rPr>
              <w:t>最大占标率</w:t>
            </w:r>
            <w:bookmarkStart w:id="157" w:name="OLE_LINK5"/>
            <w:bookmarkStart w:id="158" w:name="OLE_LINK7"/>
            <w:r>
              <w:rPr>
                <w:rFonts w:hint="eastAsia" w:ascii="仿宋" w:hAnsi="仿宋" w:eastAsia="仿宋"/>
                <w:color w:val="000000"/>
              </w:rPr>
              <w:t>≤</w:t>
            </w:r>
            <w:bookmarkEnd w:id="157"/>
            <w:bookmarkEnd w:id="158"/>
            <w:r>
              <w:rPr>
                <w:rFonts w:ascii="Times New Roman" w:hAnsi="Times New Roman"/>
                <w:color w:val="000000"/>
              </w:rPr>
              <w:t>10%</w:t>
            </w:r>
            <w:r>
              <w:rPr>
                <w:rFonts w:hint="eastAsia" w:ascii="仿宋" w:hAnsi="仿宋" w:eastAsia="仿宋"/>
                <w:color w:val="000000"/>
              </w:rPr>
              <w:t>□</w:t>
            </w:r>
          </w:p>
        </w:tc>
        <w:tc>
          <w:tcPr>
            <w:tcW w:w="2990" w:type="dxa"/>
            <w:gridSpan w:val="8"/>
            <w:noWrap w:val="0"/>
            <w:vAlign w:val="center"/>
          </w:tcPr>
          <w:p w14:paraId="19F06517">
            <w:pPr>
              <w:pStyle w:val="379"/>
              <w:spacing w:before="0" w:after="0" w:line="260" w:lineRule="atLeast"/>
              <w:rPr>
                <w:rFonts w:ascii="Times New Roman" w:hAnsi="Times New Roman"/>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本项目</m:t>
                  </m:r>
                  <m:ctrlPr>
                    <w:rPr>
                      <w:rFonts w:ascii="Cambria Math" w:hAnsi="Cambria Math"/>
                      <w:i/>
                      <w:color w:val="000000"/>
                    </w:rPr>
                  </m:ctrlPr>
                </m:sub>
              </m:sSub>
            </m:oMath>
            <w:r>
              <w:rPr>
                <w:rFonts w:hint="eastAsia" w:ascii="Times New Roman" w:hAnsi="Times New Roman"/>
                <w:color w:val="000000"/>
              </w:rPr>
              <w:t>最大标率</w:t>
            </w:r>
            <w:r>
              <w:rPr>
                <w:rFonts w:hint="eastAsia" w:ascii="仿宋" w:hAnsi="仿宋" w:eastAsia="仿宋"/>
                <w:color w:val="000000"/>
              </w:rPr>
              <w:t>＞</w:t>
            </w:r>
            <w:r>
              <w:rPr>
                <w:rFonts w:ascii="Times New Roman" w:hAnsi="Times New Roman"/>
                <w:color w:val="000000"/>
              </w:rPr>
              <w:t xml:space="preserve">10% </w:t>
            </w:r>
            <w:r>
              <w:rPr>
                <w:rFonts w:hint="eastAsia" w:ascii="仿宋" w:hAnsi="仿宋" w:eastAsia="仿宋"/>
                <w:color w:val="000000"/>
              </w:rPr>
              <w:t>□</w:t>
            </w:r>
          </w:p>
        </w:tc>
      </w:tr>
      <w:tr w14:paraId="17A195EC">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411" w:hRule="atLeast"/>
        </w:trPr>
        <w:tc>
          <w:tcPr>
            <w:tcW w:w="1029" w:type="dxa"/>
            <w:vMerge w:val="continue"/>
            <w:noWrap w:val="0"/>
            <w:vAlign w:val="center"/>
          </w:tcPr>
          <w:p w14:paraId="3570768A">
            <w:pPr>
              <w:pStyle w:val="379"/>
              <w:spacing w:before="0" w:after="0" w:line="260" w:lineRule="atLeast"/>
              <w:rPr>
                <w:rFonts w:ascii="Calibri" w:hAnsi="Calibri"/>
                <w:color w:val="000000"/>
              </w:rPr>
            </w:pPr>
          </w:p>
        </w:tc>
        <w:tc>
          <w:tcPr>
            <w:tcW w:w="1772" w:type="dxa"/>
            <w:vMerge w:val="continue"/>
            <w:noWrap w:val="0"/>
            <w:vAlign w:val="center"/>
          </w:tcPr>
          <w:p w14:paraId="5DA6FD31">
            <w:pPr>
              <w:pStyle w:val="379"/>
              <w:spacing w:before="0" w:after="0" w:line="260" w:lineRule="atLeast"/>
              <w:rPr>
                <w:rFonts w:ascii="Calibri" w:hAnsi="Calibri"/>
                <w:color w:val="000000"/>
              </w:rPr>
            </w:pPr>
          </w:p>
        </w:tc>
        <w:tc>
          <w:tcPr>
            <w:tcW w:w="1024" w:type="dxa"/>
            <w:noWrap w:val="0"/>
            <w:vAlign w:val="center"/>
          </w:tcPr>
          <w:p w14:paraId="0EC3CF22">
            <w:pPr>
              <w:pStyle w:val="379"/>
              <w:spacing w:before="0" w:after="0" w:line="260" w:lineRule="atLeast"/>
              <w:rPr>
                <w:rFonts w:ascii="Calibri" w:hAnsi="Calibri"/>
                <w:color w:val="000000"/>
              </w:rPr>
            </w:pPr>
            <w:r>
              <w:rPr>
                <w:rFonts w:hint="eastAsia" w:ascii="Calibri" w:hAnsi="Calibri"/>
                <w:color w:val="000000"/>
              </w:rPr>
              <w:t>二类区</w:t>
            </w:r>
          </w:p>
        </w:tc>
        <w:tc>
          <w:tcPr>
            <w:tcW w:w="2684" w:type="dxa"/>
            <w:gridSpan w:val="10"/>
            <w:noWrap w:val="0"/>
            <w:vAlign w:val="center"/>
          </w:tcPr>
          <w:p w14:paraId="60C6B265">
            <w:pPr>
              <w:pStyle w:val="379"/>
              <w:spacing w:before="0" w:after="0" w:line="260" w:lineRule="atLeast"/>
              <w:rPr>
                <w:rFonts w:ascii="Calibri" w:hAnsi="Calibri"/>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本项目</m:t>
                  </m:r>
                  <m:ctrlPr>
                    <w:rPr>
                      <w:rFonts w:ascii="Cambria Math" w:hAnsi="Cambria Math"/>
                      <w:i/>
                      <w:color w:val="000000"/>
                    </w:rPr>
                  </m:ctrlPr>
                </m:sub>
              </m:sSub>
            </m:oMath>
            <w:r>
              <w:rPr>
                <w:rFonts w:hint="eastAsia" w:ascii="Times New Roman" w:hAnsi="Times New Roman"/>
                <w:color w:val="000000"/>
              </w:rPr>
              <w:t>最大占标率</w:t>
            </w:r>
            <w:r>
              <w:rPr>
                <w:rFonts w:hint="eastAsia" w:ascii="仿宋" w:hAnsi="仿宋" w:eastAsia="仿宋"/>
                <w:color w:val="000000"/>
              </w:rPr>
              <w:t>≤</w:t>
            </w:r>
            <w:r>
              <w:rPr>
                <w:rFonts w:ascii="Times New Roman" w:hAnsi="Times New Roman"/>
                <w:color w:val="000000"/>
              </w:rPr>
              <w:t>30%</w:t>
            </w:r>
            <w:r>
              <w:rPr>
                <w:rFonts w:ascii="Wingdings 2" w:hAnsi="Wingdings 2" w:eastAsia="Wingdings 2" w:cs="Wingdings 2"/>
                <w:color w:val="000000"/>
              </w:rPr>
              <w:t>R</w:t>
            </w:r>
          </w:p>
        </w:tc>
        <w:tc>
          <w:tcPr>
            <w:tcW w:w="2990" w:type="dxa"/>
            <w:gridSpan w:val="8"/>
            <w:noWrap w:val="0"/>
            <w:vAlign w:val="center"/>
          </w:tcPr>
          <w:p w14:paraId="7FE329EE">
            <w:pPr>
              <w:pStyle w:val="379"/>
              <w:spacing w:before="0" w:after="0" w:line="260" w:lineRule="atLeast"/>
              <w:rPr>
                <w:rFonts w:ascii="Calibri" w:hAnsi="Calibri"/>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本项目</m:t>
                  </m:r>
                  <m:ctrlPr>
                    <w:rPr>
                      <w:rFonts w:ascii="Cambria Math" w:hAnsi="Cambria Math"/>
                      <w:i/>
                      <w:color w:val="000000"/>
                    </w:rPr>
                  </m:ctrlPr>
                </m:sub>
              </m:sSub>
            </m:oMath>
            <w:r>
              <w:rPr>
                <w:rFonts w:hint="eastAsia" w:ascii="Times New Roman" w:hAnsi="Times New Roman"/>
                <w:color w:val="000000"/>
              </w:rPr>
              <w:t>最大标率</w:t>
            </w:r>
            <w:r>
              <w:rPr>
                <w:rFonts w:hint="eastAsia" w:ascii="仿宋" w:hAnsi="仿宋" w:eastAsia="仿宋"/>
                <w:color w:val="000000"/>
              </w:rPr>
              <w:t>＞</w:t>
            </w:r>
            <w:r>
              <w:rPr>
                <w:rFonts w:ascii="Times New Roman" w:hAnsi="Times New Roman"/>
                <w:color w:val="000000"/>
              </w:rPr>
              <w:t xml:space="preserve">30% </w:t>
            </w:r>
            <w:r>
              <w:rPr>
                <w:rFonts w:hint="eastAsia" w:ascii="仿宋" w:hAnsi="仿宋" w:eastAsia="仿宋"/>
                <w:color w:val="000000"/>
              </w:rPr>
              <w:t>□</w:t>
            </w:r>
          </w:p>
        </w:tc>
      </w:tr>
      <w:tr w14:paraId="628D8512">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4F1C897C">
            <w:pPr>
              <w:pStyle w:val="379"/>
              <w:spacing w:before="0" w:after="0" w:line="260" w:lineRule="atLeast"/>
              <w:rPr>
                <w:rFonts w:ascii="Times New Roman" w:hAnsi="Times New Roman"/>
                <w:color w:val="000000"/>
              </w:rPr>
            </w:pPr>
          </w:p>
        </w:tc>
        <w:tc>
          <w:tcPr>
            <w:tcW w:w="1772" w:type="dxa"/>
            <w:noWrap w:val="0"/>
            <w:vAlign w:val="center"/>
          </w:tcPr>
          <w:p w14:paraId="05B62964">
            <w:pPr>
              <w:pStyle w:val="379"/>
              <w:spacing w:before="0" w:after="0" w:line="260" w:lineRule="atLeast"/>
              <w:rPr>
                <w:rFonts w:ascii="Times New Roman" w:hAnsi="Times New Roman"/>
                <w:color w:val="000000"/>
              </w:rPr>
            </w:pPr>
            <w:r>
              <w:rPr>
                <w:rFonts w:hint="eastAsia" w:ascii="Times New Roman" w:hAnsi="Times New Roman"/>
                <w:color w:val="000000"/>
              </w:rPr>
              <w:t>非正常排放</w:t>
            </w:r>
            <w:r>
              <w:rPr>
                <w:rFonts w:ascii="Times New Roman" w:hAnsi="Times New Roman"/>
                <w:color w:val="000000"/>
              </w:rPr>
              <w:t>1h</w:t>
            </w:r>
            <w:r>
              <w:rPr>
                <w:rFonts w:hint="eastAsia" w:ascii="Times New Roman" w:hAnsi="Times New Roman"/>
                <w:color w:val="000000"/>
              </w:rPr>
              <w:t>浓度</w:t>
            </w:r>
            <w:r>
              <w:rPr>
                <w:rFonts w:ascii="Times New Roman" w:hAnsi="Times New Roman"/>
                <w:color w:val="000000"/>
              </w:rPr>
              <w:br w:type="textWrapping" w:clear="all"/>
            </w:r>
            <w:r>
              <w:rPr>
                <w:rFonts w:hint="eastAsia" w:ascii="Times New Roman" w:hAnsi="Times New Roman"/>
                <w:color w:val="000000"/>
              </w:rPr>
              <w:t>贡献值</w:t>
            </w:r>
          </w:p>
        </w:tc>
        <w:tc>
          <w:tcPr>
            <w:tcW w:w="1539" w:type="dxa"/>
            <w:gridSpan w:val="3"/>
            <w:noWrap w:val="0"/>
            <w:vAlign w:val="center"/>
          </w:tcPr>
          <w:p w14:paraId="09F5A7B5">
            <w:pPr>
              <w:pStyle w:val="379"/>
              <w:spacing w:before="0" w:after="0" w:line="260" w:lineRule="atLeast"/>
              <w:rPr>
                <w:rFonts w:ascii="Times New Roman" w:hAnsi="Times New Roman"/>
                <w:color w:val="000000"/>
              </w:rPr>
            </w:pPr>
            <w:r>
              <w:rPr>
                <w:rFonts w:hint="eastAsia" w:ascii="Times New Roman" w:hAnsi="Times New Roman"/>
                <w:color w:val="000000"/>
              </w:rPr>
              <w:t>非正常持续时长</w:t>
            </w:r>
            <w:r>
              <w:rPr>
                <w:rFonts w:ascii="Times New Roman" w:hAnsi="Times New Roman"/>
                <w:color w:val="000000"/>
              </w:rPr>
              <w:br w:type="textWrapping" w:clear="all"/>
            </w:r>
            <w:r>
              <w:rPr>
                <w:rFonts w:hint="eastAsia" w:ascii="Times New Roman" w:hAnsi="Times New Roman"/>
                <w:color w:val="000000"/>
              </w:rPr>
              <w:t>（</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h</w:t>
            </w:r>
          </w:p>
        </w:tc>
        <w:tc>
          <w:tcPr>
            <w:tcW w:w="2794" w:type="dxa"/>
            <w:gridSpan w:val="10"/>
            <w:noWrap w:val="0"/>
            <w:vAlign w:val="center"/>
          </w:tcPr>
          <w:p w14:paraId="061DD813">
            <w:pPr>
              <w:pStyle w:val="379"/>
              <w:spacing w:before="31" w:after="31" w:line="260" w:lineRule="atLeast"/>
              <w:rPr>
                <w:rFonts w:ascii="Times New Roman" w:hAnsi="Times New Roman"/>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非正常</m:t>
                  </m:r>
                  <m:ctrlPr>
                    <w:rPr>
                      <w:rFonts w:ascii="Cambria Math" w:hAnsi="Cambria Math"/>
                      <w:i/>
                      <w:color w:val="000000"/>
                    </w:rPr>
                  </m:ctrlPr>
                </m:sub>
              </m:sSub>
            </m:oMath>
            <w:r>
              <w:rPr>
                <w:rFonts w:hint="eastAsia" w:ascii="Times New Roman" w:hAnsi="Times New Roman"/>
                <w:color w:val="000000"/>
              </w:rPr>
              <w:t>占标率</w:t>
            </w:r>
            <w:r>
              <w:rPr>
                <w:rFonts w:hint="eastAsia" w:ascii="仿宋" w:hAnsi="仿宋" w:eastAsia="仿宋"/>
                <w:color w:val="000000"/>
              </w:rPr>
              <w:t>≤</w:t>
            </w:r>
            <w:r>
              <w:rPr>
                <w:rFonts w:ascii="Times New Roman" w:hAnsi="Times New Roman"/>
                <w:color w:val="000000"/>
              </w:rPr>
              <w:t xml:space="preserve">100% </w:t>
            </w:r>
            <w:r>
              <w:rPr>
                <w:rFonts w:ascii="Wingdings 2" w:hAnsi="Wingdings 2" w:eastAsia="Wingdings 2" w:cs="Wingdings 2"/>
                <w:color w:val="000000"/>
              </w:rPr>
              <w:t>R</w:t>
            </w:r>
          </w:p>
        </w:tc>
        <w:tc>
          <w:tcPr>
            <w:tcW w:w="2365" w:type="dxa"/>
            <w:gridSpan w:val="6"/>
            <w:noWrap w:val="0"/>
            <w:vAlign w:val="center"/>
          </w:tcPr>
          <w:p w14:paraId="0C68E3E6">
            <w:pPr>
              <w:pStyle w:val="379"/>
              <w:spacing w:before="0" w:after="0" w:line="260" w:lineRule="atLeast"/>
              <w:rPr>
                <w:rFonts w:ascii="Times New Roman" w:hAnsi="Times New Roman"/>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非正常</m:t>
                  </m:r>
                  <m:ctrlPr>
                    <w:rPr>
                      <w:rFonts w:ascii="Cambria Math" w:hAnsi="Cambria Math"/>
                      <w:i/>
                      <w:color w:val="000000"/>
                    </w:rPr>
                  </m:ctrlPr>
                </m:sub>
              </m:sSub>
            </m:oMath>
            <w:r>
              <w:rPr>
                <w:rFonts w:hint="eastAsia" w:ascii="Times New Roman" w:hAnsi="Times New Roman"/>
                <w:color w:val="000000"/>
              </w:rPr>
              <w:t>占标率</w:t>
            </w:r>
            <w:r>
              <w:rPr>
                <w:rFonts w:hint="eastAsia" w:ascii="仿宋" w:hAnsi="仿宋" w:eastAsia="仿宋"/>
                <w:color w:val="000000"/>
              </w:rPr>
              <w:t>＞</w:t>
            </w:r>
            <w:r>
              <w:rPr>
                <w:rFonts w:ascii="Times New Roman" w:hAnsi="Times New Roman"/>
                <w:color w:val="000000"/>
              </w:rPr>
              <w:t>100%</w:t>
            </w:r>
            <w:r>
              <w:rPr>
                <w:rFonts w:hint="eastAsia" w:ascii="仿宋" w:hAnsi="仿宋" w:eastAsia="仿宋"/>
                <w:color w:val="000000"/>
              </w:rPr>
              <w:t>□</w:t>
            </w:r>
          </w:p>
        </w:tc>
      </w:tr>
      <w:tr w14:paraId="64053D9D">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625" w:hRule="atLeast"/>
        </w:trPr>
        <w:tc>
          <w:tcPr>
            <w:tcW w:w="1029" w:type="dxa"/>
            <w:vMerge w:val="continue"/>
            <w:noWrap w:val="0"/>
            <w:vAlign w:val="center"/>
          </w:tcPr>
          <w:p w14:paraId="557F4E9F">
            <w:pPr>
              <w:pStyle w:val="379"/>
              <w:spacing w:before="0" w:after="0" w:line="260" w:lineRule="atLeast"/>
              <w:rPr>
                <w:rFonts w:ascii="Times New Roman" w:hAnsi="Times New Roman"/>
                <w:color w:val="000000"/>
              </w:rPr>
            </w:pPr>
          </w:p>
        </w:tc>
        <w:tc>
          <w:tcPr>
            <w:tcW w:w="1772" w:type="dxa"/>
            <w:noWrap w:val="0"/>
            <w:vAlign w:val="center"/>
          </w:tcPr>
          <w:p w14:paraId="7EF9D593">
            <w:pPr>
              <w:pStyle w:val="379"/>
              <w:spacing w:before="0" w:after="0" w:line="260" w:lineRule="atLeast"/>
              <w:rPr>
                <w:rFonts w:ascii="Times New Roman" w:hAnsi="Times New Roman"/>
                <w:color w:val="000000"/>
              </w:rPr>
            </w:pPr>
            <w:r>
              <w:rPr>
                <w:rFonts w:hint="eastAsia" w:ascii="Calibri" w:hAnsi="Calibri"/>
                <w:color w:val="000000"/>
              </w:rPr>
              <w:t>保证率日平均浓度和年平均浓度</w:t>
            </w:r>
            <w:r>
              <w:rPr>
                <w:rFonts w:hint="eastAsia" w:ascii="Times New Roman" w:hAnsi="Times New Roman"/>
                <w:color w:val="000000"/>
              </w:rPr>
              <w:t>叠加值</w:t>
            </w:r>
          </w:p>
        </w:tc>
        <w:tc>
          <w:tcPr>
            <w:tcW w:w="3167" w:type="dxa"/>
            <w:gridSpan w:val="10"/>
            <w:noWrap w:val="0"/>
            <w:vAlign w:val="center"/>
          </w:tcPr>
          <w:p w14:paraId="05E32BBF">
            <w:pPr>
              <w:pStyle w:val="379"/>
              <w:spacing w:before="0" w:after="0" w:line="260" w:lineRule="atLeast"/>
              <w:rPr>
                <w:rFonts w:ascii="Times New Roman" w:hAnsi="Times New Roman"/>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叠加</m:t>
                  </m:r>
                  <m:ctrlPr>
                    <w:rPr>
                      <w:rFonts w:ascii="Cambria Math" w:hAnsi="Cambria Math"/>
                      <w:i/>
                      <w:color w:val="000000"/>
                    </w:rPr>
                  </m:ctrlPr>
                </m:sub>
              </m:sSub>
            </m:oMath>
            <w:r>
              <w:rPr>
                <w:rFonts w:hint="eastAsia" w:ascii="Times New Roman" w:hAnsi="Times New Roman"/>
                <w:color w:val="000000"/>
              </w:rPr>
              <w:t>达标</w:t>
            </w:r>
            <w:r>
              <w:rPr>
                <w:rFonts w:ascii="Times New Roman" w:hAnsi="Times New Roman"/>
                <w:color w:val="000000"/>
              </w:rPr>
              <w:t xml:space="preserve"> </w:t>
            </w:r>
            <w:r>
              <w:rPr>
                <w:rFonts w:ascii="Wingdings 2" w:hAnsi="Wingdings 2" w:eastAsia="Wingdings 2" w:cs="Wingdings 2"/>
                <w:color w:val="000000"/>
              </w:rPr>
              <w:t>R</w:t>
            </w:r>
          </w:p>
        </w:tc>
        <w:tc>
          <w:tcPr>
            <w:tcW w:w="3531" w:type="dxa"/>
            <w:gridSpan w:val="9"/>
            <w:noWrap w:val="0"/>
            <w:vAlign w:val="center"/>
          </w:tcPr>
          <w:p w14:paraId="04242344">
            <w:pPr>
              <w:pStyle w:val="379"/>
              <w:spacing w:before="0" w:after="0" w:line="260" w:lineRule="atLeast"/>
              <w:rPr>
                <w:rFonts w:ascii="Times New Roman" w:hAnsi="Times New Roman"/>
                <w:color w:val="000000"/>
              </w:rPr>
            </w:pPr>
            <m:oMath>
              <m:sSub>
                <m:sSubPr>
                  <m:ctrlPr>
                    <w:rPr>
                      <w:rFonts w:ascii="Cambria Math" w:hAnsi="Cambria Math"/>
                      <w:i/>
                      <w:color w:val="000000"/>
                    </w:rPr>
                  </m:ctrlPr>
                </m:sSubPr>
                <m:e>
                  <m:r>
                    <m:rPr/>
                    <w:rPr>
                      <w:rFonts w:hint="default" w:ascii="Cambria Math" w:hAnsi="Cambria Math"/>
                      <w:color w:val="000000"/>
                    </w:rPr>
                    <m:t>C</m:t>
                  </m:r>
                  <m:ctrlPr>
                    <w:rPr>
                      <w:rFonts w:ascii="Cambria Math" w:hAnsi="Cambria Math"/>
                      <w:i/>
                      <w:color w:val="000000"/>
                    </w:rPr>
                  </m:ctrlPr>
                </m:e>
                <m:sub>
                  <m:r>
                    <m:rPr>
                      <m:sty m:val="p"/>
                    </m:rPr>
                    <w:rPr>
                      <w:rFonts w:ascii="Calibri" w:hAnsi="Calibri"/>
                    </w:rPr>
                    <m:t>叠加</m:t>
                  </m:r>
                  <m:ctrlPr>
                    <w:rPr>
                      <w:rFonts w:ascii="Cambria Math" w:hAnsi="Cambria Math"/>
                      <w:i/>
                      <w:color w:val="000000"/>
                    </w:rPr>
                  </m:ctrlPr>
                </m:sub>
              </m:sSub>
            </m:oMath>
            <w:r>
              <w:rPr>
                <w:rFonts w:hint="eastAsia" w:ascii="Times New Roman" w:hAnsi="Times New Roman"/>
                <w:color w:val="000000"/>
              </w:rPr>
              <w:t>不达标</w:t>
            </w:r>
            <w:r>
              <w:rPr>
                <w:rFonts w:ascii="Times New Roman" w:hAnsi="Times New Roman"/>
                <w:color w:val="000000"/>
              </w:rPr>
              <w:t xml:space="preserve"> </w:t>
            </w:r>
            <w:r>
              <w:rPr>
                <w:rFonts w:hint="eastAsia" w:ascii="仿宋" w:hAnsi="仿宋" w:eastAsia="仿宋"/>
                <w:color w:val="000000"/>
              </w:rPr>
              <w:t>□</w:t>
            </w:r>
          </w:p>
        </w:tc>
      </w:tr>
      <w:tr w14:paraId="2ABCE3DF">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5D433523">
            <w:pPr>
              <w:pStyle w:val="379"/>
              <w:spacing w:before="0" w:after="0" w:line="260" w:lineRule="atLeast"/>
              <w:rPr>
                <w:rFonts w:ascii="Times New Roman" w:hAnsi="Times New Roman"/>
                <w:color w:val="000000"/>
              </w:rPr>
            </w:pPr>
          </w:p>
        </w:tc>
        <w:tc>
          <w:tcPr>
            <w:tcW w:w="1772" w:type="dxa"/>
            <w:noWrap w:val="0"/>
            <w:vAlign w:val="center"/>
          </w:tcPr>
          <w:p w14:paraId="5AEF0884">
            <w:pPr>
              <w:pStyle w:val="379"/>
              <w:spacing w:before="0" w:after="0" w:line="260" w:lineRule="atLeast"/>
              <w:rPr>
                <w:rFonts w:ascii="Times New Roman" w:hAnsi="Times New Roman"/>
                <w:color w:val="000000"/>
              </w:rPr>
            </w:pPr>
            <w:r>
              <w:rPr>
                <w:rFonts w:hint="eastAsia" w:ascii="Times New Roman" w:hAnsi="Times New Roman"/>
                <w:color w:val="000000"/>
              </w:rPr>
              <w:t>区域环境质量的整体变化情况</w:t>
            </w:r>
          </w:p>
        </w:tc>
        <w:tc>
          <w:tcPr>
            <w:tcW w:w="3167" w:type="dxa"/>
            <w:gridSpan w:val="10"/>
            <w:noWrap w:val="0"/>
            <w:vAlign w:val="center"/>
          </w:tcPr>
          <w:p w14:paraId="0F6CFA7A">
            <w:pPr>
              <w:pStyle w:val="379"/>
              <w:spacing w:before="0" w:after="0" w:line="260" w:lineRule="atLeast"/>
              <w:rPr>
                <w:rFonts w:ascii="Times New Roman" w:hAnsi="Times New Roman"/>
                <w:color w:val="000000"/>
              </w:rPr>
            </w:pPr>
            <w:r>
              <w:rPr>
                <w:rFonts w:ascii="Times New Roman" w:hAnsi="Times New Roman"/>
                <w:i/>
                <w:color w:val="000000"/>
              </w:rPr>
              <w:t xml:space="preserve">k </w:t>
            </w:r>
            <w:r>
              <w:rPr>
                <w:rFonts w:hint="eastAsia" w:ascii="仿宋" w:hAnsi="仿宋" w:eastAsia="仿宋"/>
                <w:color w:val="000000"/>
              </w:rPr>
              <w:t>≤</w:t>
            </w:r>
            <w:r>
              <w:rPr>
                <w:rFonts w:ascii="Times New Roman" w:hAnsi="Times New Roman"/>
                <w:color w:val="000000"/>
              </w:rPr>
              <w:t xml:space="preserve">-20% </w:t>
            </w:r>
            <w:r>
              <w:rPr>
                <w:rFonts w:hint="eastAsia" w:ascii="仿宋" w:hAnsi="仿宋" w:eastAsia="仿宋"/>
                <w:color w:val="000000"/>
              </w:rPr>
              <w:t>□</w:t>
            </w:r>
          </w:p>
        </w:tc>
        <w:tc>
          <w:tcPr>
            <w:tcW w:w="3531" w:type="dxa"/>
            <w:gridSpan w:val="9"/>
            <w:noWrap w:val="0"/>
            <w:vAlign w:val="center"/>
          </w:tcPr>
          <w:p w14:paraId="2F7F4D5F">
            <w:pPr>
              <w:pStyle w:val="379"/>
              <w:spacing w:before="0" w:after="0" w:line="260" w:lineRule="atLeast"/>
              <w:rPr>
                <w:rFonts w:ascii="Times New Roman" w:hAnsi="Times New Roman"/>
                <w:color w:val="000000"/>
              </w:rPr>
            </w:pPr>
            <w:r>
              <w:rPr>
                <w:rFonts w:ascii="Times New Roman" w:hAnsi="Times New Roman"/>
                <w:i/>
                <w:color w:val="000000"/>
              </w:rPr>
              <w:t>k</w:t>
            </w:r>
            <w:r>
              <w:rPr>
                <w:rFonts w:ascii="Times New Roman" w:hAnsi="Times New Roman"/>
                <w:color w:val="000000"/>
              </w:rPr>
              <w:t xml:space="preserve"> </w:t>
            </w:r>
            <w:r>
              <w:rPr>
                <w:rFonts w:hint="eastAsia" w:ascii="仿宋" w:hAnsi="仿宋" w:eastAsia="仿宋"/>
                <w:color w:val="000000"/>
              </w:rPr>
              <w:t>＞</w:t>
            </w:r>
            <w:r>
              <w:rPr>
                <w:rFonts w:ascii="Times New Roman" w:hAnsi="Times New Roman"/>
                <w:color w:val="000000"/>
              </w:rPr>
              <w:t xml:space="preserve">-20% </w:t>
            </w:r>
            <w:r>
              <w:rPr>
                <w:rFonts w:hint="eastAsia" w:ascii="仿宋" w:hAnsi="仿宋" w:eastAsia="仿宋"/>
                <w:color w:val="000000"/>
              </w:rPr>
              <w:t>□</w:t>
            </w:r>
          </w:p>
        </w:tc>
      </w:tr>
      <w:tr w14:paraId="7C1DF987">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restart"/>
            <w:noWrap w:val="0"/>
            <w:vAlign w:val="center"/>
          </w:tcPr>
          <w:p w14:paraId="4041B07B">
            <w:pPr>
              <w:pStyle w:val="379"/>
              <w:spacing w:before="0" w:after="0" w:line="260" w:lineRule="atLeast"/>
              <w:rPr>
                <w:rFonts w:ascii="Times New Roman" w:hAnsi="Times New Roman"/>
                <w:color w:val="000000"/>
              </w:rPr>
            </w:pPr>
            <w:r>
              <w:rPr>
                <w:rFonts w:hint="eastAsia" w:ascii="Times New Roman" w:hAnsi="Times New Roman"/>
                <w:color w:val="000000"/>
              </w:rPr>
              <w:t>环境监测</w:t>
            </w:r>
            <w:r>
              <w:rPr>
                <w:rFonts w:ascii="Times New Roman" w:hAnsi="Times New Roman"/>
                <w:color w:val="000000"/>
              </w:rPr>
              <w:br w:type="textWrapping" w:clear="all"/>
            </w:r>
            <w:r>
              <w:rPr>
                <w:rFonts w:hint="eastAsia" w:ascii="Times New Roman" w:hAnsi="Times New Roman"/>
                <w:color w:val="000000"/>
              </w:rPr>
              <w:t>计划</w:t>
            </w:r>
          </w:p>
        </w:tc>
        <w:tc>
          <w:tcPr>
            <w:tcW w:w="1772" w:type="dxa"/>
            <w:noWrap w:val="0"/>
            <w:vAlign w:val="center"/>
          </w:tcPr>
          <w:p w14:paraId="493151BB">
            <w:pPr>
              <w:pStyle w:val="379"/>
              <w:spacing w:before="0" w:after="0" w:line="260" w:lineRule="atLeast"/>
              <w:rPr>
                <w:rFonts w:ascii="Times New Roman" w:hAnsi="Times New Roman"/>
                <w:color w:val="000000"/>
              </w:rPr>
            </w:pPr>
            <w:r>
              <w:rPr>
                <w:rFonts w:hint="eastAsia" w:ascii="Times New Roman" w:hAnsi="Times New Roman"/>
                <w:color w:val="000000"/>
              </w:rPr>
              <w:t>污染源监测</w:t>
            </w:r>
          </w:p>
        </w:tc>
        <w:tc>
          <w:tcPr>
            <w:tcW w:w="2935" w:type="dxa"/>
            <w:gridSpan w:val="8"/>
            <w:noWrap w:val="0"/>
            <w:vAlign w:val="center"/>
          </w:tcPr>
          <w:p w14:paraId="618DB2A5">
            <w:pPr>
              <w:pStyle w:val="379"/>
              <w:spacing w:before="0" w:after="0" w:line="260" w:lineRule="atLeast"/>
              <w:rPr>
                <w:rFonts w:ascii="Times New Roman" w:hAnsi="Times New Roman"/>
                <w:color w:val="000000"/>
              </w:rPr>
            </w:pPr>
            <w:r>
              <w:rPr>
                <w:rFonts w:hint="eastAsia" w:ascii="Times New Roman" w:hAnsi="Times New Roman"/>
                <w:color w:val="000000"/>
              </w:rPr>
              <w:t>监测因子：（</w:t>
            </w:r>
            <w:r>
              <w:rPr>
                <w:rFonts w:ascii="Times New Roman" w:hAnsi="Times New Roman"/>
                <w:color w:val="000000"/>
              </w:rPr>
              <w:t xml:space="preserve"> </w:t>
            </w:r>
            <w:r>
              <w:rPr>
                <w:rFonts w:hint="eastAsia" w:ascii="Calibri" w:hAnsi="Calibri"/>
                <w:color w:val="000000"/>
                <w:lang w:val="en-US" w:eastAsia="zh-CN"/>
              </w:rPr>
              <w:t>TSP、SO</w:t>
            </w:r>
            <w:r>
              <w:rPr>
                <w:rFonts w:hint="eastAsia" w:ascii="Calibri" w:hAnsi="Calibri"/>
                <w:color w:val="000000"/>
                <w:vertAlign w:val="subscript"/>
                <w:lang w:val="en-US" w:eastAsia="zh-CN"/>
              </w:rPr>
              <w:t>2</w:t>
            </w:r>
            <w:r>
              <w:rPr>
                <w:rFonts w:hint="eastAsia" w:ascii="Calibri" w:hAnsi="Calibri"/>
                <w:color w:val="000000"/>
                <w:lang w:val="en-US" w:eastAsia="zh-CN"/>
              </w:rPr>
              <w:t>、NO</w:t>
            </w:r>
            <w:r>
              <w:rPr>
                <w:rFonts w:hint="eastAsia" w:ascii="Calibri" w:hAnsi="Calibri"/>
                <w:color w:val="000000"/>
                <w:vertAlign w:val="subscript"/>
                <w:lang w:val="en-US" w:eastAsia="zh-CN"/>
              </w:rPr>
              <w:t>X</w:t>
            </w:r>
            <w:r>
              <w:rPr>
                <w:rFonts w:ascii="Times New Roman" w:hAnsi="Times New Roman"/>
                <w:color w:val="000000"/>
                <w:vertAlign w:val="subscript"/>
              </w:rPr>
              <w:t xml:space="preserve"> </w:t>
            </w:r>
            <w:r>
              <w:rPr>
                <w:rFonts w:hint="eastAsia" w:ascii="Calibri" w:hAnsi="Calibri"/>
                <w:color w:val="000000"/>
                <w:vertAlign w:val="baseline"/>
                <w:lang w:eastAsia="zh-CN"/>
              </w:rPr>
              <w:t>、</w:t>
            </w:r>
            <w:r>
              <w:rPr>
                <w:rFonts w:hint="eastAsia" w:ascii="Calibri" w:hAnsi="Calibri"/>
                <w:color w:val="000000"/>
                <w:lang w:val="en-US" w:eastAsia="zh-CN"/>
              </w:rPr>
              <w:t xml:space="preserve"> 甲醛、酚类、非甲烷总烃、NH</w:t>
            </w:r>
            <w:r>
              <w:rPr>
                <w:rFonts w:hint="eastAsia" w:ascii="Calibri" w:hAnsi="Calibri"/>
                <w:color w:val="000000"/>
                <w:vertAlign w:val="subscript"/>
                <w:lang w:val="en-US" w:eastAsia="zh-CN"/>
              </w:rPr>
              <w:t>3</w:t>
            </w:r>
            <w:r>
              <w:rPr>
                <w:rFonts w:hint="eastAsia" w:ascii="Calibri" w:hAnsi="Calibri"/>
                <w:color w:val="000000"/>
                <w:lang w:val="en-US" w:eastAsia="zh-CN"/>
              </w:rPr>
              <w:t xml:space="preserve">            </w:t>
            </w:r>
            <w:r>
              <w:rPr>
                <w:rFonts w:ascii="Times New Roman" w:hAnsi="Times New Roman"/>
                <w:color w:val="000000"/>
              </w:rPr>
              <w:t xml:space="preserve">  </w:t>
            </w:r>
            <w:r>
              <w:rPr>
                <w:rFonts w:hint="eastAsia" w:ascii="Times New Roman" w:hAnsi="Times New Roman"/>
                <w:color w:val="000000"/>
              </w:rPr>
              <w:t>）</w:t>
            </w:r>
          </w:p>
        </w:tc>
        <w:tc>
          <w:tcPr>
            <w:tcW w:w="2494" w:type="dxa"/>
            <w:gridSpan w:val="9"/>
            <w:noWrap w:val="0"/>
            <w:vAlign w:val="center"/>
          </w:tcPr>
          <w:p w14:paraId="1DA4E486">
            <w:pPr>
              <w:pStyle w:val="379"/>
              <w:spacing w:before="0" w:after="0" w:line="260" w:lineRule="atLeast"/>
              <w:rPr>
                <w:rFonts w:ascii="Times New Roman" w:hAnsi="Times New Roman"/>
                <w:color w:val="000000"/>
              </w:rPr>
            </w:pPr>
            <w:r>
              <w:rPr>
                <w:rFonts w:hint="eastAsia" w:ascii="Times New Roman" w:hAnsi="Times New Roman"/>
                <w:color w:val="000000"/>
              </w:rPr>
              <w:t xml:space="preserve">有组织废气监测 </w:t>
            </w:r>
            <w:r>
              <w:rPr>
                <w:rFonts w:ascii="Wingdings 2" w:hAnsi="Wingdings 2" w:eastAsia="Wingdings 2" w:cs="Wingdings 2"/>
                <w:color w:val="000000"/>
              </w:rPr>
              <w:t>R</w:t>
            </w:r>
            <w:r>
              <w:rPr>
                <w:rFonts w:ascii="Times New Roman" w:hAnsi="Times New Roman"/>
                <w:color w:val="000000"/>
              </w:rPr>
              <w:t xml:space="preserve">    </w:t>
            </w:r>
            <w:r>
              <w:rPr>
                <w:rFonts w:ascii="Times New Roman" w:hAnsi="Times New Roman"/>
                <w:color w:val="000000"/>
              </w:rPr>
              <w:br w:type="textWrapping" w:clear="all"/>
            </w:r>
            <w:r>
              <w:rPr>
                <w:rFonts w:hint="eastAsia" w:ascii="Times New Roman" w:hAnsi="Times New Roman"/>
                <w:color w:val="000000"/>
              </w:rPr>
              <w:t xml:space="preserve">无组织废气监测 </w:t>
            </w:r>
            <w:r>
              <w:rPr>
                <w:rFonts w:ascii="Wingdings 2" w:hAnsi="Wingdings 2" w:eastAsia="Wingdings 2" w:cs="Wingdings 2"/>
                <w:color w:val="000000"/>
              </w:rPr>
              <w:t>R</w:t>
            </w:r>
          </w:p>
        </w:tc>
        <w:tc>
          <w:tcPr>
            <w:tcW w:w="1269" w:type="dxa"/>
            <w:gridSpan w:val="2"/>
            <w:noWrap w:val="0"/>
            <w:vAlign w:val="center"/>
          </w:tcPr>
          <w:p w14:paraId="5446AF76">
            <w:pPr>
              <w:pStyle w:val="379"/>
              <w:spacing w:before="0" w:after="0" w:line="260" w:lineRule="atLeast"/>
              <w:rPr>
                <w:rFonts w:ascii="Times New Roman" w:hAnsi="Times New Roman"/>
                <w:color w:val="000000"/>
              </w:rPr>
            </w:pPr>
            <w:r>
              <w:rPr>
                <w:rFonts w:hint="eastAsia" w:ascii="Times New Roman" w:hAnsi="Times New Roman"/>
                <w:color w:val="000000"/>
              </w:rPr>
              <w:t>无监测</w:t>
            </w:r>
            <w:r>
              <w:rPr>
                <w:rFonts w:hint="eastAsia" w:ascii="仿宋" w:hAnsi="仿宋" w:eastAsia="仿宋"/>
                <w:color w:val="000000"/>
              </w:rPr>
              <w:t>□</w:t>
            </w:r>
          </w:p>
        </w:tc>
      </w:tr>
      <w:tr w14:paraId="6B7C22F9">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12C2DBC4">
            <w:pPr>
              <w:pStyle w:val="379"/>
              <w:spacing w:before="0" w:after="0" w:line="260" w:lineRule="atLeast"/>
              <w:rPr>
                <w:rFonts w:ascii="Times New Roman" w:hAnsi="Times New Roman"/>
                <w:color w:val="000000"/>
              </w:rPr>
            </w:pPr>
          </w:p>
        </w:tc>
        <w:tc>
          <w:tcPr>
            <w:tcW w:w="1772" w:type="dxa"/>
            <w:noWrap w:val="0"/>
            <w:vAlign w:val="center"/>
          </w:tcPr>
          <w:p w14:paraId="73CFCABF">
            <w:pPr>
              <w:pStyle w:val="379"/>
              <w:spacing w:before="0" w:after="0" w:line="260" w:lineRule="atLeast"/>
              <w:rPr>
                <w:rFonts w:ascii="Times New Roman" w:hAnsi="Times New Roman"/>
                <w:color w:val="000000"/>
              </w:rPr>
            </w:pPr>
            <w:r>
              <w:rPr>
                <w:rFonts w:hint="eastAsia" w:ascii="Times New Roman" w:hAnsi="Times New Roman"/>
                <w:color w:val="000000"/>
              </w:rPr>
              <w:t>环境质量监测</w:t>
            </w:r>
          </w:p>
        </w:tc>
        <w:tc>
          <w:tcPr>
            <w:tcW w:w="2935" w:type="dxa"/>
            <w:gridSpan w:val="8"/>
            <w:noWrap w:val="0"/>
            <w:vAlign w:val="center"/>
          </w:tcPr>
          <w:p w14:paraId="1E59330D">
            <w:pPr>
              <w:pStyle w:val="379"/>
              <w:spacing w:before="0" w:after="0" w:line="260" w:lineRule="atLeast"/>
              <w:rPr>
                <w:rFonts w:ascii="Times New Roman" w:hAnsi="Times New Roman"/>
                <w:color w:val="000000"/>
              </w:rPr>
            </w:pPr>
            <w:r>
              <w:rPr>
                <w:rFonts w:hint="eastAsia" w:ascii="Times New Roman" w:hAnsi="Times New Roman"/>
                <w:color w:val="000000"/>
              </w:rPr>
              <w:t>监测因子：（</w:t>
            </w:r>
            <w:r>
              <w:rPr>
                <w:rFonts w:ascii="Times New Roman" w:hAnsi="Times New Roman"/>
                <w:color w:val="000000"/>
              </w:rPr>
              <w:t xml:space="preserve">   </w:t>
            </w:r>
            <w:r>
              <w:rPr>
                <w:rFonts w:hint="eastAsia" w:ascii="Calibri" w:hAnsi="Calibri"/>
                <w:color w:val="000000"/>
                <w:lang w:val="en-US" w:eastAsia="zh-CN"/>
              </w:rPr>
              <w:t xml:space="preserve">               </w:t>
            </w:r>
            <w:r>
              <w:rPr>
                <w:rFonts w:ascii="Times New Roman" w:hAnsi="Times New Roman"/>
                <w:color w:val="000000"/>
              </w:rPr>
              <w:t xml:space="preserve"> </w:t>
            </w:r>
            <w:r>
              <w:rPr>
                <w:rFonts w:hint="eastAsia" w:ascii="Times New Roman" w:hAnsi="Times New Roman"/>
                <w:color w:val="000000"/>
              </w:rPr>
              <w:t>）</w:t>
            </w:r>
          </w:p>
        </w:tc>
        <w:tc>
          <w:tcPr>
            <w:tcW w:w="2494" w:type="dxa"/>
            <w:gridSpan w:val="9"/>
            <w:noWrap w:val="0"/>
            <w:vAlign w:val="center"/>
          </w:tcPr>
          <w:p w14:paraId="2DE8D1F7">
            <w:pPr>
              <w:pStyle w:val="379"/>
              <w:spacing w:before="0" w:after="0" w:line="260" w:lineRule="atLeast"/>
              <w:rPr>
                <w:rFonts w:ascii="Times New Roman" w:hAnsi="Times New Roman"/>
                <w:color w:val="000000"/>
              </w:rPr>
            </w:pPr>
            <w:r>
              <w:rPr>
                <w:rFonts w:hint="eastAsia" w:ascii="Times New Roman" w:hAnsi="Times New Roman"/>
                <w:color w:val="000000"/>
              </w:rPr>
              <w:t>监测点位数（</w:t>
            </w:r>
            <w:r>
              <w:rPr>
                <w:rFonts w:ascii="Times New Roman" w:hAnsi="Times New Roman"/>
                <w:color w:val="000000"/>
              </w:rPr>
              <w:t xml:space="preserve">  </w:t>
            </w:r>
            <w:r>
              <w:rPr>
                <w:rFonts w:hint="eastAsia" w:ascii="Calibri" w:hAnsi="Calibri"/>
                <w:color w:val="000000"/>
                <w:lang w:val="en-US" w:eastAsia="zh-CN"/>
              </w:rPr>
              <w:t xml:space="preserve"> </w:t>
            </w:r>
            <w:r>
              <w:rPr>
                <w:rFonts w:ascii="Times New Roman" w:hAnsi="Times New Roman"/>
                <w:color w:val="000000"/>
              </w:rPr>
              <w:t xml:space="preserve">  </w:t>
            </w:r>
            <w:r>
              <w:rPr>
                <w:rFonts w:hint="eastAsia" w:ascii="Times New Roman" w:hAnsi="Times New Roman"/>
                <w:color w:val="000000"/>
              </w:rPr>
              <w:t>）</w:t>
            </w:r>
          </w:p>
        </w:tc>
        <w:tc>
          <w:tcPr>
            <w:tcW w:w="1269" w:type="dxa"/>
            <w:gridSpan w:val="2"/>
            <w:noWrap w:val="0"/>
            <w:vAlign w:val="center"/>
          </w:tcPr>
          <w:p w14:paraId="48CC4D8C">
            <w:pPr>
              <w:pStyle w:val="379"/>
              <w:spacing w:before="0" w:after="0" w:line="260" w:lineRule="atLeast"/>
              <w:rPr>
                <w:rFonts w:ascii="Times New Roman" w:hAnsi="Times New Roman"/>
                <w:color w:val="000000"/>
              </w:rPr>
            </w:pPr>
            <w:r>
              <w:rPr>
                <w:rFonts w:hint="eastAsia" w:ascii="Times New Roman" w:hAnsi="Times New Roman"/>
                <w:color w:val="000000"/>
              </w:rPr>
              <w:t>无监测</w:t>
            </w:r>
            <w:r>
              <w:rPr>
                <w:rFonts w:hint="eastAsia" w:ascii="仿宋" w:hAnsi="仿宋" w:eastAsia="仿宋"/>
                <w:color w:val="000000"/>
              </w:rPr>
              <w:t>□</w:t>
            </w:r>
          </w:p>
        </w:tc>
      </w:tr>
      <w:tr w14:paraId="70FFD615">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394" w:hRule="atLeast"/>
        </w:trPr>
        <w:tc>
          <w:tcPr>
            <w:tcW w:w="1029" w:type="dxa"/>
            <w:vMerge w:val="restart"/>
            <w:noWrap w:val="0"/>
            <w:vAlign w:val="center"/>
          </w:tcPr>
          <w:p w14:paraId="1EA9479C">
            <w:pPr>
              <w:pStyle w:val="379"/>
              <w:spacing w:before="0" w:after="0" w:line="260" w:lineRule="atLeast"/>
              <w:rPr>
                <w:rFonts w:ascii="Times New Roman" w:hAnsi="Times New Roman"/>
                <w:color w:val="000000"/>
              </w:rPr>
            </w:pPr>
            <w:r>
              <w:rPr>
                <w:rFonts w:hint="eastAsia" w:ascii="Times New Roman" w:hAnsi="Times New Roman"/>
                <w:color w:val="000000"/>
              </w:rPr>
              <w:t>评价结论</w:t>
            </w:r>
          </w:p>
        </w:tc>
        <w:tc>
          <w:tcPr>
            <w:tcW w:w="1772" w:type="dxa"/>
            <w:noWrap w:val="0"/>
            <w:vAlign w:val="center"/>
          </w:tcPr>
          <w:p w14:paraId="100E7681">
            <w:pPr>
              <w:pStyle w:val="379"/>
              <w:spacing w:before="0" w:after="0" w:line="260" w:lineRule="atLeast"/>
              <w:rPr>
                <w:rFonts w:ascii="Times New Roman" w:hAnsi="Times New Roman"/>
                <w:color w:val="000000"/>
              </w:rPr>
            </w:pPr>
            <w:r>
              <w:rPr>
                <w:rFonts w:hint="eastAsia" w:ascii="Times New Roman" w:hAnsi="Times New Roman"/>
                <w:color w:val="000000"/>
              </w:rPr>
              <w:t>环境影响</w:t>
            </w:r>
          </w:p>
        </w:tc>
        <w:tc>
          <w:tcPr>
            <w:tcW w:w="6698" w:type="dxa"/>
            <w:gridSpan w:val="19"/>
            <w:noWrap w:val="0"/>
            <w:vAlign w:val="center"/>
          </w:tcPr>
          <w:p w14:paraId="3903322B">
            <w:pPr>
              <w:pStyle w:val="379"/>
              <w:spacing w:before="0" w:after="0" w:line="260" w:lineRule="atLeast"/>
              <w:rPr>
                <w:rFonts w:ascii="Times New Roman" w:hAnsi="Times New Roman"/>
                <w:color w:val="000000"/>
              </w:rPr>
            </w:pPr>
            <w:r>
              <w:rPr>
                <w:rFonts w:hint="eastAsia" w:ascii="Times New Roman" w:hAnsi="Times New Roman"/>
                <w:color w:val="000000"/>
              </w:rPr>
              <w:t>可以接受</w:t>
            </w:r>
            <w:r>
              <w:rPr>
                <w:rFonts w:ascii="Times New Roman" w:hAnsi="Times New Roman"/>
                <w:color w:val="000000"/>
              </w:rPr>
              <w:t xml:space="preserve"> </w:t>
            </w:r>
            <w:r>
              <w:rPr>
                <w:rFonts w:ascii="Wingdings 2" w:hAnsi="Wingdings 2" w:eastAsia="Wingdings 2" w:cs="Wingdings 2"/>
                <w:color w:val="000000"/>
              </w:rPr>
              <w:t>R</w:t>
            </w:r>
            <w:r>
              <w:rPr>
                <w:rFonts w:ascii="Times New Roman" w:hAnsi="Times New Roman"/>
                <w:color w:val="000000"/>
              </w:rPr>
              <w:t xml:space="preserve">       </w:t>
            </w:r>
            <w:r>
              <w:rPr>
                <w:rFonts w:hint="eastAsia" w:ascii="Times New Roman" w:hAnsi="Times New Roman"/>
                <w:color w:val="000000"/>
              </w:rPr>
              <w:t>不可以接受</w:t>
            </w:r>
            <w:r>
              <w:rPr>
                <w:rFonts w:ascii="Times New Roman" w:hAnsi="Times New Roman"/>
                <w:color w:val="000000"/>
              </w:rPr>
              <w:t xml:space="preserve"> </w:t>
            </w:r>
            <w:r>
              <w:rPr>
                <w:rFonts w:hint="eastAsia" w:ascii="仿宋" w:hAnsi="仿宋" w:eastAsia="仿宋"/>
                <w:color w:val="000000"/>
              </w:rPr>
              <w:t>□</w:t>
            </w:r>
          </w:p>
        </w:tc>
      </w:tr>
      <w:tr w14:paraId="5CD78B12">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398" w:hRule="atLeast"/>
        </w:trPr>
        <w:tc>
          <w:tcPr>
            <w:tcW w:w="1029" w:type="dxa"/>
            <w:vMerge w:val="continue"/>
            <w:noWrap w:val="0"/>
            <w:vAlign w:val="center"/>
          </w:tcPr>
          <w:p w14:paraId="58EAAAA0">
            <w:pPr>
              <w:pStyle w:val="379"/>
              <w:spacing w:before="0" w:after="0" w:line="260" w:lineRule="atLeast"/>
              <w:rPr>
                <w:rFonts w:ascii="Times New Roman" w:hAnsi="Times New Roman"/>
                <w:color w:val="000000"/>
              </w:rPr>
            </w:pPr>
          </w:p>
        </w:tc>
        <w:tc>
          <w:tcPr>
            <w:tcW w:w="1772" w:type="dxa"/>
            <w:noWrap w:val="0"/>
            <w:vAlign w:val="center"/>
          </w:tcPr>
          <w:p w14:paraId="69D1EBA1">
            <w:pPr>
              <w:pStyle w:val="379"/>
              <w:spacing w:before="0" w:after="0" w:line="260" w:lineRule="atLeast"/>
              <w:rPr>
                <w:rFonts w:ascii="Times New Roman" w:hAnsi="Times New Roman"/>
                <w:color w:val="000000"/>
              </w:rPr>
            </w:pPr>
            <w:r>
              <w:rPr>
                <w:rFonts w:hint="eastAsia" w:ascii="Times New Roman" w:hAnsi="Times New Roman"/>
                <w:color w:val="000000"/>
              </w:rPr>
              <w:t>大气环境防护距离</w:t>
            </w:r>
          </w:p>
        </w:tc>
        <w:tc>
          <w:tcPr>
            <w:tcW w:w="6698" w:type="dxa"/>
            <w:gridSpan w:val="19"/>
            <w:noWrap w:val="0"/>
            <w:vAlign w:val="center"/>
          </w:tcPr>
          <w:p w14:paraId="0562A5E4">
            <w:pPr>
              <w:pStyle w:val="379"/>
              <w:spacing w:before="0" w:after="0" w:line="260" w:lineRule="atLeast"/>
              <w:rPr>
                <w:rFonts w:ascii="Times New Roman" w:hAnsi="Times New Roman"/>
                <w:color w:val="000000"/>
              </w:rPr>
            </w:pPr>
            <w:r>
              <w:rPr>
                <w:rFonts w:hint="eastAsia" w:ascii="Times New Roman" w:hAnsi="Times New Roman"/>
                <w:color w:val="000000"/>
              </w:rPr>
              <w:t>距（</w:t>
            </w:r>
            <w:r>
              <w:rPr>
                <w:rFonts w:ascii="Times New Roman" w:hAnsi="Times New Roman"/>
                <w:color w:val="000000"/>
              </w:rPr>
              <w:t xml:space="preserve">     </w:t>
            </w:r>
            <w:r>
              <w:rPr>
                <w:rFonts w:hint="eastAsia" w:ascii="Times New Roman" w:hAnsi="Times New Roman"/>
                <w:color w:val="000000"/>
              </w:rPr>
              <w:t>）厂界最远（</w:t>
            </w:r>
            <w:r>
              <w:rPr>
                <w:rFonts w:ascii="Times New Roman" w:hAnsi="Times New Roman"/>
                <w:color w:val="000000"/>
              </w:rPr>
              <w:t xml:space="preserve">  </w:t>
            </w:r>
            <w:r>
              <w:rPr>
                <w:rFonts w:hint="eastAsia" w:ascii="Calibri" w:hAnsi="Calibri"/>
                <w:color w:val="000000"/>
                <w:lang w:val="en-US" w:eastAsia="zh-CN"/>
              </w:rPr>
              <w:t>0</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m</w:t>
            </w:r>
          </w:p>
        </w:tc>
      </w:tr>
      <w:tr w14:paraId="73CD8228">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241" w:hRule="atLeast"/>
        </w:trPr>
        <w:tc>
          <w:tcPr>
            <w:tcW w:w="1029" w:type="dxa"/>
            <w:vMerge w:val="continue"/>
            <w:noWrap w:val="0"/>
            <w:vAlign w:val="center"/>
          </w:tcPr>
          <w:p w14:paraId="78A1B305">
            <w:pPr>
              <w:pStyle w:val="379"/>
              <w:spacing w:before="0" w:after="0" w:line="260" w:lineRule="atLeast"/>
              <w:rPr>
                <w:rFonts w:ascii="Times New Roman" w:hAnsi="Times New Roman"/>
                <w:color w:val="000000"/>
              </w:rPr>
            </w:pPr>
          </w:p>
        </w:tc>
        <w:tc>
          <w:tcPr>
            <w:tcW w:w="1772" w:type="dxa"/>
            <w:noWrap w:val="0"/>
            <w:vAlign w:val="center"/>
          </w:tcPr>
          <w:p w14:paraId="634A19C9">
            <w:pPr>
              <w:pStyle w:val="379"/>
              <w:spacing w:before="0" w:after="0" w:line="260" w:lineRule="atLeast"/>
              <w:rPr>
                <w:rFonts w:ascii="Times New Roman" w:hAnsi="Times New Roman"/>
                <w:color w:val="000000"/>
              </w:rPr>
            </w:pPr>
            <w:r>
              <w:rPr>
                <w:rFonts w:hint="eastAsia" w:ascii="Times New Roman" w:hAnsi="Times New Roman"/>
                <w:color w:val="000000"/>
              </w:rPr>
              <w:t>污染源年排放量</w:t>
            </w:r>
          </w:p>
        </w:tc>
        <w:tc>
          <w:tcPr>
            <w:tcW w:w="1811" w:type="dxa"/>
            <w:gridSpan w:val="4"/>
            <w:noWrap w:val="0"/>
            <w:vAlign w:val="center"/>
          </w:tcPr>
          <w:p w14:paraId="6E148A86">
            <w:pPr>
              <w:pStyle w:val="379"/>
              <w:spacing w:before="0" w:after="0" w:line="260" w:lineRule="atLeast"/>
              <w:rPr>
                <w:rFonts w:ascii="Times New Roman" w:hAnsi="Times New Roman"/>
                <w:color w:val="000000"/>
              </w:rPr>
            </w:pPr>
            <w:r>
              <w:rPr>
                <w:rFonts w:ascii="Times New Roman" w:hAnsi="Times New Roman"/>
                <w:color w:val="000000"/>
              </w:rPr>
              <w:t>SO</w:t>
            </w:r>
            <w:r>
              <w:rPr>
                <w:rFonts w:ascii="Times New Roman" w:hAnsi="Times New Roman"/>
                <w:color w:val="000000"/>
                <w:vertAlign w:val="subscript"/>
              </w:rPr>
              <w:t>2</w:t>
            </w:r>
            <w:r>
              <w:rPr>
                <w:rFonts w:ascii="Times New Roman" w:hAnsi="Times New Roman"/>
                <w:color w:val="000000"/>
              </w:rPr>
              <w:t>:</w:t>
            </w:r>
            <w:r>
              <w:rPr>
                <w:rFonts w:hint="eastAsia" w:ascii="Times New Roman" w:hAnsi="Times New Roman"/>
                <w:color w:val="000000"/>
              </w:rPr>
              <w:t>（</w:t>
            </w:r>
            <w:r>
              <w:rPr>
                <w:rFonts w:hint="eastAsia" w:ascii="Calibri" w:hAnsi="Calibri"/>
                <w:color w:val="000000"/>
                <w:lang w:val="en-US" w:eastAsia="zh-CN"/>
              </w:rPr>
              <w:t>1.0</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t/a</w:t>
            </w:r>
          </w:p>
        </w:tc>
        <w:tc>
          <w:tcPr>
            <w:tcW w:w="1897" w:type="dxa"/>
            <w:gridSpan w:val="7"/>
            <w:noWrap w:val="0"/>
            <w:vAlign w:val="center"/>
          </w:tcPr>
          <w:p w14:paraId="7D5C1F5E">
            <w:pPr>
              <w:pStyle w:val="379"/>
              <w:spacing w:before="0" w:after="0" w:line="260" w:lineRule="atLeast"/>
              <w:rPr>
                <w:rFonts w:ascii="Times New Roman" w:hAnsi="Times New Roman"/>
                <w:color w:val="000000"/>
              </w:rPr>
            </w:pPr>
            <w:r>
              <w:rPr>
                <w:rFonts w:ascii="Times New Roman" w:hAnsi="Times New Roman"/>
                <w:color w:val="000000"/>
              </w:rPr>
              <w:t>NO</w:t>
            </w:r>
            <w:r>
              <w:rPr>
                <w:rFonts w:ascii="Times New Roman" w:hAnsi="Times New Roman"/>
                <w:color w:val="000000"/>
                <w:vertAlign w:val="subscript"/>
              </w:rPr>
              <w:t>x</w:t>
            </w:r>
            <w:r>
              <w:rPr>
                <w:rFonts w:ascii="Times New Roman" w:hAnsi="Times New Roman"/>
                <w:color w:val="000000"/>
              </w:rPr>
              <w:t>:</w:t>
            </w:r>
            <w:r>
              <w:rPr>
                <w:rFonts w:hint="eastAsia" w:ascii="Times New Roman" w:hAnsi="Times New Roman"/>
                <w:color w:val="000000"/>
              </w:rPr>
              <w:t>（</w:t>
            </w:r>
            <w:r>
              <w:rPr>
                <w:rFonts w:hint="eastAsia" w:ascii="Calibri" w:hAnsi="Calibri"/>
                <w:color w:val="000000"/>
                <w:lang w:val="en-US" w:eastAsia="zh-CN"/>
              </w:rPr>
              <w:t xml:space="preserve">   5.976 </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t/a</w:t>
            </w:r>
          </w:p>
        </w:tc>
        <w:tc>
          <w:tcPr>
            <w:tcW w:w="1474" w:type="dxa"/>
            <w:gridSpan w:val="5"/>
            <w:noWrap w:val="0"/>
            <w:vAlign w:val="center"/>
          </w:tcPr>
          <w:p w14:paraId="3EAED7BD">
            <w:pPr>
              <w:pStyle w:val="379"/>
              <w:spacing w:before="0" w:after="0" w:line="260" w:lineRule="atLeast"/>
              <w:rPr>
                <w:rFonts w:ascii="Times New Roman" w:hAnsi="Times New Roman"/>
                <w:color w:val="000000"/>
              </w:rPr>
            </w:pPr>
            <w:r>
              <w:rPr>
                <w:rFonts w:hint="eastAsia" w:ascii="Times New Roman" w:hAnsi="Times New Roman"/>
                <w:color w:val="000000"/>
              </w:rPr>
              <w:t>颗粒物</w:t>
            </w:r>
            <w:r>
              <w:rPr>
                <w:rFonts w:ascii="Times New Roman" w:hAnsi="Times New Roman"/>
                <w:color w:val="000000"/>
              </w:rPr>
              <w:t>:</w:t>
            </w:r>
            <w:r>
              <w:rPr>
                <w:rFonts w:hint="eastAsia" w:ascii="Times New Roman" w:hAnsi="Times New Roman"/>
                <w:color w:val="000000"/>
              </w:rPr>
              <w:t>（</w:t>
            </w:r>
            <w:r>
              <w:rPr>
                <w:rFonts w:hint="eastAsia" w:ascii="Calibri" w:hAnsi="Calibri"/>
                <w:color w:val="000000"/>
                <w:lang w:val="en-US" w:eastAsia="zh-CN"/>
              </w:rPr>
              <w:t xml:space="preserve"> 13.405  </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t/a</w:t>
            </w:r>
          </w:p>
        </w:tc>
        <w:tc>
          <w:tcPr>
            <w:tcW w:w="1516" w:type="dxa"/>
            <w:gridSpan w:val="3"/>
            <w:noWrap w:val="0"/>
            <w:vAlign w:val="center"/>
          </w:tcPr>
          <w:p w14:paraId="4C6B4FC5">
            <w:pPr>
              <w:pStyle w:val="379"/>
              <w:spacing w:before="0" w:after="0" w:line="260" w:lineRule="atLeast"/>
              <w:rPr>
                <w:rFonts w:ascii="Times New Roman" w:hAnsi="Times New Roman"/>
                <w:color w:val="000000"/>
              </w:rPr>
            </w:pPr>
            <w:r>
              <w:rPr>
                <w:rFonts w:ascii="Times New Roman" w:hAnsi="Times New Roman"/>
                <w:color w:val="000000"/>
              </w:rPr>
              <w:t>VOC</w:t>
            </w:r>
            <w:r>
              <w:rPr>
                <w:rFonts w:ascii="Times New Roman" w:hAnsi="Times New Roman"/>
                <w:color w:val="000000"/>
                <w:vertAlign w:val="subscript"/>
              </w:rPr>
              <w:t>s</w:t>
            </w:r>
            <w:r>
              <w:rPr>
                <w:rFonts w:ascii="Times New Roman" w:hAnsi="Times New Roman"/>
                <w:color w:val="000000"/>
              </w:rPr>
              <w:t>:</w:t>
            </w:r>
            <w:r>
              <w:rPr>
                <w:rFonts w:hint="eastAsia" w:ascii="Times New Roman" w:hAnsi="Times New Roman"/>
                <w:color w:val="000000"/>
              </w:rPr>
              <w:t>（</w:t>
            </w:r>
            <w:r>
              <w:rPr>
                <w:rFonts w:hint="eastAsia" w:ascii="Calibri" w:hAnsi="Calibri"/>
                <w:color w:val="000000"/>
                <w:lang w:val="en-US" w:eastAsia="zh-CN"/>
              </w:rPr>
              <w:t>0.28</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t/a</w:t>
            </w:r>
          </w:p>
        </w:tc>
      </w:tr>
      <w:tr w14:paraId="352C04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28" w:type="dxa"/>
            <w:bottom w:w="0" w:type="dxa"/>
            <w:right w:w="28" w:type="dxa"/>
          </w:tblCellMar>
        </w:tblPrEx>
        <w:trPr>
          <w:trHeight w:val="411" w:hRule="atLeast"/>
        </w:trPr>
        <w:tc>
          <w:tcPr>
            <w:tcW w:w="9499" w:type="dxa"/>
            <w:gridSpan w:val="21"/>
            <w:noWrap w:val="0"/>
            <w:vAlign w:val="center"/>
          </w:tcPr>
          <w:p w14:paraId="2DE9DF89">
            <w:pPr>
              <w:pStyle w:val="379"/>
              <w:spacing w:before="0" w:after="0" w:line="260" w:lineRule="atLeast"/>
              <w:jc w:val="left"/>
              <w:rPr>
                <w:rFonts w:ascii="Times New Roman" w:hAnsi="Times New Roman"/>
                <w:color w:val="000000"/>
              </w:rPr>
            </w:pPr>
            <w:r>
              <w:rPr>
                <w:rFonts w:hint="eastAsia" w:ascii="Times New Roman" w:hAnsi="Times New Roman"/>
                <w:color w:val="000000"/>
              </w:rPr>
              <w:t>注：“</w:t>
            </w:r>
            <w:r>
              <w:rPr>
                <w:rFonts w:hint="eastAsia" w:ascii="仿宋" w:hAnsi="仿宋" w:eastAsia="仿宋"/>
                <w:color w:val="000000"/>
              </w:rPr>
              <w:t>□</w:t>
            </w:r>
            <w:r>
              <w:rPr>
                <w:rFonts w:hint="eastAsia" w:ascii="Times New Roman" w:hAnsi="Times New Roman"/>
                <w:color w:val="000000"/>
              </w:rPr>
              <w:t>”</w:t>
            </w:r>
            <w:r>
              <w:rPr>
                <w:rFonts w:ascii="Times New Roman" w:hAnsi="Times New Roman"/>
                <w:color w:val="000000"/>
              </w:rPr>
              <w:t xml:space="preserve"> </w:t>
            </w:r>
            <w:r>
              <w:rPr>
                <w:rFonts w:hint="eastAsia" w:ascii="Times New Roman" w:hAnsi="Times New Roman"/>
                <w:color w:val="000000"/>
              </w:rPr>
              <w:t>为勾选项</w:t>
            </w:r>
            <w:r>
              <w:rPr>
                <w:rFonts w:ascii="Times New Roman" w:hAnsi="Times New Roman"/>
                <w:color w:val="000000"/>
              </w:rPr>
              <w:t xml:space="preserve"> </w:t>
            </w:r>
            <w:r>
              <w:rPr>
                <w:rFonts w:hint="eastAsia" w:ascii="Times New Roman" w:hAnsi="Times New Roman"/>
                <w:color w:val="000000"/>
              </w:rPr>
              <w:t>，填“√”</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w:t>
            </w:r>
            <w:r>
              <w:rPr>
                <w:rFonts w:hint="eastAsia" w:ascii="Times New Roman" w:hAnsi="Times New Roman"/>
                <w:color w:val="000000"/>
              </w:rPr>
              <w:t>（</w:t>
            </w:r>
            <w:r>
              <w:rPr>
                <w:rFonts w:ascii="Times New Roman" w:hAnsi="Times New Roman"/>
                <w:color w:val="000000"/>
              </w:rPr>
              <w:t xml:space="preserve">   </w:t>
            </w:r>
            <w:r>
              <w:rPr>
                <w:rFonts w:hint="eastAsia" w:ascii="Times New Roman" w:hAnsi="Times New Roman"/>
                <w:color w:val="000000"/>
              </w:rPr>
              <w:t>）</w:t>
            </w:r>
            <w:r>
              <w:rPr>
                <w:rFonts w:ascii="Times New Roman" w:hAnsi="Times New Roman"/>
                <w:color w:val="000000"/>
              </w:rPr>
              <w:t xml:space="preserve">” </w:t>
            </w:r>
            <w:r>
              <w:rPr>
                <w:rFonts w:hint="eastAsia" w:ascii="Times New Roman" w:hAnsi="Times New Roman"/>
                <w:color w:val="000000"/>
              </w:rPr>
              <w:t>为内容填写项</w:t>
            </w:r>
          </w:p>
        </w:tc>
      </w:tr>
    </w:tbl>
    <w:p w14:paraId="1F1E318A">
      <w:pPr>
        <w:pStyle w:val="282"/>
      </w:pPr>
      <w:r>
        <w:rPr>
          <w:rFonts w:hint="eastAsia"/>
          <w:lang w:val="en-US" w:eastAsia="zh-CN"/>
        </w:rPr>
        <w:t>6</w:t>
      </w:r>
      <w:r>
        <w:rPr>
          <w:rFonts w:hint="eastAsia"/>
        </w:rPr>
        <w:t>.2.1.</w:t>
      </w:r>
      <w:r>
        <w:rPr>
          <w:rFonts w:hint="eastAsia"/>
          <w:lang w:val="en-US" w:eastAsia="zh-CN"/>
        </w:rPr>
        <w:t>9</w:t>
      </w:r>
      <w:r>
        <w:rPr>
          <w:rFonts w:hint="eastAsia"/>
        </w:rPr>
        <w:t>小结</w:t>
      </w:r>
    </w:p>
    <w:p w14:paraId="2AB65651">
      <w:pPr>
        <w:pStyle w:val="2"/>
        <w:ind w:firstLine="480"/>
        <w:rPr>
          <w:rFonts w:hint="eastAsia"/>
          <w:sz w:val="24"/>
          <w:szCs w:val="24"/>
        </w:rPr>
      </w:pPr>
      <w:bookmarkStart w:id="159" w:name="_Hlk1395088"/>
      <w:r>
        <w:rPr>
          <w:rFonts w:hint="eastAsia"/>
          <w:sz w:val="24"/>
          <w:szCs w:val="24"/>
        </w:rPr>
        <w:t>经过预测分析，本项目废气按照环评提出的防治措施后，对周围环境影响不大。</w:t>
      </w:r>
    </w:p>
    <w:bookmarkEnd w:id="159"/>
    <w:p w14:paraId="682CB589">
      <w:pPr>
        <w:pStyle w:val="188"/>
      </w:pPr>
      <w:r>
        <w:rPr>
          <w:rFonts w:hint="eastAsia"/>
          <w:lang w:val="en-US" w:eastAsia="zh-CN"/>
        </w:rPr>
        <w:t>6</w:t>
      </w:r>
      <w:r>
        <w:t>.2.2 地表水环境影响</w:t>
      </w:r>
      <w:r>
        <w:rPr>
          <w:rFonts w:hint="eastAsia"/>
        </w:rPr>
        <w:t>分析</w:t>
      </w:r>
    </w:p>
    <w:p w14:paraId="48F85933">
      <w:pPr>
        <w:pStyle w:val="282"/>
        <w:rPr>
          <w:rFonts w:hint="eastAsia"/>
          <w:b w:val="0"/>
          <w:bCs/>
          <w:lang w:val="en-US" w:eastAsia="zh-CN"/>
        </w:rPr>
      </w:pPr>
      <w:r>
        <w:rPr>
          <w:rFonts w:hint="eastAsia"/>
          <w:b w:val="0"/>
          <w:bCs/>
          <w:lang w:val="en-US" w:eastAsia="zh-CN"/>
        </w:rPr>
        <w:t>6.2.2.1废水源强</w:t>
      </w:r>
    </w:p>
    <w:p w14:paraId="3199D9AA">
      <w:pPr>
        <w:widowControl w:val="0"/>
        <w:spacing w:line="360" w:lineRule="auto"/>
        <w:ind w:firstLine="480"/>
        <w:rPr>
          <w:rFonts w:hint="eastAsia"/>
          <w:color w:val="000000"/>
          <w:lang w:eastAsia="zh-CN"/>
        </w:rPr>
      </w:pPr>
      <w:r>
        <w:rPr>
          <w:rFonts w:hint="eastAsia"/>
          <w:color w:val="000000"/>
        </w:rPr>
        <w:t>根据水量平衡分析，</w:t>
      </w:r>
      <w:r>
        <w:rPr>
          <w:rFonts w:hint="eastAsia" w:ascii="Times New Roman" w:hAnsi="Times New Roman" w:cs="Times New Roman"/>
          <w:color w:val="000000"/>
          <w:sz w:val="24"/>
          <w:szCs w:val="24"/>
          <w:lang w:val="en-US" w:eastAsia="zh-CN"/>
        </w:rPr>
        <w:t>项目需要的新水用量55582.12m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w:t>
      </w:r>
      <w:r>
        <w:rPr>
          <w:rFonts w:ascii="Times New Roman" w:hAnsi="Times New Roman" w:cs="Times New Roman"/>
          <w:color w:val="000000"/>
          <w:sz w:val="24"/>
          <w:szCs w:val="24"/>
          <w:lang w:val="en-US" w:eastAsia="zh-CN"/>
        </w:rPr>
        <w:t>使用自来水</w:t>
      </w:r>
      <w:r>
        <w:rPr>
          <w:rFonts w:hint="eastAsia" w:ascii="Times New Roman" w:hAnsi="Times New Roman" w:cs="Times New Roman"/>
          <w:color w:val="000000"/>
          <w:sz w:val="24"/>
          <w:szCs w:val="24"/>
          <w:lang w:val="en-US" w:eastAsia="zh-CN"/>
        </w:rPr>
        <w:t>。</w:t>
      </w:r>
      <w:r>
        <w:rPr>
          <w:rFonts w:ascii="Times New Roman" w:hAnsi="Times New Roman" w:cs="Times New Roman"/>
          <w:color w:val="000000"/>
          <w:sz w:val="24"/>
          <w:szCs w:val="24"/>
          <w:lang w:val="en-US" w:eastAsia="zh-CN"/>
        </w:rPr>
        <w:t>项目</w:t>
      </w:r>
      <w:r>
        <w:rPr>
          <w:rFonts w:hint="eastAsia" w:ascii="Times New Roman" w:hAnsi="Times New Roman" w:cs="Times New Roman"/>
          <w:color w:val="000000"/>
          <w:sz w:val="24"/>
          <w:szCs w:val="24"/>
          <w:lang w:val="en-US" w:eastAsia="zh-CN"/>
        </w:rPr>
        <w:t>产生废水量为9886.08m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/a，其中生产废水量为3646.08m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/a回用，项目仅生活污水产生量为6240</w:t>
      </w:r>
      <w:r>
        <w:rPr>
          <w:color w:val="000000"/>
        </w:rPr>
        <w:t>m</w:t>
      </w:r>
      <w:r>
        <w:rPr>
          <w:color w:val="000000"/>
          <w:vertAlign w:val="superscript"/>
        </w:rPr>
        <w:t>3</w:t>
      </w:r>
      <w:r>
        <w:rPr>
          <w:color w:val="000000"/>
        </w:rPr>
        <w:t>/a</w:t>
      </w:r>
      <w:r>
        <w:rPr>
          <w:rFonts w:hint="eastAsia"/>
          <w:color w:val="000000"/>
          <w:lang w:eastAsia="zh-CN"/>
        </w:rPr>
        <w:t>。</w:t>
      </w:r>
    </w:p>
    <w:p w14:paraId="4468D219">
      <w:pPr>
        <w:pStyle w:val="282"/>
        <w:rPr>
          <w:rFonts w:hint="eastAsia"/>
          <w:b w:val="0"/>
          <w:bCs/>
          <w:lang w:val="en-US" w:eastAsia="zh-CN"/>
        </w:rPr>
      </w:pPr>
      <w:r>
        <w:rPr>
          <w:rFonts w:hint="eastAsia"/>
          <w:b w:val="0"/>
          <w:bCs/>
          <w:lang w:val="en-US" w:eastAsia="zh-CN"/>
        </w:rPr>
        <w:t>6.2.2.2废水的处理方式</w:t>
      </w:r>
    </w:p>
    <w:p w14:paraId="7E7EB29C">
      <w:pPr>
        <w:ind w:firstLine="480"/>
        <w:rPr>
          <w:rFonts w:hint="eastAsia"/>
          <w:color w:val="000000"/>
        </w:rPr>
      </w:pPr>
      <w:r>
        <w:rPr>
          <w:rFonts w:ascii="Times New Roman" w:hAnsi="宋体" w:eastAsia="宋体" w:cs="Times New Roman"/>
          <w:color w:val="000000"/>
          <w:sz w:val="24"/>
          <w:szCs w:val="21"/>
        </w:rPr>
        <w:t>项目区采用雨污分流系统</w:t>
      </w:r>
      <w:r>
        <w:rPr>
          <w:rFonts w:hint="eastAsia" w:ascii="Times New Roman" w:hAnsi="宋体" w:eastAsia="宋体" w:cs="Times New Roman"/>
          <w:color w:val="000000"/>
          <w:sz w:val="24"/>
          <w:szCs w:val="21"/>
          <w:lang w:eastAsia="zh-CN"/>
        </w:rPr>
        <w:t>，</w:t>
      </w:r>
      <w:r>
        <w:rPr>
          <w:rFonts w:hint="eastAsia" w:ascii="Times New Roman" w:hAnsi="Times New Roman" w:cs="Times New Roman"/>
          <w:color w:val="000000"/>
          <w:sz w:val="24"/>
          <w:szCs w:val="24"/>
          <w:lang w:val="en-US" w:eastAsia="zh-CN"/>
        </w:rPr>
        <w:t>项目设备冷却水循环使用，只补充不排；调胶设备清洗废水及制胶脱水全部收集后回用于制胶用水，不外排；项目软水制备系统硬水作为水膜除尘器用水，无生产废水外排。</w:t>
      </w:r>
      <w:r>
        <w:rPr>
          <w:rFonts w:hint="eastAsia"/>
          <w:color w:val="000000"/>
          <w:lang w:val="en-US" w:eastAsia="zh-CN"/>
        </w:rPr>
        <w:t>环评要求在食堂出水口增设1个隔油池进行隔油预处理后，同其他生活污水排入现有的化粪池进行处理后</w:t>
      </w:r>
      <w:r>
        <w:rPr>
          <w:rFonts w:hint="eastAsia" w:ascii="Times New Roman" w:hAnsi="Times New Roman" w:eastAsia="宋体" w:cs="Times New Roman"/>
          <w:color w:val="000000"/>
          <w:sz w:val="24"/>
          <w:lang w:val="en-US" w:eastAsia="zh-CN"/>
        </w:rPr>
        <w:t>，</w:t>
      </w:r>
      <w:r>
        <w:rPr>
          <w:rFonts w:ascii="Times New Roman" w:hAnsi="Times New Roman" w:eastAsia="宋体" w:cs="Times New Roman"/>
          <w:color w:val="000000"/>
          <w:sz w:val="24"/>
          <w:lang w:val="en-US" w:eastAsia="zh-CN"/>
        </w:rPr>
        <w:t>外排废</w:t>
      </w:r>
      <w:r>
        <w:rPr>
          <w:rFonts w:ascii="Times New Roman" w:hAnsi="Times New Roman" w:eastAsia="宋体" w:cs="Times New Roman"/>
          <w:color w:val="000000"/>
          <w:sz w:val="24"/>
        </w:rPr>
        <w:t>水</w:t>
      </w:r>
      <w:r>
        <w:rPr>
          <w:rFonts w:hint="eastAsia" w:ascii="Times New Roman" w:hAnsi="Times New Roman" w:eastAsia="宋体" w:cs="Times New Roman"/>
          <w:color w:val="000000"/>
          <w:sz w:val="24"/>
          <w:lang w:val="en-US" w:eastAsia="zh-CN"/>
        </w:rPr>
        <w:t>满足</w:t>
      </w:r>
      <w:r>
        <w:rPr>
          <w:rFonts w:ascii="Times New Roman" w:hAnsi="Times New Roman" w:eastAsia="宋体" w:cs="Times New Roman"/>
          <w:color w:val="000000"/>
          <w:sz w:val="24"/>
        </w:rPr>
        <w:t>《污水综合排放标准》（GB8978-1996）表4三级标准和《污水排入城镇下水道水质标准》（GB/T 31962-2015）表</w:t>
      </w:r>
      <w:r>
        <w:rPr>
          <w:rFonts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B等级标准</w:t>
      </w:r>
      <w:r>
        <w:rPr>
          <w:rFonts w:hint="eastAsia" w:ascii="Times New Roman" w:hAnsi="Times New Roman" w:eastAsia="宋体" w:cs="Times New Roman"/>
          <w:color w:val="000000"/>
          <w:sz w:val="24"/>
          <w:lang w:eastAsia="zh-CN"/>
        </w:rPr>
        <w:t>，</w:t>
      </w:r>
      <w:r>
        <w:rPr>
          <w:rFonts w:hint="eastAsia"/>
          <w:color w:val="000000"/>
          <w:lang w:val="en-US" w:eastAsia="zh-CN"/>
        </w:rPr>
        <w:t>进入市政污水管网，最终排入芒市污水处理厂处理。</w:t>
      </w:r>
    </w:p>
    <w:p w14:paraId="10B81254">
      <w:pPr>
        <w:pStyle w:val="282"/>
        <w:rPr>
          <w:rFonts w:hint="eastAsia"/>
          <w:b w:val="0"/>
          <w:bCs/>
          <w:lang w:val="en-US" w:eastAsia="zh-CN"/>
        </w:rPr>
      </w:pPr>
      <w:r>
        <w:rPr>
          <w:rFonts w:hint="eastAsia"/>
          <w:b w:val="0"/>
          <w:bCs/>
          <w:lang w:val="en-US" w:eastAsia="zh-CN"/>
        </w:rPr>
        <w:t>6.2.2.3污水进入芒市污水处理厂可行性分析</w:t>
      </w:r>
    </w:p>
    <w:p w14:paraId="4773B841">
      <w:pPr>
        <w:keepNext w:val="0"/>
        <w:keepLines w:val="0"/>
        <w:pageBreakBefore w:val="0"/>
        <w:widowControl/>
        <w:suppressLineNumbers w:val="0"/>
        <w:spacing w:line="360" w:lineRule="auto"/>
        <w:ind w:firstLine="480"/>
        <w:jc w:val="left"/>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芒市城区有建设规模 30000m</w:t>
      </w:r>
      <w:r>
        <w:rPr>
          <w:rFonts w:ascii="Times New Roman" w:hAnsi="Times New Roman" w:eastAsia="宋体" w:cs="Times New Roman"/>
          <w:sz w:val="24"/>
          <w:szCs w:val="24"/>
          <w:vertAlign w:val="superscript"/>
          <w:lang w:val="en-US" w:eastAsia="zh-CN" w:bidi="ar-SA"/>
        </w:rPr>
        <w:t>3</w:t>
      </w:r>
      <w:r>
        <w:rPr>
          <w:rFonts w:ascii="Times New Roman" w:hAnsi="Times New Roman" w:eastAsia="宋体" w:cs="Times New Roman"/>
          <w:sz w:val="24"/>
          <w:szCs w:val="24"/>
          <w:lang w:val="en-US" w:eastAsia="zh-CN" w:bidi="ar-SA"/>
        </w:rPr>
        <w:t xml:space="preserve"> /d </w:t>
      </w:r>
      <w:r>
        <w:rPr>
          <w:rFonts w:hint="eastAsia" w:ascii="Times New Roman" w:hAnsi="Times New Roman" w:eastAsia="宋体" w:cs="Times New Roman"/>
          <w:sz w:val="24"/>
          <w:szCs w:val="24"/>
          <w:lang w:val="en-US" w:eastAsia="zh-CN" w:bidi="ar-SA"/>
        </w:rPr>
        <w:t>的第一污水处理厂，位于芒市镇芒核村西边， 紧邻芒市大</w:t>
      </w:r>
      <w:r>
        <w:rPr>
          <w:rFonts w:hint="eastAsia" w:ascii="Times New Roman" w:hAnsi="Times New Roman" w:eastAsia="宋体" w:cs="Times New Roman"/>
          <w:color w:val="000000"/>
          <w:sz w:val="24"/>
          <w:szCs w:val="24"/>
          <w:lang w:val="en-US" w:eastAsia="zh-CN" w:bidi="ar-SA"/>
        </w:rPr>
        <w:t xml:space="preserve">河，该厂一期建设规模 </w:t>
      </w:r>
      <w:r>
        <w:rPr>
          <w:rFonts w:ascii="Times New Roman" w:hAnsi="Times New Roman" w:eastAsia="宋体" w:cs="Times New Roman"/>
          <w:color w:val="000000"/>
          <w:sz w:val="24"/>
          <w:szCs w:val="24"/>
          <w:lang w:val="en-US" w:eastAsia="zh-CN" w:bidi="ar-SA"/>
        </w:rPr>
        <w:t>15000m</w:t>
      </w:r>
      <w:r>
        <w:rPr>
          <w:rFonts w:ascii="Times New Roman" w:hAnsi="Times New Roman" w:eastAsia="宋体" w:cs="Times New Roman"/>
          <w:color w:val="000000"/>
          <w:sz w:val="24"/>
          <w:szCs w:val="24"/>
          <w:vertAlign w:val="superscript"/>
          <w:lang w:val="en-US" w:eastAsia="zh-CN" w:bidi="ar-SA"/>
        </w:rPr>
        <w:t>3</w:t>
      </w:r>
      <w:r>
        <w:rPr>
          <w:rFonts w:ascii="Times New Roman" w:hAnsi="Times New Roman" w:eastAsia="宋体" w:cs="Times New Roman"/>
          <w:color w:val="000000"/>
          <w:sz w:val="24"/>
          <w:szCs w:val="24"/>
          <w:lang w:val="en-US" w:eastAsia="zh-CN" w:bidi="ar-SA"/>
        </w:rPr>
        <w:t xml:space="preserve"> /d</w:t>
      </w:r>
      <w:r>
        <w:rPr>
          <w:rFonts w:hint="eastAsia" w:ascii="Times New Roman" w:hAnsi="Times New Roman" w:eastAsia="宋体" w:cs="Times New Roman"/>
          <w:color w:val="000000"/>
          <w:sz w:val="24"/>
          <w:szCs w:val="24"/>
          <w:lang w:val="en-US" w:eastAsia="zh-CN" w:bidi="ar-SA"/>
        </w:rPr>
        <w:t>，于</w:t>
      </w:r>
      <w:r>
        <w:rPr>
          <w:rFonts w:ascii="Times New Roman" w:hAnsi="Times New Roman" w:eastAsia="宋体" w:cs="Times New Roman"/>
          <w:color w:val="000000"/>
          <w:sz w:val="24"/>
          <w:szCs w:val="24"/>
          <w:lang w:val="en-US" w:eastAsia="zh-CN" w:bidi="ar-SA"/>
        </w:rPr>
        <w:t xml:space="preserve">2004 </w:t>
      </w:r>
      <w:r>
        <w:rPr>
          <w:rFonts w:hint="eastAsia" w:ascii="Times New Roman" w:hAnsi="Times New Roman" w:eastAsia="宋体" w:cs="Times New Roman"/>
          <w:color w:val="000000"/>
          <w:sz w:val="24"/>
          <w:szCs w:val="24"/>
          <w:lang w:val="en-US" w:eastAsia="zh-CN" w:bidi="ar-SA"/>
        </w:rPr>
        <w:t xml:space="preserve">年建设投产，二期工程建设规模 </w:t>
      </w:r>
      <w:r>
        <w:rPr>
          <w:rFonts w:ascii="Times New Roman" w:hAnsi="Times New Roman" w:eastAsia="宋体" w:cs="Times New Roman"/>
          <w:color w:val="000000"/>
          <w:sz w:val="24"/>
          <w:szCs w:val="24"/>
          <w:lang w:val="en-US" w:eastAsia="zh-CN" w:bidi="ar-SA"/>
        </w:rPr>
        <w:t>15000m</w:t>
      </w:r>
      <w:r>
        <w:rPr>
          <w:rFonts w:ascii="Times New Roman" w:hAnsi="Times New Roman" w:eastAsia="宋体" w:cs="Times New Roman"/>
          <w:color w:val="000000"/>
          <w:sz w:val="24"/>
          <w:szCs w:val="24"/>
          <w:vertAlign w:val="superscript"/>
          <w:lang w:val="en-US" w:eastAsia="zh-CN" w:bidi="ar-SA"/>
        </w:rPr>
        <w:t>3</w:t>
      </w:r>
      <w:r>
        <w:rPr>
          <w:rFonts w:ascii="Times New Roman" w:hAnsi="Times New Roman" w:eastAsia="宋体" w:cs="Times New Roman"/>
          <w:color w:val="000000"/>
          <w:sz w:val="24"/>
          <w:szCs w:val="24"/>
          <w:lang w:val="en-US" w:eastAsia="zh-CN" w:bidi="ar-SA"/>
        </w:rPr>
        <w:t xml:space="preserve"> /d</w:t>
      </w:r>
      <w:r>
        <w:rPr>
          <w:rFonts w:hint="eastAsia" w:ascii="Times New Roman" w:hAnsi="Times New Roman" w:eastAsia="宋体" w:cs="Times New Roman"/>
          <w:color w:val="000000"/>
          <w:sz w:val="24"/>
          <w:szCs w:val="24"/>
          <w:lang w:val="en-US" w:eastAsia="zh-CN" w:bidi="ar-SA"/>
        </w:rPr>
        <w:t>，</w:t>
      </w:r>
      <w:r>
        <w:rPr>
          <w:rFonts w:ascii="Times New Roman" w:hAnsi="Times New Roman" w:eastAsia="宋体" w:cs="Times New Roman"/>
          <w:color w:val="000000"/>
          <w:sz w:val="24"/>
          <w:szCs w:val="24"/>
          <w:lang w:val="en-US" w:eastAsia="zh-CN" w:bidi="ar-SA"/>
        </w:rPr>
        <w:t xml:space="preserve">2014 </w:t>
      </w:r>
      <w:r>
        <w:rPr>
          <w:rFonts w:hint="eastAsia" w:ascii="Times New Roman" w:hAnsi="Times New Roman" w:eastAsia="宋体" w:cs="Times New Roman"/>
          <w:color w:val="000000"/>
          <w:sz w:val="24"/>
          <w:szCs w:val="24"/>
          <w:lang w:val="en-US" w:eastAsia="zh-CN" w:bidi="ar-SA"/>
        </w:rPr>
        <w:t>年6月完成建设并运行。根据分析，项目外排废水量为</w:t>
      </w:r>
      <w:r>
        <w:rPr>
          <w:rFonts w:hint="eastAsia" w:ascii="Times New Roman" w:hAnsi="Times New Roman" w:cs="Times New Roman"/>
          <w:color w:val="000000"/>
          <w:sz w:val="24"/>
          <w:szCs w:val="24"/>
          <w:lang w:val="en-US" w:eastAsia="zh-CN"/>
        </w:rPr>
        <w:t>6240</w:t>
      </w:r>
      <w:r>
        <w:rPr>
          <w:color w:val="000000"/>
        </w:rPr>
        <w:t>m</w:t>
      </w:r>
      <w:r>
        <w:rPr>
          <w:color w:val="000000"/>
          <w:vertAlign w:val="superscript"/>
        </w:rPr>
        <w:t>3</w:t>
      </w:r>
      <w:r>
        <w:rPr>
          <w:color w:val="000000"/>
        </w:rPr>
        <w:t>/a</w:t>
      </w:r>
      <w:r>
        <w:rPr>
          <w:rFonts w:hint="eastAsia" w:ascii="Times New Roman" w:hAnsi="Times New Roman" w:eastAsia="宋体" w:cs="Times New Roman"/>
          <w:color w:val="000000"/>
          <w:sz w:val="24"/>
          <w:szCs w:val="24"/>
          <w:lang w:val="en-US" w:eastAsia="zh-CN" w:bidi="ar-SA"/>
        </w:rPr>
        <w:t>经过调查了解，目前，该厂污水处理能力有较大富余，因此项目最终排入芒市污水处理厂方案可行。</w:t>
      </w:r>
    </w:p>
    <w:p w14:paraId="1DD23A37">
      <w:pPr>
        <w:pStyle w:val="282"/>
        <w:rPr>
          <w:rFonts w:hint="eastAsia"/>
          <w:b w:val="0"/>
          <w:bCs/>
          <w:lang w:val="en-US" w:eastAsia="zh-CN"/>
        </w:rPr>
      </w:pPr>
      <w:r>
        <w:rPr>
          <w:rFonts w:hint="eastAsia"/>
          <w:b w:val="0"/>
          <w:bCs/>
          <w:lang w:val="en-US" w:eastAsia="zh-CN"/>
        </w:rPr>
        <w:t>6.2.2.4各收集池容积合理性分析</w:t>
      </w:r>
    </w:p>
    <w:p w14:paraId="7EA3616E">
      <w:pPr>
        <w:widowControl w:val="0"/>
        <w:spacing w:line="360" w:lineRule="auto"/>
        <w:ind w:firstLine="480"/>
        <w:rPr>
          <w:rFonts w:ascii="Times New Roman" w:hAnsi="Times New Roman" w:eastAsia="宋体" w:cs="Times New Roman"/>
          <w:color w:val="000000"/>
          <w:sz w:val="24"/>
          <w:szCs w:val="21"/>
        </w:rPr>
      </w:pPr>
      <w:r>
        <w:rPr>
          <w:rFonts w:ascii="Times New Roman" w:hAnsi="宋体" w:eastAsia="宋体" w:cs="Times New Roman"/>
          <w:color w:val="000000"/>
          <w:sz w:val="24"/>
          <w:szCs w:val="21"/>
        </w:rPr>
        <w:t>项目</w:t>
      </w:r>
      <w:r>
        <w:rPr>
          <w:rFonts w:hint="eastAsia" w:ascii="Times New Roman" w:hAnsi="宋体" w:eastAsia="宋体" w:cs="Times New Roman"/>
          <w:color w:val="000000"/>
          <w:sz w:val="24"/>
          <w:szCs w:val="21"/>
        </w:rPr>
        <w:t>食堂废水</w:t>
      </w:r>
      <w:r>
        <w:rPr>
          <w:rFonts w:ascii="Times New Roman" w:hAnsi="宋体" w:eastAsia="宋体" w:cs="Times New Roman"/>
          <w:color w:val="000000"/>
          <w:sz w:val="24"/>
          <w:szCs w:val="21"/>
        </w:rPr>
        <w:t>产生量约为</w:t>
      </w:r>
      <w:r>
        <w:rPr>
          <w:rFonts w:hint="eastAsia" w:ascii="Times New Roman" w:hAnsi="Times New Roman" w:eastAsia="宋体" w:cs="Times New Roman"/>
          <w:color w:val="000000"/>
          <w:sz w:val="24"/>
          <w:szCs w:val="21"/>
          <w:lang w:val="en-US" w:eastAsia="zh-CN"/>
        </w:rPr>
        <w:t>6.4</w:t>
      </w:r>
      <w:r>
        <w:rPr>
          <w:rFonts w:ascii="Times New Roman" w:hAnsi="Times New Roman" w:eastAsia="宋体" w:cs="Times New Roman"/>
          <w:color w:val="000000"/>
          <w:sz w:val="24"/>
          <w:szCs w:val="21"/>
        </w:rPr>
        <w:t>m</w:t>
      </w:r>
      <w:r>
        <w:rPr>
          <w:rFonts w:ascii="Times New Roman" w:hAnsi="Times New Roman" w:eastAsia="宋体" w:cs="Times New Roman"/>
          <w:color w:val="000000"/>
          <w:sz w:val="24"/>
          <w:szCs w:val="21"/>
          <w:vertAlign w:val="superscript"/>
        </w:rPr>
        <w:t>3</w:t>
      </w:r>
      <w:r>
        <w:rPr>
          <w:rFonts w:hint="eastAsia" w:ascii="Times New Roman" w:hAnsi="Times New Roman" w:eastAsia="宋体" w:cs="Times New Roman"/>
          <w:color w:val="000000"/>
          <w:sz w:val="24"/>
          <w:szCs w:val="21"/>
        </w:rPr>
        <w:t>/d</w:t>
      </w:r>
      <w:r>
        <w:rPr>
          <w:rFonts w:ascii="Times New Roman" w:hAnsi="宋体" w:eastAsia="宋体" w:cs="Times New Roman"/>
          <w:color w:val="000000"/>
          <w:sz w:val="24"/>
          <w:szCs w:val="21"/>
        </w:rPr>
        <w:t>，</w:t>
      </w:r>
      <w:r>
        <w:rPr>
          <w:rFonts w:hint="eastAsia" w:ascii="Times New Roman" w:hAnsi="宋体" w:eastAsia="宋体" w:cs="Times New Roman"/>
          <w:color w:val="000000"/>
          <w:sz w:val="24"/>
          <w:szCs w:val="21"/>
        </w:rPr>
        <w:t>为保证食堂废水在</w:t>
      </w:r>
      <w:r>
        <w:rPr>
          <w:rFonts w:hint="eastAsia" w:ascii="Times New Roman" w:hAnsi="宋体" w:eastAsia="宋体" w:cs="Times New Roman"/>
          <w:color w:val="000000"/>
          <w:sz w:val="24"/>
          <w:szCs w:val="21"/>
          <w:lang w:val="en-US" w:eastAsia="zh-CN"/>
        </w:rPr>
        <w:t>隔油池</w:t>
      </w:r>
      <w:r>
        <w:rPr>
          <w:rFonts w:hint="eastAsia" w:ascii="Times New Roman" w:hAnsi="宋体" w:eastAsia="宋体" w:cs="Times New Roman"/>
          <w:color w:val="000000"/>
          <w:sz w:val="24"/>
          <w:szCs w:val="21"/>
        </w:rPr>
        <w:t>内有足够的停留时间，则</w:t>
      </w:r>
      <w:r>
        <w:rPr>
          <w:rFonts w:ascii="Times New Roman" w:hAnsi="宋体" w:eastAsia="宋体" w:cs="Times New Roman"/>
          <w:color w:val="000000"/>
          <w:sz w:val="24"/>
          <w:szCs w:val="21"/>
        </w:rPr>
        <w:t>项目</w:t>
      </w:r>
      <w:r>
        <w:rPr>
          <w:rFonts w:hint="eastAsia" w:ascii="Times New Roman" w:hAnsi="宋体" w:eastAsia="宋体" w:cs="Times New Roman"/>
          <w:color w:val="000000"/>
          <w:sz w:val="24"/>
          <w:szCs w:val="21"/>
        </w:rPr>
        <w:t>需新建1个容积为</w:t>
      </w:r>
      <w:r>
        <w:rPr>
          <w:rFonts w:hint="eastAsia" w:ascii="Times New Roman" w:hAnsi="宋体" w:eastAsia="宋体" w:cs="Times New Roman"/>
          <w:color w:val="000000"/>
          <w:sz w:val="24"/>
          <w:szCs w:val="21"/>
          <w:lang w:val="en-US" w:eastAsia="zh-CN"/>
        </w:rPr>
        <w:t>8</w:t>
      </w:r>
      <w:r>
        <w:rPr>
          <w:rFonts w:ascii="Times New Roman" w:hAnsi="Times New Roman" w:eastAsia="宋体" w:cs="Times New Roman"/>
          <w:color w:val="000000"/>
          <w:sz w:val="24"/>
          <w:szCs w:val="21"/>
        </w:rPr>
        <w:t>m</w:t>
      </w:r>
      <w:r>
        <w:rPr>
          <w:rFonts w:ascii="Times New Roman" w:hAnsi="Times New Roman" w:eastAsia="宋体" w:cs="Times New Roman"/>
          <w:color w:val="000000"/>
          <w:sz w:val="24"/>
          <w:szCs w:val="21"/>
          <w:vertAlign w:val="superscript"/>
        </w:rPr>
        <w:t>3</w:t>
      </w:r>
      <w:r>
        <w:rPr>
          <w:rFonts w:hint="eastAsia" w:ascii="Times New Roman" w:hAnsi="宋体" w:eastAsia="宋体" w:cs="Times New Roman"/>
          <w:color w:val="000000"/>
          <w:sz w:val="24"/>
          <w:szCs w:val="21"/>
          <w:lang w:val="en-US" w:eastAsia="zh-CN"/>
        </w:rPr>
        <w:t>隔油池</w:t>
      </w:r>
      <w:r>
        <w:rPr>
          <w:rFonts w:hint="eastAsia" w:ascii="Times New Roman" w:hAnsi="Times New Roman" w:eastAsia="宋体" w:cs="Times New Roman"/>
          <w:color w:val="000000"/>
          <w:sz w:val="24"/>
          <w:szCs w:val="21"/>
        </w:rPr>
        <w:t>。</w:t>
      </w:r>
    </w:p>
    <w:p w14:paraId="0052D95C">
      <w:pPr>
        <w:widowControl w:val="0"/>
        <w:spacing w:line="360" w:lineRule="auto"/>
        <w:ind w:firstLine="480"/>
        <w:rPr>
          <w:rFonts w:ascii="Times New Roman" w:hAnsi="宋体" w:eastAsia="宋体" w:cs="Times New Roman"/>
          <w:color w:val="000000"/>
          <w:sz w:val="24"/>
          <w:szCs w:val="21"/>
          <w:lang w:val="en-US" w:eastAsia="zh-CN"/>
        </w:rPr>
      </w:pPr>
      <w:r>
        <w:rPr>
          <w:rFonts w:hint="eastAsia" w:ascii="Times New Roman" w:hAnsi="宋体" w:eastAsia="宋体" w:cs="Times New Roman"/>
          <w:color w:val="000000"/>
          <w:sz w:val="24"/>
          <w:szCs w:val="21"/>
        </w:rPr>
        <w:t>本项目</w:t>
      </w:r>
      <w:r>
        <w:rPr>
          <w:rFonts w:hint="eastAsia" w:ascii="Times New Roman" w:hAnsi="宋体" w:eastAsia="宋体" w:cs="Times New Roman"/>
          <w:color w:val="000000"/>
          <w:sz w:val="24"/>
          <w:szCs w:val="21"/>
          <w:lang w:val="en-US" w:eastAsia="zh-CN"/>
        </w:rPr>
        <w:t>废水排放量为20.8m</w:t>
      </w:r>
      <w:r>
        <w:rPr>
          <w:rFonts w:hint="eastAsia" w:ascii="Times New Roman" w:hAnsi="宋体" w:eastAsia="宋体" w:cs="Times New Roman"/>
          <w:color w:val="000000"/>
          <w:sz w:val="24"/>
          <w:szCs w:val="21"/>
          <w:vertAlign w:val="superscript"/>
          <w:lang w:val="en-US" w:eastAsia="zh-CN"/>
        </w:rPr>
        <w:t>3</w:t>
      </w:r>
      <w:r>
        <w:rPr>
          <w:rFonts w:hint="eastAsia" w:ascii="Times New Roman" w:hAnsi="宋体" w:eastAsia="宋体" w:cs="Times New Roman"/>
          <w:color w:val="000000"/>
          <w:sz w:val="24"/>
          <w:szCs w:val="21"/>
          <w:lang w:val="en-US" w:eastAsia="zh-CN"/>
        </w:rPr>
        <w:t>/d，目前已建有6座化粪池，总容积为80m</w:t>
      </w:r>
      <w:r>
        <w:rPr>
          <w:rFonts w:hint="eastAsia" w:ascii="Times New Roman" w:hAnsi="宋体" w:eastAsia="宋体" w:cs="Times New Roman"/>
          <w:color w:val="000000"/>
          <w:sz w:val="24"/>
          <w:szCs w:val="21"/>
          <w:vertAlign w:val="superscript"/>
          <w:lang w:val="en-US" w:eastAsia="zh-CN"/>
        </w:rPr>
        <w:t>3</w:t>
      </w:r>
      <w:r>
        <w:rPr>
          <w:rFonts w:hint="eastAsia" w:ascii="Times New Roman" w:hAnsi="宋体" w:eastAsia="宋体" w:cs="Times New Roman"/>
          <w:color w:val="000000"/>
          <w:sz w:val="24"/>
          <w:szCs w:val="21"/>
          <w:lang w:val="en-US" w:eastAsia="zh-CN"/>
        </w:rPr>
        <w:t>，可以保证废水在化粪池的停留时间不小于24小时，因此化粪池容积可以满足改扩建后全厂的生活污水的储存停留</w:t>
      </w:r>
      <w:r>
        <w:rPr>
          <w:rFonts w:hint="eastAsia" w:ascii="Times New Roman" w:hAnsi="宋体" w:eastAsia="宋体" w:cs="Times New Roman"/>
          <w:color w:val="000000"/>
          <w:sz w:val="24"/>
          <w:szCs w:val="21"/>
          <w:lang w:eastAsia="zh-CN"/>
        </w:rPr>
        <w:t>，</w:t>
      </w:r>
      <w:r>
        <w:rPr>
          <w:rFonts w:hint="eastAsia" w:ascii="Times New Roman" w:hAnsi="宋体" w:eastAsia="宋体" w:cs="Times New Roman"/>
          <w:color w:val="000000"/>
          <w:sz w:val="24"/>
          <w:szCs w:val="21"/>
          <w:lang w:val="en-US" w:eastAsia="zh-CN"/>
        </w:rPr>
        <w:t>避免满溢发生。</w:t>
      </w:r>
    </w:p>
    <w:p w14:paraId="3845F863">
      <w:pPr>
        <w:keepNext w:val="0"/>
        <w:keepLines w:val="0"/>
        <w:pageBreakBefore w:val="0"/>
        <w:widowControl w:val="0"/>
        <w:spacing w:line="360" w:lineRule="auto"/>
        <w:ind w:firstLine="48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根据工程分析，本项目2座锅炉（1备1用）共用2套水膜除尘器对烟气进行净化处理，除尘器用水量为20.4m</w:t>
      </w:r>
      <w:r>
        <w:rPr>
          <w:rFonts w:hint="eastAsia" w:ascii="Times New Roman" w:hAnsi="Times New Roman" w:eastAsia="宋体" w:cs="Times New Roman"/>
          <w:color w:val="000000"/>
          <w:sz w:val="24"/>
          <w:szCs w:val="24"/>
          <w:vertAlign w:val="superscript"/>
          <w:lang w:val="en-US" w:eastAsia="zh-CN" w:bidi="ar-SA"/>
        </w:rPr>
        <w:t>3</w:t>
      </w:r>
      <w:r>
        <w:rPr>
          <w:rFonts w:hint="eastAsia" w:ascii="Times New Roman" w:hAnsi="Times New Roman" w:eastAsia="宋体" w:cs="Times New Roman"/>
          <w:color w:val="000000"/>
          <w:sz w:val="24"/>
          <w:szCs w:val="24"/>
          <w:lang w:val="en-US" w:eastAsia="zh-CN" w:bidi="ar-SA"/>
        </w:rPr>
        <w:t>/h，为了满足沉淀池水力停留时间不宜小于0.5h且能够顾储存1d的水量，</w:t>
      </w:r>
      <w:r>
        <w:rPr>
          <w:rFonts w:ascii="Times New Roman" w:hAnsi="Times New Roman" w:cs="Times New Roman"/>
          <w:color w:val="000000"/>
          <w:sz w:val="24"/>
          <w:szCs w:val="24"/>
        </w:rPr>
        <w:t>设备旁的</w:t>
      </w:r>
      <w:r>
        <w:rPr>
          <w:rFonts w:hint="eastAsia" w:ascii="Times New Roman" w:hAnsi="Times New Roman" w:cs="Times New Roman"/>
          <w:color w:val="000000"/>
          <w:sz w:val="24"/>
          <w:szCs w:val="24"/>
          <w:lang w:val="en-US" w:eastAsia="zh-CN"/>
        </w:rPr>
        <w:t>循环</w:t>
      </w:r>
      <w:r>
        <w:rPr>
          <w:rFonts w:ascii="Times New Roman" w:hAnsi="Times New Roman" w:cs="Times New Roman"/>
          <w:color w:val="000000"/>
          <w:sz w:val="24"/>
          <w:szCs w:val="24"/>
        </w:rPr>
        <w:t>水池</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分别容积为10m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、43m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bidi="ar-SA"/>
        </w:rPr>
        <w:t>可以满足循环水储存量。</w:t>
      </w:r>
    </w:p>
    <w:p w14:paraId="3EA01B91">
      <w:pPr>
        <w:keepNext w:val="0"/>
        <w:keepLines w:val="0"/>
        <w:pageBreakBefore w:val="0"/>
        <w:widowControl w:val="0"/>
        <w:spacing w:line="360" w:lineRule="auto"/>
        <w:ind w:firstLine="48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设备冷却水量20m</w:t>
      </w:r>
      <w:r>
        <w:rPr>
          <w:rFonts w:hint="eastAsia" w:ascii="Times New Roman" w:hAnsi="Times New Roman" w:eastAsia="宋体" w:cs="Times New Roman"/>
          <w:color w:val="000000"/>
          <w:sz w:val="24"/>
          <w:szCs w:val="24"/>
          <w:vertAlign w:val="superscript"/>
          <w:lang w:val="en-US" w:eastAsia="zh-CN" w:bidi="ar-SA"/>
        </w:rPr>
        <w:t>3</w:t>
      </w:r>
      <w:r>
        <w:rPr>
          <w:rFonts w:hint="eastAsia" w:ascii="Times New Roman" w:hAnsi="Times New Roman" w:eastAsia="宋体" w:cs="Times New Roman"/>
          <w:color w:val="000000"/>
          <w:sz w:val="24"/>
          <w:szCs w:val="24"/>
          <w:lang w:val="en-US" w:eastAsia="zh-CN" w:bidi="ar-SA"/>
        </w:rPr>
        <w:t>/d，项目设置1座消防水池（容积为600m</w:t>
      </w:r>
      <w:r>
        <w:rPr>
          <w:rFonts w:hint="eastAsia" w:ascii="Times New Roman" w:hAnsi="Times New Roman" w:eastAsia="宋体" w:cs="Times New Roman"/>
          <w:color w:val="000000"/>
          <w:sz w:val="24"/>
          <w:szCs w:val="24"/>
          <w:vertAlign w:val="superscript"/>
          <w:lang w:val="en-US" w:eastAsia="zh-CN" w:bidi="ar-SA"/>
        </w:rPr>
        <w:t>3</w:t>
      </w:r>
      <w:r>
        <w:rPr>
          <w:rFonts w:hint="eastAsia" w:ascii="Times New Roman" w:hAnsi="Times New Roman" w:eastAsia="宋体" w:cs="Times New Roman"/>
          <w:color w:val="000000"/>
          <w:sz w:val="24"/>
          <w:szCs w:val="24"/>
          <w:lang w:val="en-US" w:eastAsia="zh-CN" w:bidi="ar-SA"/>
        </w:rPr>
        <w:t>），除了具有消防功能外，可完全保证制胶车间设备冷却使用。</w:t>
      </w:r>
    </w:p>
    <w:p w14:paraId="46BC6DC3">
      <w:pPr>
        <w:pStyle w:val="282"/>
        <w:rPr>
          <w:b w:val="0"/>
          <w:bCs/>
          <w:lang w:val="en-US" w:eastAsia="zh-CN"/>
        </w:rPr>
      </w:pPr>
      <w:r>
        <w:rPr>
          <w:rFonts w:hint="eastAsia"/>
          <w:b w:val="0"/>
          <w:bCs/>
          <w:lang w:val="en-US" w:eastAsia="zh-CN"/>
        </w:rPr>
        <w:t>6.2.2.5初期雨水收集池合理性分析</w:t>
      </w:r>
    </w:p>
    <w:p w14:paraId="5C975ECA">
      <w:pPr>
        <w:keepNext w:val="0"/>
        <w:keepLines w:val="0"/>
        <w:pageBreakBefore w:val="0"/>
        <w:widowControl w:val="0"/>
        <w:spacing w:line="360" w:lineRule="auto"/>
        <w:ind w:firstLine="480"/>
        <w:jc w:val="both"/>
        <w:rPr>
          <w:rFonts w:hint="eastAsia" w:ascii="Times New Roman" w:hAnsi="Times New Roman" w:eastAsia="宋体" w:cs="Times New Roman"/>
          <w:color w:val="000000"/>
          <w:sz w:val="24"/>
          <w:szCs w:val="24"/>
          <w:lang w:val="en-US" w:eastAsia="zh-CN" w:bidi="ar-SA"/>
        </w:rPr>
      </w:pPr>
      <w:r>
        <w:rPr>
          <w:rFonts w:hint="eastAsia" w:hAnsi="宋体"/>
          <w:color w:val="000000"/>
          <w:sz w:val="24"/>
          <w:lang w:val="en-US" w:eastAsia="zh-CN"/>
        </w:rPr>
        <w:t>根据现场勘查，项目区雨水经四周的雨水收集沟直接外排，考虑到避免散逸地面的污物进入地表水体，根据雨水量核算，初期雨水量为133.2m</w:t>
      </w:r>
      <w:r>
        <w:rPr>
          <w:rFonts w:hint="eastAsia" w:hAnsi="宋体"/>
          <w:color w:val="000000"/>
          <w:sz w:val="24"/>
          <w:vertAlign w:val="superscript"/>
          <w:lang w:val="en-US" w:eastAsia="zh-CN"/>
        </w:rPr>
        <w:t>3</w:t>
      </w:r>
      <w:r>
        <w:rPr>
          <w:rFonts w:hint="eastAsia" w:hAnsi="宋体"/>
          <w:color w:val="000000"/>
          <w:sz w:val="24"/>
          <w:lang w:val="en-US" w:eastAsia="zh-CN"/>
        </w:rPr>
        <w:t>/次，本环评建议增设1座初期雨水收集池，</w:t>
      </w:r>
      <w:r>
        <w:rPr>
          <w:rFonts w:ascii="Times New Roman" w:hAnsi="Times New Roman" w:cs="Times New Roman"/>
          <w:color w:val="000000"/>
          <w:sz w:val="24"/>
          <w:szCs w:val="24"/>
          <w:lang w:val="zh-CN" w:eastAsia="zh-CN"/>
        </w:rPr>
        <w:t>容量</w:t>
      </w:r>
      <w:r>
        <w:rPr>
          <w:rFonts w:ascii="Times New Roman" w:hAnsi="Times New Roman" w:cs="Times New Roman"/>
          <w:color w:val="000000"/>
          <w:sz w:val="24"/>
          <w:szCs w:val="24"/>
          <w:lang w:val="en-US" w:eastAsia="zh-CN"/>
        </w:rPr>
        <w:t>初步定</w:t>
      </w:r>
      <w:r>
        <w:rPr>
          <w:rFonts w:ascii="Times New Roman" w:hAnsi="Times New Roman" w:cs="Times New Roman"/>
          <w:color w:val="000000"/>
          <w:sz w:val="24"/>
          <w:szCs w:val="24"/>
          <w:lang w:val="zh-CN" w:eastAsia="zh-CN"/>
        </w:rPr>
        <w:t>为</w:t>
      </w:r>
      <w:r>
        <w:rPr>
          <w:rFonts w:ascii="Times New Roman" w:hAnsi="Times New Roman" w:cs="Times New Roman"/>
          <w:color w:val="000000"/>
          <w:sz w:val="24"/>
          <w:szCs w:val="24"/>
          <w:lang w:val="en-US" w:eastAsia="zh-CN"/>
        </w:rPr>
        <w:t>150</w:t>
      </w:r>
      <w:r>
        <w:rPr>
          <w:rFonts w:ascii="Times New Roman" w:hAnsi="Times New Roman" w:cs="Times New Roman"/>
          <w:color w:val="000000"/>
          <w:sz w:val="24"/>
          <w:szCs w:val="24"/>
          <w:lang w:val="zh-CN" w:eastAsia="zh-CN"/>
        </w:rPr>
        <w:t>m</w:t>
      </w:r>
      <w:r>
        <w:rPr>
          <w:rFonts w:hint="eastAsia" w:ascii="Times New Roman" w:hAnsi="Times New Roman" w:cs="Times New Roman"/>
          <w:color w:val="000000"/>
          <w:sz w:val="24"/>
          <w:szCs w:val="24"/>
          <w:vertAlign w:val="superscript"/>
          <w:lang w:val="en-US" w:eastAsia="zh-CN"/>
        </w:rPr>
        <w:t>3</w:t>
      </w:r>
      <w:r>
        <w:rPr>
          <w:rFonts w:ascii="Times New Roman" w:hAnsi="Times New Roman" w:cs="Times New Roman"/>
          <w:color w:val="000000"/>
          <w:sz w:val="24"/>
          <w:szCs w:val="24"/>
          <w:lang w:val="zh-CN" w:eastAsia="zh-CN"/>
        </w:rPr>
        <w:t>，可满足单次降雨的初期雨水存量，初期雨水经沉淀处理后与其他雨水外排周围的雨水沟渠，减少场地经雨水冲刷污染物排放量</w:t>
      </w:r>
      <w:r>
        <w:rPr>
          <w:rFonts w:hint="eastAsia" w:ascii="Times New Roman" w:hAnsi="Times New Roman" w:cs="Times New Roman"/>
          <w:color w:val="000000"/>
          <w:sz w:val="24"/>
          <w:szCs w:val="24"/>
          <w:lang w:val="zh-CN" w:eastAsia="zh-CN"/>
        </w:rPr>
        <w:t>，</w:t>
      </w:r>
      <w:r>
        <w:rPr>
          <w:rFonts w:hint="eastAsia" w:hAnsi="宋体"/>
          <w:color w:val="000000"/>
          <w:sz w:val="24"/>
          <w:u w:val="none"/>
        </w:rPr>
        <w:t>布置在厂区地势最低处</w:t>
      </w:r>
      <w:r>
        <w:rPr>
          <w:rFonts w:hint="eastAsia" w:hAnsi="宋体"/>
          <w:color w:val="000000"/>
          <w:sz w:val="24"/>
          <w:u w:val="none"/>
          <w:lang w:val="en-US" w:eastAsia="zh-CN"/>
        </w:rPr>
        <w:t>一</w:t>
      </w:r>
      <w:r>
        <w:rPr>
          <w:rFonts w:hint="eastAsia" w:hAnsi="宋体"/>
          <w:color w:val="000000"/>
          <w:sz w:val="24"/>
          <w:u w:val="none"/>
        </w:rPr>
        <w:t>侧</w:t>
      </w:r>
      <w:r>
        <w:rPr>
          <w:rFonts w:hint="eastAsia" w:hAnsi="宋体"/>
          <w:color w:val="000000"/>
          <w:sz w:val="24"/>
          <w:u w:val="none"/>
          <w:lang w:eastAsia="zh-CN"/>
        </w:rPr>
        <w:t>。</w:t>
      </w:r>
    </w:p>
    <w:p w14:paraId="46CCC6BA">
      <w:pPr>
        <w:pStyle w:val="282"/>
        <w:rPr>
          <w:rFonts w:hint="eastAsia"/>
          <w:b w:val="0"/>
          <w:bCs/>
          <w:lang w:val="en-US" w:eastAsia="zh-CN"/>
        </w:rPr>
      </w:pPr>
      <w:bookmarkStart w:id="160" w:name="_Toc478482482"/>
      <w:r>
        <w:rPr>
          <w:rFonts w:hint="eastAsia"/>
          <w:b w:val="0"/>
          <w:bCs/>
          <w:lang w:val="en-US" w:eastAsia="zh-CN"/>
        </w:rPr>
        <w:t>6.2.2.6</w:t>
      </w:r>
      <w:bookmarkEnd w:id="160"/>
      <w:r>
        <w:rPr>
          <w:rFonts w:hint="eastAsia"/>
          <w:b w:val="0"/>
          <w:bCs/>
          <w:lang w:val="en-US" w:eastAsia="zh-CN"/>
        </w:rPr>
        <w:t>小结</w:t>
      </w:r>
    </w:p>
    <w:p w14:paraId="770079B8">
      <w:pPr>
        <w:spacing w:line="360" w:lineRule="auto"/>
        <w:ind w:firstLine="480"/>
        <w:jc w:val="left"/>
      </w:pPr>
      <w:r>
        <w:rPr>
          <w:rFonts w:hint="eastAsia" w:ascii="Times New Roman" w:hAnsi="Times New Roman" w:eastAsia="宋体" w:cs="Times New Roman"/>
          <w:color w:val="000000"/>
          <w:sz w:val="24"/>
          <w:szCs w:val="21"/>
          <w:lang w:val="en-US" w:eastAsia="zh-CN"/>
        </w:rPr>
        <w:t>项目区实现雨污分流，初期雨水经过沉淀</w:t>
      </w:r>
      <w:r>
        <w:rPr>
          <w:rFonts w:ascii="Times New Roman" w:hAnsi="Times New Roman" w:cs="Times New Roman"/>
          <w:color w:val="000000"/>
          <w:sz w:val="24"/>
          <w:szCs w:val="24"/>
          <w:lang w:val="zh-CN" w:eastAsia="zh-CN"/>
        </w:rPr>
        <w:t>处理后与其他雨水外排周围的雨水沟渠</w:t>
      </w:r>
      <w:r>
        <w:rPr>
          <w:rFonts w:hint="eastAsia" w:ascii="Times New Roman" w:hAnsi="Times New Roman" w:cs="Times New Roman"/>
          <w:color w:val="000000"/>
          <w:sz w:val="24"/>
          <w:szCs w:val="24"/>
          <w:lang w:val="zh-CN" w:eastAsia="zh-CN"/>
        </w:rPr>
        <w:t>；</w:t>
      </w:r>
      <w:r>
        <w:rPr>
          <w:rFonts w:hint="eastAsia" w:ascii="Times New Roman" w:hAnsi="Times New Roman" w:eastAsia="宋体" w:cs="Times New Roman"/>
          <w:color w:val="000000"/>
          <w:sz w:val="24"/>
          <w:szCs w:val="21"/>
        </w:rPr>
        <w:t>项目运营期废水</w:t>
      </w:r>
      <w:r>
        <w:rPr>
          <w:rFonts w:hint="eastAsia" w:ascii="Times New Roman" w:hAnsi="Times New Roman" w:eastAsia="宋体" w:cs="Times New Roman"/>
          <w:color w:val="000000"/>
          <w:sz w:val="24"/>
          <w:szCs w:val="21"/>
          <w:lang w:val="en-US" w:eastAsia="zh-CN"/>
        </w:rPr>
        <w:t>做到达标排放，不直接排入地表水体，不会对地表水体造成污染。同时本环评要求建设方在运营期间禁止倾倒污水、污物、堆放、抛洒、焚烧物品等行为。</w:t>
      </w:r>
      <w:r>
        <w:rPr>
          <w:rFonts w:cs="宋体"/>
          <w:color w:val="000000"/>
          <w:sz w:val="24"/>
        </w:rPr>
        <w:t>在执行上述地表水影响防治措施后，</w:t>
      </w:r>
      <w:r>
        <w:rPr>
          <w:caps/>
          <w:color w:val="000000"/>
          <w:sz w:val="24"/>
        </w:rPr>
        <w:t>本项目</w:t>
      </w:r>
      <w:r>
        <w:rPr>
          <w:color w:val="000000"/>
          <w:sz w:val="24"/>
        </w:rPr>
        <w:t>运营期不会对周边地表水体造成影响。</w:t>
      </w:r>
    </w:p>
    <w:p w14:paraId="501CE1D9">
      <w:pPr>
        <w:pStyle w:val="188"/>
        <w:rPr>
          <w:color w:val="000000"/>
        </w:rPr>
      </w:pPr>
      <w:r>
        <w:rPr>
          <w:rFonts w:hint="eastAsia"/>
          <w:color w:val="000000"/>
          <w:lang w:val="en-US" w:eastAsia="zh-CN"/>
        </w:rPr>
        <w:t>6</w:t>
      </w:r>
      <w:r>
        <w:rPr>
          <w:color w:val="000000"/>
        </w:rPr>
        <w:t>.2.3 地下水环境影响</w:t>
      </w:r>
      <w:r>
        <w:rPr>
          <w:rFonts w:hint="eastAsia"/>
          <w:color w:val="000000"/>
        </w:rPr>
        <w:t>分析</w:t>
      </w:r>
    </w:p>
    <w:p w14:paraId="4086C0F4">
      <w:pPr>
        <w:pStyle w:val="282"/>
        <w:rPr>
          <w:rFonts w:hint="eastAsia"/>
          <w:b w:val="0"/>
          <w:bCs/>
          <w:color w:val="000000"/>
        </w:rPr>
      </w:pPr>
      <w:r>
        <w:rPr>
          <w:rFonts w:hint="eastAsia"/>
          <w:b w:val="0"/>
          <w:bCs/>
          <w:color w:val="000000"/>
          <w:lang w:val="en-US" w:eastAsia="zh-CN"/>
        </w:rPr>
        <w:t>6.2.3.1</w:t>
      </w:r>
      <w:r>
        <w:rPr>
          <w:rFonts w:hint="eastAsia"/>
          <w:b w:val="0"/>
          <w:bCs/>
          <w:color w:val="000000"/>
        </w:rPr>
        <w:t>预测原则</w:t>
      </w:r>
    </w:p>
    <w:p w14:paraId="1EB5868F">
      <w:pPr>
        <w:pStyle w:val="2"/>
        <w:ind w:firstLine="480"/>
        <w:rPr>
          <w:rFonts w:ascii="Times New Roman" w:hAnsi="Times New Roman" w:cs="Times New Roman"/>
          <w:sz w:val="24"/>
          <w:szCs w:val="24"/>
        </w:rPr>
      </w:pPr>
      <w:r>
        <w:rPr>
          <w:rFonts w:hint="eastAsia" w:hAnsi="Courier New" w:eastAsia="宋体" w:cs="Courier New"/>
          <w:color w:val="000000"/>
          <w:sz w:val="24"/>
          <w:szCs w:val="24"/>
          <w:lang w:val="en-US" w:eastAsia="zh-CN"/>
        </w:rPr>
        <w:t>本项目涉及脲</w:t>
      </w:r>
      <w:r>
        <w:rPr>
          <w:rFonts w:hint="eastAsia" w:hAnsi="Courier New" w:eastAsia="宋体" w:cs="Courier New"/>
          <w:sz w:val="24"/>
          <w:szCs w:val="24"/>
          <w:lang w:val="en-US" w:eastAsia="zh-CN"/>
        </w:rPr>
        <w:t>醛树脂胶和酚醛树脂胶的生产，</w:t>
      </w:r>
      <w:r>
        <w:rPr>
          <w:rFonts w:hint="eastAsia" w:hAnsi="Courier New" w:cs="Courier New"/>
          <w:sz w:val="24"/>
          <w:szCs w:val="24"/>
        </w:rPr>
        <w:t>行业类别属于专用化学品制造</w:t>
      </w:r>
      <w:r>
        <w:rPr>
          <w:rFonts w:hint="eastAsia" w:hAnsi="Courier New" w:cs="Courier New"/>
          <w:sz w:val="24"/>
          <w:szCs w:val="24"/>
          <w:lang w:val="en-US" w:eastAsia="zh-CN"/>
        </w:rPr>
        <w:t>项目，地下水环境影响评价</w:t>
      </w:r>
      <w:r>
        <w:rPr>
          <w:rFonts w:ascii="Times New Roman" w:hAnsi="Times New Roman" w:cs="Times New Roman"/>
          <w:sz w:val="24"/>
          <w:szCs w:val="24"/>
          <w:lang w:val="en-US" w:eastAsia="zh-CN"/>
        </w:rPr>
        <w:t>类别为Ⅰ类；场区地下水总体径流方向为南东向北西方向径流，最终向芒市大河排泄。项目场区处于地</w:t>
      </w:r>
      <w:r>
        <w:rPr>
          <w:rFonts w:ascii="Times New Roman" w:hAnsi="Times New Roman" w:cs="Times New Roman"/>
          <w:sz w:val="24"/>
          <w:szCs w:val="24"/>
        </w:rPr>
        <w:t>下水补给径流区，至</w:t>
      </w:r>
      <w:r>
        <w:rPr>
          <w:rFonts w:ascii="Times New Roman" w:hAnsi="Times New Roman" w:eastAsia="宋体" w:cs="Times New Roman"/>
          <w:sz w:val="24"/>
          <w:szCs w:val="24"/>
          <w:lang w:val="en-US" w:eastAsia="zh-CN"/>
        </w:rPr>
        <w:t>下游芒市大河</w:t>
      </w:r>
      <w:r>
        <w:rPr>
          <w:rFonts w:ascii="Times New Roman" w:hAnsi="Times New Roman" w:cs="Times New Roman"/>
          <w:sz w:val="24"/>
          <w:szCs w:val="24"/>
        </w:rPr>
        <w:t>的径流排泄地段，不存在地下水取水环境敏感点。根据《环境影响评价技术导则 地下水环境》（HJ610-2016），可判断项目地下水评价等级确定为二级。</w:t>
      </w:r>
    </w:p>
    <w:p w14:paraId="36CF3DD0">
      <w:pPr>
        <w:pStyle w:val="2"/>
        <w:ind w:firstLine="480"/>
        <w:rPr>
          <w:rFonts w:ascii="Times New Roman" w:hAnsi="Times New Roman" w:cs="Times New Roman"/>
          <w:sz w:val="24"/>
          <w:szCs w:val="24"/>
        </w:rPr>
      </w:pPr>
      <w:r>
        <w:rPr>
          <w:rFonts w:ascii="Times New Roman" w:hAnsi="Times New Roman" w:cs="Times New Roman"/>
          <w:sz w:val="24"/>
          <w:szCs w:val="24"/>
        </w:rPr>
        <w:t>以地下水环境现状调查和地下水环境影响预测结果为依据，对建设项目各实施阶段不同环节及不同污染防控措施下的地下水环境影响进行评价。</w:t>
      </w:r>
    </w:p>
    <w:p w14:paraId="0B99310E">
      <w:pPr>
        <w:pStyle w:val="282"/>
        <w:rPr>
          <w:rFonts w:hint="eastAsia"/>
          <w:b w:val="0"/>
          <w:bCs/>
          <w:color w:val="000000"/>
          <w:lang w:val="en-US" w:eastAsia="zh-CN"/>
        </w:rPr>
      </w:pPr>
      <w:r>
        <w:rPr>
          <w:rFonts w:hint="eastAsia"/>
          <w:b w:val="0"/>
          <w:bCs/>
          <w:color w:val="000000"/>
          <w:lang w:val="en-US" w:eastAsia="zh-CN"/>
        </w:rPr>
        <w:t xml:space="preserve">6.2.3.2区域地质概况及水文地质概况 </w:t>
      </w:r>
    </w:p>
    <w:p w14:paraId="01027C96">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 xml:space="preserve">（1）地形地貌 </w:t>
      </w:r>
    </w:p>
    <w:p w14:paraId="17EF84BE">
      <w:pPr>
        <w:keepNext w:val="0"/>
        <w:keepLines w:val="0"/>
        <w:widowControl/>
        <w:suppressLineNumbers w:val="0"/>
        <w:jc w:val="left"/>
        <w:rPr>
          <w:rFonts w:ascii="Times New Roman" w:hAnsi="Times New Roman" w:eastAsia="宋体" w:cs="Times New Roman"/>
        </w:rPr>
      </w:pPr>
      <w:r>
        <w:rPr>
          <w:rFonts w:ascii="Times New Roman" w:hAnsi="Times New Roman" w:eastAsia="宋体" w:cs="Times New Roman"/>
          <w:color w:val="000000"/>
          <w:sz w:val="24"/>
          <w:szCs w:val="24"/>
          <w:lang w:val="en-US" w:eastAsia="zh-CN" w:bidi="ar"/>
        </w:rPr>
        <w:t xml:space="preserve">芒市处于云贵高原西部，横断山脉的南延部分，高黎贡山南段西侧，山脉、河流呈北东、南西向延伸；地势北东高、南西低，坝区海拔一般在 760.0～947.0m （其中潞西盆地海拔 869～947m，遮放盆地海拔 760～960m），山区海拔一般在1200.0～2300.0m，西部分水岭地带海拔一般在 1600.0～1700.0m，东部分水岭海拔一般在 2400～2700m，最高点位于该区南东部的尖坡山峰，海拔 2761.00m，最低点位于南西部龙川江河谷的户焕，海拔 776.00m，相对高差 1995.0m。区内地貌包括侵蚀堆积地貌、岩溶地貌、构造剥蚀地貌、构造侵蚀地貌及火山堆积地貌五大成因类型。 </w:t>
      </w:r>
    </w:p>
    <w:p w14:paraId="393A923C">
      <w:pPr>
        <w:keepNext w:val="0"/>
        <w:keepLines w:val="0"/>
        <w:widowControl/>
        <w:suppressLineNumbers w:val="0"/>
        <w:jc w:val="left"/>
        <w:rPr>
          <w:rFonts w:ascii="Times New Roman" w:hAnsi="Times New Roman" w:eastAsia="宋体" w:cs="Times New Roman"/>
          <w:color w:val="FF0000"/>
        </w:rPr>
      </w:pPr>
      <w:r>
        <w:rPr>
          <w:rFonts w:ascii="Times New Roman" w:hAnsi="Times New Roman" w:eastAsia="宋体" w:cs="Times New Roman"/>
          <w:color w:val="000000"/>
          <w:sz w:val="24"/>
          <w:szCs w:val="24"/>
          <w:lang w:val="en-US" w:eastAsia="zh-CN" w:bidi="ar"/>
        </w:rPr>
        <w:t>评估区地形地貌属侵蚀堆积地貌之冲洪积台地低丘缓坡地形，地貌类型较单调，平顶低丘起伏、连绵展布，丘间地被一些平缓的谷地所分割，平顶丘构成的台地和谷底相互交织，台地开阔且较为平坦。侵蚀堆积地貌冲洪积台地低丘缓坡地形分布于评估区及其周边的大部分区域，区内最低点位于评估区西部芒市大河，高程 895m；最高点位于评估区东北部，高程为970m；相对高差75m。</w:t>
      </w:r>
    </w:p>
    <w:p w14:paraId="233C4598">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 xml:space="preserve">（2）区域水文地质条件 </w:t>
      </w:r>
    </w:p>
    <w:p w14:paraId="05EDAD6D">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 xml:space="preserve">根据地下水水理性质，埋藏条件、赋存、运移等特征，区域内地下水类型划分为松散岩类孔隙水、碎屑岩裂隙孔隙水及基岩裂隙水。 </w:t>
      </w:r>
    </w:p>
    <w:p w14:paraId="3F3E96ED">
      <w:pPr>
        <w:keepNext w:val="0"/>
        <w:keepLines w:val="0"/>
        <w:widowControl/>
        <w:suppressLineNumbers w:val="0"/>
        <w:jc w:val="left"/>
        <w:rPr>
          <w:rFonts w:hint="eastAsia"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1</w:t>
      </w:r>
      <w:r>
        <w:rPr>
          <w:rFonts w:hint="eastAsia" w:ascii="宋体" w:hAnsi="宋体" w:eastAsia="宋体" w:cs="宋体"/>
          <w:color w:val="000000"/>
          <w:sz w:val="24"/>
          <w:szCs w:val="24"/>
          <w:lang w:val="en-US" w:eastAsia="zh-CN" w:bidi="ar"/>
        </w:rPr>
        <w:t xml:space="preserve">）地下水类型 </w:t>
      </w:r>
    </w:p>
    <w:p w14:paraId="76285F6B">
      <w:pPr>
        <w:keepNext w:val="0"/>
        <w:keepLines w:val="0"/>
        <w:widowControl/>
        <w:suppressLineNumbers w:val="0"/>
        <w:jc w:val="left"/>
      </w:pPr>
      <w:r>
        <w:rPr>
          <w:rFonts w:hint="eastAsia" w:ascii="宋体" w:hAnsi="宋体" w:eastAsia="宋体" w:cs="宋体"/>
          <w:color w:val="000000"/>
          <w:sz w:val="24"/>
          <w:szCs w:val="24"/>
          <w:lang w:val="en-US" w:eastAsia="zh-CN" w:bidi="ar"/>
        </w:rPr>
        <w:t>①松散岩类孔隙水：该类地下水分布于评估区地表地带。含水岩组为第四系耕土层（</w:t>
      </w:r>
      <w:r>
        <w:rPr>
          <w:rFonts w:ascii="Times New Roman" w:hAnsi="Times New Roman" w:eastAsia="宋体" w:cs="Times New Roman"/>
          <w:color w:val="000000"/>
          <w:sz w:val="24"/>
          <w:szCs w:val="24"/>
          <w:lang w:val="en-US" w:eastAsia="zh-CN" w:bidi="ar"/>
        </w:rPr>
        <w:t>Q</w:t>
      </w:r>
      <w:r>
        <w:rPr>
          <w:rFonts w:ascii="Times New Roman" w:hAnsi="Times New Roman" w:eastAsia="宋体" w:cs="Times New Roman"/>
          <w:color w:val="000000"/>
          <w:sz w:val="15"/>
          <w:szCs w:val="15"/>
          <w:lang w:val="en-US" w:eastAsia="zh-CN" w:bidi="ar"/>
        </w:rPr>
        <w:t>4 pd</w:t>
      </w:r>
      <w:r>
        <w:rPr>
          <w:rFonts w:hint="eastAsia" w:ascii="宋体" w:hAnsi="宋体" w:eastAsia="宋体" w:cs="宋体"/>
          <w:color w:val="000000"/>
          <w:sz w:val="24"/>
          <w:szCs w:val="24"/>
          <w:lang w:val="en-US" w:eastAsia="zh-CN" w:bidi="ar"/>
        </w:rPr>
        <w:t>）及第四系冲洪积层（</w:t>
      </w:r>
      <w:r>
        <w:rPr>
          <w:rFonts w:ascii="Times New Roman" w:hAnsi="Times New Roman" w:eastAsia="宋体" w:cs="Times New Roman"/>
          <w:color w:val="000000"/>
          <w:sz w:val="24"/>
          <w:szCs w:val="24"/>
          <w:lang w:val="en-US" w:eastAsia="zh-CN" w:bidi="ar"/>
        </w:rPr>
        <w:t>Q</w:t>
      </w:r>
      <w:r>
        <w:rPr>
          <w:rFonts w:ascii="Times New Roman" w:hAnsi="Times New Roman" w:eastAsia="宋体" w:cs="Times New Roman"/>
          <w:color w:val="000000"/>
          <w:sz w:val="15"/>
          <w:szCs w:val="15"/>
          <w:lang w:val="en-US" w:eastAsia="zh-CN" w:bidi="ar"/>
        </w:rPr>
        <w:t>4 al+pl</w:t>
      </w:r>
      <w:r>
        <w:rPr>
          <w:rFonts w:hint="eastAsia" w:ascii="宋体" w:hAnsi="宋体" w:eastAsia="宋体" w:cs="宋体"/>
          <w:color w:val="000000"/>
          <w:sz w:val="24"/>
          <w:szCs w:val="24"/>
          <w:lang w:val="en-US" w:eastAsia="zh-CN" w:bidi="ar"/>
        </w:rPr>
        <w:t>），地下水赋存于第四系冲洪积层（</w:t>
      </w:r>
      <w:r>
        <w:rPr>
          <w:rFonts w:ascii="Times New Roman" w:hAnsi="Times New Roman" w:eastAsia="宋体" w:cs="Times New Roman"/>
          <w:color w:val="000000"/>
          <w:sz w:val="24"/>
          <w:szCs w:val="24"/>
          <w:lang w:val="en-US" w:eastAsia="zh-CN" w:bidi="ar"/>
        </w:rPr>
        <w:t>Q</w:t>
      </w:r>
      <w:r>
        <w:rPr>
          <w:rFonts w:ascii="Times New Roman" w:hAnsi="Times New Roman" w:eastAsia="宋体" w:cs="Times New Roman"/>
          <w:color w:val="000000"/>
          <w:sz w:val="15"/>
          <w:szCs w:val="15"/>
          <w:lang w:val="en-US" w:eastAsia="zh-CN" w:bidi="ar"/>
        </w:rPr>
        <w:t>4 al+pl</w:t>
      </w:r>
      <w:r>
        <w:rPr>
          <w:rFonts w:hint="eastAsia" w:ascii="宋体" w:hAnsi="宋体" w:eastAsia="宋体" w:cs="宋体"/>
          <w:color w:val="000000"/>
          <w:sz w:val="24"/>
          <w:szCs w:val="24"/>
          <w:lang w:val="en-US" w:eastAsia="zh-CN" w:bidi="ar"/>
        </w:rPr>
        <w:t xml:space="preserve">）卵石、砂夹漂石层中。该类水体含水层薄，水量小、随季节变化明显，且受人类活动影响大。含水层结构松散，空隙发育，连通性较好，赋水性差。赋存于第四系松散堆积层中，地下水化学类型受人类影响较大，区域水化学类型主要为 </w:t>
      </w:r>
      <w:r>
        <w:rPr>
          <w:rFonts w:ascii="Times New Roman" w:hAnsi="Times New Roman" w:eastAsia="宋体" w:cs="Times New Roman"/>
          <w:color w:val="000000"/>
          <w:sz w:val="24"/>
          <w:szCs w:val="24"/>
          <w:lang w:val="en-US" w:eastAsia="zh-CN" w:bidi="ar"/>
        </w:rPr>
        <w:t>HCO</w:t>
      </w:r>
      <w:r>
        <w:rPr>
          <w:rFonts w:ascii="Times New Roman" w:hAnsi="Times New Roman" w:eastAsia="宋体" w:cs="Times New Roman"/>
          <w:color w:val="000000"/>
          <w:sz w:val="15"/>
          <w:szCs w:val="15"/>
          <w:lang w:val="en-US" w:eastAsia="zh-CN" w:bidi="ar"/>
        </w:rPr>
        <w:t>3</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Na</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Ca</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HCO</w:t>
      </w:r>
      <w:r>
        <w:rPr>
          <w:rFonts w:ascii="Times New Roman" w:hAnsi="Times New Roman" w:eastAsia="宋体" w:cs="Times New Roman"/>
          <w:color w:val="000000"/>
          <w:sz w:val="15"/>
          <w:szCs w:val="15"/>
          <w:lang w:val="en-US" w:eastAsia="zh-CN" w:bidi="ar"/>
        </w:rPr>
        <w:t>3</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Na</w:t>
      </w:r>
      <w:r>
        <w:rPr>
          <w:rFonts w:hint="eastAsia" w:ascii="宋体" w:hAnsi="宋体" w:eastAsia="宋体" w:cs="宋体"/>
          <w:color w:val="000000"/>
          <w:sz w:val="24"/>
          <w:szCs w:val="24"/>
          <w:lang w:val="en-US" w:eastAsia="zh-CN" w:bidi="ar"/>
        </w:rPr>
        <w:t xml:space="preserve">；水量贫乏。 </w:t>
      </w:r>
    </w:p>
    <w:p w14:paraId="34E105A1">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②碎屑岩裂隙孔隙水：分布评估区及周边的大部分区域。含水岩组为上第三系（</w:t>
      </w:r>
      <w:r>
        <w:rPr>
          <w:rFonts w:ascii="Times New Roman" w:hAnsi="Times New Roman" w:eastAsia="宋体" w:cs="Times New Roman"/>
          <w:color w:val="000000"/>
          <w:sz w:val="24"/>
          <w:szCs w:val="24"/>
          <w:lang w:val="en-US" w:eastAsia="zh-CN" w:bidi="ar"/>
        </w:rPr>
        <w:t>N</w:t>
      </w:r>
      <w:r>
        <w:rPr>
          <w:rFonts w:hint="eastAsia" w:ascii="宋体" w:hAnsi="宋体" w:eastAsia="宋体" w:cs="宋体"/>
          <w:color w:val="000000"/>
          <w:sz w:val="24"/>
          <w:szCs w:val="24"/>
          <w:lang w:val="en-US" w:eastAsia="zh-CN" w:bidi="ar"/>
        </w:rPr>
        <w:t>）砂质页岩，含水层岩性主要为砂质页岩，赋存于孔隙和裂隙中，运移于孔隙中，含水层埋深随地形而变化，均＜</w:t>
      </w:r>
      <w:r>
        <w:rPr>
          <w:rFonts w:ascii="Times New Roman" w:hAnsi="Times New Roman" w:eastAsia="宋体" w:cs="Times New Roman"/>
          <w:color w:val="000000"/>
          <w:sz w:val="24"/>
          <w:szCs w:val="24"/>
          <w:lang w:val="en-US" w:eastAsia="zh-CN" w:bidi="ar"/>
        </w:rPr>
        <w:t>50m</w:t>
      </w:r>
      <w:r>
        <w:rPr>
          <w:rFonts w:hint="eastAsia" w:ascii="宋体" w:hAnsi="宋体" w:eastAsia="宋体" w:cs="宋体"/>
          <w:color w:val="000000"/>
          <w:sz w:val="24"/>
          <w:szCs w:val="24"/>
          <w:lang w:val="en-US" w:eastAsia="zh-CN" w:bidi="ar"/>
        </w:rPr>
        <w:t>，多具有承压性。赋水性较差，水量贫乏。赋存于上第三系（</w:t>
      </w:r>
      <w:r>
        <w:rPr>
          <w:rFonts w:ascii="Times New Roman" w:hAnsi="Times New Roman" w:eastAsia="宋体" w:cs="Times New Roman"/>
          <w:color w:val="000000"/>
          <w:sz w:val="24"/>
          <w:szCs w:val="24"/>
          <w:lang w:val="en-US" w:eastAsia="zh-CN" w:bidi="ar"/>
        </w:rPr>
        <w:t>N</w:t>
      </w:r>
      <w:r>
        <w:rPr>
          <w:rFonts w:hint="eastAsia" w:ascii="宋体" w:hAnsi="宋体" w:eastAsia="宋体" w:cs="宋体"/>
          <w:color w:val="000000"/>
          <w:sz w:val="24"/>
          <w:szCs w:val="24"/>
          <w:lang w:val="en-US" w:eastAsia="zh-CN" w:bidi="ar"/>
        </w:rPr>
        <w:t xml:space="preserve">）砂砾岩及粘土岩中，区域水化学类型为 </w:t>
      </w:r>
      <w:r>
        <w:rPr>
          <w:rFonts w:ascii="Times New Roman" w:hAnsi="Times New Roman" w:eastAsia="宋体" w:cs="Times New Roman"/>
          <w:color w:val="000000"/>
          <w:sz w:val="24"/>
          <w:szCs w:val="24"/>
          <w:lang w:val="en-US" w:eastAsia="zh-CN" w:bidi="ar"/>
        </w:rPr>
        <w:t>HCO</w:t>
      </w:r>
      <w:r>
        <w:rPr>
          <w:rFonts w:ascii="Times New Roman" w:hAnsi="Times New Roman" w:eastAsia="宋体" w:cs="Times New Roman"/>
          <w:color w:val="000000"/>
          <w:sz w:val="15"/>
          <w:szCs w:val="15"/>
          <w:lang w:val="en-US" w:eastAsia="zh-CN" w:bidi="ar"/>
        </w:rPr>
        <w:t>3</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Ca</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Na </w:t>
      </w:r>
      <w:r>
        <w:rPr>
          <w:rFonts w:hint="eastAsia" w:ascii="宋体" w:hAnsi="宋体" w:eastAsia="宋体" w:cs="宋体"/>
          <w:color w:val="000000"/>
          <w:sz w:val="24"/>
          <w:szCs w:val="24"/>
          <w:lang w:val="en-US" w:eastAsia="zh-CN" w:bidi="ar"/>
        </w:rPr>
        <w:t xml:space="preserve">或 </w:t>
      </w:r>
      <w:r>
        <w:rPr>
          <w:rFonts w:ascii="Times New Roman" w:hAnsi="Times New Roman" w:eastAsia="宋体" w:cs="Times New Roman"/>
          <w:color w:val="000000"/>
          <w:sz w:val="24"/>
          <w:szCs w:val="24"/>
          <w:lang w:val="en-US" w:eastAsia="zh-CN" w:bidi="ar"/>
        </w:rPr>
        <w:t>HCO</w:t>
      </w:r>
      <w:r>
        <w:rPr>
          <w:rFonts w:ascii="Times New Roman" w:hAnsi="Times New Roman" w:eastAsia="宋体" w:cs="Times New Roman"/>
          <w:color w:val="000000"/>
          <w:sz w:val="15"/>
          <w:szCs w:val="15"/>
          <w:lang w:val="en-US" w:eastAsia="zh-CN" w:bidi="ar"/>
        </w:rPr>
        <w:t>3</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Na</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Ca </w:t>
      </w:r>
      <w:r>
        <w:rPr>
          <w:rFonts w:hint="eastAsia" w:ascii="宋体" w:hAnsi="宋体" w:eastAsia="宋体" w:cs="宋体"/>
          <w:color w:val="000000"/>
          <w:sz w:val="24"/>
          <w:szCs w:val="24"/>
          <w:lang w:val="en-US" w:eastAsia="zh-CN" w:bidi="ar"/>
        </w:rPr>
        <w:t xml:space="preserve">型，矿化度小于 </w:t>
      </w:r>
      <w:r>
        <w:rPr>
          <w:rFonts w:ascii="Times New Roman" w:hAnsi="Times New Roman" w:eastAsia="宋体" w:cs="Times New Roman"/>
          <w:color w:val="000000"/>
          <w:sz w:val="24"/>
          <w:szCs w:val="24"/>
          <w:lang w:val="en-US" w:eastAsia="zh-CN" w:bidi="ar"/>
        </w:rPr>
        <w:t>0.2g/L</w:t>
      </w:r>
      <w:r>
        <w:rPr>
          <w:rFonts w:hint="eastAsia" w:ascii="宋体" w:hAnsi="宋体" w:eastAsia="宋体" w:cs="宋体"/>
          <w:color w:val="000000"/>
          <w:sz w:val="24"/>
          <w:szCs w:val="24"/>
          <w:lang w:val="en-US" w:eastAsia="zh-CN" w:bidi="ar"/>
        </w:rPr>
        <w:t>；泉流量一般＜</w:t>
      </w:r>
      <w:r>
        <w:rPr>
          <w:rFonts w:ascii="Times New Roman" w:hAnsi="Times New Roman" w:eastAsia="宋体" w:cs="Times New Roman"/>
          <w:color w:val="000000"/>
          <w:sz w:val="24"/>
          <w:szCs w:val="24"/>
          <w:lang w:val="en-US" w:eastAsia="zh-CN" w:bidi="ar"/>
        </w:rPr>
        <w:t>0.1L/s</w:t>
      </w:r>
      <w:r>
        <w:rPr>
          <w:rFonts w:hint="eastAsia" w:ascii="宋体" w:hAnsi="宋体" w:eastAsia="宋体" w:cs="宋体"/>
          <w:color w:val="000000"/>
          <w:sz w:val="24"/>
          <w:szCs w:val="24"/>
          <w:lang w:val="en-US" w:eastAsia="zh-CN" w:bidi="ar"/>
        </w:rPr>
        <w:t>，地下径流模数＜</w:t>
      </w:r>
      <w:r>
        <w:rPr>
          <w:rFonts w:ascii="Times New Roman" w:hAnsi="Times New Roman" w:eastAsia="宋体" w:cs="Times New Roman"/>
          <w:color w:val="000000"/>
          <w:sz w:val="24"/>
          <w:szCs w:val="24"/>
          <w:lang w:val="en-US" w:eastAsia="zh-CN" w:bidi="ar"/>
        </w:rPr>
        <w:t>1L/s</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km</w:t>
      </w:r>
      <w:r>
        <w:rPr>
          <w:rFonts w:ascii="Times New Roman" w:hAnsi="Times New Roman" w:eastAsia="宋体" w:cs="Times New Roman"/>
          <w:color w:val="000000"/>
          <w:sz w:val="15"/>
          <w:szCs w:val="15"/>
          <w:lang w:val="en-US" w:eastAsia="zh-CN" w:bidi="ar"/>
        </w:rPr>
        <w:t>2</w:t>
      </w:r>
      <w:r>
        <w:rPr>
          <w:rFonts w:hint="eastAsia" w:ascii="宋体" w:hAnsi="宋体" w:eastAsia="宋体" w:cs="宋体"/>
          <w:color w:val="000000"/>
          <w:sz w:val="24"/>
          <w:szCs w:val="24"/>
          <w:lang w:val="en-US" w:eastAsia="zh-CN" w:bidi="ar"/>
        </w:rPr>
        <w:t xml:space="preserve">；单井涌水量约 </w:t>
      </w:r>
      <w:r>
        <w:rPr>
          <w:rFonts w:ascii="Times New Roman" w:hAnsi="Times New Roman" w:eastAsia="宋体" w:cs="Times New Roman"/>
          <w:color w:val="000000"/>
          <w:sz w:val="24"/>
          <w:szCs w:val="24"/>
          <w:lang w:val="en-US" w:eastAsia="zh-CN" w:bidi="ar"/>
        </w:rPr>
        <w:t>100-1000T/d</w:t>
      </w:r>
      <w:r>
        <w:rPr>
          <w:rFonts w:hint="eastAsia" w:ascii="宋体" w:hAnsi="宋体" w:eastAsia="宋体" w:cs="宋体"/>
          <w:color w:val="000000"/>
          <w:sz w:val="24"/>
          <w:szCs w:val="24"/>
          <w:lang w:val="en-US" w:eastAsia="zh-CN" w:bidi="ar"/>
        </w:rPr>
        <w:t xml:space="preserve">，水量中等。 </w:t>
      </w:r>
    </w:p>
    <w:p w14:paraId="6B1EBE24">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③寒武系基岩裂隙水：根据区域水文地质图显示，该类地下水广泛分布于项目评估区北侧，富水性中等，泉流量 </w:t>
      </w:r>
      <w:r>
        <w:rPr>
          <w:rFonts w:ascii="Times New Roman" w:hAnsi="Times New Roman" w:eastAsia="宋体" w:cs="Times New Roman"/>
          <w:color w:val="000000"/>
          <w:sz w:val="24"/>
          <w:szCs w:val="24"/>
          <w:lang w:val="en-US" w:eastAsia="zh-CN" w:bidi="ar"/>
        </w:rPr>
        <w:t>0.1~1L/s</w:t>
      </w:r>
      <w:r>
        <w:rPr>
          <w:rFonts w:hint="eastAsia" w:ascii="宋体" w:hAnsi="宋体" w:eastAsia="宋体" w:cs="宋体"/>
          <w:color w:val="000000"/>
          <w:sz w:val="24"/>
          <w:szCs w:val="24"/>
          <w:lang w:val="en-US" w:eastAsia="zh-CN" w:bidi="ar"/>
        </w:rPr>
        <w:t xml:space="preserve">，地下径流模数 </w:t>
      </w:r>
      <w:r>
        <w:rPr>
          <w:rFonts w:ascii="Times New Roman" w:hAnsi="Times New Roman" w:eastAsia="宋体" w:cs="Times New Roman"/>
          <w:color w:val="000000"/>
          <w:sz w:val="24"/>
          <w:szCs w:val="24"/>
          <w:lang w:val="en-US" w:eastAsia="zh-CN" w:bidi="ar"/>
        </w:rPr>
        <w:t>1~3L/s</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km</w:t>
      </w:r>
      <w:r>
        <w:rPr>
          <w:rFonts w:hint="eastAsia" w:ascii="Times New Roman" w:hAnsi="Times New Roman" w:eastAsia="宋体" w:cs="Times New Roman"/>
          <w:color w:val="000000"/>
          <w:sz w:val="24"/>
          <w:szCs w:val="24"/>
          <w:vertAlign w:val="superscript"/>
          <w:lang w:val="en-US" w:eastAsia="zh-CN" w:bidi="ar"/>
        </w:rPr>
        <w:t>2</w:t>
      </w:r>
      <w:r>
        <w:rPr>
          <w:rFonts w:hint="eastAsia" w:ascii="宋体" w:hAnsi="宋体" w:eastAsia="宋体" w:cs="宋体"/>
          <w:color w:val="000000"/>
          <w:sz w:val="24"/>
          <w:szCs w:val="24"/>
          <w:lang w:val="en-US" w:eastAsia="zh-CN" w:bidi="ar"/>
        </w:rPr>
        <w:t xml:space="preserve">。 </w:t>
      </w:r>
    </w:p>
    <w:p w14:paraId="4DC2B3F6">
      <w:pPr>
        <w:keepNext w:val="0"/>
        <w:keepLines w:val="0"/>
        <w:widowControl/>
        <w:suppressLineNumbers w:val="0"/>
        <w:jc w:val="left"/>
      </w:pPr>
      <w:r>
        <w:rPr>
          <w:rFonts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 xml:space="preserve">）地下水开采现状与补给、径流、排泄条件 </w:t>
      </w:r>
    </w:p>
    <w:p w14:paraId="49D19001">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评估区地下水受地形条件的控制明显，地下水径流方向自东北向西南，最终排泄至芒市大河。径流途径较长，地下水水力坡度缓。 </w:t>
      </w:r>
    </w:p>
    <w:p w14:paraId="67B56B9A">
      <w:pPr>
        <w:keepNext w:val="0"/>
        <w:keepLines w:val="0"/>
        <w:widowControl/>
        <w:suppressLineNumbers w:val="0"/>
        <w:jc w:val="left"/>
      </w:pPr>
      <w:r>
        <w:rPr>
          <w:rFonts w:ascii="Times New Roman" w:hAnsi="Times New Roman" w:eastAsia="宋体" w:cs="Times New Roman"/>
          <w:color w:val="000000"/>
          <w:sz w:val="24"/>
          <w:szCs w:val="24"/>
          <w:lang w:val="en-US" w:eastAsia="zh-CN" w:bidi="ar"/>
        </w:rPr>
        <w:t>1</w:t>
      </w:r>
      <w:r>
        <w:rPr>
          <w:rFonts w:hint="eastAsia" w:ascii="宋体" w:hAnsi="宋体" w:eastAsia="宋体" w:cs="宋体"/>
          <w:color w:val="000000"/>
          <w:sz w:val="24"/>
          <w:szCs w:val="24"/>
          <w:lang w:val="en-US" w:eastAsia="zh-CN" w:bidi="ar"/>
        </w:rPr>
        <w:t xml:space="preserve">）松散岩类孔隙水 </w:t>
      </w:r>
    </w:p>
    <w:p w14:paraId="27F2433F">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该类地下水总体主要接受大气降水补给、农灌水补给，以潜流补给河水。雨季多以散状形式排泄地表，其水位随雨季旱季变幅较大。 </w:t>
      </w:r>
    </w:p>
    <w:p w14:paraId="1D2DF463">
      <w:pPr>
        <w:keepNext w:val="0"/>
        <w:keepLines w:val="0"/>
        <w:widowControl/>
        <w:suppressLineNumbers w:val="0"/>
        <w:jc w:val="left"/>
      </w:pPr>
      <w:r>
        <w:rPr>
          <w:rFonts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 xml:space="preserve">）碎屑岩裂隙孔隙水 </w:t>
      </w:r>
    </w:p>
    <w:p w14:paraId="0627F311">
      <w:pPr>
        <w:keepNext w:val="0"/>
        <w:keepLines w:val="0"/>
        <w:widowControl/>
        <w:suppressLineNumbers w:val="0"/>
        <w:jc w:val="left"/>
      </w:pPr>
      <w:r>
        <w:rPr>
          <w:rFonts w:hint="eastAsia" w:ascii="宋体" w:hAnsi="宋体" w:eastAsia="宋体" w:cs="宋体"/>
          <w:color w:val="000000"/>
          <w:sz w:val="24"/>
          <w:szCs w:val="24"/>
          <w:lang w:val="en-US" w:eastAsia="zh-CN" w:bidi="ar"/>
        </w:rPr>
        <w:t>该类地下水主要接受大气降雨及变质岩裂隙水补给，盆地中部尚接受更新统松散岩类孔隙水补给，地下水多顺层间径流，赋存于盆地下部承压含水层中，在沟谷切割部位多以散流形式排泄于地表。</w:t>
      </w:r>
    </w:p>
    <w:p w14:paraId="6258C513">
      <w:pPr>
        <w:pStyle w:val="282"/>
      </w:pPr>
      <w:r>
        <w:rPr>
          <w:rFonts w:hint="eastAsia"/>
          <w:lang w:val="en-US" w:eastAsia="zh-CN"/>
        </w:rPr>
        <w:t>6.</w:t>
      </w:r>
      <w:r>
        <w:rPr>
          <w:rFonts w:hint="eastAsia"/>
        </w:rPr>
        <w:t>2.3.</w:t>
      </w:r>
      <w:r>
        <w:rPr>
          <w:rFonts w:hint="eastAsia"/>
          <w:lang w:val="en-US" w:eastAsia="zh-CN"/>
        </w:rPr>
        <w:t>3</w:t>
      </w:r>
      <w:r>
        <w:t>地下水开发利用现状</w:t>
      </w:r>
    </w:p>
    <w:p w14:paraId="157F2A9E">
      <w:pPr>
        <w:pStyle w:val="2"/>
        <w:ind w:firstLine="480"/>
        <w:rPr>
          <w:sz w:val="24"/>
          <w:szCs w:val="24"/>
        </w:rPr>
      </w:pPr>
      <w:r>
        <w:rPr>
          <w:sz w:val="24"/>
          <w:szCs w:val="24"/>
        </w:rPr>
        <w:t>经调查</w:t>
      </w:r>
      <w:r>
        <w:rPr>
          <w:rFonts w:hint="eastAsia"/>
          <w:sz w:val="24"/>
          <w:szCs w:val="24"/>
          <w:lang w:eastAsia="zh-CN"/>
        </w:rPr>
        <w:t>，</w:t>
      </w:r>
      <w:r>
        <w:rPr>
          <w:sz w:val="24"/>
          <w:szCs w:val="24"/>
        </w:rPr>
        <w:t xml:space="preserve">评级区域内无地下水生活用水供水水源地，居民生活用水取自自来水管网统一供给，地下水开发利用活动较少。 </w:t>
      </w:r>
    </w:p>
    <w:p w14:paraId="01844F06">
      <w:pPr>
        <w:pStyle w:val="282"/>
      </w:pPr>
      <w:r>
        <w:rPr>
          <w:rFonts w:hint="eastAsia"/>
          <w:lang w:val="en-US" w:eastAsia="zh-CN"/>
        </w:rPr>
        <w:t>6.</w:t>
      </w:r>
      <w:r>
        <w:rPr>
          <w:rFonts w:hint="eastAsia"/>
        </w:rPr>
        <w:t>2.3.</w:t>
      </w:r>
      <w:r>
        <w:rPr>
          <w:rFonts w:hint="eastAsia"/>
          <w:lang w:val="en-US" w:eastAsia="zh-CN"/>
        </w:rPr>
        <w:t>4</w:t>
      </w:r>
      <w:r>
        <w:t xml:space="preserve">地下水环境影响分析 </w:t>
      </w:r>
    </w:p>
    <w:p w14:paraId="6DF2123E">
      <w:pPr>
        <w:rPr>
          <w:rFonts w:hint="eastAsia"/>
          <w:szCs w:val="22"/>
          <w:lang w:val="en-US" w:eastAsia="zh-CN"/>
        </w:rPr>
      </w:pPr>
      <w:r>
        <w:rPr>
          <w:rFonts w:hint="eastAsia"/>
          <w:szCs w:val="22"/>
          <w:lang w:val="en-US" w:eastAsia="zh-CN"/>
        </w:rPr>
        <w:t>（1）预测因子的确定</w:t>
      </w:r>
    </w:p>
    <w:p w14:paraId="6FC2617F">
      <w:pPr>
        <w:rPr>
          <w:rFonts w:hint="eastAsia"/>
          <w:szCs w:val="22"/>
          <w:lang w:val="en-US" w:eastAsia="zh-CN"/>
        </w:rPr>
      </w:pPr>
      <w:r>
        <w:rPr>
          <w:rFonts w:hint="eastAsia"/>
          <w:szCs w:val="22"/>
          <w:lang w:val="en-US" w:eastAsia="zh-CN"/>
        </w:rPr>
        <w:t>项目区采用雨污分流系统，项目设备冷却水循环使用，只补充不排；调胶设备清洗废水及制胶脱水全部收集后回用于制胶用水，不外排；项目软水制备系统硬水作为水膜除尘器用水，无生产废水外排。环评要求在食堂出水口增设1个隔油池进行隔油预处理后，同其他生活污水排入现有的化粪池进行处理后外排进入城市市政污水管网，最终排入芒市污水处理厂处理。</w:t>
      </w:r>
    </w:p>
    <w:p w14:paraId="4E5C4B88">
      <w:pPr>
        <w:keepNext w:val="0"/>
        <w:keepLines w:val="0"/>
        <w:widowControl/>
        <w:suppressLineNumbers w:val="0"/>
        <w:jc w:val="left"/>
      </w:pPr>
      <w:r>
        <w:rPr>
          <w:rFonts w:hint="eastAsia"/>
          <w:szCs w:val="22"/>
          <w:lang w:val="en-US" w:eastAsia="zh-CN"/>
        </w:rPr>
        <w:t>在防渗措施到位，运行正常的情况下，生活污水及生产废水发生渗漏的可能性很小，地下水基本不会受到污染。</w:t>
      </w:r>
      <w:r>
        <w:rPr>
          <w:rFonts w:hint="eastAsia" w:ascii="宋体" w:hAnsi="宋体" w:eastAsia="宋体" w:cs="宋体"/>
          <w:color w:val="000000"/>
          <w:sz w:val="24"/>
          <w:szCs w:val="24"/>
          <w:lang w:val="en-US" w:eastAsia="zh-CN" w:bidi="ar"/>
        </w:rPr>
        <w:t>项目运营对地下水环境的影响是可控的，不会影响到项目所在地地下水环境及周边地下水环境敏感目标。</w:t>
      </w:r>
    </w:p>
    <w:p w14:paraId="2A69BCFB">
      <w:pPr>
        <w:rPr>
          <w:rFonts w:ascii="Times New Roman" w:hAnsi="Times New Roman" w:eastAsia="宋体" w:cs="Times New Roman"/>
          <w:szCs w:val="22"/>
          <w:lang w:val="en-US" w:eastAsia="zh-CN"/>
        </w:rPr>
      </w:pPr>
      <w:r>
        <w:rPr>
          <w:rFonts w:ascii="Times New Roman" w:hAnsi="Times New Roman" w:eastAsia="宋体" w:cs="Times New Roman"/>
          <w:color w:val="000000"/>
          <w:szCs w:val="22"/>
          <w:lang w:val="en-US" w:eastAsia="zh-CN"/>
        </w:rPr>
        <w:t>项目生产原料涉及甲醛溶液，设置60t的储罐储存，若出现故障、发生开裂、防渗地面出现破损等现象，在这几种非正常状况下，下渗的有机溶液将对地下水造成点源或面源污染，污染物可能下渗至包气带从而在潜水含水层</w:t>
      </w:r>
      <w:r>
        <w:rPr>
          <w:rFonts w:ascii="Times New Roman" w:hAnsi="Times New Roman" w:eastAsia="宋体" w:cs="Times New Roman"/>
          <w:szCs w:val="22"/>
          <w:lang w:val="en-US" w:eastAsia="zh-CN"/>
        </w:rPr>
        <w:t xml:space="preserve">中进行运移。 </w:t>
      </w:r>
    </w:p>
    <w:p w14:paraId="12B6FC2B">
      <w:pPr>
        <w:rPr>
          <w:rFonts w:ascii="Times New Roman" w:hAnsi="Times New Roman" w:eastAsia="宋体" w:cs="Times New Roman"/>
          <w:szCs w:val="22"/>
          <w:lang w:val="en-US" w:eastAsia="zh-CN"/>
        </w:rPr>
      </w:pPr>
      <w:r>
        <w:rPr>
          <w:rFonts w:ascii="Times New Roman" w:hAnsi="Times New Roman" w:eastAsia="宋体" w:cs="Times New Roman"/>
          <w:szCs w:val="22"/>
          <w:lang w:val="en-US" w:eastAsia="zh-CN"/>
        </w:rPr>
        <w:t>按照重金属、持久性有机污染物和其他类别污染物对各类型污染物进行分类，并对每一类别中的各项因子采用标准指数法进行排序，标准指数&gt;1，表明该水质因子已经超过了规定的水质标准，指数值越大，超标越严重。分别取标准指数最大的因子作为预测因子。分析可知，本项目甲醛为有机污染物，COD、氨氮为其他类别污染物，SS、TP及 BOD</w:t>
      </w:r>
      <w:r>
        <w:rPr>
          <w:rFonts w:ascii="Times New Roman" w:hAnsi="Times New Roman" w:eastAsia="宋体" w:cs="Times New Roman"/>
          <w:szCs w:val="22"/>
          <w:vertAlign w:val="subscript"/>
          <w:lang w:val="en-US" w:eastAsia="zh-CN"/>
        </w:rPr>
        <w:t>5</w:t>
      </w:r>
      <w:r>
        <w:rPr>
          <w:rFonts w:ascii="Times New Roman" w:hAnsi="Times New Roman" w:eastAsia="宋体" w:cs="Times New Roman"/>
          <w:szCs w:val="22"/>
          <w:lang w:val="en-US" w:eastAsia="zh-CN"/>
        </w:rPr>
        <w:t>在下渗过程中会被包气带吸附，本次预测不考虑，本次预测评价因子主要选取甲醛作为预测因子。甲醛参照《地表水环境质量标准》（GB3838-2002）中 Ⅲ类标准。</w:t>
      </w:r>
    </w:p>
    <w:p w14:paraId="2F5C6E85">
      <w:pPr>
        <w:rPr>
          <w:rFonts w:hint="eastAsia"/>
          <w:szCs w:val="22"/>
          <w:lang w:val="en-US" w:eastAsia="zh-CN"/>
        </w:rPr>
      </w:pPr>
      <w:r>
        <w:rPr>
          <w:rFonts w:hint="eastAsia"/>
          <w:szCs w:val="22"/>
          <w:lang w:val="en-US" w:eastAsia="zh-CN"/>
        </w:rPr>
        <w:t xml:space="preserve">（2）水文地质参数的确定 </w:t>
      </w:r>
    </w:p>
    <w:p w14:paraId="43DBCC07">
      <w:pPr>
        <w:rPr>
          <w:szCs w:val="22"/>
          <w:lang w:val="en-US" w:eastAsia="zh-CN"/>
        </w:rPr>
      </w:pPr>
      <w:r>
        <w:rPr>
          <w:szCs w:val="22"/>
          <w:lang w:val="en-US" w:eastAsia="zh-CN"/>
        </w:rPr>
        <w:t xml:space="preserve">①渗透系数计算 </w:t>
      </w:r>
    </w:p>
    <w:p w14:paraId="34398B3C">
      <w:pPr>
        <w:rPr>
          <w:rFonts w:hint="eastAsia"/>
          <w:szCs w:val="22"/>
          <w:lang w:val="en-US" w:eastAsia="zh-CN"/>
        </w:rPr>
      </w:pPr>
      <w:r>
        <w:rPr>
          <w:szCs w:val="22"/>
          <w:lang w:val="en-US" w:eastAsia="zh-CN"/>
        </w:rPr>
        <w:t xml:space="preserve">根据导则附录表 B.1 及钻孔揭露情况，研究区潜水含水层主要为细砂层。渗透系数取值见表 </w:t>
      </w:r>
      <w:r>
        <w:rPr>
          <w:rFonts w:hint="eastAsia"/>
          <w:szCs w:val="22"/>
          <w:lang w:val="en-US" w:eastAsia="zh-CN"/>
        </w:rPr>
        <w:t>6.2</w:t>
      </w:r>
      <w:r>
        <w:rPr>
          <w:szCs w:val="22"/>
          <w:lang w:val="en-US" w:eastAsia="zh-CN"/>
        </w:rPr>
        <w:t>-</w:t>
      </w:r>
      <w:r>
        <w:rPr>
          <w:rFonts w:hint="eastAsia"/>
          <w:szCs w:val="22"/>
          <w:lang w:val="en-US" w:eastAsia="zh-CN"/>
        </w:rPr>
        <w:t>23</w:t>
      </w:r>
      <w:r>
        <w:rPr>
          <w:szCs w:val="22"/>
          <w:lang w:val="en-US" w:eastAsia="zh-CN"/>
        </w:rPr>
        <w:t>。根据钻孔柱状图揭示，项目区含水层主要为细砂，选取经验渗透系数为 8.0m/d</w:t>
      </w:r>
      <w:r>
        <w:rPr>
          <w:rFonts w:hint="eastAsia"/>
          <w:szCs w:val="22"/>
          <w:lang w:val="en-US" w:eastAsia="zh-CN"/>
        </w:rPr>
        <w:t>。</w:t>
      </w:r>
    </w:p>
    <w:p w14:paraId="4A1B56E3">
      <w:pPr>
        <w:ind w:firstLine="3132"/>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表</w:t>
      </w:r>
      <w:r>
        <w:rPr>
          <w:rFonts w:hint="eastAsia" w:ascii="Times New Roman" w:hAnsi="Times New Roman" w:eastAsia="宋体" w:cs="Times New Roman"/>
          <w:b/>
          <w:color w:val="000000"/>
          <w:sz w:val="24"/>
          <w:szCs w:val="24"/>
          <w:lang w:val="en-US" w:eastAsia="zh-CN" w:bidi="ar"/>
        </w:rPr>
        <w:t>6.2</w:t>
      </w:r>
      <w:r>
        <w:rPr>
          <w:rFonts w:ascii="Times New Roman" w:hAnsi="Times New Roman" w:eastAsia="宋体" w:cs="Times New Roman"/>
          <w:b/>
          <w:color w:val="000000"/>
          <w:sz w:val="24"/>
          <w:szCs w:val="24"/>
          <w:lang w:val="en-US" w:eastAsia="zh-CN" w:bidi="ar"/>
        </w:rPr>
        <w:t>-</w:t>
      </w:r>
      <w:r>
        <w:rPr>
          <w:rFonts w:hint="eastAsia" w:ascii="Times New Roman" w:hAnsi="Times New Roman" w:eastAsia="宋体" w:cs="Times New Roman"/>
          <w:b/>
          <w:color w:val="000000"/>
          <w:sz w:val="24"/>
          <w:szCs w:val="24"/>
          <w:lang w:val="en-US" w:eastAsia="zh-CN" w:bidi="ar"/>
        </w:rPr>
        <w:t>23</w:t>
      </w:r>
      <w:r>
        <w:rPr>
          <w:rFonts w:hint="eastAsia" w:ascii="宋体" w:hAnsi="宋体" w:eastAsia="宋体" w:cs="宋体"/>
          <w:b/>
          <w:color w:val="000000"/>
          <w:sz w:val="24"/>
          <w:szCs w:val="24"/>
          <w:lang w:val="en-US" w:eastAsia="zh-CN" w:bidi="ar"/>
        </w:rPr>
        <w:t>渗透系数经验值</w:t>
      </w:r>
    </w:p>
    <w:p w14:paraId="166B2126">
      <w:r>
        <w:rPr>
          <w:rFonts w:ascii="宋体" w:hAnsi="宋体" w:eastAsia="宋体" w:cs="宋体"/>
          <w:sz w:val="24"/>
          <w:szCs w:val="24"/>
          <w:lang w:val="en-US" w:eastAsia="zh-CN" w:bidi="ar"/>
        </w:rPr>
        <w:drawing>
          <wp:inline distT="0" distB="0" distL="0" distR="0">
            <wp:extent cx="4943475" cy="3521075"/>
            <wp:effectExtent l="0" t="0" r="0" b="0"/>
            <wp:docPr id="47" name="_x0000_i3137"/>
            <wp:cNvGraphicFramePr/>
            <a:graphic xmlns:a="http://schemas.openxmlformats.org/drawingml/2006/main">
              <a:graphicData uri="http://schemas.openxmlformats.org/drawingml/2006/picture">
                <pic:pic xmlns:pic="http://schemas.openxmlformats.org/drawingml/2006/picture">
                  <pic:nvPicPr>
                    <pic:cNvPr id="47" name="_x0000_i3137"/>
                    <pic:cNvPicPr/>
                  </pic:nvPicPr>
                  <pic:blipFill>
                    <a:blip r:embed="rId60"/>
                    <a:stretch>
                      <a:fillRect/>
                    </a:stretch>
                  </pic:blipFill>
                  <pic:spPr>
                    <a:xfrm>
                      <a:off x="0" y="0"/>
                      <a:ext cx="4943488" cy="3521634"/>
                    </a:xfrm>
                    <a:prstGeom prst="rect">
                      <a:avLst/>
                    </a:prstGeom>
                    <a:noFill/>
                    <a:ln>
                      <a:noFill/>
                    </a:ln>
                  </pic:spPr>
                </pic:pic>
              </a:graphicData>
            </a:graphic>
          </wp:inline>
        </w:drawing>
      </w:r>
    </w:p>
    <w:p w14:paraId="6A57E204">
      <w:pPr>
        <w:rPr>
          <w:lang w:val="en-US" w:eastAsia="zh-CN"/>
        </w:rPr>
      </w:pPr>
      <w:r>
        <w:rPr>
          <w:rFonts w:hint="eastAsia"/>
          <w:lang w:val="en-US" w:eastAsia="zh-CN"/>
        </w:rPr>
        <w:t xml:space="preserve">②有效孔隙度的确定 </w:t>
      </w:r>
    </w:p>
    <w:p w14:paraId="7B0FB0A8">
      <w:pPr>
        <w:rPr>
          <w:lang w:val="en-US" w:eastAsia="zh-CN"/>
        </w:rPr>
      </w:pPr>
      <w:r>
        <w:rPr>
          <w:rFonts w:hint="eastAsia"/>
          <w:lang w:val="en-US" w:eastAsia="zh-CN"/>
        </w:rPr>
        <w:t>岩石和土壤孔隙度的大小与颗粒的排列方式、颗粒大小、分选性、颗粒形状以及胶结程度有关，不同岩性孔隙度大小见表 6.2</w:t>
      </w:r>
      <w:r>
        <w:rPr>
          <w:lang w:val="en-US" w:eastAsia="zh-CN"/>
        </w:rPr>
        <w:t>-</w:t>
      </w:r>
      <w:r>
        <w:rPr>
          <w:rFonts w:hint="eastAsia"/>
          <w:lang w:val="en-US" w:eastAsia="zh-CN"/>
        </w:rPr>
        <w:t xml:space="preserve">24。研究区的含水层主要为细砂，有效孔隙度小于孔隙度，本次有效孔隙度 </w:t>
      </w:r>
      <w:r>
        <w:rPr>
          <w:lang w:val="en-US" w:eastAsia="zh-CN"/>
        </w:rPr>
        <w:t>ne</w:t>
      </w:r>
      <w:r>
        <w:rPr>
          <w:rFonts w:hint="eastAsia"/>
          <w:lang w:val="en-US" w:eastAsia="zh-CN"/>
        </w:rPr>
        <w:t xml:space="preserve">取经验值 </w:t>
      </w:r>
      <w:r>
        <w:rPr>
          <w:lang w:val="en-US" w:eastAsia="zh-CN"/>
        </w:rPr>
        <w:t>0.18</w:t>
      </w:r>
      <w:r>
        <w:rPr>
          <w:rFonts w:hint="eastAsia"/>
          <w:lang w:val="en-US" w:eastAsia="zh-CN"/>
        </w:rPr>
        <w:t>。</w:t>
      </w:r>
    </w:p>
    <w:p w14:paraId="54608133">
      <w:pPr>
        <w:keepNext w:val="0"/>
        <w:keepLines w:val="0"/>
        <w:widowControl/>
        <w:suppressLineNumbers w:val="0"/>
        <w:ind w:firstLine="1687"/>
        <w:jc w:val="left"/>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 xml:space="preserve">表 </w:t>
      </w:r>
      <w:r>
        <w:rPr>
          <w:rFonts w:hint="eastAsia" w:ascii="Times New Roman" w:hAnsi="Times New Roman" w:eastAsia="宋体" w:cs="Times New Roman"/>
          <w:b/>
          <w:color w:val="000000"/>
          <w:sz w:val="24"/>
          <w:szCs w:val="24"/>
          <w:lang w:val="en-US" w:eastAsia="zh-CN" w:bidi="ar"/>
        </w:rPr>
        <w:t>6.2</w:t>
      </w:r>
      <w:r>
        <w:rPr>
          <w:rFonts w:ascii="Times New Roman" w:hAnsi="Times New Roman" w:eastAsia="宋体" w:cs="Times New Roman"/>
          <w:b/>
          <w:color w:val="000000"/>
          <w:sz w:val="24"/>
          <w:szCs w:val="24"/>
          <w:lang w:val="en-US" w:eastAsia="zh-CN" w:bidi="ar"/>
        </w:rPr>
        <w:t>-</w:t>
      </w:r>
      <w:r>
        <w:rPr>
          <w:rFonts w:hint="eastAsia" w:ascii="Times New Roman" w:hAnsi="Times New Roman" w:eastAsia="宋体" w:cs="Times New Roman"/>
          <w:b/>
          <w:color w:val="000000"/>
          <w:sz w:val="24"/>
          <w:szCs w:val="24"/>
          <w:lang w:val="en-US" w:eastAsia="zh-CN" w:bidi="ar"/>
        </w:rPr>
        <w:t xml:space="preserve">24 </w:t>
      </w:r>
      <w:r>
        <w:rPr>
          <w:rFonts w:hint="eastAsia" w:ascii="宋体" w:hAnsi="宋体" w:eastAsia="宋体" w:cs="宋体"/>
          <w:b/>
          <w:color w:val="000000"/>
          <w:sz w:val="24"/>
          <w:szCs w:val="24"/>
          <w:lang w:val="en-US" w:eastAsia="zh-CN" w:bidi="ar"/>
        </w:rPr>
        <w:t>松散岩石孔隙度参考值（据弗里泽，</w:t>
      </w:r>
      <w:r>
        <w:rPr>
          <w:rFonts w:ascii="Times New Roman" w:hAnsi="Times New Roman" w:eastAsia="宋体" w:cs="Times New Roman"/>
          <w:b/>
          <w:color w:val="000000"/>
          <w:sz w:val="24"/>
          <w:szCs w:val="24"/>
          <w:lang w:val="en-US" w:eastAsia="zh-CN" w:bidi="ar"/>
        </w:rPr>
        <w:t>1987</w:t>
      </w:r>
      <w:r>
        <w:rPr>
          <w:rFonts w:hint="eastAsia" w:ascii="宋体" w:hAnsi="宋体" w:eastAsia="宋体" w:cs="宋体"/>
          <w:b/>
          <w:color w:val="000000"/>
          <w:sz w:val="24"/>
          <w:szCs w:val="24"/>
          <w:lang w:val="en-US" w:eastAsia="zh-CN" w:bidi="ar"/>
        </w:rPr>
        <w:t>）</w:t>
      </w:r>
    </w:p>
    <w:p w14:paraId="6DCBF12A">
      <w:pPr>
        <w:keepNext w:val="0"/>
        <w:keepLines w:val="0"/>
        <w:widowControl/>
        <w:suppressLineNumbers w:val="0"/>
        <w:ind w:left="0" w:firstLine="0"/>
        <w:jc w:val="both"/>
      </w:pPr>
      <w:r>
        <w:rPr>
          <w:rFonts w:ascii="宋体" w:hAnsi="宋体" w:eastAsia="宋体" w:cs="宋体"/>
          <w:sz w:val="24"/>
          <w:szCs w:val="24"/>
          <w:lang w:val="en-US" w:eastAsia="zh-CN" w:bidi="ar"/>
        </w:rPr>
        <w:drawing>
          <wp:inline distT="0" distB="0" distL="0" distR="0">
            <wp:extent cx="5857875" cy="2181225"/>
            <wp:effectExtent l="0" t="0" r="0" b="0"/>
            <wp:docPr id="48" name="_x0000_i3138"/>
            <wp:cNvGraphicFramePr/>
            <a:graphic xmlns:a="http://schemas.openxmlformats.org/drawingml/2006/main">
              <a:graphicData uri="http://schemas.openxmlformats.org/drawingml/2006/picture">
                <pic:pic xmlns:pic="http://schemas.openxmlformats.org/drawingml/2006/picture">
                  <pic:nvPicPr>
                    <pic:cNvPr id="48" name="_x0000_i3138"/>
                    <pic:cNvPicPr/>
                  </pic:nvPicPr>
                  <pic:blipFill>
                    <a:blip r:embed="rId61"/>
                    <a:stretch>
                      <a:fillRect/>
                    </a:stretch>
                  </pic:blipFill>
                  <pic:spPr>
                    <a:xfrm>
                      <a:off x="0" y="0"/>
                      <a:ext cx="5857875" cy="2181225"/>
                    </a:xfrm>
                    <a:prstGeom prst="rect">
                      <a:avLst/>
                    </a:prstGeom>
                    <a:noFill/>
                    <a:ln>
                      <a:noFill/>
                    </a:ln>
                  </pic:spPr>
                </pic:pic>
              </a:graphicData>
            </a:graphic>
          </wp:inline>
        </w:drawing>
      </w:r>
    </w:p>
    <w:p w14:paraId="04F782F2">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 xml:space="preserve">③水力坡度的确定 </w:t>
      </w:r>
    </w:p>
    <w:p w14:paraId="7156C94A">
      <w:pPr>
        <w:keepNext w:val="0"/>
        <w:keepLines w:val="0"/>
        <w:widowControl/>
        <w:suppressLineNumbers w:val="0"/>
        <w:jc w:val="left"/>
      </w:pPr>
      <w:r>
        <w:rPr>
          <w:rFonts w:hint="eastAsia" w:ascii="宋体" w:hAnsi="宋体" w:eastAsia="宋体" w:cs="宋体"/>
          <w:color w:val="000000"/>
          <w:sz w:val="24"/>
          <w:szCs w:val="24"/>
          <w:lang w:val="en-US" w:eastAsia="zh-CN" w:bidi="ar"/>
        </w:rPr>
        <w:t>调查评价范围中重点关注区域内地下水径流方向由北向南流动，水力坡度与地形坡度相近，取值为</w:t>
      </w:r>
      <w:r>
        <w:rPr>
          <w:rFonts w:ascii="Times New Roman" w:hAnsi="Times New Roman" w:eastAsia="宋体" w:cs="Times New Roman"/>
          <w:color w:val="000000"/>
          <w:sz w:val="24"/>
          <w:szCs w:val="24"/>
          <w:lang w:val="en-US" w:eastAsia="zh-CN" w:bidi="ar"/>
        </w:rPr>
        <w:t>2%</w:t>
      </w:r>
      <w:r>
        <w:rPr>
          <w:rFonts w:hint="eastAsia" w:ascii="宋体" w:hAnsi="宋体" w:eastAsia="宋体" w:cs="宋体"/>
          <w:color w:val="000000"/>
          <w:sz w:val="24"/>
          <w:szCs w:val="24"/>
          <w:lang w:val="en-US" w:eastAsia="zh-CN" w:bidi="ar"/>
        </w:rPr>
        <w:t xml:space="preserve">。 </w:t>
      </w:r>
    </w:p>
    <w:p w14:paraId="3C82E3FF">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④</w:t>
      </w:r>
      <w:r>
        <w:rPr>
          <w:rFonts w:ascii="宋体" w:hAnsi="宋体" w:eastAsia="宋体" w:cs="宋体"/>
          <w:color w:val="000000"/>
          <w:sz w:val="24"/>
          <w:szCs w:val="24"/>
          <w:lang w:val="en-US" w:eastAsia="zh-CN" w:bidi="ar"/>
        </w:rPr>
        <w:t xml:space="preserve"> </w:t>
      </w:r>
      <w:r>
        <w:rPr>
          <w:rFonts w:hint="eastAsia" w:ascii="宋体" w:hAnsi="宋体" w:eastAsia="宋体" w:cs="宋体"/>
          <w:color w:val="000000"/>
          <w:sz w:val="24"/>
          <w:szCs w:val="24"/>
          <w:lang w:val="en-US" w:eastAsia="zh-CN" w:bidi="ar"/>
        </w:rPr>
        <w:t xml:space="preserve">弥散系数的确定 </w:t>
      </w:r>
    </w:p>
    <w:p w14:paraId="22FBE185">
      <w:pPr>
        <w:keepNext w:val="0"/>
        <w:keepLines w:val="0"/>
        <w:widowControl/>
        <w:suppressLineNumbers w:val="0"/>
        <w:ind w:left="0" w:firstLine="480"/>
        <w:jc w:val="left"/>
        <w:rPr>
          <w:color w:val="000000"/>
        </w:rPr>
      </w:pPr>
      <w:r>
        <w:rPr>
          <w:rFonts w:hint="eastAsia" w:ascii="宋体" w:hAnsi="宋体" w:eastAsia="宋体" w:cs="宋体"/>
          <w:color w:val="000000"/>
          <w:sz w:val="24"/>
          <w:szCs w:val="24"/>
          <w:lang w:val="en-US" w:eastAsia="zh-CN" w:bidi="ar"/>
        </w:rPr>
        <w:t>计算参数根据场地地质勘查数据并根据含水层颗粒大小、颗粒均匀度和排列情况类比取得的水文地质参数，详见表</w:t>
      </w:r>
      <w:r>
        <w:rPr>
          <w:rFonts w:hint="eastAsia" w:ascii="Times New Roman" w:hAnsi="Times New Roman" w:eastAsia="宋体" w:cs="Times New Roman"/>
          <w:color w:val="000000"/>
          <w:sz w:val="24"/>
          <w:szCs w:val="24"/>
          <w:lang w:val="en-US" w:eastAsia="zh-CN" w:bidi="ar"/>
        </w:rPr>
        <w:t>6.2</w:t>
      </w:r>
      <w:r>
        <w:rPr>
          <w:rFonts w:ascii="Times New Roman" w:hAnsi="Times New Roman" w:eastAsia="宋体" w:cs="Times New Roman"/>
          <w:color w:val="000000"/>
          <w:sz w:val="24"/>
          <w:szCs w:val="24"/>
          <w:lang w:val="en-US" w:eastAsia="zh-CN" w:bidi="ar"/>
        </w:rPr>
        <w:t>-</w:t>
      </w:r>
      <w:r>
        <w:rPr>
          <w:rFonts w:hint="eastAsia" w:ascii="Times New Roman" w:hAnsi="Times New Roman" w:eastAsia="宋体" w:cs="Times New Roman"/>
          <w:color w:val="000000"/>
          <w:sz w:val="24"/>
          <w:szCs w:val="24"/>
          <w:lang w:val="en-US" w:eastAsia="zh-CN" w:bidi="ar"/>
        </w:rPr>
        <w:t>25</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D.S.Makuch</w:t>
      </w:r>
      <w:r>
        <w:rPr>
          <w:rFonts w:hint="eastAsia" w:ascii="宋体" w:hAnsi="宋体" w:eastAsia="宋体" w:cs="宋体"/>
          <w:color w:val="000000"/>
          <w:sz w:val="24"/>
          <w:szCs w:val="24"/>
          <w:lang w:val="en-US" w:eastAsia="zh-CN" w:bidi="ar"/>
        </w:rPr>
        <w:t>（</w:t>
      </w:r>
      <w:r>
        <w:rPr>
          <w:rFonts w:ascii="Times New Roman" w:hAnsi="Times New Roman" w:eastAsia="宋体" w:cs="Times New Roman"/>
          <w:color w:val="000000"/>
          <w:sz w:val="24"/>
          <w:szCs w:val="24"/>
          <w:lang w:val="en-US" w:eastAsia="zh-CN" w:bidi="ar"/>
        </w:rPr>
        <w:t>2005</w:t>
      </w:r>
      <w:r>
        <w:rPr>
          <w:rFonts w:hint="eastAsia" w:ascii="宋体" w:hAnsi="宋体" w:eastAsia="宋体" w:cs="宋体"/>
          <w:color w:val="000000"/>
          <w:sz w:val="24"/>
          <w:szCs w:val="24"/>
          <w:lang w:val="en-US" w:eastAsia="zh-CN" w:bidi="ar"/>
        </w:rPr>
        <w:t>）综合了其他人的研究成果，对不同岩性和不同尺度条件下介质的弥散度大小进行了统计，获得了污染物在不同岩性中迁移的纵向弥散度，并存在尺度效应现象（</w:t>
      </w:r>
      <w:r>
        <w:rPr>
          <w:rFonts w:ascii="Times New Roman" w:hAnsi="Times New Roman" w:eastAsia="宋体" w:cs="Times New Roman"/>
          <w:color w:val="000000"/>
          <w:sz w:val="24"/>
          <w:szCs w:val="24"/>
          <w:lang w:val="en-US" w:eastAsia="zh-CN" w:bidi="ar"/>
        </w:rPr>
        <w:t>图6.</w:t>
      </w:r>
      <w:r>
        <w:rPr>
          <w:rFonts w:hint="eastAsia" w:ascii="Times New Roman" w:hAnsi="Times New Roman" w:eastAsia="宋体" w:cs="Times New Roman"/>
          <w:color w:val="000000"/>
          <w:sz w:val="24"/>
          <w:szCs w:val="24"/>
          <w:lang w:val="en-US" w:eastAsia="zh-CN" w:bidi="ar"/>
        </w:rPr>
        <w:t>2</w:t>
      </w:r>
      <w:r>
        <w:rPr>
          <w:rFonts w:ascii="Times New Roman" w:hAnsi="Times New Roman" w:eastAsia="宋体" w:cs="Times New Roman"/>
          <w:color w:val="000000"/>
          <w:sz w:val="24"/>
          <w:szCs w:val="24"/>
          <w:lang w:val="en-US" w:eastAsia="zh-CN" w:bidi="ar"/>
        </w:rPr>
        <w:t>-</w:t>
      </w:r>
      <w:r>
        <w:rPr>
          <w:rFonts w:hint="eastAsia" w:ascii="Times New Roman" w:hAnsi="Times New Roman" w:eastAsia="宋体" w:cs="Times New Roman"/>
          <w:color w:val="000000"/>
          <w:sz w:val="24"/>
          <w:szCs w:val="24"/>
          <w:lang w:val="en-US" w:eastAsia="zh-CN" w:bidi="ar"/>
        </w:rPr>
        <w:t>8</w:t>
      </w:r>
      <w:r>
        <w:rPr>
          <w:rFonts w:hint="eastAsia" w:ascii="宋体" w:hAnsi="宋体" w:eastAsia="宋体" w:cs="宋体"/>
          <w:color w:val="000000"/>
          <w:sz w:val="24"/>
          <w:szCs w:val="24"/>
          <w:lang w:val="en-US" w:eastAsia="zh-CN" w:bidi="ar"/>
        </w:rPr>
        <w:t>）。对本次调查评价范围内潜水含水层，纵向弥散度取</w:t>
      </w:r>
      <w:r>
        <w:rPr>
          <w:rFonts w:ascii="Times New Roman" w:hAnsi="Times New Roman" w:eastAsia="宋体" w:cs="Times New Roman"/>
          <w:color w:val="000000"/>
          <w:sz w:val="24"/>
          <w:szCs w:val="24"/>
          <w:lang w:val="en-US" w:eastAsia="zh-CN" w:bidi="ar"/>
        </w:rPr>
        <w:t>5m</w:t>
      </w:r>
      <w:r>
        <w:rPr>
          <w:rFonts w:hint="eastAsia" w:ascii="宋体" w:hAnsi="宋体" w:eastAsia="宋体" w:cs="宋体"/>
          <w:color w:val="000000"/>
          <w:sz w:val="24"/>
          <w:szCs w:val="24"/>
          <w:lang w:val="en-US" w:eastAsia="zh-CN" w:bidi="ar"/>
        </w:rPr>
        <w:t>。</w:t>
      </w:r>
    </w:p>
    <w:p w14:paraId="4E230D00">
      <w:pPr>
        <w:keepNext w:val="0"/>
        <w:keepLines w:val="0"/>
        <w:widowControl/>
        <w:suppressLineNumbers w:val="0"/>
        <w:ind w:firstLine="2409"/>
        <w:jc w:val="left"/>
      </w:pPr>
      <w:r>
        <w:rPr>
          <w:rFonts w:hint="eastAsia" w:ascii="宋体" w:hAnsi="宋体" w:eastAsia="宋体" w:cs="宋体"/>
          <w:b/>
          <w:color w:val="000000"/>
          <w:sz w:val="24"/>
          <w:szCs w:val="24"/>
          <w:lang w:val="en-US" w:eastAsia="zh-CN" w:bidi="ar"/>
        </w:rPr>
        <w:t xml:space="preserve">表 </w:t>
      </w:r>
      <w:r>
        <w:rPr>
          <w:rFonts w:hint="eastAsia" w:ascii="Times New Roman" w:hAnsi="Times New Roman" w:eastAsia="宋体" w:cs="Times New Roman"/>
          <w:b/>
          <w:color w:val="000000"/>
          <w:sz w:val="24"/>
          <w:szCs w:val="24"/>
          <w:lang w:val="en-US" w:eastAsia="zh-CN" w:bidi="ar"/>
        </w:rPr>
        <w:t>6.2</w:t>
      </w:r>
      <w:r>
        <w:rPr>
          <w:rFonts w:ascii="Times New Roman" w:hAnsi="Times New Roman" w:eastAsia="宋体" w:cs="Times New Roman"/>
          <w:b/>
          <w:color w:val="000000"/>
          <w:sz w:val="24"/>
          <w:szCs w:val="24"/>
          <w:lang w:val="en-US" w:eastAsia="zh-CN" w:bidi="ar"/>
        </w:rPr>
        <w:t>-</w:t>
      </w:r>
      <w:r>
        <w:rPr>
          <w:rFonts w:hint="eastAsia" w:ascii="Times New Roman" w:hAnsi="Times New Roman" w:eastAsia="宋体" w:cs="Times New Roman"/>
          <w:b/>
          <w:color w:val="000000"/>
          <w:sz w:val="24"/>
          <w:szCs w:val="24"/>
          <w:lang w:val="en-US" w:eastAsia="zh-CN" w:bidi="ar"/>
        </w:rPr>
        <w:t>25</w:t>
      </w:r>
      <w:r>
        <w:rPr>
          <w:rFonts w:hint="eastAsia" w:ascii="宋体" w:hAnsi="宋体" w:eastAsia="宋体" w:cs="宋体"/>
          <w:b/>
          <w:color w:val="000000"/>
          <w:sz w:val="24"/>
          <w:szCs w:val="24"/>
          <w:lang w:val="en-US" w:eastAsia="zh-CN" w:bidi="ar"/>
        </w:rPr>
        <w:t>含水层弥散度类比取值表</w:t>
      </w:r>
      <w:r>
        <w:rPr>
          <w:rFonts w:ascii="宋体" w:hAnsi="宋体" w:eastAsia="宋体" w:cs="宋体"/>
          <w:sz w:val="24"/>
          <w:szCs w:val="24"/>
          <w:lang w:val="en-US" w:eastAsia="zh-CN" w:bidi="ar"/>
        </w:rPr>
        <w:drawing>
          <wp:inline distT="0" distB="0" distL="0" distR="0">
            <wp:extent cx="5353050" cy="3121025"/>
            <wp:effectExtent l="0" t="0" r="0" b="0"/>
            <wp:docPr id="49" name="_x0000_i3139"/>
            <wp:cNvGraphicFramePr/>
            <a:graphic xmlns:a="http://schemas.openxmlformats.org/drawingml/2006/main">
              <a:graphicData uri="http://schemas.openxmlformats.org/drawingml/2006/picture">
                <pic:pic xmlns:pic="http://schemas.openxmlformats.org/drawingml/2006/picture">
                  <pic:nvPicPr>
                    <pic:cNvPr id="49" name="_x0000_i3139"/>
                    <pic:cNvPicPr/>
                  </pic:nvPicPr>
                  <pic:blipFill>
                    <a:blip r:embed="rId62"/>
                    <a:stretch>
                      <a:fillRect/>
                    </a:stretch>
                  </pic:blipFill>
                  <pic:spPr>
                    <a:xfrm>
                      <a:off x="0" y="0"/>
                      <a:ext cx="5353672" cy="3121063"/>
                    </a:xfrm>
                    <a:prstGeom prst="rect">
                      <a:avLst/>
                    </a:prstGeom>
                    <a:noFill/>
                    <a:ln>
                      <a:noFill/>
                    </a:ln>
                  </pic:spPr>
                </pic:pic>
              </a:graphicData>
            </a:graphic>
          </wp:inline>
        </w:drawing>
      </w:r>
    </w:p>
    <w:p w14:paraId="439E4CC1">
      <w:pPr>
        <w:keepNext w:val="0"/>
        <w:keepLines w:val="0"/>
        <w:widowControl/>
        <w:suppressLineNumbers w:val="0"/>
        <w:jc w:val="center"/>
      </w:pPr>
      <w:r>
        <w:rPr>
          <w:rFonts w:ascii="宋体" w:hAnsi="宋体" w:eastAsia="宋体" w:cs="宋体"/>
          <w:sz w:val="24"/>
          <w:szCs w:val="24"/>
          <w:lang w:val="en-US" w:eastAsia="zh-CN" w:bidi="ar"/>
        </w:rPr>
        <w:drawing>
          <wp:inline distT="0" distB="0" distL="0" distR="0">
            <wp:extent cx="3829050" cy="1781175"/>
            <wp:effectExtent l="0" t="0" r="0" b="0"/>
            <wp:docPr id="50" name="_x0000_i3140"/>
            <wp:cNvGraphicFramePr/>
            <a:graphic xmlns:a="http://schemas.openxmlformats.org/drawingml/2006/main">
              <a:graphicData uri="http://schemas.openxmlformats.org/drawingml/2006/picture">
                <pic:pic xmlns:pic="http://schemas.openxmlformats.org/drawingml/2006/picture">
                  <pic:nvPicPr>
                    <pic:cNvPr id="50" name="_x0000_i3140"/>
                    <pic:cNvPicPr/>
                  </pic:nvPicPr>
                  <pic:blipFill>
                    <a:blip r:embed="rId63"/>
                    <a:stretch>
                      <a:fillRect/>
                    </a:stretch>
                  </pic:blipFill>
                  <pic:spPr>
                    <a:xfrm>
                      <a:off x="0" y="0"/>
                      <a:ext cx="3829050" cy="1781175"/>
                    </a:xfrm>
                    <a:prstGeom prst="rect">
                      <a:avLst/>
                    </a:prstGeom>
                    <a:noFill/>
                    <a:ln>
                      <a:noFill/>
                    </a:ln>
                  </pic:spPr>
                </pic:pic>
              </a:graphicData>
            </a:graphic>
          </wp:inline>
        </w:drawing>
      </w:r>
    </w:p>
    <w:p w14:paraId="5236CE63">
      <w:pPr>
        <w:keepNext w:val="0"/>
        <w:keepLines w:val="0"/>
        <w:widowControl/>
        <w:suppressLineNumbers w:val="0"/>
        <w:ind w:firstLine="1687"/>
        <w:jc w:val="left"/>
      </w:pPr>
      <w:r>
        <w:rPr>
          <w:rFonts w:hint="eastAsia" w:ascii="宋体" w:hAnsi="宋体" w:eastAsia="宋体" w:cs="宋体"/>
          <w:b/>
          <w:color w:val="000000"/>
          <w:sz w:val="24"/>
          <w:szCs w:val="24"/>
          <w:lang w:val="en-US" w:eastAsia="zh-CN" w:bidi="ar"/>
        </w:rPr>
        <w:t>图</w:t>
      </w:r>
      <w:r>
        <w:rPr>
          <w:rFonts w:hint="eastAsia" w:ascii="Times New Roman" w:hAnsi="Times New Roman" w:eastAsia="宋体" w:cs="Times New Roman"/>
          <w:b/>
          <w:color w:val="000000"/>
          <w:sz w:val="24"/>
          <w:szCs w:val="24"/>
          <w:lang w:val="en-US" w:eastAsia="zh-CN" w:bidi="ar"/>
        </w:rPr>
        <w:t>6.2</w:t>
      </w:r>
      <w:r>
        <w:rPr>
          <w:rFonts w:ascii="Times New Roman" w:hAnsi="Times New Roman" w:eastAsia="宋体" w:cs="Times New Roman"/>
          <w:b/>
          <w:color w:val="000000"/>
          <w:sz w:val="24"/>
          <w:szCs w:val="24"/>
          <w:lang w:val="en-US" w:eastAsia="zh-CN" w:bidi="ar"/>
        </w:rPr>
        <w:t>-</w:t>
      </w:r>
      <w:r>
        <w:rPr>
          <w:rFonts w:hint="eastAsia" w:ascii="Times New Roman" w:hAnsi="Times New Roman" w:eastAsia="宋体" w:cs="Times New Roman"/>
          <w:b/>
          <w:color w:val="000000"/>
          <w:sz w:val="24"/>
          <w:szCs w:val="24"/>
          <w:lang w:val="en-US" w:eastAsia="zh-CN" w:bidi="ar"/>
        </w:rPr>
        <w:t>8</w:t>
      </w:r>
      <w:r>
        <w:rPr>
          <w:rFonts w:ascii="Times New Roman" w:hAnsi="Times New Roman" w:eastAsia="宋体" w:cs="Times New Roman"/>
          <w:b/>
          <w:color w:val="000000"/>
          <w:sz w:val="24"/>
          <w:szCs w:val="24"/>
          <w:lang w:val="en-US" w:eastAsia="zh-CN" w:bidi="ar"/>
        </w:rPr>
        <w:t xml:space="preserve"> </w:t>
      </w:r>
      <w:r>
        <w:rPr>
          <w:rFonts w:hint="eastAsia" w:ascii="宋体" w:hAnsi="宋体" w:eastAsia="宋体" w:cs="宋体"/>
          <w:b/>
          <w:color w:val="000000"/>
          <w:sz w:val="24"/>
          <w:szCs w:val="24"/>
          <w:lang w:val="en-US" w:eastAsia="zh-CN" w:bidi="ar"/>
        </w:rPr>
        <w:t xml:space="preserve">不同岩性的纵向弥散度与研究区域尺度的关系 </w:t>
      </w:r>
    </w:p>
    <w:p w14:paraId="7FB895FA">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模型计算中纵向弥散度选用 </w:t>
      </w:r>
      <w:r>
        <w:rPr>
          <w:rFonts w:ascii="Times New Roman" w:hAnsi="Times New Roman" w:eastAsia="宋体" w:cs="Times New Roman"/>
          <w:color w:val="000000"/>
          <w:sz w:val="24"/>
          <w:szCs w:val="24"/>
          <w:lang w:val="en-US" w:eastAsia="zh-CN" w:bidi="ar"/>
        </w:rPr>
        <w:t>5m</w:t>
      </w:r>
      <w:r>
        <w:rPr>
          <w:rFonts w:hint="eastAsia" w:ascii="宋体" w:hAnsi="宋体" w:eastAsia="宋体" w:cs="宋体"/>
          <w:color w:val="000000"/>
          <w:sz w:val="24"/>
          <w:szCs w:val="24"/>
          <w:lang w:val="en-US" w:eastAsia="zh-CN" w:bidi="ar"/>
        </w:rPr>
        <w:t xml:space="preserve">。 </w:t>
      </w:r>
    </w:p>
    <w:p w14:paraId="710A875C">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地下水实际流速 </w:t>
      </w:r>
      <w:r>
        <w:rPr>
          <w:rFonts w:ascii="Times New Roman" w:hAnsi="Times New Roman" w:eastAsia="宋体" w:cs="Times New Roman"/>
          <w:color w:val="000000"/>
          <w:sz w:val="24"/>
          <w:szCs w:val="24"/>
          <w:lang w:val="en-US" w:eastAsia="zh-CN" w:bidi="ar"/>
        </w:rPr>
        <w:t>u=K×I/n</w:t>
      </w:r>
      <w:r>
        <w:rPr>
          <w:rFonts w:ascii="Times New Roman" w:hAnsi="Times New Roman" w:eastAsia="宋体" w:cs="Times New Roman"/>
          <w:color w:val="000000"/>
          <w:sz w:val="15"/>
          <w:szCs w:val="15"/>
          <w:lang w:val="en-US" w:eastAsia="zh-CN" w:bidi="ar"/>
        </w:rPr>
        <w:t>e</w:t>
      </w:r>
      <w:r>
        <w:rPr>
          <w:rFonts w:ascii="Times New Roman" w:hAnsi="Times New Roman" w:eastAsia="宋体" w:cs="Times New Roman"/>
          <w:color w:val="000000"/>
          <w:sz w:val="24"/>
          <w:szCs w:val="24"/>
          <w:lang w:val="en-US" w:eastAsia="zh-CN" w:bidi="ar"/>
        </w:rPr>
        <w:t>=0.89m/d</w:t>
      </w:r>
      <w:r>
        <w:rPr>
          <w:rFonts w:hint="eastAsia" w:ascii="宋体" w:hAnsi="宋体" w:eastAsia="宋体" w:cs="宋体"/>
          <w:color w:val="000000"/>
          <w:sz w:val="24"/>
          <w:szCs w:val="24"/>
          <w:lang w:val="en-US" w:eastAsia="zh-CN" w:bidi="ar"/>
        </w:rPr>
        <w:t xml:space="preserve">；由此计算项目区含水层中的纵向弥散系数 </w:t>
      </w:r>
      <w:r>
        <w:rPr>
          <w:rFonts w:ascii="Times New Roman" w:hAnsi="Times New Roman" w:eastAsia="宋体" w:cs="Times New Roman"/>
          <w:color w:val="000000"/>
          <w:sz w:val="24"/>
          <w:szCs w:val="24"/>
          <w:lang w:val="en-US" w:eastAsia="zh-CN" w:bidi="ar"/>
        </w:rPr>
        <w:t>D</w:t>
      </w:r>
      <w:r>
        <w:rPr>
          <w:rFonts w:ascii="Times New Roman" w:hAnsi="Times New Roman" w:eastAsia="宋体" w:cs="Times New Roman"/>
          <w:color w:val="000000"/>
          <w:sz w:val="15"/>
          <w:szCs w:val="15"/>
          <w:lang w:val="en-US" w:eastAsia="zh-CN" w:bidi="ar"/>
        </w:rPr>
        <w:t>L</w:t>
      </w:r>
      <w:r>
        <w:rPr>
          <w:rFonts w:ascii="Times New Roman" w:hAnsi="Times New Roman" w:eastAsia="宋体" w:cs="Times New Roman"/>
          <w:color w:val="000000"/>
          <w:sz w:val="24"/>
          <w:szCs w:val="24"/>
          <w:lang w:val="en-US" w:eastAsia="zh-CN" w:bidi="ar"/>
        </w:rPr>
        <w:t>=αL×u=αL×K×I/n</w:t>
      </w:r>
      <w:r>
        <w:rPr>
          <w:rFonts w:ascii="Times New Roman" w:hAnsi="Times New Roman" w:eastAsia="宋体" w:cs="Times New Roman"/>
          <w:color w:val="000000"/>
          <w:sz w:val="15"/>
          <w:szCs w:val="15"/>
          <w:lang w:val="en-US" w:eastAsia="zh-CN" w:bidi="ar"/>
        </w:rPr>
        <w:t>e</w:t>
      </w:r>
      <w:r>
        <w:rPr>
          <w:rFonts w:ascii="Times New Roman" w:hAnsi="Times New Roman" w:eastAsia="宋体" w:cs="Times New Roman"/>
          <w:color w:val="000000"/>
          <w:sz w:val="24"/>
          <w:szCs w:val="24"/>
          <w:lang w:val="en-US" w:eastAsia="zh-CN" w:bidi="ar"/>
        </w:rPr>
        <w:t>=4.45m</w:t>
      </w:r>
      <w:r>
        <w:rPr>
          <w:rFonts w:hint="eastAsia" w:ascii="Times New Roman" w:hAnsi="Times New Roman" w:eastAsia="宋体" w:cs="Times New Roman"/>
          <w:color w:val="000000"/>
          <w:sz w:val="24"/>
          <w:szCs w:val="24"/>
          <w:vertAlign w:val="superscript"/>
          <w:lang w:val="en-US" w:eastAsia="zh-CN" w:bidi="ar"/>
        </w:rPr>
        <w:t>2</w:t>
      </w:r>
      <w:r>
        <w:rPr>
          <w:rFonts w:ascii="Times New Roman" w:hAnsi="Times New Roman" w:eastAsia="宋体" w:cs="Times New Roman"/>
          <w:color w:val="000000"/>
          <w:sz w:val="24"/>
          <w:szCs w:val="24"/>
          <w:lang w:val="en-US" w:eastAsia="zh-CN" w:bidi="ar"/>
        </w:rPr>
        <w:t>/d</w:t>
      </w:r>
      <w:r>
        <w:rPr>
          <w:rFonts w:hint="eastAsia" w:ascii="宋体" w:hAnsi="宋体" w:eastAsia="宋体" w:cs="宋体"/>
          <w:color w:val="000000"/>
          <w:sz w:val="24"/>
          <w:szCs w:val="24"/>
          <w:lang w:val="en-US" w:eastAsia="zh-CN" w:bidi="ar"/>
        </w:rPr>
        <w:t xml:space="preserve">； </w:t>
      </w:r>
    </w:p>
    <w:p w14:paraId="3BF36878">
      <w:pPr>
        <w:pStyle w:val="2"/>
        <w:rPr>
          <w:rFonts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（3）</w:t>
      </w:r>
      <w:r>
        <w:rPr>
          <w:rFonts w:ascii="Times New Roman" w:hAnsi="Times New Roman" w:eastAsia="宋体" w:cs="Times New Roman"/>
          <w:color w:val="000000"/>
          <w:sz w:val="24"/>
          <w:szCs w:val="24"/>
          <w:lang w:val="en-US" w:eastAsia="zh-CN" w:bidi="ar"/>
        </w:rPr>
        <w:t>运营期地下水环境影响预测与评价</w:t>
      </w:r>
    </w:p>
    <w:p w14:paraId="52B9356D">
      <w:pPr>
        <w:keepNext w:val="0"/>
        <w:keepLines w:val="0"/>
        <w:widowControl/>
        <w:suppressLineNumbers w:val="0"/>
        <w:jc w:val="left"/>
        <w:rPr>
          <w:rFonts w:hint="eastAsia" w:ascii="宋体" w:hAnsi="宋体" w:eastAsia="宋体" w:cs="宋体"/>
          <w:color w:val="000000"/>
          <w:sz w:val="24"/>
          <w:szCs w:val="24"/>
          <w:lang w:val="zh-CN" w:eastAsia="zh-CN" w:bidi="ar"/>
        </w:rPr>
      </w:pPr>
      <w:r>
        <w:rPr>
          <w:rFonts w:hint="eastAsia" w:ascii="华文宋体" w:hAnsi="华文宋体" w:eastAsia="华文宋体" w:cs="华文宋体"/>
          <w:color w:val="000000"/>
          <w:sz w:val="24"/>
          <w:szCs w:val="24"/>
          <w:lang w:val="zh-CN" w:eastAsia="zh-CN" w:bidi="ar"/>
        </w:rPr>
        <w:t>①</w:t>
      </w:r>
      <w:r>
        <w:rPr>
          <w:rFonts w:hint="eastAsia" w:ascii="宋体" w:hAnsi="宋体" w:eastAsia="宋体" w:cs="宋体"/>
          <w:color w:val="000000"/>
          <w:sz w:val="24"/>
          <w:szCs w:val="24"/>
          <w:lang w:val="zh-CN" w:eastAsia="zh-CN" w:bidi="ar"/>
        </w:rPr>
        <w:t>正常情况地下水环境影响分析</w:t>
      </w:r>
    </w:p>
    <w:p w14:paraId="154F4F84">
      <w:pPr>
        <w:ind w:firstLine="480"/>
        <w:rPr>
          <w:rFonts w:ascii="宋体" w:hAnsi="宋体" w:eastAsia="宋体" w:cs="宋体"/>
          <w:sz w:val="24"/>
          <w:szCs w:val="24"/>
          <w:lang w:val="zh-CN" w:eastAsia="zh-CN" w:bidi="zh-CN"/>
        </w:rPr>
      </w:pPr>
      <w:r>
        <w:rPr>
          <w:rFonts w:hint="eastAsia" w:ascii="宋体" w:hAnsi="宋体" w:eastAsia="宋体" w:cs="宋体"/>
          <w:color w:val="000000"/>
          <w:sz w:val="24"/>
          <w:szCs w:val="24"/>
          <w:lang w:val="zh-CN" w:eastAsia="zh-CN" w:bidi="ar"/>
        </w:rPr>
        <w:t>项目建成后正常营运工况下，废水排放实行“雨污分流”。项目生活污水产生量约为</w:t>
      </w:r>
      <w:r>
        <w:rPr>
          <w:rFonts w:hint="eastAsia" w:ascii="Times New Roman" w:hAnsi="Times New Roman" w:cs="Times New Roman"/>
          <w:color w:val="000000"/>
          <w:sz w:val="24"/>
          <w:szCs w:val="24"/>
          <w:lang w:val="en-US" w:eastAsia="zh-CN"/>
        </w:rPr>
        <w:t>6240</w:t>
      </w:r>
      <w:r>
        <w:rPr>
          <w:color w:val="000000"/>
        </w:rPr>
        <w:t>m</w:t>
      </w:r>
      <w:r>
        <w:rPr>
          <w:color w:val="000000"/>
          <w:vertAlign w:val="superscript"/>
        </w:rPr>
        <w:t>3</w:t>
      </w:r>
      <w:r>
        <w:rPr>
          <w:color w:val="000000"/>
        </w:rPr>
        <w:t>/a</w:t>
      </w:r>
      <w:r>
        <w:rPr>
          <w:rFonts w:hint="eastAsia" w:ascii="宋体" w:hAnsi="宋体" w:eastAsia="宋体" w:cs="宋体"/>
          <w:color w:val="000000"/>
          <w:sz w:val="24"/>
          <w:szCs w:val="24"/>
          <w:lang w:val="zh-CN" w:eastAsia="zh-CN" w:bidi="ar"/>
        </w:rPr>
        <w:t xml:space="preserve"> ，主要污染因子</w:t>
      </w:r>
      <w:r>
        <w:rPr>
          <w:rFonts w:ascii="Times New Roman" w:hAnsi="Times New Roman" w:eastAsia="宋体" w:cs="Times New Roman"/>
          <w:color w:val="000000"/>
          <w:sz w:val="24"/>
          <w:szCs w:val="24"/>
          <w:lang w:val="zh-CN" w:eastAsia="zh-CN" w:bidi="ar"/>
        </w:rPr>
        <w:t>为 CODcr、BOD</w:t>
      </w:r>
      <w:r>
        <w:rPr>
          <w:rFonts w:ascii="Times New Roman" w:hAnsi="Times New Roman" w:eastAsia="宋体" w:cs="Times New Roman"/>
          <w:color w:val="000000"/>
          <w:sz w:val="24"/>
          <w:szCs w:val="24"/>
          <w:vertAlign w:val="subscript"/>
          <w:lang w:val="zh-CN" w:eastAsia="zh-CN" w:bidi="ar"/>
        </w:rPr>
        <w:t>5</w:t>
      </w:r>
      <w:r>
        <w:rPr>
          <w:rFonts w:ascii="Times New Roman" w:hAnsi="Times New Roman" w:eastAsia="宋体" w:cs="Times New Roman"/>
          <w:color w:val="000000"/>
          <w:sz w:val="24"/>
          <w:szCs w:val="24"/>
          <w:lang w:val="zh-CN" w:eastAsia="zh-CN" w:bidi="ar"/>
        </w:rPr>
        <w:t>、NH</w:t>
      </w:r>
      <w:r>
        <w:rPr>
          <w:rFonts w:ascii="Times New Roman" w:hAnsi="Times New Roman" w:eastAsia="宋体" w:cs="Times New Roman"/>
          <w:color w:val="000000"/>
          <w:sz w:val="24"/>
          <w:szCs w:val="24"/>
          <w:vertAlign w:val="subscript"/>
          <w:lang w:val="zh-CN" w:eastAsia="zh-CN" w:bidi="ar"/>
        </w:rPr>
        <w:t>3</w:t>
      </w:r>
      <w:r>
        <w:rPr>
          <w:rFonts w:ascii="Times New Roman" w:hAnsi="Times New Roman" w:eastAsia="宋体" w:cs="Times New Roman"/>
          <w:color w:val="000000"/>
          <w:sz w:val="24"/>
          <w:szCs w:val="24"/>
          <w:lang w:val="zh-CN" w:eastAsia="zh-CN" w:bidi="ar"/>
        </w:rPr>
        <w:t>-N、SS 等</w:t>
      </w:r>
      <w:r>
        <w:rPr>
          <w:rFonts w:ascii="Times New Roman" w:hAnsi="Times New Roman" w:cs="Times New Roman"/>
          <w:color w:val="000000"/>
          <w:lang w:eastAsia="zh-CN"/>
        </w:rPr>
        <w:t>，</w:t>
      </w:r>
      <w:r>
        <w:rPr>
          <w:rFonts w:hint="eastAsia"/>
          <w:color w:val="000000"/>
          <w:lang w:val="en-US" w:eastAsia="zh-CN"/>
        </w:rPr>
        <w:t>环评要求在食堂出水口增设1个隔油池进行隔油预处理后，同其他废水排入现有的化粪池进行处理后外排进入城市市政污水管网，最终排入芒市污水处理厂处理。</w:t>
      </w:r>
      <w:r>
        <w:rPr>
          <w:rFonts w:ascii="宋体" w:hAnsi="宋体" w:eastAsia="宋体" w:cs="宋体"/>
          <w:sz w:val="24"/>
          <w:szCs w:val="24"/>
          <w:lang w:val="zh-CN" w:eastAsia="zh-CN" w:bidi="zh-CN"/>
        </w:rPr>
        <w:t>项目初期雨水收集，具有较大的不确定性，不计入排污总量，纳入日常管理。</w:t>
      </w:r>
    </w:p>
    <w:p w14:paraId="46663B04">
      <w:pPr>
        <w:ind w:firstLine="480"/>
        <w:rPr>
          <w:rFonts w:ascii="宋体" w:hAnsi="宋体" w:eastAsia="宋体" w:cs="宋体"/>
          <w:sz w:val="24"/>
          <w:szCs w:val="24"/>
          <w:vertAlign w:val="baseline"/>
          <w:lang w:val="zh-CN" w:eastAsia="zh-CN" w:bidi="zh-CN"/>
        </w:rPr>
      </w:pPr>
      <w:r>
        <w:rPr>
          <w:rFonts w:ascii="宋体" w:hAnsi="宋体" w:eastAsia="宋体" w:cs="宋体"/>
          <w:sz w:val="24"/>
          <w:szCs w:val="24"/>
          <w:lang w:val="zh-CN" w:eastAsia="zh-CN" w:bidi="zh-CN"/>
        </w:rPr>
        <w:t>建设项目场地位于属区域地下水补给径流区，</w:t>
      </w:r>
      <w:r>
        <w:rPr>
          <w:rFonts w:ascii="宋体" w:hAnsi="宋体" w:eastAsia="宋体" w:cs="宋体"/>
          <w:sz w:val="24"/>
          <w:szCs w:val="24"/>
          <w:vertAlign w:val="baseline"/>
          <w:lang w:val="zh-CN" w:eastAsia="zh-CN" w:bidi="zh-CN"/>
        </w:rPr>
        <w:t>建设项目的污水收集、输送、贮存及处理设施基础均放置于该土层之上，包气带的防污性能中等，污水在垂直渗入过程中，地下水也有一定的净化功能，加上岩土体有一定的吸附作用，造成地下水污染的可能性较小；同时项目建设时，为防止污水渗漏对地下水水质造成</w:t>
      </w:r>
      <w:r>
        <w:rPr>
          <w:rFonts w:ascii="宋体" w:hAnsi="宋体" w:eastAsia="宋体" w:cs="宋体"/>
          <w:spacing w:val="-6"/>
          <w:sz w:val="24"/>
          <w:szCs w:val="24"/>
          <w:vertAlign w:val="baseline"/>
          <w:lang w:val="zh-CN" w:eastAsia="zh-CN" w:bidi="zh-CN"/>
        </w:rPr>
        <w:t xml:space="preserve">影响，对厂区生产车间地面、污水收集、输送管道及各污水贮存池的地面进行硬化， </w:t>
      </w:r>
      <w:r>
        <w:rPr>
          <w:rFonts w:ascii="宋体" w:hAnsi="宋体" w:eastAsia="宋体" w:cs="宋体"/>
          <w:sz w:val="24"/>
          <w:szCs w:val="24"/>
          <w:vertAlign w:val="baseline"/>
          <w:lang w:val="zh-CN" w:eastAsia="zh-CN" w:bidi="zh-CN"/>
        </w:rPr>
        <w:t>并对池底和池壁做好严格防渗措施，最大限度把污染物与地下水隔离，有效预防滤液渗漏和废水无序扩散。因此，正常情况下，厂区做好废水收集和防渗措施，加强环保措施后项目造成地下水污染的可能性较小，对下游地下水水质影响不大。</w:t>
      </w:r>
    </w:p>
    <w:p w14:paraId="198315D7">
      <w:pPr>
        <w:numPr>
          <w:ilvl w:val="0"/>
          <w:numId w:val="0"/>
        </w:numPr>
        <w:rPr>
          <w:rFonts w:ascii="宋体" w:hAnsi="宋体" w:eastAsia="宋体" w:cs="宋体"/>
          <w:sz w:val="24"/>
          <w:szCs w:val="24"/>
          <w:vertAlign w:val="baseline"/>
          <w:lang w:val="zh-CN" w:eastAsia="zh-CN" w:bidi="zh-CN"/>
        </w:rPr>
      </w:pPr>
      <w:r>
        <w:rPr>
          <w:rFonts w:hint="eastAsia" w:ascii="宋体" w:hAnsi="宋体" w:eastAsia="宋体" w:cs="宋体"/>
          <w:sz w:val="24"/>
          <w:szCs w:val="24"/>
          <w:vertAlign w:val="baseline"/>
          <w:lang w:val="zh-CN" w:eastAsia="zh-CN" w:bidi="zh-CN"/>
        </w:rPr>
        <w:t>②</w:t>
      </w:r>
      <w:r>
        <w:rPr>
          <w:rFonts w:ascii="宋体" w:hAnsi="宋体" w:eastAsia="宋体" w:cs="宋体"/>
          <w:sz w:val="24"/>
          <w:szCs w:val="24"/>
          <w:vertAlign w:val="baseline"/>
          <w:lang w:val="zh-CN" w:eastAsia="zh-CN" w:bidi="zh-CN"/>
        </w:rPr>
        <w:t>非正常情况地下水环境影响分析</w:t>
      </w:r>
    </w:p>
    <w:p w14:paraId="0C698FF5">
      <w:pPr>
        <w:numPr>
          <w:ilvl w:val="0"/>
          <w:numId w:val="0"/>
        </w:numPr>
        <w:ind w:firstLine="480"/>
        <w:rPr>
          <w:rFonts w:hint="eastAsia" w:ascii="宋体" w:hAnsi="宋体" w:eastAsia="宋体" w:cs="宋体"/>
          <w:sz w:val="24"/>
          <w:szCs w:val="24"/>
          <w:vertAlign w:val="baseline"/>
          <w:lang w:val="en-US" w:eastAsia="zh-CN" w:bidi="zh-CN"/>
        </w:rPr>
      </w:pPr>
      <w:r>
        <w:rPr>
          <w:rFonts w:ascii="宋体" w:hAnsi="宋体" w:eastAsia="宋体" w:cs="宋体"/>
          <w:sz w:val="24"/>
          <w:szCs w:val="24"/>
          <w:vertAlign w:val="baseline"/>
          <w:lang w:val="zh-CN" w:eastAsia="zh-CN" w:bidi="zh-CN"/>
        </w:rPr>
        <w:t>项目的非正常工况主要是指项目营运期在污水收集及处理过程中，可能存在废水持续渗漏、突发性污水泄漏污染地下水等情况。渗漏污染方向与地下水径流方向一致。项目建设场区包气带和含（透）水层的防污性能中等，含水层易污染特征分级为中等，若不采取防渗工程措施，污水渗漏将导致项目区下游的地下水受到污染。</w:t>
      </w:r>
      <w:r>
        <w:rPr>
          <w:rFonts w:hint="eastAsia" w:ascii="宋体" w:hAnsi="宋体" w:eastAsia="宋体" w:cs="宋体"/>
          <w:sz w:val="24"/>
          <w:szCs w:val="24"/>
          <w:vertAlign w:val="baseline"/>
          <w:lang w:val="en-US" w:eastAsia="zh-CN" w:bidi="zh-CN"/>
        </w:rPr>
        <w:t xml:space="preserve"> </w:t>
      </w:r>
    </w:p>
    <w:p w14:paraId="56FC62A3">
      <w:pPr>
        <w:keepNext w:val="0"/>
        <w:keepLines w:val="0"/>
        <w:pageBreakBefore w:val="0"/>
        <w:numPr>
          <w:ilvl w:val="0"/>
          <w:numId w:val="0"/>
        </w:numPr>
        <w:spacing w:line="360" w:lineRule="auto"/>
        <w:ind w:firstLine="480"/>
        <w:rPr>
          <w:rFonts w:ascii="宋体" w:hAnsi="宋体" w:eastAsia="宋体" w:cs="宋体"/>
          <w:sz w:val="24"/>
          <w:szCs w:val="24"/>
          <w:vertAlign w:val="baseline"/>
          <w:lang w:val="zh-CN" w:eastAsia="zh-CN" w:bidi="zh-CN"/>
        </w:rPr>
      </w:pPr>
      <w:r>
        <w:rPr>
          <w:rFonts w:ascii="宋体" w:hAnsi="宋体" w:eastAsia="宋体" w:cs="宋体"/>
          <w:sz w:val="24"/>
          <w:szCs w:val="24"/>
          <w:vertAlign w:val="baseline"/>
          <w:lang w:val="zh-CN" w:eastAsia="zh-CN" w:bidi="zh-CN"/>
        </w:rPr>
        <w:t>污水泄漏影响程度较大的场景主要有丙类液体危险储罐区、</w:t>
      </w:r>
      <w:r>
        <w:rPr>
          <w:rFonts w:hint="eastAsia" w:ascii="宋体" w:hAnsi="宋体" w:eastAsia="宋体" w:cs="宋体"/>
          <w:sz w:val="24"/>
          <w:szCs w:val="24"/>
          <w:vertAlign w:val="baseline"/>
          <w:lang w:val="en-US" w:eastAsia="zh-CN" w:bidi="zh-CN"/>
        </w:rPr>
        <w:t>化粪池</w:t>
      </w:r>
      <w:r>
        <w:rPr>
          <w:rFonts w:ascii="宋体" w:hAnsi="宋体" w:eastAsia="宋体" w:cs="宋体"/>
          <w:sz w:val="24"/>
          <w:szCs w:val="24"/>
          <w:vertAlign w:val="baseline"/>
          <w:lang w:val="zh-CN" w:eastAsia="zh-CN" w:bidi="zh-CN"/>
        </w:rPr>
        <w:t>及初期雨水收集池遭受破坏，发生污水渗漏，大量的污水未经处理直接下渗补给地下水。根据前述分析初期雨水收集池中水质污染浓度较小，污染泄漏对地下水造成的影响亦较小；生活污水产生量较小，在做好回收、处理的基础上对地下水的影响很小。综上，为定性、定量评价可能的地下水污染影响，选取如下影响程度最大的泄漏场景及源强进行预测评价，即非正常工况下危险储罐区甲醛储罐发生瞬时点源泄漏。</w:t>
      </w:r>
    </w:p>
    <w:p w14:paraId="58B8FBF1">
      <w:pPr>
        <w:keepNext w:val="0"/>
        <w:keepLines w:val="0"/>
        <w:pageBreakBefore w:val="0"/>
        <w:widowControl w:val="0"/>
        <w:spacing w:before="0" w:after="0" w:line="360" w:lineRule="auto"/>
        <w:ind w:right="0" w:firstLine="480"/>
        <w:jc w:val="left"/>
        <w:rPr>
          <w:rFonts w:ascii="宋体" w:hAnsi="宋体" w:eastAsia="宋体" w:cs="宋体"/>
          <w:sz w:val="24"/>
          <w:szCs w:val="24"/>
          <w:vertAlign w:val="baseline"/>
          <w:lang w:val="zh-CN" w:eastAsia="zh-CN" w:bidi="zh-CN"/>
        </w:rPr>
      </w:pPr>
      <w:r>
        <w:rPr>
          <w:rFonts w:hint="eastAsia" w:ascii="宋体" w:hAnsi="宋体" w:eastAsia="宋体" w:cs="宋体"/>
          <w:sz w:val="24"/>
          <w:szCs w:val="24"/>
          <w:vertAlign w:val="baseline"/>
          <w:lang w:val="en-US" w:eastAsia="zh-CN" w:bidi="zh-CN"/>
        </w:rPr>
        <w:t>A.</w:t>
      </w:r>
      <w:r>
        <w:rPr>
          <w:rFonts w:ascii="宋体" w:hAnsi="宋体" w:eastAsia="宋体" w:cs="宋体"/>
          <w:sz w:val="24"/>
          <w:szCs w:val="24"/>
          <w:vertAlign w:val="baseline"/>
          <w:lang w:val="zh-CN" w:eastAsia="zh-CN" w:bidi="zh-CN"/>
        </w:rPr>
        <w:t>预测场景：危险储罐区甲醛储罐发生瞬时点源泄漏。</w:t>
      </w:r>
    </w:p>
    <w:p w14:paraId="7FD3DA10">
      <w:pPr>
        <w:pStyle w:val="473"/>
        <w:keepNext w:val="0"/>
        <w:keepLines w:val="0"/>
        <w:pageBreakBefore w:val="0"/>
        <w:widowControl/>
        <w:numPr>
          <w:ilvl w:val="0"/>
          <w:numId w:val="0"/>
        </w:numPr>
        <w:tabs>
          <w:tab w:val="left" w:pos="1368"/>
        </w:tabs>
        <w:spacing w:line="360" w:lineRule="auto"/>
        <w:ind w:right="0"/>
        <w:jc w:val="left"/>
        <w:rPr>
          <w:sz w:val="24"/>
          <w:szCs w:val="24"/>
        </w:rPr>
      </w:pPr>
      <w:r>
        <w:rPr>
          <w:rFonts w:hint="eastAsia"/>
          <w:sz w:val="24"/>
          <w:szCs w:val="24"/>
          <w:lang w:val="en-US" w:eastAsia="zh-CN"/>
        </w:rPr>
        <w:t>B.</w:t>
      </w:r>
      <w:r>
        <w:rPr>
          <w:sz w:val="24"/>
          <w:szCs w:val="24"/>
        </w:rPr>
        <w:t>预测场景与源强条件概化</w:t>
      </w:r>
    </w:p>
    <w:p w14:paraId="23257339">
      <w:pPr>
        <w:pStyle w:val="219"/>
        <w:keepNext w:val="0"/>
        <w:keepLines w:val="0"/>
        <w:pageBreakBefore w:val="0"/>
        <w:widowControl/>
        <w:spacing w:after="0" w:line="360" w:lineRule="auto"/>
        <w:ind w:right="421"/>
        <w:rPr>
          <w:sz w:val="24"/>
          <w:szCs w:val="24"/>
        </w:rPr>
      </w:pPr>
      <w:r>
        <w:rPr>
          <w:spacing w:val="-7"/>
          <w:sz w:val="24"/>
          <w:szCs w:val="24"/>
        </w:rPr>
        <w:t>项目甲醛储罐泄漏量可根据《建设项目环境风险评价技术导则</w:t>
      </w:r>
      <w:r>
        <w:rPr>
          <w:spacing w:val="-152"/>
          <w:sz w:val="24"/>
          <w:szCs w:val="24"/>
        </w:rPr>
        <w:t>》</w:t>
      </w:r>
      <w:r>
        <w:rPr>
          <w:rFonts w:hint="eastAsia" w:eastAsia="宋体"/>
          <w:sz w:val="24"/>
          <w:szCs w:val="24"/>
          <w:lang w:eastAsia="zh-CN"/>
        </w:rPr>
        <w:t>（</w:t>
      </w:r>
      <w:r>
        <w:rPr>
          <w:rFonts w:ascii="Times New Roman" w:eastAsia="Times New Roman"/>
          <w:sz w:val="24"/>
          <w:szCs w:val="24"/>
        </w:rPr>
        <w:t>HJ/T169-2018</w:t>
      </w:r>
      <w:r>
        <w:rPr>
          <w:sz w:val="24"/>
          <w:szCs w:val="24"/>
        </w:rPr>
        <w:t xml:space="preserve">） </w:t>
      </w:r>
      <w:r>
        <w:rPr>
          <w:spacing w:val="-20"/>
          <w:sz w:val="24"/>
          <w:szCs w:val="24"/>
        </w:rPr>
        <w:t xml:space="preserve">附录 </w:t>
      </w:r>
      <w:r>
        <w:rPr>
          <w:rFonts w:ascii="Times New Roman" w:eastAsia="Times New Roman"/>
          <w:sz w:val="24"/>
          <w:szCs w:val="24"/>
        </w:rPr>
        <w:t xml:space="preserve">F </w:t>
      </w:r>
      <w:r>
        <w:rPr>
          <w:sz w:val="24"/>
          <w:szCs w:val="24"/>
        </w:rPr>
        <w:t>关于液体泄漏速率公式进行计算，计算公式如下：</w:t>
      </w:r>
    </w:p>
    <w:p w14:paraId="2DD3101F">
      <w:pPr>
        <w:keepNext w:val="0"/>
        <w:keepLines w:val="0"/>
        <w:widowControl/>
        <w:suppressLineNumbers w:val="0"/>
        <w:jc w:val="center"/>
      </w:pPr>
      <w:r>
        <w:rPr>
          <w:rFonts w:ascii="宋体" w:hAnsi="宋体" w:eastAsia="宋体" w:cs="宋体"/>
          <w:sz w:val="24"/>
          <w:szCs w:val="24"/>
          <w:lang w:val="en-US" w:eastAsia="zh-CN" w:bidi="ar"/>
        </w:rPr>
        <w:drawing>
          <wp:inline distT="0" distB="0" distL="0" distR="0">
            <wp:extent cx="1914525" cy="561340"/>
            <wp:effectExtent l="0" t="0" r="0" b="0"/>
            <wp:docPr id="51" name="_x0000_i3141"/>
            <wp:cNvGraphicFramePr/>
            <a:graphic xmlns:a="http://schemas.openxmlformats.org/drawingml/2006/main">
              <a:graphicData uri="http://schemas.openxmlformats.org/drawingml/2006/picture">
                <pic:pic xmlns:pic="http://schemas.openxmlformats.org/drawingml/2006/picture">
                  <pic:nvPicPr>
                    <pic:cNvPr id="51" name="_x0000_i3141"/>
                    <pic:cNvPicPr/>
                  </pic:nvPicPr>
                  <pic:blipFill>
                    <a:blip r:embed="rId64"/>
                    <a:stretch>
                      <a:fillRect/>
                    </a:stretch>
                  </pic:blipFill>
                  <pic:spPr>
                    <a:xfrm>
                      <a:off x="0" y="0"/>
                      <a:ext cx="1914525" cy="561901"/>
                    </a:xfrm>
                    <a:prstGeom prst="rect">
                      <a:avLst/>
                    </a:prstGeom>
                    <a:noFill/>
                    <a:ln>
                      <a:noFill/>
                    </a:ln>
                  </pic:spPr>
                </pic:pic>
              </a:graphicData>
            </a:graphic>
          </wp:inline>
        </w:drawing>
      </w:r>
    </w:p>
    <w:p w14:paraId="1C806275">
      <w:pPr>
        <w:pStyle w:val="219"/>
        <w:keepNext w:val="0"/>
        <w:keepLines w:val="0"/>
        <w:pageBreakBefore w:val="0"/>
        <w:widowControl/>
        <w:spacing w:after="0" w:line="360" w:lineRule="auto"/>
        <w:ind w:left="0" w:firstLine="1440"/>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式中：QL——液体泄漏速率，kg/s；</w:t>
      </w:r>
    </w:p>
    <w:p w14:paraId="4EC79F36">
      <w:pPr>
        <w:pStyle w:val="219"/>
        <w:keepNext w:val="0"/>
        <w:keepLines w:val="0"/>
        <w:pageBreakBefore w:val="0"/>
        <w:widowControl/>
        <w:spacing w:after="0" w:line="360" w:lineRule="auto"/>
        <w:ind w:left="0" w:right="0" w:firstLine="2160"/>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 xml:space="preserve">P——容器内介质压力，Pa，介质压力为 166660Pa； </w:t>
      </w:r>
    </w:p>
    <w:p w14:paraId="79E45B11">
      <w:pPr>
        <w:pStyle w:val="219"/>
        <w:keepNext w:val="0"/>
        <w:keepLines w:val="0"/>
        <w:pageBreakBefore w:val="0"/>
        <w:widowControl/>
        <w:spacing w:after="0" w:line="360" w:lineRule="auto"/>
        <w:ind w:left="0" w:right="0" w:firstLine="2160"/>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P0——环境压力，Pa，取 1 个标准大气压，101325Pa；</w:t>
      </w:r>
    </w:p>
    <w:p w14:paraId="558AACB5">
      <w:pPr>
        <w:pStyle w:val="219"/>
        <w:keepNext w:val="0"/>
        <w:keepLines w:val="0"/>
        <w:pageBreakBefore w:val="0"/>
        <w:widowControl/>
        <w:spacing w:after="0" w:line="360" w:lineRule="auto"/>
        <w:ind w:right="0" w:firstLine="2160"/>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 xml:space="preserve">ρ——泄漏液体密度，kg/m³，本次为 1110kg/m³； </w:t>
      </w:r>
    </w:p>
    <w:p w14:paraId="6CB8EB67">
      <w:pPr>
        <w:pStyle w:val="219"/>
        <w:keepNext w:val="0"/>
        <w:keepLines w:val="0"/>
        <w:pageBreakBefore w:val="0"/>
        <w:widowControl/>
        <w:spacing w:after="0" w:line="360" w:lineRule="auto"/>
        <w:ind w:left="1726" w:right="2346"/>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g——重力加速度，9.81m/s</w:t>
      </w:r>
      <w:r>
        <w:rPr>
          <w:rFonts w:ascii="Times New Roman" w:hAnsi="Times New Roman" w:eastAsia="宋体" w:cs="Times New Roman"/>
          <w:sz w:val="24"/>
          <w:szCs w:val="24"/>
          <w:vertAlign w:val="superscript"/>
          <w:lang w:val="en-US" w:eastAsia="zh-CN" w:bidi="zh-CN"/>
        </w:rPr>
        <w:t>2</w:t>
      </w:r>
      <w:r>
        <w:rPr>
          <w:rFonts w:ascii="Times New Roman" w:hAnsi="Times New Roman" w:eastAsia="宋体" w:cs="Times New Roman"/>
          <w:sz w:val="24"/>
          <w:szCs w:val="24"/>
          <w:vertAlign w:val="baseline"/>
          <w:lang w:val="zh-CN" w:eastAsia="zh-CN" w:bidi="zh-CN"/>
        </w:rPr>
        <w:t>；</w:t>
      </w:r>
    </w:p>
    <w:p w14:paraId="5DBCA54B">
      <w:pPr>
        <w:pStyle w:val="219"/>
        <w:keepNext w:val="0"/>
        <w:keepLines w:val="0"/>
        <w:pageBreakBefore w:val="0"/>
        <w:widowControl/>
        <w:spacing w:after="0" w:line="360" w:lineRule="auto"/>
        <w:ind w:left="0" w:right="0" w:firstLine="2160"/>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h——裂口之上液位高度，m，本次取 5.5m；</w:t>
      </w:r>
    </w:p>
    <w:p w14:paraId="6C90BC80">
      <w:pPr>
        <w:pStyle w:val="219"/>
        <w:keepNext w:val="0"/>
        <w:keepLines w:val="0"/>
        <w:pageBreakBefore w:val="0"/>
        <w:widowControl/>
        <w:spacing w:after="0" w:line="360" w:lineRule="auto"/>
        <w:ind w:left="0" w:right="0" w:firstLine="2160"/>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Cd——液体泄漏系数，泄漏口为圆形，取 0.65；</w:t>
      </w:r>
    </w:p>
    <w:p w14:paraId="26B3DDB1">
      <w:pPr>
        <w:pStyle w:val="219"/>
        <w:keepNext w:val="0"/>
        <w:keepLines w:val="0"/>
        <w:pageBreakBefore w:val="0"/>
        <w:widowControl/>
        <w:spacing w:after="0" w:line="360" w:lineRule="auto"/>
        <w:ind w:right="0" w:firstLine="2160"/>
        <w:jc w:val="left"/>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A——裂口面积，m</w:t>
      </w:r>
      <w:r>
        <w:rPr>
          <w:rFonts w:ascii="Times New Roman" w:hAnsi="Times New Roman" w:eastAsia="宋体" w:cs="Times New Roman"/>
          <w:sz w:val="24"/>
          <w:szCs w:val="24"/>
          <w:vertAlign w:val="superscript"/>
          <w:lang w:val="zh-CN" w:eastAsia="zh-CN" w:bidi="zh-CN"/>
        </w:rPr>
        <w:t>2</w:t>
      </w:r>
      <w:r>
        <w:rPr>
          <w:rFonts w:ascii="Times New Roman" w:hAnsi="Times New Roman" w:eastAsia="宋体" w:cs="Times New Roman"/>
          <w:sz w:val="24"/>
          <w:szCs w:val="24"/>
          <w:vertAlign w:val="baseline"/>
          <w:lang w:val="zh-CN" w:eastAsia="zh-CN" w:bidi="zh-CN"/>
        </w:rPr>
        <w:t>，泄漏孔径取 10mm，则裂口面积为 0.8×10</w:t>
      </w:r>
      <w:r>
        <w:rPr>
          <w:rFonts w:ascii="Times New Roman" w:hAnsi="Times New Roman" w:eastAsia="宋体" w:cs="Times New Roman"/>
          <w:sz w:val="24"/>
          <w:szCs w:val="24"/>
          <w:vertAlign w:val="superscript"/>
          <w:lang w:val="zh-CN" w:eastAsia="zh-CN" w:bidi="zh-CN"/>
        </w:rPr>
        <w:t>-4</w:t>
      </w:r>
      <w:r>
        <w:rPr>
          <w:rFonts w:ascii="Times New Roman" w:hAnsi="Times New Roman" w:eastAsia="宋体" w:cs="Times New Roman"/>
          <w:sz w:val="24"/>
          <w:szCs w:val="24"/>
          <w:vertAlign w:val="baseline"/>
          <w:lang w:val="zh-CN" w:eastAsia="zh-CN" w:bidi="zh-CN"/>
        </w:rPr>
        <w:t>m</w:t>
      </w:r>
      <w:r>
        <w:rPr>
          <w:rFonts w:ascii="Times New Roman" w:hAnsi="Times New Roman" w:eastAsia="宋体" w:cs="Times New Roman"/>
          <w:sz w:val="24"/>
          <w:szCs w:val="24"/>
          <w:vertAlign w:val="superscript"/>
          <w:lang w:val="zh-CN" w:eastAsia="zh-CN" w:bidi="zh-CN"/>
        </w:rPr>
        <w:t>2</w:t>
      </w:r>
      <w:r>
        <w:rPr>
          <w:rFonts w:ascii="Times New Roman" w:hAnsi="Times New Roman" w:eastAsia="宋体" w:cs="Times New Roman"/>
          <w:sz w:val="24"/>
          <w:szCs w:val="24"/>
          <w:vertAlign w:val="baseline"/>
          <w:lang w:val="zh-CN" w:eastAsia="zh-CN" w:bidi="zh-CN"/>
        </w:rPr>
        <w:t>；</w:t>
      </w:r>
    </w:p>
    <w:p w14:paraId="36747C1D">
      <w:pPr>
        <w:keepNext w:val="0"/>
        <w:keepLines w:val="0"/>
        <w:pageBreakBefore w:val="0"/>
        <w:numPr>
          <w:ilvl w:val="0"/>
          <w:numId w:val="0"/>
        </w:numPr>
        <w:spacing w:line="360" w:lineRule="auto"/>
        <w:ind w:firstLine="480"/>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 xml:space="preserve"> 泄漏的甲醛储罐</w:t>
      </w:r>
      <w:r>
        <w:rPr>
          <w:rFonts w:ascii="Times New Roman" w:hAnsi="Times New Roman" w:eastAsia="宋体" w:cs="Times New Roman"/>
          <w:sz w:val="24"/>
          <w:szCs w:val="24"/>
          <w:vertAlign w:val="baseline"/>
          <w:lang w:val="en-US" w:eastAsia="zh-CN" w:bidi="zh-CN"/>
        </w:rPr>
        <w:t>为60</w:t>
      </w:r>
      <w:r>
        <w:rPr>
          <w:rFonts w:ascii="Times New Roman" w:hAnsi="Times New Roman" w:eastAsia="宋体" w:cs="Times New Roman"/>
          <w:sz w:val="24"/>
          <w:szCs w:val="24"/>
          <w:vertAlign w:val="baseline"/>
          <w:lang w:val="zh-CN" w:eastAsia="zh-CN" w:bidi="zh-CN"/>
        </w:rPr>
        <w:t>m</w:t>
      </w:r>
      <w:r>
        <w:rPr>
          <w:rFonts w:ascii="Times New Roman" w:hAnsi="Times New Roman" w:eastAsia="宋体" w:cs="Times New Roman"/>
          <w:sz w:val="24"/>
          <w:szCs w:val="24"/>
          <w:vertAlign w:val="superscript"/>
          <w:lang w:val="zh-CN" w:eastAsia="zh-CN" w:bidi="zh-CN"/>
        </w:rPr>
        <w:t xml:space="preserve">3 </w:t>
      </w:r>
      <w:r>
        <w:rPr>
          <w:rFonts w:ascii="Times New Roman" w:hAnsi="Times New Roman" w:eastAsia="宋体" w:cs="Times New Roman"/>
          <w:sz w:val="24"/>
          <w:szCs w:val="24"/>
          <w:vertAlign w:val="baseline"/>
          <w:lang w:val="zh-CN" w:eastAsia="zh-CN" w:bidi="zh-CN"/>
        </w:rPr>
        <w:t>的储罐，经计算得出甲醛溶液泄漏的速度为 0.86kg/s，项目未设置紧急隔离系统的单元，因此，考虑 30min 事故泄漏应急时间，则 30min内甲醛溶液的泄漏量为1548kg（即 1.3946m</w:t>
      </w:r>
      <w:r>
        <w:rPr>
          <w:rFonts w:ascii="Times New Roman" w:hAnsi="Times New Roman" w:eastAsia="宋体" w:cs="Times New Roman"/>
          <w:sz w:val="24"/>
          <w:szCs w:val="24"/>
          <w:vertAlign w:val="superscript"/>
          <w:lang w:val="en-US" w:eastAsia="zh-CN" w:bidi="zh-CN"/>
        </w:rPr>
        <w:t>3</w:t>
      </w:r>
      <w:r>
        <w:rPr>
          <w:rFonts w:ascii="Times New Roman" w:hAnsi="Times New Roman" w:eastAsia="宋体" w:cs="Times New Roman"/>
          <w:sz w:val="24"/>
          <w:szCs w:val="24"/>
          <w:vertAlign w:val="baseline"/>
          <w:lang w:val="zh-CN" w:eastAsia="zh-CN" w:bidi="zh-CN"/>
        </w:rPr>
        <w:t>）。</w:t>
      </w:r>
    </w:p>
    <w:p w14:paraId="06E1D3C9">
      <w:pPr>
        <w:keepNext w:val="0"/>
        <w:keepLines w:val="0"/>
        <w:pageBreakBefore w:val="0"/>
        <w:numPr>
          <w:ilvl w:val="0"/>
          <w:numId w:val="0"/>
        </w:numPr>
        <w:spacing w:line="360" w:lineRule="auto"/>
        <w:ind w:firstLine="480"/>
        <w:rPr>
          <w:rFonts w:ascii="Times New Roman" w:hAnsi="Times New Roman" w:eastAsia="宋体" w:cs="Times New Roman"/>
          <w:sz w:val="24"/>
          <w:szCs w:val="24"/>
          <w:vertAlign w:val="baseline"/>
          <w:lang w:val="zh-CN" w:eastAsia="zh-CN" w:bidi="zh-CN"/>
        </w:rPr>
      </w:pPr>
      <w:r>
        <w:rPr>
          <w:rFonts w:ascii="Times New Roman" w:hAnsi="Times New Roman" w:eastAsia="宋体" w:cs="Times New Roman"/>
          <w:sz w:val="24"/>
          <w:szCs w:val="24"/>
          <w:vertAlign w:val="baseline"/>
          <w:lang w:val="zh-CN" w:eastAsia="zh-CN" w:bidi="zh-CN"/>
        </w:rPr>
        <w:t>设定条件：①项目危险储罐区发生岩溶地面塌陷等地质灾害，污漏后直接入渗补给地下水，不考虑甲醛溶液蒸发、包气带岩土体的防渗性能及</w:t>
      </w:r>
      <w:r>
        <w:rPr>
          <w:rFonts w:hint="eastAsia" w:cs="Times New Roman"/>
          <w:sz w:val="24"/>
          <w:szCs w:val="24"/>
          <w:vertAlign w:val="baseline"/>
          <w:lang w:val="zh-CN" w:eastAsia="zh-CN" w:bidi="zh-CN"/>
        </w:rPr>
        <w:t>吸附</w:t>
      </w:r>
      <w:r>
        <w:rPr>
          <w:rFonts w:ascii="Times New Roman" w:hAnsi="Times New Roman" w:eastAsia="宋体" w:cs="Times New Roman"/>
          <w:sz w:val="24"/>
          <w:szCs w:val="24"/>
          <w:vertAlign w:val="baseline"/>
          <w:lang w:val="zh-CN" w:eastAsia="zh-CN" w:bidi="zh-CN"/>
        </w:rPr>
        <w:t>作用，即甲醛溶液的泄漏量 1548kg（即 1.3946m</w:t>
      </w:r>
      <w:r>
        <w:rPr>
          <w:rFonts w:ascii="Times New Roman" w:hAnsi="Times New Roman" w:eastAsia="宋体" w:cs="Times New Roman"/>
          <w:sz w:val="24"/>
          <w:szCs w:val="24"/>
          <w:vertAlign w:val="superscript"/>
          <w:lang w:val="zh-CN" w:eastAsia="zh-CN" w:bidi="zh-CN"/>
        </w:rPr>
        <w:t>3</w:t>
      </w:r>
      <w:r>
        <w:rPr>
          <w:rFonts w:ascii="Times New Roman" w:hAnsi="Times New Roman" w:eastAsia="宋体" w:cs="Times New Roman"/>
          <w:sz w:val="24"/>
          <w:szCs w:val="24"/>
          <w:vertAlign w:val="baseline"/>
          <w:lang w:val="zh-CN" w:eastAsia="zh-CN" w:bidi="zh-CN"/>
        </w:rPr>
        <w:t>）全部瞬时注入含水层中，则 37%的甲醛溶液中含有甲醛 572.76 kg。</w:t>
      </w:r>
    </w:p>
    <w:p w14:paraId="1A9A3B7E">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设定条件：②假设事故发生后，甲醛储罐围堰大小为长×宽：20m×26m，不考虑甲醛溶液蒸发，则围堰内液面高度为 0.0027m，假设液池底面 50%与黏土层接触，黏土层的防污性能为中等，此时污水主要通过上部岩土体垂向缓慢下渗，并补给下伏岩溶地下水，其下渗补给量可参照达西定律计算，则有：</w:t>
      </w:r>
    </w:p>
    <w:p w14:paraId="43EBC31D">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Q= u×F×t =K×I×F×t :</w:t>
      </w:r>
    </w:p>
    <w:p w14:paraId="4ACC9635">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Q—入渗量，m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 xml:space="preserve">； </w:t>
      </w:r>
    </w:p>
    <w:p w14:paraId="078C0A44">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u—下渗速度 m/d；</w:t>
      </w:r>
    </w:p>
    <w:p w14:paraId="26E9AB19">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F—入渗截面积，m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（取池底面积的 50%， F=260m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14:paraId="5C7CF7F5">
      <w:pPr>
        <w:pStyle w:val="2"/>
        <w:rPr>
          <w:rFonts w:ascii="Times New Roman" w:hAnsi="Times New Roman" w:eastAsia="宋体" w:cs="Times New Roman"/>
          <w:sz w:val="24"/>
          <w:szCs w:val="24"/>
        </w:rPr>
      </w:pPr>
      <w:r>
        <w:rPr>
          <w:rFonts w:ascii="Times New Roman" w:hAnsi="Times New Roman" w:eastAsia="宋体" w:cs="Times New Roman"/>
          <w:sz w:val="24"/>
          <w:szCs w:val="24"/>
        </w:rPr>
        <w:t>t—入渗时间，d（本次取 0.5h=1/48d）；</w:t>
      </w:r>
    </w:p>
    <w:p w14:paraId="335FC45A">
      <w:pPr>
        <w:pStyle w:val="2"/>
        <w:rPr>
          <w:rFonts w:ascii="Times New Roman" w:hAnsi="Times New Roman" w:eastAsia="宋体" w:cs="Times New Roman"/>
          <w:sz w:val="24"/>
          <w:szCs w:val="24"/>
        </w:rPr>
      </w:pPr>
      <w:r>
        <w:rPr>
          <w:rFonts w:ascii="Times New Roman" w:hAnsi="Times New Roman" w:eastAsia="宋体" w:cs="Times New Roman"/>
          <w:sz w:val="24"/>
          <w:szCs w:val="24"/>
        </w:rPr>
        <w:t>K—入渗系数，m/d（黏土层渗透系数，K=0.0367m/d）； I—水力坡度（垂向下渗，故取 1）；</w:t>
      </w:r>
    </w:p>
    <w:p w14:paraId="67D473C3">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根据上述公式，计算出 37%甲醛储罐发生泄漏事故，0.5h 泄漏并下渗补给地下水的量为 0.1988m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，折合为 220.668kg，甲醛溶液中含有甲醛 81.65 kg。</w:t>
      </w:r>
    </w:p>
    <w:p w14:paraId="5C2A8189">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综合上述设定条件分析，当甲醛储罐发生污染泄漏，在采用应急措施， 及时回收处理，且储罐区防渗功能基本正常条件下，污染物泄漏量远远小于污染物泄漏后无组织排放，本次预测按最不利因素考虑，故预测源强采用上述方案①泄漏量。</w:t>
      </w:r>
    </w:p>
    <w:p w14:paraId="30745FCC">
      <w:pPr>
        <w:pStyle w:val="466"/>
        <w:spacing w:line="312"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val="en-US" w:eastAsia="zh-CN"/>
        </w:rPr>
        <w:t>C.</w:t>
      </w:r>
      <w:r>
        <w:rPr>
          <w:rFonts w:ascii="Times New Roman" w:hAnsi="Times New Roman" w:eastAsia="宋体" w:cs="Times New Roman"/>
          <w:color w:val="000000"/>
          <w:sz w:val="24"/>
          <w:szCs w:val="24"/>
        </w:rPr>
        <w:t>预测模式及参数选取</w:t>
      </w:r>
    </w:p>
    <w:p w14:paraId="56E6E084">
      <w:pPr>
        <w:spacing w:line="312" w:lineRule="auto"/>
        <w:ind w:firstLine="480"/>
        <w:rPr>
          <w:rFonts w:ascii="Times New Roman" w:hAnsi="Times New Roman" w:eastAsia="宋体" w:cs="Times New Roman"/>
          <w:szCs w:val="24"/>
        </w:rPr>
      </w:pPr>
      <w:r>
        <w:rPr>
          <w:rFonts w:ascii="Times New Roman" w:hAnsi="Times New Roman" w:eastAsia="宋体" w:cs="Times New Roman"/>
          <w:szCs w:val="24"/>
        </w:rPr>
        <w:t>依据《环境影响评价技术导则—地下水环境》（HJ610-2016）的要求，结合区域水文地质条件和潜在污染源特征，对地下水环境影响预测采用一维无限长多孔介质</w:t>
      </w:r>
      <w:r>
        <w:rPr>
          <w:rFonts w:hint="eastAsia" w:ascii="Times New Roman" w:hAnsi="Times New Roman" w:eastAsia="宋体" w:cs="Times New Roman"/>
          <w:szCs w:val="24"/>
          <w:lang w:val="en-US" w:eastAsia="zh-CN"/>
        </w:rPr>
        <w:t>柱体，示踪迹瞬时注入</w:t>
      </w:r>
      <w:r>
        <w:rPr>
          <w:rFonts w:ascii="Times New Roman" w:hAnsi="Times New Roman" w:eastAsia="宋体" w:cs="Times New Roman"/>
          <w:szCs w:val="24"/>
        </w:rPr>
        <w:t>模型。其公式为：</w:t>
      </w:r>
    </w:p>
    <w:p w14:paraId="1621474C">
      <w:pPr>
        <w:keepNext w:val="0"/>
        <w:keepLines w:val="0"/>
        <w:widowControl/>
        <w:suppressLineNumbers w:val="0"/>
        <w:jc w:val="left"/>
      </w:pPr>
      <w:r>
        <w:rPr>
          <w:rFonts w:ascii="宋体" w:hAnsi="宋体" w:eastAsia="宋体" w:cs="宋体"/>
          <w:sz w:val="24"/>
          <w:szCs w:val="24"/>
          <w:lang w:val="en-US" w:eastAsia="zh-CN" w:bidi="ar"/>
        </w:rPr>
        <w:drawing>
          <wp:inline distT="0" distB="0" distL="0" distR="0">
            <wp:extent cx="1638300" cy="599440"/>
            <wp:effectExtent l="0" t="0" r="0" b="0"/>
            <wp:docPr id="52" name="_x0000_i3142"/>
            <wp:cNvGraphicFramePr/>
            <a:graphic xmlns:a="http://schemas.openxmlformats.org/drawingml/2006/main">
              <a:graphicData uri="http://schemas.openxmlformats.org/drawingml/2006/picture">
                <pic:pic xmlns:pic="http://schemas.openxmlformats.org/drawingml/2006/picture">
                  <pic:nvPicPr>
                    <pic:cNvPr id="52" name="_x0000_i3142"/>
                    <pic:cNvPicPr/>
                  </pic:nvPicPr>
                  <pic:blipFill>
                    <a:blip r:embed="rId65"/>
                    <a:stretch>
                      <a:fillRect/>
                    </a:stretch>
                  </pic:blipFill>
                  <pic:spPr>
                    <a:xfrm>
                      <a:off x="0" y="0"/>
                      <a:ext cx="1638300" cy="600039"/>
                    </a:xfrm>
                    <a:prstGeom prst="rect">
                      <a:avLst/>
                    </a:prstGeom>
                    <a:noFill/>
                    <a:ln>
                      <a:noFill/>
                    </a:ln>
                  </pic:spPr>
                </pic:pic>
              </a:graphicData>
            </a:graphic>
          </wp:inline>
        </w:drawing>
      </w:r>
    </w:p>
    <w:p w14:paraId="70D1ED22">
      <w:pPr>
        <w:ind w:firstLine="480"/>
        <w:rPr>
          <w:szCs w:val="24"/>
        </w:rPr>
      </w:pPr>
      <w:r>
        <w:rPr>
          <w:rFonts w:hint="eastAsia"/>
          <w:szCs w:val="24"/>
        </w:rPr>
        <w:t>式中：</w:t>
      </w:r>
    </w:p>
    <w:p w14:paraId="7BBB9860">
      <w:pPr>
        <w:spacing w:line="336" w:lineRule="auto"/>
        <w:ind w:firstLine="480"/>
        <w:rPr>
          <w:szCs w:val="24"/>
        </w:rPr>
      </w:pPr>
      <w:r>
        <w:rPr>
          <w:szCs w:val="24"/>
        </w:rPr>
        <w:t>x—</w:t>
      </w:r>
      <w:r>
        <w:rPr>
          <w:rFonts w:hint="eastAsia"/>
          <w:szCs w:val="24"/>
        </w:rPr>
        <w:t>距注入点的距离；</w:t>
      </w:r>
      <w:r>
        <w:rPr>
          <w:szCs w:val="24"/>
        </w:rPr>
        <w:t>m</w:t>
      </w:r>
      <w:r>
        <w:rPr>
          <w:rFonts w:hint="eastAsia"/>
          <w:szCs w:val="24"/>
        </w:rPr>
        <w:t>；</w:t>
      </w:r>
    </w:p>
    <w:p w14:paraId="14F19E05">
      <w:pPr>
        <w:spacing w:line="336" w:lineRule="auto"/>
        <w:ind w:firstLine="480"/>
        <w:rPr>
          <w:szCs w:val="24"/>
        </w:rPr>
      </w:pPr>
      <w:r>
        <w:rPr>
          <w:szCs w:val="24"/>
        </w:rPr>
        <w:t>t—</w:t>
      </w:r>
      <w:r>
        <w:rPr>
          <w:rFonts w:hint="eastAsia"/>
          <w:szCs w:val="24"/>
        </w:rPr>
        <w:t>时间，</w:t>
      </w:r>
      <w:r>
        <w:rPr>
          <w:szCs w:val="24"/>
        </w:rPr>
        <w:t>d</w:t>
      </w:r>
      <w:r>
        <w:rPr>
          <w:rFonts w:hint="eastAsia"/>
          <w:szCs w:val="24"/>
        </w:rPr>
        <w:t>；</w:t>
      </w:r>
    </w:p>
    <w:p w14:paraId="5E49698E">
      <w:pPr>
        <w:spacing w:line="336" w:lineRule="auto"/>
        <w:ind w:firstLine="480"/>
        <w:rPr>
          <w:rFonts w:hint="eastAsia" w:eastAsia="宋体"/>
          <w:szCs w:val="24"/>
          <w:lang w:eastAsia="zh-CN"/>
        </w:rPr>
      </w:pPr>
      <w:r>
        <w:rPr>
          <w:szCs w:val="24"/>
        </w:rPr>
        <w:t xml:space="preserve">C—t </w:t>
      </w:r>
      <w:r>
        <w:rPr>
          <w:rFonts w:hint="eastAsia"/>
          <w:szCs w:val="24"/>
        </w:rPr>
        <w:t>时刻</w:t>
      </w:r>
      <w:r>
        <w:rPr>
          <w:szCs w:val="24"/>
        </w:rPr>
        <w:t xml:space="preserve"> x </w:t>
      </w:r>
      <w:r>
        <w:rPr>
          <w:rFonts w:hint="eastAsia"/>
          <w:szCs w:val="24"/>
        </w:rPr>
        <w:t>处的示踪剂浓度，</w:t>
      </w:r>
      <w:r>
        <w:rPr>
          <w:szCs w:val="24"/>
        </w:rPr>
        <w:t>g/L</w:t>
      </w:r>
      <w:r>
        <w:rPr>
          <w:rFonts w:hint="eastAsia"/>
          <w:szCs w:val="24"/>
          <w:lang w:eastAsia="zh-CN"/>
        </w:rPr>
        <w:t>；</w:t>
      </w:r>
    </w:p>
    <w:p w14:paraId="455063D4">
      <w:pPr>
        <w:spacing w:line="336" w:lineRule="auto"/>
        <w:ind w:firstLine="480"/>
        <w:rPr>
          <w:rFonts w:hint="eastAsia" w:eastAsia="宋体"/>
          <w:szCs w:val="24"/>
          <w:lang w:eastAsia="zh-CN"/>
        </w:rPr>
      </w:pPr>
      <w:r>
        <w:rPr>
          <w:szCs w:val="24"/>
        </w:rPr>
        <w:t>C</w:t>
      </w:r>
      <w:r>
        <w:rPr>
          <w:szCs w:val="24"/>
          <w:vertAlign w:val="subscript"/>
        </w:rPr>
        <w:t>0</w:t>
      </w:r>
      <w:r>
        <w:rPr>
          <w:szCs w:val="24"/>
        </w:rPr>
        <w:t>—</w:t>
      </w:r>
      <w:r>
        <w:rPr>
          <w:rFonts w:hint="eastAsia"/>
          <w:szCs w:val="24"/>
        </w:rPr>
        <w:t>注入的示踪剂</w:t>
      </w:r>
      <w:r>
        <w:rPr>
          <w:rFonts w:hint="eastAsia"/>
          <w:szCs w:val="24"/>
          <w:lang w:val="en-US" w:eastAsia="zh-CN"/>
        </w:rPr>
        <w:t>质量</w:t>
      </w:r>
      <w:r>
        <w:rPr>
          <w:rFonts w:hint="eastAsia"/>
          <w:szCs w:val="24"/>
        </w:rPr>
        <w:t>，</w:t>
      </w:r>
      <w:r>
        <w:rPr>
          <w:rFonts w:hint="eastAsia"/>
          <w:szCs w:val="24"/>
          <w:lang w:val="en-US" w:eastAsia="zh-CN"/>
        </w:rPr>
        <w:t>kg</w:t>
      </w:r>
      <w:r>
        <w:rPr>
          <w:rFonts w:hint="eastAsia"/>
          <w:szCs w:val="24"/>
          <w:lang w:eastAsia="zh-CN"/>
        </w:rPr>
        <w:t>；</w:t>
      </w:r>
    </w:p>
    <w:p w14:paraId="228922C9">
      <w:pPr>
        <w:spacing w:line="336" w:lineRule="auto"/>
        <w:ind w:firstLine="480"/>
        <w:rPr>
          <w:rFonts w:eastAsia="宋体"/>
          <w:szCs w:val="24"/>
          <w:vertAlign w:val="baseline"/>
          <w:lang w:val="en-US" w:eastAsia="zh-CN"/>
        </w:rPr>
      </w:pPr>
      <w:r>
        <w:rPr>
          <w:rFonts w:hint="eastAsia"/>
          <w:szCs w:val="24"/>
          <w:lang w:val="en-US" w:eastAsia="zh-CN"/>
        </w:rPr>
        <w:t>W—横截面面积，m</w:t>
      </w:r>
      <w:r>
        <w:rPr>
          <w:rFonts w:hint="eastAsia"/>
          <w:szCs w:val="24"/>
          <w:vertAlign w:val="superscript"/>
          <w:lang w:val="en-US" w:eastAsia="zh-CN"/>
        </w:rPr>
        <w:t>2</w:t>
      </w:r>
      <w:r>
        <w:rPr>
          <w:rFonts w:hint="eastAsia"/>
          <w:szCs w:val="24"/>
          <w:vertAlign w:val="baseline"/>
          <w:lang w:val="en-US" w:eastAsia="zh-CN"/>
        </w:rPr>
        <w:t>；</w:t>
      </w:r>
    </w:p>
    <w:p w14:paraId="3AE27066">
      <w:pPr>
        <w:spacing w:line="336" w:lineRule="auto"/>
        <w:ind w:firstLine="480"/>
        <w:rPr>
          <w:szCs w:val="24"/>
        </w:rPr>
      </w:pPr>
      <w:r>
        <w:rPr>
          <w:szCs w:val="24"/>
        </w:rPr>
        <w:t>u—</w:t>
      </w:r>
      <w:r>
        <w:rPr>
          <w:rFonts w:hint="eastAsia"/>
          <w:szCs w:val="24"/>
        </w:rPr>
        <w:t>水流速度，</w:t>
      </w:r>
      <w:r>
        <w:rPr>
          <w:szCs w:val="24"/>
        </w:rPr>
        <w:t>m/d</w:t>
      </w:r>
      <w:r>
        <w:rPr>
          <w:rFonts w:hint="eastAsia"/>
          <w:szCs w:val="24"/>
        </w:rPr>
        <w:t>；</w:t>
      </w:r>
    </w:p>
    <w:p w14:paraId="56660ABA">
      <w:pPr>
        <w:spacing w:line="336" w:lineRule="auto"/>
        <w:ind w:firstLine="480"/>
        <w:rPr>
          <w:szCs w:val="24"/>
        </w:rPr>
      </w:pPr>
      <w:r>
        <w:rPr>
          <w:szCs w:val="24"/>
        </w:rPr>
        <w:t>D</w:t>
      </w:r>
      <w:r>
        <w:rPr>
          <w:szCs w:val="24"/>
          <w:vertAlign w:val="subscript"/>
        </w:rPr>
        <w:t>L</w:t>
      </w:r>
      <w:r>
        <w:rPr>
          <w:szCs w:val="24"/>
        </w:rPr>
        <w:t>—</w:t>
      </w:r>
      <w:r>
        <w:rPr>
          <w:rFonts w:hint="eastAsia"/>
          <w:szCs w:val="24"/>
        </w:rPr>
        <w:t>纵向弥散系数，</w:t>
      </w:r>
      <w:r>
        <w:rPr>
          <w:szCs w:val="24"/>
        </w:rPr>
        <w:t>m</w:t>
      </w:r>
      <w:r>
        <w:rPr>
          <w:szCs w:val="24"/>
          <w:vertAlign w:val="superscript"/>
        </w:rPr>
        <w:t>2</w:t>
      </w:r>
      <w:r>
        <w:rPr>
          <w:szCs w:val="24"/>
        </w:rPr>
        <w:t>/d</w:t>
      </w:r>
      <w:r>
        <w:rPr>
          <w:rFonts w:hint="eastAsia"/>
          <w:szCs w:val="24"/>
        </w:rPr>
        <w:t>；</w:t>
      </w:r>
    </w:p>
    <w:p w14:paraId="4BB6B321">
      <w:pPr>
        <w:spacing w:line="336" w:lineRule="auto"/>
        <w:ind w:firstLine="480"/>
        <w:rPr>
          <w:rFonts w:hint="eastAsia"/>
          <w:szCs w:val="24"/>
          <w:vertAlign w:val="baseline"/>
          <w:lang w:val="en-US" w:eastAsia="zh-CN"/>
        </w:rPr>
      </w:pPr>
      <w:r>
        <w:rPr>
          <w:rFonts w:hint="eastAsia"/>
          <w:szCs w:val="24"/>
          <w:lang w:val="en-US" w:eastAsia="zh-CN"/>
        </w:rPr>
        <w:t>n</w:t>
      </w:r>
      <w:r>
        <w:rPr>
          <w:rFonts w:hint="eastAsia"/>
          <w:szCs w:val="24"/>
          <w:vertAlign w:val="subscript"/>
          <w:lang w:val="en-US" w:eastAsia="zh-CN"/>
        </w:rPr>
        <w:t>e</w:t>
      </w:r>
      <w:r>
        <w:rPr>
          <w:rFonts w:hint="eastAsia"/>
          <w:szCs w:val="24"/>
          <w:vertAlign w:val="baseline"/>
          <w:lang w:val="en-US" w:eastAsia="zh-CN"/>
        </w:rPr>
        <w:t>—有效孔隙度，无量纲；</w:t>
      </w:r>
    </w:p>
    <w:p w14:paraId="1F66311E">
      <w:pPr>
        <w:pStyle w:val="255"/>
        <w:keepNext w:val="0"/>
        <w:keepLines w:val="0"/>
        <w:pageBreakBefore w:val="0"/>
        <w:widowControl/>
        <w:spacing w:after="0"/>
        <w:rPr>
          <w:rFonts w:hint="eastAsia"/>
          <w:szCs w:val="24"/>
          <w:vertAlign w:val="baseline"/>
          <w:lang w:val="en-US" w:eastAsia="zh-CN"/>
        </w:rPr>
      </w:pPr>
      <w:r>
        <w:rPr>
          <w:rFonts w:hint="eastAsia"/>
          <w:szCs w:val="24"/>
          <w:vertAlign w:val="baseline"/>
          <w:lang w:val="en-US" w:eastAsia="zh-CN"/>
        </w:rPr>
        <w:t xml:space="preserve">  π—圆周率。</w:t>
      </w:r>
    </w:p>
    <w:p w14:paraId="40B215A5">
      <w:pPr>
        <w:pStyle w:val="255"/>
        <w:keepNext w:val="0"/>
        <w:keepLines w:val="0"/>
        <w:pageBreakBefore w:val="0"/>
        <w:widowControl/>
        <w:spacing w:after="0" w:line="360" w:lineRule="auto"/>
        <w:ind w:firstLine="480"/>
        <w:rPr>
          <w:bCs/>
        </w:rPr>
      </w:pPr>
      <w:r>
        <w:rPr>
          <w:rFonts w:hint="eastAsia" w:hAnsi="宋体"/>
          <w:bCs/>
          <w:lang w:val="en-US" w:eastAsia="zh-CN"/>
        </w:rPr>
        <w:t>D.</w:t>
      </w:r>
      <w:r>
        <w:rPr>
          <w:rFonts w:hint="eastAsia" w:hAnsi="宋体"/>
          <w:bCs/>
        </w:rPr>
        <w:t>预测结果</w:t>
      </w:r>
    </w:p>
    <w:p w14:paraId="0855B675">
      <w:pPr>
        <w:keepNext w:val="0"/>
        <w:keepLines w:val="0"/>
        <w:pageBreakBefore w:val="0"/>
        <w:widowControl/>
        <w:spacing w:line="360" w:lineRule="auto"/>
        <w:ind w:firstLine="480"/>
        <w:rPr>
          <w:bCs/>
        </w:rPr>
      </w:pPr>
      <w:r>
        <w:rPr>
          <w:rFonts w:hint="eastAsia" w:hAnsi="宋体"/>
          <w:bCs/>
        </w:rPr>
        <w:t>结合《环境影响评价技术导则</w:t>
      </w:r>
      <w:r>
        <w:rPr>
          <w:bCs/>
        </w:rPr>
        <w:t xml:space="preserve"> </w:t>
      </w:r>
      <w:r>
        <w:rPr>
          <w:rFonts w:hint="eastAsia" w:hAnsi="宋体"/>
          <w:bCs/>
        </w:rPr>
        <w:t>地下水环境》（</w:t>
      </w:r>
      <w:r>
        <w:rPr>
          <w:bCs/>
        </w:rPr>
        <w:t>HJ610-2016</w:t>
      </w:r>
      <w:r>
        <w:rPr>
          <w:rFonts w:hint="eastAsia" w:hAnsi="宋体"/>
          <w:bCs/>
        </w:rPr>
        <w:t>），选取泄漏后污染物浓度最大时间</w:t>
      </w:r>
      <w:r>
        <w:rPr>
          <w:bCs/>
        </w:rPr>
        <w:t>1d</w:t>
      </w:r>
      <w:r>
        <w:rPr>
          <w:rFonts w:hint="eastAsia" w:hAnsi="宋体"/>
          <w:bCs/>
        </w:rPr>
        <w:t>、</w:t>
      </w:r>
      <w:r>
        <w:rPr>
          <w:bCs/>
        </w:rPr>
        <w:t>100d</w:t>
      </w:r>
      <w:r>
        <w:rPr>
          <w:rFonts w:hint="eastAsia" w:hAnsi="宋体"/>
          <w:bCs/>
        </w:rPr>
        <w:t>、</w:t>
      </w:r>
      <w:r>
        <w:rPr>
          <w:bCs/>
        </w:rPr>
        <w:t>1000d</w:t>
      </w:r>
      <w:r>
        <w:rPr>
          <w:rFonts w:hint="eastAsia" w:hAnsi="宋体"/>
          <w:bCs/>
        </w:rPr>
        <w:t>及场界进行预测。</w:t>
      </w:r>
    </w:p>
    <w:p w14:paraId="2E833BE0">
      <w:pPr>
        <w:keepNext w:val="0"/>
        <w:keepLines w:val="0"/>
        <w:pageBreakBefore w:val="0"/>
        <w:widowControl/>
        <w:spacing w:line="360" w:lineRule="auto"/>
        <w:ind w:firstLine="480"/>
        <w:rPr>
          <w:bCs/>
        </w:rPr>
      </w:pPr>
      <w:r>
        <w:rPr>
          <w:rFonts w:hint="eastAsia" w:hAnsi="宋体"/>
          <w:bCs/>
        </w:rPr>
        <w:t>预测结果见表</w:t>
      </w:r>
      <w:r>
        <w:rPr>
          <w:rFonts w:hint="eastAsia" w:hAnsi="宋体"/>
          <w:bCs/>
          <w:lang w:val="en-US" w:eastAsia="zh-CN"/>
        </w:rPr>
        <w:t>6</w:t>
      </w:r>
      <w:r>
        <w:rPr>
          <w:rFonts w:hint="eastAsia"/>
          <w:bCs/>
          <w:lang w:val="en-US" w:eastAsia="zh-CN"/>
        </w:rPr>
        <w:t>.2-26</w:t>
      </w:r>
      <w:r>
        <w:rPr>
          <w:rFonts w:hint="eastAsia" w:hAnsi="宋体"/>
          <w:bCs/>
        </w:rPr>
        <w:t>。</w:t>
      </w:r>
    </w:p>
    <w:p w14:paraId="01CFE794">
      <w:pPr>
        <w:spacing w:line="460" w:lineRule="exact"/>
        <w:jc w:val="center"/>
        <w:rPr>
          <w:rFonts w:hint="eastAsia" w:hAnsi="宋体"/>
          <w:b/>
        </w:rPr>
      </w:pPr>
      <w:r>
        <w:rPr>
          <w:rFonts w:hint="eastAsia" w:hAnsi="宋体"/>
          <w:b/>
        </w:rPr>
        <w:t>表</w:t>
      </w:r>
      <w:r>
        <w:rPr>
          <w:rFonts w:hint="eastAsia"/>
          <w:b/>
          <w:lang w:val="en-US" w:eastAsia="zh-CN"/>
        </w:rPr>
        <w:t>6.2</w:t>
      </w:r>
      <w:r>
        <w:rPr>
          <w:b/>
        </w:rPr>
        <w:t>-</w:t>
      </w:r>
      <w:r>
        <w:rPr>
          <w:rFonts w:hint="eastAsia"/>
          <w:b/>
          <w:lang w:val="en-US" w:eastAsia="zh-CN"/>
        </w:rPr>
        <w:t>26</w:t>
      </w:r>
      <w:r>
        <w:rPr>
          <w:rFonts w:hint="eastAsia" w:hAnsi="宋体"/>
          <w:b/>
        </w:rPr>
        <w:t>非正常状况下本项目场址下游地下水</w:t>
      </w:r>
      <w:r>
        <w:rPr>
          <w:rFonts w:hint="eastAsia" w:hAnsi="宋体"/>
          <w:b/>
          <w:lang w:val="en-US" w:eastAsia="zh-CN"/>
        </w:rPr>
        <w:t>甲醛</w:t>
      </w:r>
      <w:r>
        <w:rPr>
          <w:rFonts w:hint="eastAsia" w:hAnsi="宋体"/>
          <w:b/>
        </w:rPr>
        <w:t>预测结果一览表（</w:t>
      </w:r>
      <w:r>
        <w:rPr>
          <w:b/>
        </w:rPr>
        <w:t>mg/L</w:t>
      </w:r>
      <w:r>
        <w:rPr>
          <w:rFonts w:hint="eastAsia" w:hAnsi="宋体"/>
          <w:b/>
        </w:rPr>
        <w:t>）</w:t>
      </w:r>
    </w:p>
    <w:tbl>
      <w:tblPr>
        <w:tblStyle w:val="32"/>
        <w:tblW w:w="793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592"/>
        <w:gridCol w:w="1718"/>
        <w:gridCol w:w="1851"/>
        <w:gridCol w:w="1777"/>
      </w:tblGrid>
      <w:tr w14:paraId="2C74F4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49AD7C5C">
            <w:pPr>
              <w:pStyle w:val="441"/>
            </w:pPr>
            <w:r>
              <w:t>污染物</w:t>
            </w:r>
          </w:p>
        </w:tc>
        <w:tc>
          <w:tcPr>
            <w:tcW w:w="5346" w:type="dxa"/>
            <w:gridSpan w:val="3"/>
            <w:noWrap w:val="0"/>
            <w:vAlign w:val="center"/>
          </w:tcPr>
          <w:p w14:paraId="69530980">
            <w:pPr>
              <w:pStyle w:val="441"/>
            </w:pPr>
            <w:r>
              <w:rPr>
                <w:rFonts w:hint="eastAsia"/>
                <w:lang w:val="en-US" w:eastAsia="zh-CN"/>
              </w:rPr>
              <w:t>甲醛</w:t>
            </w:r>
            <w:r>
              <w:t>浓度</w:t>
            </w:r>
          </w:p>
        </w:tc>
      </w:tr>
      <w:tr w14:paraId="1AA0B1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3046C676">
            <w:pPr>
              <w:pStyle w:val="441"/>
              <w:rPr>
                <w:rFonts w:eastAsia="Times New Roman"/>
                <w:szCs w:val="22"/>
              </w:rPr>
            </w:pPr>
            <w:r>
              <w:t>时间(d)</w:t>
            </w:r>
          </w:p>
          <w:p w14:paraId="56F68474">
            <w:pPr>
              <w:pStyle w:val="441"/>
            </w:pPr>
            <w:r>
              <w:t>距离（m）</w:t>
            </w:r>
          </w:p>
        </w:tc>
        <w:tc>
          <w:tcPr>
            <w:tcW w:w="1718" w:type="dxa"/>
            <w:noWrap w:val="0"/>
            <w:vAlign w:val="center"/>
          </w:tcPr>
          <w:p w14:paraId="1E16A815">
            <w:pPr>
              <w:pStyle w:val="441"/>
              <w:rPr>
                <w:rFonts w:hint="eastAsia"/>
              </w:rPr>
            </w:pPr>
            <w:r>
              <w:rPr>
                <w:rFonts w:hint="eastAsia"/>
              </w:rPr>
              <w:t>1</w:t>
            </w:r>
          </w:p>
        </w:tc>
        <w:tc>
          <w:tcPr>
            <w:tcW w:w="1851" w:type="dxa"/>
            <w:noWrap w:val="0"/>
            <w:vAlign w:val="center"/>
          </w:tcPr>
          <w:p w14:paraId="0BAF7D2A">
            <w:pPr>
              <w:pStyle w:val="441"/>
            </w:pPr>
            <w:r>
              <w:t>100</w:t>
            </w:r>
          </w:p>
        </w:tc>
        <w:tc>
          <w:tcPr>
            <w:tcW w:w="1777" w:type="dxa"/>
            <w:noWrap w:val="0"/>
            <w:vAlign w:val="center"/>
          </w:tcPr>
          <w:p w14:paraId="31572581">
            <w:pPr>
              <w:pStyle w:val="441"/>
              <w:rPr>
                <w:rFonts w:hint="eastAsia"/>
              </w:rPr>
            </w:pPr>
            <w:r>
              <w:rPr>
                <w:rFonts w:hint="eastAsia"/>
              </w:rPr>
              <w:t>1000</w:t>
            </w:r>
          </w:p>
        </w:tc>
      </w:tr>
      <w:tr w14:paraId="59AFFE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79A6F4A6">
            <w:pPr>
              <w:pStyle w:val="441"/>
            </w:pPr>
            <w:r>
              <w:t>0</w:t>
            </w:r>
          </w:p>
        </w:tc>
        <w:tc>
          <w:tcPr>
            <w:tcW w:w="1718" w:type="dxa"/>
            <w:noWrap w:val="0"/>
            <w:vAlign w:val="center"/>
          </w:tcPr>
          <w:p w14:paraId="57DF91FB">
            <w:pPr>
              <w:pStyle w:val="441"/>
              <w:rPr>
                <w:rFonts w:hint="eastAsia" w:eastAsia="宋体"/>
                <w:lang w:eastAsia="zh-CN"/>
              </w:rPr>
            </w:pPr>
            <w:r>
              <w:rPr>
                <w:rFonts w:hint="eastAsia"/>
                <w:lang w:val="en-US" w:eastAsia="zh-CN"/>
              </w:rPr>
              <w:t>5.09</w:t>
            </w:r>
            <w:r>
              <w:rPr>
                <w:rFonts w:hint="eastAsia"/>
              </w:rPr>
              <w:t>E+0</w:t>
            </w:r>
            <w:r>
              <w:rPr>
                <w:rFonts w:hint="eastAsia"/>
                <w:lang w:val="en-US" w:eastAsia="zh-CN"/>
              </w:rPr>
              <w:t>6</w:t>
            </w:r>
          </w:p>
        </w:tc>
        <w:tc>
          <w:tcPr>
            <w:tcW w:w="1851" w:type="dxa"/>
            <w:noWrap w:val="0"/>
            <w:vAlign w:val="center"/>
          </w:tcPr>
          <w:p w14:paraId="4003D7AA">
            <w:pPr>
              <w:pStyle w:val="441"/>
              <w:rPr>
                <w:rFonts w:eastAsia="宋体"/>
                <w:lang w:val="en-US" w:eastAsia="zh-CN"/>
              </w:rPr>
            </w:pPr>
            <w:r>
              <w:rPr>
                <w:rFonts w:hint="eastAsia"/>
                <w:lang w:val="en-US" w:eastAsia="zh-CN"/>
              </w:rPr>
              <w:t>6.21</w:t>
            </w:r>
            <w:r>
              <w:rPr>
                <w:rFonts w:hint="eastAsia"/>
              </w:rPr>
              <w:t>E+0</w:t>
            </w:r>
            <w:r>
              <w:rPr>
                <w:rFonts w:hint="eastAsia"/>
                <w:lang w:val="en-US" w:eastAsia="zh-CN"/>
              </w:rPr>
              <w:t>3</w:t>
            </w:r>
          </w:p>
        </w:tc>
        <w:tc>
          <w:tcPr>
            <w:tcW w:w="1777" w:type="dxa"/>
            <w:noWrap w:val="0"/>
            <w:vAlign w:val="center"/>
          </w:tcPr>
          <w:p w14:paraId="62AF17F2">
            <w:pPr>
              <w:pStyle w:val="441"/>
            </w:pPr>
            <w:r>
              <w:rPr>
                <w:rFonts w:hint="eastAsia"/>
                <w:lang w:val="en-US" w:eastAsia="zh-CN"/>
              </w:rPr>
              <w:t>7.94</w:t>
            </w:r>
            <w:r>
              <w:rPr>
                <w:rFonts w:hint="eastAsia"/>
              </w:rPr>
              <w:t>E</w:t>
            </w:r>
            <w:r>
              <w:rPr>
                <w:rFonts w:hint="eastAsia"/>
                <w:lang w:val="en-US" w:eastAsia="zh-CN"/>
              </w:rPr>
              <w:t>-15</w:t>
            </w:r>
          </w:p>
        </w:tc>
      </w:tr>
      <w:tr w14:paraId="4EB936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2C181D9B">
            <w:pPr>
              <w:pStyle w:val="441"/>
              <w:rPr>
                <w:rFonts w:hint="eastAsia"/>
              </w:rPr>
            </w:pPr>
            <w:r>
              <w:rPr>
                <w:rFonts w:hint="eastAsia"/>
              </w:rPr>
              <w:t>50</w:t>
            </w:r>
          </w:p>
        </w:tc>
        <w:tc>
          <w:tcPr>
            <w:tcW w:w="1718" w:type="dxa"/>
            <w:noWrap w:val="0"/>
            <w:vAlign w:val="center"/>
          </w:tcPr>
          <w:p w14:paraId="5A987E8B">
            <w:pPr>
              <w:pStyle w:val="441"/>
              <w:rPr>
                <w:rFonts w:hint="eastAsia"/>
              </w:rPr>
            </w:pPr>
            <w:r>
              <w:rPr>
                <w:rFonts w:hint="eastAsia"/>
              </w:rPr>
              <w:t>0</w:t>
            </w:r>
          </w:p>
        </w:tc>
        <w:tc>
          <w:tcPr>
            <w:tcW w:w="1851" w:type="dxa"/>
            <w:noWrap w:val="0"/>
            <w:vAlign w:val="center"/>
          </w:tcPr>
          <w:p w14:paraId="7A534792">
            <w:pPr>
              <w:pStyle w:val="441"/>
              <w:rPr>
                <w:rFonts w:eastAsia="宋体"/>
                <w:lang w:val="en-US" w:eastAsia="zh-CN"/>
              </w:rPr>
            </w:pPr>
            <w:r>
              <w:rPr>
                <w:rFonts w:hint="eastAsia"/>
                <w:lang w:val="en-US" w:eastAsia="zh-CN"/>
              </w:rPr>
              <w:t>2.26</w:t>
            </w:r>
            <w:r>
              <w:rPr>
                <w:rFonts w:hint="eastAsia"/>
              </w:rPr>
              <w:t>E+0</w:t>
            </w:r>
            <w:r>
              <w:rPr>
                <w:rFonts w:hint="eastAsia"/>
                <w:lang w:val="en-US" w:eastAsia="zh-CN"/>
              </w:rPr>
              <w:t>5</w:t>
            </w:r>
          </w:p>
        </w:tc>
        <w:tc>
          <w:tcPr>
            <w:tcW w:w="1777" w:type="dxa"/>
            <w:noWrap w:val="0"/>
            <w:vAlign w:val="center"/>
          </w:tcPr>
          <w:p w14:paraId="51D6F8B0">
            <w:pPr>
              <w:pStyle w:val="441"/>
            </w:pPr>
            <w:r>
              <w:rPr>
                <w:rFonts w:hint="eastAsia"/>
                <w:lang w:val="en-US" w:eastAsia="zh-CN"/>
              </w:rPr>
              <w:t>1.02</w:t>
            </w:r>
            <w:r>
              <w:rPr>
                <w:rFonts w:hint="eastAsia"/>
              </w:rPr>
              <w:t>E</w:t>
            </w:r>
            <w:r>
              <w:rPr>
                <w:rFonts w:hint="eastAsia"/>
                <w:lang w:val="en-US" w:eastAsia="zh-CN"/>
              </w:rPr>
              <w:t>-12</w:t>
            </w:r>
          </w:p>
        </w:tc>
      </w:tr>
      <w:tr w14:paraId="452CDA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3A5CE02F">
            <w:pPr>
              <w:pStyle w:val="441"/>
              <w:rPr>
                <w:rFonts w:hint="eastAsia"/>
              </w:rPr>
            </w:pPr>
            <w:r>
              <w:rPr>
                <w:rFonts w:hint="eastAsia"/>
              </w:rPr>
              <w:t>100</w:t>
            </w:r>
          </w:p>
        </w:tc>
        <w:tc>
          <w:tcPr>
            <w:tcW w:w="1718" w:type="dxa"/>
            <w:noWrap w:val="0"/>
            <w:vAlign w:val="center"/>
          </w:tcPr>
          <w:p w14:paraId="5CBB682D">
            <w:pPr>
              <w:pStyle w:val="441"/>
              <w:rPr>
                <w:rFonts w:hint="eastAsia"/>
              </w:rPr>
            </w:pPr>
            <w:r>
              <w:rPr>
                <w:rFonts w:hint="eastAsia"/>
              </w:rPr>
              <w:t>0</w:t>
            </w:r>
          </w:p>
        </w:tc>
        <w:tc>
          <w:tcPr>
            <w:tcW w:w="1851" w:type="dxa"/>
            <w:noWrap w:val="0"/>
            <w:vAlign w:val="center"/>
          </w:tcPr>
          <w:p w14:paraId="5AE4EA6E">
            <w:pPr>
              <w:pStyle w:val="441"/>
              <w:rPr>
                <w:rFonts w:hint="eastAsia"/>
              </w:rPr>
            </w:pPr>
            <w:r>
              <w:rPr>
                <w:rFonts w:hint="eastAsia"/>
                <w:lang w:val="en-US" w:eastAsia="zh-CN"/>
              </w:rPr>
              <w:t>4.97</w:t>
            </w:r>
            <w:r>
              <w:rPr>
                <w:rFonts w:hint="eastAsia"/>
              </w:rPr>
              <w:t>E+0</w:t>
            </w:r>
            <w:r>
              <w:rPr>
                <w:rFonts w:hint="eastAsia"/>
                <w:lang w:val="en-US" w:eastAsia="zh-CN"/>
              </w:rPr>
              <w:t>5</w:t>
            </w:r>
          </w:p>
        </w:tc>
        <w:tc>
          <w:tcPr>
            <w:tcW w:w="1777" w:type="dxa"/>
            <w:noWrap w:val="0"/>
            <w:vAlign w:val="center"/>
          </w:tcPr>
          <w:p w14:paraId="47916F3F">
            <w:pPr>
              <w:pStyle w:val="441"/>
              <w:rPr>
                <w:rFonts w:eastAsia="宋体"/>
                <w:lang w:val="en-US" w:eastAsia="zh-CN"/>
              </w:rPr>
            </w:pPr>
            <w:r>
              <w:rPr>
                <w:rFonts w:hint="eastAsia"/>
                <w:lang w:val="en-US" w:eastAsia="zh-CN"/>
              </w:rPr>
              <w:t>9.97</w:t>
            </w:r>
            <w:r>
              <w:rPr>
                <w:rFonts w:hint="eastAsia"/>
              </w:rPr>
              <w:t>E-</w:t>
            </w:r>
            <w:r>
              <w:rPr>
                <w:rFonts w:hint="eastAsia"/>
                <w:lang w:val="en-US" w:eastAsia="zh-CN"/>
              </w:rPr>
              <w:t>11</w:t>
            </w:r>
          </w:p>
        </w:tc>
      </w:tr>
      <w:tr w14:paraId="3EA6B9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10C65072">
            <w:pPr>
              <w:pStyle w:val="441"/>
              <w:rPr>
                <w:rFonts w:hint="eastAsia"/>
              </w:rPr>
            </w:pPr>
            <w:r>
              <w:rPr>
                <w:rFonts w:hint="eastAsia"/>
              </w:rPr>
              <w:t>150</w:t>
            </w:r>
          </w:p>
        </w:tc>
        <w:tc>
          <w:tcPr>
            <w:tcW w:w="1718" w:type="dxa"/>
            <w:noWrap w:val="0"/>
            <w:vAlign w:val="center"/>
          </w:tcPr>
          <w:p w14:paraId="34D6E00B">
            <w:pPr>
              <w:pStyle w:val="441"/>
              <w:rPr>
                <w:rFonts w:hint="eastAsia"/>
              </w:rPr>
            </w:pPr>
            <w:r>
              <w:rPr>
                <w:rFonts w:hint="eastAsia"/>
              </w:rPr>
              <w:t>0</w:t>
            </w:r>
          </w:p>
        </w:tc>
        <w:tc>
          <w:tcPr>
            <w:tcW w:w="1851" w:type="dxa"/>
            <w:noWrap w:val="0"/>
            <w:vAlign w:val="center"/>
          </w:tcPr>
          <w:p w14:paraId="1D913DB1">
            <w:pPr>
              <w:pStyle w:val="441"/>
              <w:rPr>
                <w:rFonts w:hint="eastAsia"/>
              </w:rPr>
            </w:pPr>
            <w:r>
              <w:rPr>
                <w:rFonts w:hint="eastAsia"/>
                <w:lang w:val="en-US" w:eastAsia="zh-CN"/>
              </w:rPr>
              <w:t>6.58</w:t>
            </w:r>
            <w:r>
              <w:rPr>
                <w:rFonts w:hint="eastAsia"/>
              </w:rPr>
              <w:t>E+0</w:t>
            </w:r>
            <w:r>
              <w:rPr>
                <w:rFonts w:hint="eastAsia"/>
                <w:lang w:val="en-US" w:eastAsia="zh-CN"/>
              </w:rPr>
              <w:t>4</w:t>
            </w:r>
          </w:p>
        </w:tc>
        <w:tc>
          <w:tcPr>
            <w:tcW w:w="1777" w:type="dxa"/>
            <w:noWrap w:val="0"/>
            <w:vAlign w:val="center"/>
          </w:tcPr>
          <w:p w14:paraId="43E05E92">
            <w:pPr>
              <w:pStyle w:val="441"/>
              <w:rPr>
                <w:rFonts w:hint="eastAsia" w:eastAsia="宋体"/>
                <w:lang w:eastAsia="zh-CN"/>
              </w:rPr>
            </w:pPr>
            <w:r>
              <w:rPr>
                <w:rFonts w:hint="eastAsia"/>
                <w:lang w:val="en-US" w:eastAsia="zh-CN"/>
              </w:rPr>
              <w:t>7.33</w:t>
            </w:r>
            <w:r>
              <w:rPr>
                <w:rFonts w:hint="eastAsia"/>
              </w:rPr>
              <w:t>E-0</w:t>
            </w:r>
            <w:r>
              <w:rPr>
                <w:rFonts w:hint="eastAsia"/>
                <w:lang w:val="en-US" w:eastAsia="zh-CN"/>
              </w:rPr>
              <w:t>9</w:t>
            </w:r>
          </w:p>
        </w:tc>
      </w:tr>
      <w:tr w14:paraId="429F11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211613DC">
            <w:pPr>
              <w:pStyle w:val="441"/>
              <w:rPr>
                <w:rFonts w:eastAsia="宋体"/>
                <w:lang w:val="en-US" w:eastAsia="zh-CN"/>
              </w:rPr>
            </w:pPr>
            <w:r>
              <w:rPr>
                <w:rFonts w:hint="eastAsia"/>
                <w:lang w:val="en-US" w:eastAsia="zh-CN"/>
              </w:rPr>
              <w:t>200</w:t>
            </w:r>
          </w:p>
        </w:tc>
        <w:tc>
          <w:tcPr>
            <w:tcW w:w="1718" w:type="dxa"/>
            <w:noWrap w:val="0"/>
            <w:vAlign w:val="center"/>
          </w:tcPr>
          <w:p w14:paraId="7B0081D6">
            <w:pPr>
              <w:pStyle w:val="441"/>
            </w:pPr>
            <w:r>
              <w:t>0</w:t>
            </w:r>
          </w:p>
        </w:tc>
        <w:tc>
          <w:tcPr>
            <w:tcW w:w="1851" w:type="dxa"/>
            <w:noWrap w:val="0"/>
            <w:vAlign w:val="center"/>
          </w:tcPr>
          <w:p w14:paraId="00A7FE4B">
            <w:pPr>
              <w:pStyle w:val="441"/>
              <w:rPr>
                <w:rFonts w:hint="eastAsia"/>
              </w:rPr>
            </w:pPr>
            <w:r>
              <w:rPr>
                <w:rFonts w:hint="eastAsia"/>
                <w:lang w:val="en-US" w:eastAsia="zh-CN"/>
              </w:rPr>
              <w:t>5.24</w:t>
            </w:r>
            <w:r>
              <w:rPr>
                <w:rFonts w:hint="eastAsia"/>
              </w:rPr>
              <w:t>E+0</w:t>
            </w:r>
            <w:r>
              <w:rPr>
                <w:rFonts w:hint="eastAsia"/>
                <w:lang w:val="en-US" w:eastAsia="zh-CN"/>
              </w:rPr>
              <w:t>2</w:t>
            </w:r>
          </w:p>
        </w:tc>
        <w:tc>
          <w:tcPr>
            <w:tcW w:w="1777" w:type="dxa"/>
            <w:noWrap w:val="0"/>
            <w:vAlign w:val="center"/>
          </w:tcPr>
          <w:p w14:paraId="74536BF8">
            <w:pPr>
              <w:pStyle w:val="441"/>
            </w:pPr>
            <w:r>
              <w:rPr>
                <w:rFonts w:hint="eastAsia"/>
                <w:lang w:val="en-US" w:eastAsia="zh-CN"/>
              </w:rPr>
              <w:t>4.07</w:t>
            </w:r>
            <w:r>
              <w:rPr>
                <w:rFonts w:hint="eastAsia"/>
              </w:rPr>
              <w:t>E-07</w:t>
            </w:r>
          </w:p>
        </w:tc>
      </w:tr>
      <w:tr w14:paraId="055C1B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79D27EE8">
            <w:pPr>
              <w:pStyle w:val="441"/>
              <w:rPr>
                <w:rFonts w:eastAsia="宋体"/>
                <w:lang w:val="en-US" w:eastAsia="zh-CN"/>
              </w:rPr>
            </w:pPr>
            <w:r>
              <w:rPr>
                <w:rFonts w:hint="eastAsia"/>
                <w:lang w:val="en-US" w:eastAsia="zh-CN"/>
              </w:rPr>
              <w:t>250</w:t>
            </w:r>
          </w:p>
        </w:tc>
        <w:tc>
          <w:tcPr>
            <w:tcW w:w="1718" w:type="dxa"/>
            <w:noWrap w:val="0"/>
            <w:vAlign w:val="center"/>
          </w:tcPr>
          <w:p w14:paraId="0CC3719C">
            <w:pPr>
              <w:pStyle w:val="441"/>
              <w:rPr>
                <w:rFonts w:hint="eastAsia"/>
              </w:rPr>
            </w:pPr>
            <w:r>
              <w:rPr>
                <w:rFonts w:hint="eastAsia"/>
              </w:rPr>
              <w:t>0</w:t>
            </w:r>
          </w:p>
        </w:tc>
        <w:tc>
          <w:tcPr>
            <w:tcW w:w="1851" w:type="dxa"/>
            <w:noWrap w:val="0"/>
            <w:vAlign w:val="center"/>
          </w:tcPr>
          <w:p w14:paraId="23C7302A">
            <w:pPr>
              <w:pStyle w:val="441"/>
              <w:rPr>
                <w:rFonts w:eastAsia="宋体"/>
                <w:lang w:val="en-US" w:eastAsia="zh-CN"/>
              </w:rPr>
            </w:pPr>
            <w:r>
              <w:rPr>
                <w:rFonts w:hint="eastAsia"/>
                <w:lang w:val="en-US" w:eastAsia="zh-CN"/>
              </w:rPr>
              <w:t>25.2</w:t>
            </w:r>
            <w:r>
              <w:rPr>
                <w:rFonts w:hint="eastAsia"/>
              </w:rPr>
              <w:t>E-</w:t>
            </w:r>
            <w:r>
              <w:rPr>
                <w:rFonts w:hint="eastAsia"/>
                <w:lang w:val="en-US" w:eastAsia="zh-CN"/>
              </w:rPr>
              <w:t>01</w:t>
            </w:r>
          </w:p>
        </w:tc>
        <w:tc>
          <w:tcPr>
            <w:tcW w:w="1777" w:type="dxa"/>
            <w:noWrap w:val="0"/>
            <w:vAlign w:val="center"/>
          </w:tcPr>
          <w:p w14:paraId="543C9D48">
            <w:pPr>
              <w:pStyle w:val="441"/>
            </w:pPr>
            <w:r>
              <w:rPr>
                <w:rFonts w:hint="eastAsia"/>
                <w:lang w:val="en-US" w:eastAsia="zh-CN"/>
              </w:rPr>
              <w:t>1.71</w:t>
            </w:r>
            <w:r>
              <w:rPr>
                <w:rFonts w:hint="eastAsia"/>
              </w:rPr>
              <w:t>E-</w:t>
            </w:r>
            <w:r>
              <w:rPr>
                <w:rFonts w:hint="eastAsia"/>
                <w:lang w:val="en-US" w:eastAsia="zh-CN"/>
              </w:rPr>
              <w:t>05</w:t>
            </w:r>
          </w:p>
        </w:tc>
      </w:tr>
      <w:tr w14:paraId="59476D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5491A422">
            <w:pPr>
              <w:pStyle w:val="441"/>
              <w:rPr>
                <w:rFonts w:eastAsia="宋体"/>
                <w:lang w:val="en-US" w:eastAsia="zh-CN"/>
              </w:rPr>
            </w:pPr>
            <w:r>
              <w:rPr>
                <w:rFonts w:hint="eastAsia"/>
                <w:lang w:val="en-US" w:eastAsia="zh-CN"/>
              </w:rPr>
              <w:t>300</w:t>
            </w:r>
          </w:p>
        </w:tc>
        <w:tc>
          <w:tcPr>
            <w:tcW w:w="1718" w:type="dxa"/>
            <w:noWrap w:val="0"/>
            <w:vAlign w:val="center"/>
          </w:tcPr>
          <w:p w14:paraId="7DCB316A">
            <w:pPr>
              <w:pStyle w:val="441"/>
              <w:rPr>
                <w:rFonts w:hint="eastAsia"/>
              </w:rPr>
            </w:pPr>
            <w:r>
              <w:rPr>
                <w:rFonts w:hint="eastAsia"/>
              </w:rPr>
              <w:t>0</w:t>
            </w:r>
          </w:p>
        </w:tc>
        <w:tc>
          <w:tcPr>
            <w:tcW w:w="1851" w:type="dxa"/>
            <w:noWrap w:val="0"/>
            <w:vAlign w:val="center"/>
          </w:tcPr>
          <w:p w14:paraId="21FD6CB9">
            <w:pPr>
              <w:pStyle w:val="441"/>
              <w:rPr>
                <w:rFonts w:eastAsia="宋体"/>
                <w:lang w:val="en-US" w:eastAsia="zh-CN"/>
              </w:rPr>
            </w:pPr>
            <w:r>
              <w:rPr>
                <w:rFonts w:hint="eastAsia"/>
                <w:lang w:val="en-US" w:eastAsia="zh-CN"/>
              </w:rPr>
              <w:t>7.30</w:t>
            </w:r>
            <w:r>
              <w:rPr>
                <w:rFonts w:hint="eastAsia"/>
              </w:rPr>
              <w:t>E-</w:t>
            </w:r>
            <w:r>
              <w:rPr>
                <w:rFonts w:hint="eastAsia"/>
                <w:lang w:val="en-US" w:eastAsia="zh-CN"/>
              </w:rPr>
              <w:t>06</w:t>
            </w:r>
          </w:p>
        </w:tc>
        <w:tc>
          <w:tcPr>
            <w:tcW w:w="1777" w:type="dxa"/>
            <w:noWrap w:val="0"/>
            <w:vAlign w:val="center"/>
          </w:tcPr>
          <w:p w14:paraId="0733AEC3">
            <w:pPr>
              <w:pStyle w:val="441"/>
              <w:rPr>
                <w:rFonts w:eastAsia="宋体"/>
                <w:lang w:val="en-US" w:eastAsia="zh-CN"/>
              </w:rPr>
            </w:pPr>
            <w:r>
              <w:rPr>
                <w:rFonts w:hint="eastAsia"/>
                <w:lang w:val="en-US" w:eastAsia="zh-CN"/>
              </w:rPr>
              <w:t>5.40</w:t>
            </w:r>
            <w:r>
              <w:rPr>
                <w:rFonts w:hint="eastAsia"/>
              </w:rPr>
              <w:t>E-</w:t>
            </w:r>
            <w:r>
              <w:rPr>
                <w:rFonts w:hint="eastAsia"/>
                <w:lang w:val="en-US" w:eastAsia="zh-CN"/>
              </w:rPr>
              <w:t>04</w:t>
            </w:r>
          </w:p>
        </w:tc>
      </w:tr>
      <w:tr w14:paraId="2F0A1D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5D168928">
            <w:pPr>
              <w:pStyle w:val="441"/>
              <w:rPr>
                <w:lang w:val="en-US" w:eastAsia="zh-CN"/>
              </w:rPr>
            </w:pPr>
            <w:r>
              <w:rPr>
                <w:rFonts w:hint="eastAsia"/>
                <w:lang w:val="en-US" w:eastAsia="zh-CN"/>
              </w:rPr>
              <w:t>350</w:t>
            </w:r>
          </w:p>
        </w:tc>
        <w:tc>
          <w:tcPr>
            <w:tcW w:w="1718" w:type="dxa"/>
            <w:noWrap w:val="0"/>
            <w:vAlign w:val="center"/>
          </w:tcPr>
          <w:p w14:paraId="77A6F789">
            <w:pPr>
              <w:pStyle w:val="441"/>
              <w:rPr>
                <w:rFonts w:hint="eastAsia" w:eastAsia="宋体"/>
                <w:lang w:val="en-US" w:eastAsia="zh-CN"/>
              </w:rPr>
            </w:pPr>
            <w:r>
              <w:rPr>
                <w:rFonts w:hint="eastAsia"/>
                <w:lang w:val="en-US" w:eastAsia="zh-CN"/>
              </w:rPr>
              <w:t>0</w:t>
            </w:r>
          </w:p>
        </w:tc>
        <w:tc>
          <w:tcPr>
            <w:tcW w:w="1851" w:type="dxa"/>
            <w:noWrap w:val="0"/>
            <w:vAlign w:val="center"/>
          </w:tcPr>
          <w:p w14:paraId="3377A70A">
            <w:pPr>
              <w:pStyle w:val="441"/>
              <w:rPr>
                <w:rFonts w:eastAsia="宋体"/>
                <w:lang w:val="en-US" w:eastAsia="zh-CN"/>
              </w:rPr>
            </w:pPr>
            <w:r>
              <w:rPr>
                <w:rFonts w:hint="eastAsia"/>
                <w:lang w:val="en-US" w:eastAsia="zh-CN"/>
              </w:rPr>
              <w:t>1.27</w:t>
            </w:r>
            <w:r>
              <w:rPr>
                <w:rFonts w:hint="eastAsia"/>
              </w:rPr>
              <w:t>E-</w:t>
            </w:r>
            <w:r>
              <w:rPr>
                <w:rFonts w:hint="eastAsia"/>
                <w:lang w:val="en-US" w:eastAsia="zh-CN"/>
              </w:rPr>
              <w:t>11</w:t>
            </w:r>
          </w:p>
        </w:tc>
        <w:tc>
          <w:tcPr>
            <w:tcW w:w="1777" w:type="dxa"/>
            <w:noWrap w:val="0"/>
            <w:vAlign w:val="center"/>
          </w:tcPr>
          <w:p w14:paraId="29E259AF">
            <w:pPr>
              <w:pStyle w:val="441"/>
              <w:rPr>
                <w:rFonts w:hint="eastAsia"/>
              </w:rPr>
            </w:pPr>
            <w:r>
              <w:rPr>
                <w:rFonts w:hint="eastAsia"/>
                <w:lang w:val="en-US" w:eastAsia="zh-CN"/>
              </w:rPr>
              <w:t>1.29</w:t>
            </w:r>
            <w:r>
              <w:rPr>
                <w:rFonts w:hint="eastAsia"/>
              </w:rPr>
              <w:t>E-</w:t>
            </w:r>
            <w:r>
              <w:rPr>
                <w:rFonts w:hint="eastAsia"/>
                <w:lang w:val="en-US" w:eastAsia="zh-CN"/>
              </w:rPr>
              <w:t>02</w:t>
            </w:r>
          </w:p>
        </w:tc>
      </w:tr>
      <w:tr w14:paraId="6DA3EC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557C4A58">
            <w:pPr>
              <w:pStyle w:val="441"/>
              <w:rPr>
                <w:rFonts w:eastAsia="宋体"/>
                <w:lang w:val="en-US" w:eastAsia="zh-CN"/>
              </w:rPr>
            </w:pPr>
            <w:r>
              <w:rPr>
                <w:rFonts w:hint="eastAsia"/>
                <w:lang w:val="en-US" w:eastAsia="zh-CN"/>
              </w:rPr>
              <w:t>400</w:t>
            </w:r>
          </w:p>
        </w:tc>
        <w:tc>
          <w:tcPr>
            <w:tcW w:w="1718" w:type="dxa"/>
            <w:noWrap w:val="0"/>
            <w:vAlign w:val="center"/>
          </w:tcPr>
          <w:p w14:paraId="1C77D2D6">
            <w:pPr>
              <w:pStyle w:val="441"/>
              <w:rPr>
                <w:rFonts w:eastAsia="宋体"/>
                <w:lang w:val="en-US" w:eastAsia="zh-CN"/>
              </w:rPr>
            </w:pPr>
            <w:r>
              <w:rPr>
                <w:rFonts w:hint="eastAsia"/>
                <w:lang w:val="en-US" w:eastAsia="zh-CN"/>
              </w:rPr>
              <w:t>0</w:t>
            </w:r>
          </w:p>
        </w:tc>
        <w:tc>
          <w:tcPr>
            <w:tcW w:w="1851" w:type="dxa"/>
            <w:noWrap w:val="0"/>
            <w:vAlign w:val="center"/>
          </w:tcPr>
          <w:p w14:paraId="1A978C87">
            <w:pPr>
              <w:pStyle w:val="441"/>
              <w:rPr>
                <w:rFonts w:hint="eastAsia"/>
              </w:rPr>
            </w:pPr>
            <w:r>
              <w:rPr>
                <w:rFonts w:hint="eastAsia"/>
                <w:lang w:val="en-US" w:eastAsia="zh-CN"/>
              </w:rPr>
              <w:t>1.34</w:t>
            </w:r>
            <w:r>
              <w:rPr>
                <w:rFonts w:hint="eastAsia"/>
              </w:rPr>
              <w:t>E-</w:t>
            </w:r>
            <w:r>
              <w:rPr>
                <w:rFonts w:hint="eastAsia"/>
                <w:lang w:val="en-US" w:eastAsia="zh-CN"/>
              </w:rPr>
              <w:t>18</w:t>
            </w:r>
          </w:p>
        </w:tc>
        <w:tc>
          <w:tcPr>
            <w:tcW w:w="1777" w:type="dxa"/>
            <w:noWrap w:val="0"/>
            <w:vAlign w:val="center"/>
          </w:tcPr>
          <w:p w14:paraId="4A264FFE">
            <w:pPr>
              <w:pStyle w:val="441"/>
              <w:rPr>
                <w:rFonts w:hint="eastAsia"/>
              </w:rPr>
            </w:pPr>
            <w:r>
              <w:rPr>
                <w:rFonts w:hint="eastAsia"/>
                <w:lang w:val="en-US" w:eastAsia="zh-CN"/>
              </w:rPr>
              <w:t>2.33E</w:t>
            </w:r>
            <w:r>
              <w:rPr>
                <w:rFonts w:hint="eastAsia"/>
              </w:rPr>
              <w:t>-</w:t>
            </w:r>
            <w:r>
              <w:rPr>
                <w:rFonts w:hint="eastAsia"/>
                <w:lang w:val="en-US" w:eastAsia="zh-CN"/>
              </w:rPr>
              <w:t>01</w:t>
            </w:r>
          </w:p>
        </w:tc>
      </w:tr>
      <w:tr w14:paraId="096188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22CDCF39">
            <w:pPr>
              <w:pStyle w:val="441"/>
              <w:rPr>
                <w:rFonts w:eastAsia="宋体"/>
                <w:lang w:val="en-US" w:eastAsia="zh-CN"/>
              </w:rPr>
            </w:pPr>
            <w:r>
              <w:rPr>
                <w:rFonts w:hint="eastAsia"/>
                <w:lang w:val="en-US" w:eastAsia="zh-CN"/>
              </w:rPr>
              <w:t>450</w:t>
            </w:r>
          </w:p>
        </w:tc>
        <w:tc>
          <w:tcPr>
            <w:tcW w:w="1718" w:type="dxa"/>
            <w:noWrap w:val="0"/>
            <w:vAlign w:val="center"/>
          </w:tcPr>
          <w:p w14:paraId="00B4512D">
            <w:pPr>
              <w:pStyle w:val="441"/>
              <w:rPr>
                <w:rFonts w:hint="eastAsia" w:eastAsia="宋体"/>
                <w:lang w:val="en-US" w:eastAsia="zh-CN"/>
              </w:rPr>
            </w:pPr>
            <w:r>
              <w:rPr>
                <w:rFonts w:hint="eastAsia"/>
                <w:lang w:val="en-US" w:eastAsia="zh-CN"/>
              </w:rPr>
              <w:t>0</w:t>
            </w:r>
          </w:p>
        </w:tc>
        <w:tc>
          <w:tcPr>
            <w:tcW w:w="1851" w:type="dxa"/>
            <w:noWrap w:val="0"/>
            <w:vAlign w:val="center"/>
          </w:tcPr>
          <w:p w14:paraId="6D2F7952">
            <w:pPr>
              <w:pStyle w:val="441"/>
              <w:rPr>
                <w:lang w:val="en-US"/>
              </w:rPr>
            </w:pPr>
            <w:r>
              <w:rPr>
                <w:rFonts w:hint="eastAsia"/>
                <w:lang w:val="en-US" w:eastAsia="zh-CN"/>
              </w:rPr>
              <w:t>8.5</w:t>
            </w:r>
            <w:r>
              <w:rPr>
                <w:rFonts w:hint="eastAsia"/>
              </w:rPr>
              <w:t>E-</w:t>
            </w:r>
            <w:r>
              <w:rPr>
                <w:rFonts w:hint="eastAsia"/>
                <w:lang w:val="en-US" w:eastAsia="zh-CN"/>
              </w:rPr>
              <w:t>27</w:t>
            </w:r>
          </w:p>
        </w:tc>
        <w:tc>
          <w:tcPr>
            <w:tcW w:w="1777" w:type="dxa"/>
            <w:noWrap w:val="0"/>
            <w:vAlign w:val="center"/>
          </w:tcPr>
          <w:p w14:paraId="1881F9B6">
            <w:pPr>
              <w:pStyle w:val="441"/>
              <w:rPr>
                <w:rFonts w:hint="eastAsia"/>
              </w:rPr>
            </w:pPr>
            <w:r>
              <w:rPr>
                <w:rFonts w:hint="eastAsia"/>
                <w:lang w:val="en-US" w:eastAsia="zh-CN"/>
              </w:rPr>
              <w:t>3.18</w:t>
            </w:r>
            <w:r>
              <w:rPr>
                <w:rFonts w:hint="eastAsia"/>
              </w:rPr>
              <w:t>E+</w:t>
            </w:r>
            <w:r>
              <w:rPr>
                <w:rFonts w:hint="eastAsia"/>
                <w:lang w:val="en-US" w:eastAsia="zh-CN"/>
              </w:rPr>
              <w:t>00</w:t>
            </w:r>
          </w:p>
        </w:tc>
      </w:tr>
      <w:tr w14:paraId="1381DD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592" w:type="dxa"/>
            <w:noWrap w:val="0"/>
            <w:vAlign w:val="center"/>
          </w:tcPr>
          <w:p w14:paraId="79B41C3B">
            <w:pPr>
              <w:pStyle w:val="441"/>
              <w:rPr>
                <w:rFonts w:eastAsia="宋体"/>
                <w:lang w:val="en-US" w:eastAsia="zh-CN"/>
              </w:rPr>
            </w:pPr>
            <w:r>
              <w:rPr>
                <w:rFonts w:hint="eastAsia"/>
                <w:lang w:val="en-US" w:eastAsia="zh-CN"/>
              </w:rPr>
              <w:t>500</w:t>
            </w:r>
          </w:p>
        </w:tc>
        <w:tc>
          <w:tcPr>
            <w:tcW w:w="1718" w:type="dxa"/>
            <w:noWrap w:val="0"/>
            <w:vAlign w:val="center"/>
          </w:tcPr>
          <w:p w14:paraId="1F897B21">
            <w:pPr>
              <w:pStyle w:val="441"/>
              <w:rPr>
                <w:rFonts w:hint="eastAsia" w:eastAsia="宋体"/>
                <w:lang w:val="en-US" w:eastAsia="zh-CN"/>
              </w:rPr>
            </w:pPr>
            <w:r>
              <w:rPr>
                <w:rFonts w:hint="eastAsia"/>
                <w:lang w:val="en-US" w:eastAsia="zh-CN"/>
              </w:rPr>
              <w:t>0</w:t>
            </w:r>
          </w:p>
        </w:tc>
        <w:tc>
          <w:tcPr>
            <w:tcW w:w="1851" w:type="dxa"/>
            <w:noWrap w:val="0"/>
            <w:vAlign w:val="center"/>
          </w:tcPr>
          <w:p w14:paraId="2634A6BB">
            <w:pPr>
              <w:pStyle w:val="441"/>
              <w:rPr>
                <w:rFonts w:eastAsia="宋体"/>
                <w:lang w:val="en-US" w:eastAsia="zh-CN"/>
              </w:rPr>
            </w:pPr>
            <w:r>
              <w:rPr>
                <w:rFonts w:hint="eastAsia"/>
                <w:lang w:val="en-US" w:eastAsia="zh-CN"/>
              </w:rPr>
              <w:t>3.25</w:t>
            </w:r>
            <w:r>
              <w:rPr>
                <w:rFonts w:hint="eastAsia"/>
              </w:rPr>
              <w:t>E-</w:t>
            </w:r>
            <w:r>
              <w:rPr>
                <w:rFonts w:hint="eastAsia"/>
                <w:lang w:val="en-US" w:eastAsia="zh-CN"/>
              </w:rPr>
              <w:t>36</w:t>
            </w:r>
          </w:p>
        </w:tc>
        <w:tc>
          <w:tcPr>
            <w:tcW w:w="1777" w:type="dxa"/>
            <w:noWrap w:val="0"/>
            <w:vAlign w:val="center"/>
          </w:tcPr>
          <w:p w14:paraId="0FE71E4B">
            <w:pPr>
              <w:pStyle w:val="441"/>
              <w:rPr>
                <w:lang w:val="en-US"/>
              </w:rPr>
            </w:pPr>
            <w:r>
              <w:rPr>
                <w:rFonts w:hint="eastAsia"/>
                <w:lang w:val="en-US" w:eastAsia="zh-CN"/>
              </w:rPr>
              <w:t>3.27</w:t>
            </w:r>
            <w:r>
              <w:rPr>
                <w:rFonts w:hint="eastAsia"/>
              </w:rPr>
              <w:t>E+</w:t>
            </w:r>
            <w:r>
              <w:rPr>
                <w:rFonts w:hint="eastAsia"/>
                <w:lang w:val="en-US" w:eastAsia="zh-CN"/>
              </w:rPr>
              <w:t>01</w:t>
            </w:r>
          </w:p>
        </w:tc>
      </w:tr>
    </w:tbl>
    <w:p w14:paraId="4CF8FDB7">
      <w:pPr>
        <w:ind w:firstLine="480"/>
        <w:rPr>
          <w:szCs w:val="22"/>
        </w:rPr>
      </w:pPr>
      <w:r>
        <w:rPr>
          <w:rFonts w:hint="eastAsia" w:hAnsi="宋体"/>
        </w:rPr>
        <w:t>根据预测结果可知：</w:t>
      </w:r>
      <w:r>
        <w:rPr>
          <w:rFonts w:hint="eastAsia" w:hAnsi="宋体"/>
          <w:bCs/>
        </w:rPr>
        <w:t>厂区生产废水</w:t>
      </w:r>
      <w:r>
        <w:rPr>
          <w:rFonts w:hint="eastAsia"/>
        </w:rPr>
        <w:t>沉淀池在非正常排放工况下发生泄漏下渗时</w:t>
      </w:r>
      <w:r>
        <w:rPr>
          <w:rFonts w:hint="eastAsia"/>
          <w:szCs w:val="24"/>
        </w:rPr>
        <w:t>，</w:t>
      </w:r>
      <w:r>
        <w:rPr>
          <w:rFonts w:hint="eastAsia"/>
        </w:rPr>
        <w:t>当下渗1</w:t>
      </w:r>
      <w:r>
        <w:t xml:space="preserve">d </w:t>
      </w:r>
      <w:r>
        <w:rPr>
          <w:rFonts w:hint="eastAsia"/>
        </w:rPr>
        <w:t>时</w:t>
      </w:r>
      <w:r>
        <w:rPr>
          <w:bCs/>
        </w:rPr>
        <w:t>COD</w:t>
      </w:r>
      <w:r>
        <w:rPr>
          <w:bCs/>
          <w:vertAlign w:val="subscript"/>
        </w:rPr>
        <w:t>Mn</w:t>
      </w:r>
      <w:r>
        <w:rPr>
          <w:rFonts w:hint="eastAsia"/>
        </w:rPr>
        <w:t>下游最大迁移距离约</w:t>
      </w:r>
      <w:r>
        <w:rPr>
          <w:rFonts w:hint="eastAsia"/>
          <w:lang w:val="en-US" w:eastAsia="zh-CN"/>
        </w:rPr>
        <w:t>17</w:t>
      </w:r>
      <w:r>
        <w:t>m</w:t>
      </w:r>
      <w:r>
        <w:rPr>
          <w:rFonts w:hint="eastAsia"/>
        </w:rPr>
        <w:t>，下游在</w:t>
      </w:r>
      <w:r>
        <w:rPr>
          <w:rFonts w:hint="eastAsia"/>
          <w:lang w:val="en-US" w:eastAsia="zh-CN"/>
        </w:rPr>
        <w:t>17</w:t>
      </w:r>
      <w:r>
        <w:t>m</w:t>
      </w:r>
      <w:r>
        <w:rPr>
          <w:rFonts w:hint="eastAsia"/>
        </w:rPr>
        <w:t>及更远距离预测值达到地下水Ⅲ类标准要求；当下渗</w:t>
      </w:r>
      <w:r>
        <w:t xml:space="preserve">100d </w:t>
      </w:r>
      <w:r>
        <w:rPr>
          <w:rFonts w:hint="eastAsia"/>
        </w:rPr>
        <w:t>时下游最大迁移距离约</w:t>
      </w:r>
      <w:r>
        <w:rPr>
          <w:rFonts w:hint="eastAsia"/>
          <w:lang w:val="en-US" w:eastAsia="zh-CN"/>
        </w:rPr>
        <w:t>242</w:t>
      </w:r>
      <w:r>
        <w:t>m</w:t>
      </w:r>
      <w:r>
        <w:rPr>
          <w:rFonts w:hint="eastAsia"/>
        </w:rPr>
        <w:t>，下游在</w:t>
      </w:r>
      <w:r>
        <w:rPr>
          <w:rFonts w:hint="eastAsia"/>
          <w:lang w:val="en-US" w:eastAsia="zh-CN"/>
        </w:rPr>
        <w:t>255</w:t>
      </w:r>
      <w:r>
        <w:t xml:space="preserve">m </w:t>
      </w:r>
      <w:r>
        <w:rPr>
          <w:rFonts w:hint="eastAsia"/>
        </w:rPr>
        <w:t>及更远距离预测值达到地下水Ⅲ类标准要求；当下渗1000</w:t>
      </w:r>
      <w:r>
        <w:t xml:space="preserve">d </w:t>
      </w:r>
      <w:r>
        <w:rPr>
          <w:rFonts w:hint="eastAsia"/>
        </w:rPr>
        <w:t>时，下游最大迁移距离约</w:t>
      </w:r>
      <w:r>
        <w:rPr>
          <w:rFonts w:hint="eastAsia"/>
          <w:lang w:val="en-US" w:eastAsia="zh-CN"/>
        </w:rPr>
        <w:t>1354</w:t>
      </w:r>
      <w:r>
        <w:t>m</w:t>
      </w:r>
      <w:r>
        <w:rPr>
          <w:rFonts w:hint="eastAsia"/>
        </w:rPr>
        <w:t>，下游在</w:t>
      </w:r>
      <w:r>
        <w:rPr>
          <w:rFonts w:hint="eastAsia"/>
          <w:lang w:val="en-US" w:eastAsia="zh-CN"/>
        </w:rPr>
        <w:t>1395</w:t>
      </w:r>
      <w:r>
        <w:t xml:space="preserve">m </w:t>
      </w:r>
      <w:r>
        <w:rPr>
          <w:rFonts w:hint="eastAsia"/>
        </w:rPr>
        <w:t>及更远距离预测值达到地下水Ⅲ类标准要求。</w:t>
      </w:r>
      <w:r>
        <w:rPr>
          <w:bCs/>
        </w:rPr>
        <w:t xml:space="preserve"> </w:t>
      </w:r>
    </w:p>
    <w:p w14:paraId="0CDC8CE5">
      <w:pPr>
        <w:ind w:firstLine="480"/>
        <w:rPr>
          <w:rFonts w:hint="eastAsia"/>
          <w:color w:val="000000"/>
          <w:szCs w:val="24"/>
        </w:rPr>
      </w:pPr>
      <w:r>
        <w:rPr>
          <w:rFonts w:hint="eastAsia"/>
          <w:szCs w:val="24"/>
        </w:rPr>
        <w:t>根据以上预测结果，说明</w:t>
      </w:r>
      <w:r>
        <w:rPr>
          <w:rFonts w:hint="eastAsia"/>
          <w:szCs w:val="24"/>
          <w:lang w:val="en-US" w:eastAsia="zh-CN"/>
        </w:rPr>
        <w:t>当甲醛储</w:t>
      </w:r>
      <w:r>
        <w:rPr>
          <w:rFonts w:hint="eastAsia"/>
          <w:color w:val="000000"/>
          <w:szCs w:val="24"/>
          <w:lang w:val="en-US" w:eastAsia="zh-CN"/>
        </w:rPr>
        <w:t>罐渗漏</w:t>
      </w:r>
      <w:r>
        <w:rPr>
          <w:rFonts w:hint="eastAsia"/>
          <w:color w:val="000000"/>
          <w:szCs w:val="24"/>
        </w:rPr>
        <w:t>，长期会对局部地下水环境质量造成不良影响，需要采区相应防治措施。另外，评价区域周边居民全部使用自来水作为饮用水源，因此，厂址区污染物泄露不存在对周边居民饮用水水源的影响。</w:t>
      </w:r>
      <w:r>
        <w:rPr>
          <w:rFonts w:hint="eastAsia"/>
          <w:szCs w:val="24"/>
        </w:rPr>
        <w:t>故在对生</w:t>
      </w:r>
      <w:r>
        <w:rPr>
          <w:rFonts w:hint="eastAsia"/>
          <w:color w:val="000000"/>
          <w:szCs w:val="24"/>
        </w:rPr>
        <w:t>产区采取防渗措施后，本工程废水不会对敏感点地下水环境产生影响。</w:t>
      </w:r>
    </w:p>
    <w:p w14:paraId="439C5A78">
      <w:pPr>
        <w:pStyle w:val="282"/>
        <w:rPr>
          <w:rFonts w:hint="eastAsia" w:eastAsia="黑体"/>
          <w:color w:val="000000"/>
          <w:lang w:eastAsia="zh-CN"/>
        </w:rPr>
      </w:pPr>
      <w:r>
        <w:rPr>
          <w:rFonts w:hint="eastAsia"/>
          <w:color w:val="000000"/>
          <w:lang w:val="en-US" w:eastAsia="zh-CN"/>
        </w:rPr>
        <w:t>6</w:t>
      </w:r>
      <w:r>
        <w:rPr>
          <w:rFonts w:hint="eastAsia"/>
          <w:color w:val="000000"/>
        </w:rPr>
        <w:t>.2.3.</w:t>
      </w:r>
      <w:r>
        <w:rPr>
          <w:rFonts w:hint="eastAsia"/>
          <w:color w:val="000000"/>
          <w:lang w:val="en-US" w:eastAsia="zh-CN"/>
        </w:rPr>
        <w:t>5小结</w:t>
      </w:r>
    </w:p>
    <w:p w14:paraId="23969DC5">
      <w:pPr>
        <w:pStyle w:val="2"/>
        <w:ind w:firstLine="480"/>
        <w:rPr>
          <w:rFonts w:hint="eastAsia"/>
          <w:color w:val="000000"/>
          <w:sz w:val="24"/>
          <w:szCs w:val="24"/>
        </w:rPr>
      </w:pPr>
      <w:r>
        <w:rPr>
          <w:rFonts w:hint="eastAsia"/>
          <w:color w:val="000000"/>
          <w:sz w:val="24"/>
          <w:szCs w:val="24"/>
        </w:rPr>
        <w:t>项目具有完备的供水系统、循环水系统和污水处理系统。正常工况下，厂区生产水全部循环再利用不外排，不会对地下水造成影响。但在非正常工况或者事故状态下，如</w:t>
      </w:r>
      <w:r>
        <w:rPr>
          <w:rFonts w:hint="eastAsia"/>
          <w:color w:val="000000"/>
          <w:sz w:val="24"/>
          <w:szCs w:val="24"/>
          <w:lang w:val="en-US" w:eastAsia="zh-CN"/>
        </w:rPr>
        <w:t>甲醛储罐泄露</w:t>
      </w:r>
      <w:r>
        <w:rPr>
          <w:rFonts w:hint="eastAsia"/>
          <w:color w:val="000000"/>
          <w:sz w:val="24"/>
          <w:szCs w:val="24"/>
        </w:rPr>
        <w:t>等情况下，污染物和废水会渗入地下，对地下水造成污染。</w:t>
      </w:r>
    </w:p>
    <w:p w14:paraId="61E4A386">
      <w:pPr>
        <w:pStyle w:val="2"/>
        <w:ind w:firstLine="480"/>
        <w:rPr>
          <w:color w:val="000000"/>
          <w:sz w:val="24"/>
          <w:szCs w:val="24"/>
        </w:rPr>
      </w:pPr>
      <w:r>
        <w:rPr>
          <w:rFonts w:hint="eastAsia"/>
          <w:color w:val="000000"/>
          <w:sz w:val="24"/>
          <w:szCs w:val="24"/>
        </w:rPr>
        <w:t>针对非正常排放，项目区按照不同区域采取相应的防渗措施，在按分区防渗要求</w:t>
      </w:r>
      <w:r>
        <w:rPr>
          <w:color w:val="000000"/>
          <w:sz w:val="24"/>
          <w:szCs w:val="24"/>
        </w:rPr>
        <w:t>落实厂内不同区域的防渗措施；加强区域地下水监测的基础上，可以有效杜绝非正常事故的发生。正常工况下，项目实施区域地下水环境造成的不利影响较小。</w:t>
      </w:r>
    </w:p>
    <w:p w14:paraId="4C3EA294">
      <w:pPr>
        <w:pStyle w:val="188"/>
        <w:rPr>
          <w:rFonts w:hint="eastAsia"/>
        </w:rPr>
      </w:pPr>
      <w:r>
        <w:rPr>
          <w:rFonts w:hint="eastAsia"/>
          <w:lang w:val="en-US" w:eastAsia="zh-CN"/>
        </w:rPr>
        <w:t>6</w:t>
      </w:r>
      <w:r>
        <w:t>.</w:t>
      </w:r>
      <w:r>
        <w:rPr>
          <w:rFonts w:hint="eastAsia"/>
        </w:rPr>
        <w:t>2.</w:t>
      </w:r>
      <w:r>
        <w:t>4 声环境影响</w:t>
      </w:r>
      <w:r>
        <w:rPr>
          <w:rFonts w:hint="eastAsia"/>
        </w:rPr>
        <w:t>分析</w:t>
      </w:r>
    </w:p>
    <w:p w14:paraId="28DFA016">
      <w:pPr>
        <w:pStyle w:val="2"/>
        <w:ind w:firstLine="480"/>
        <w:rPr>
          <w:rFonts w:hint="eastAsia"/>
          <w:sz w:val="24"/>
          <w:szCs w:val="24"/>
        </w:rPr>
      </w:pPr>
      <w:r>
        <w:rPr>
          <w:rFonts w:hint="eastAsia"/>
          <w:sz w:val="24"/>
          <w:szCs w:val="24"/>
        </w:rPr>
        <w:t xml:space="preserve">本项目营运期噪声主要来源于汽车、生产机械设备的噪声。 </w:t>
      </w:r>
    </w:p>
    <w:p w14:paraId="0EF35F2C">
      <w:pPr>
        <w:pStyle w:val="282"/>
        <w:rPr>
          <w:rFonts w:hint="eastAsia"/>
        </w:rPr>
      </w:pPr>
      <w:r>
        <w:rPr>
          <w:rFonts w:hint="eastAsia"/>
          <w:lang w:val="en-US" w:eastAsia="zh-CN"/>
        </w:rPr>
        <w:t>6</w:t>
      </w:r>
      <w:r>
        <w:rPr>
          <w:rFonts w:hint="eastAsia"/>
        </w:rPr>
        <w:t>.2.4.1交通噪声影响分析</w:t>
      </w:r>
    </w:p>
    <w:p w14:paraId="6C23F25D">
      <w:pPr>
        <w:pStyle w:val="2"/>
        <w:ind w:firstLine="480"/>
        <w:rPr>
          <w:rFonts w:ascii="Times New Roman" w:hAnsi="Times New Roman" w:cs="Times New Roman"/>
          <w:sz w:val="24"/>
          <w:szCs w:val="24"/>
        </w:rPr>
      </w:pPr>
      <w:r>
        <w:rPr>
          <w:rFonts w:hint="eastAsia"/>
          <w:sz w:val="24"/>
          <w:szCs w:val="24"/>
        </w:rPr>
        <w:t>本项目运输车辆交通噪声级约</w:t>
      </w:r>
      <w:r>
        <w:rPr>
          <w:rFonts w:ascii="Times New Roman" w:hAnsi="Times New Roman" w:cs="Times New Roman"/>
          <w:sz w:val="24"/>
          <w:szCs w:val="24"/>
        </w:rPr>
        <w:t>为 60~75dB(A)，为了避免对沿线居民点造成交通噪声影响，鉴于此，</w:t>
      </w:r>
      <w:bookmarkStart w:id="161" w:name="_Hlk1393639"/>
      <w:r>
        <w:rPr>
          <w:rFonts w:ascii="Times New Roman" w:hAnsi="Times New Roman" w:cs="Times New Roman"/>
          <w:sz w:val="24"/>
          <w:szCs w:val="24"/>
        </w:rPr>
        <w:t>运输车辆出入厂区的时间，应充分考虑到村民的出工劳作和收工作息的时间规律及特点，错开午间和夜间运输，另外进出厂的车辆可以设置禁鸣标志进行控制，车辆在沿线行驶遇敏感保护目标时应采取禁止鸣笛、限制车速等措施，降低噪声对沿线保护目标的影响。</w:t>
      </w:r>
      <w:bookmarkEnd w:id="161"/>
      <w:r>
        <w:rPr>
          <w:rFonts w:ascii="Times New Roman" w:hAnsi="Times New Roman" w:cs="Times New Roman"/>
          <w:sz w:val="24"/>
          <w:szCs w:val="24"/>
        </w:rPr>
        <w:t>以避免由于扰民引起沿线村民不满而和村民产生纠纷。</w:t>
      </w:r>
    </w:p>
    <w:p w14:paraId="0284FA90">
      <w:pPr>
        <w:pStyle w:val="282"/>
        <w:rPr>
          <w:rFonts w:hint="eastAsia"/>
        </w:rPr>
      </w:pPr>
      <w:r>
        <w:rPr>
          <w:rFonts w:hint="eastAsia"/>
          <w:lang w:val="en-US" w:eastAsia="zh-CN"/>
        </w:rPr>
        <w:t>6</w:t>
      </w:r>
      <w:r>
        <w:rPr>
          <w:rFonts w:hint="eastAsia"/>
        </w:rPr>
        <w:t xml:space="preserve">.2.4.2生产设备噪声影响分析 </w:t>
      </w:r>
    </w:p>
    <w:p w14:paraId="177F2A3B">
      <w:pPr>
        <w:pStyle w:val="2"/>
        <w:ind w:firstLine="436"/>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（1）源强及采取的降噪措施</w:t>
      </w:r>
    </w:p>
    <w:p w14:paraId="73B2148F">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val="en-US" w:eastAsia="zh-CN"/>
        </w:rPr>
        <w:t>改扩建后，</w:t>
      </w:r>
      <w:r>
        <w:rPr>
          <w:rFonts w:ascii="Times New Roman" w:hAnsi="Times New Roman" w:eastAsia="宋体" w:cs="Times New Roman"/>
          <w:color w:val="000000"/>
          <w:sz w:val="24"/>
          <w:szCs w:val="24"/>
          <w:lang w:val="en-US"/>
        </w:rPr>
        <w:t>项目</w:t>
      </w:r>
      <w:r>
        <w:rPr>
          <w:rFonts w:ascii="Times New Roman" w:hAnsi="Times New Roman" w:eastAsia="宋体" w:cs="Times New Roman"/>
          <w:color w:val="000000"/>
          <w:sz w:val="24"/>
          <w:szCs w:val="24"/>
          <w:lang w:val="en-US" w:eastAsia="zh-CN"/>
        </w:rPr>
        <w:t>噪声源</w:t>
      </w:r>
      <w:r>
        <w:rPr>
          <w:rFonts w:ascii="Times New Roman" w:hAnsi="Times New Roman" w:eastAsia="宋体" w:cs="Times New Roman"/>
          <w:color w:val="000000"/>
          <w:sz w:val="24"/>
          <w:szCs w:val="24"/>
          <w:lang w:val="en-US"/>
        </w:rPr>
        <w:t>主要为机械设备噪声及交通噪声，设备噪声源主要为</w:t>
      </w:r>
      <w:r>
        <w:rPr>
          <w:rFonts w:ascii="Times New Roman" w:hAnsi="Times New Roman" w:eastAsia="宋体" w:cs="Times New Roman"/>
          <w:color w:val="000000"/>
          <w:sz w:val="24"/>
          <w:szCs w:val="24"/>
          <w:lang w:val="en-US" w:eastAsia="zh-CN"/>
        </w:rPr>
        <w:t>板材生产设备、制胶设备</w:t>
      </w:r>
      <w:r>
        <w:rPr>
          <w:rFonts w:ascii="Times New Roman" w:hAnsi="Times New Roman" w:eastAsia="宋体" w:cs="Times New Roman"/>
          <w:color w:val="000000"/>
          <w:sz w:val="24"/>
          <w:szCs w:val="24"/>
          <w:lang w:val="en-US"/>
        </w:rPr>
        <w:t>等。项目生产设备其噪声声级范围为</w:t>
      </w:r>
      <w:r>
        <w:rPr>
          <w:rFonts w:ascii="Times New Roman" w:hAnsi="Times New Roman" w:cs="Times New Roman"/>
          <w:color w:val="FF0000"/>
          <w:sz w:val="24"/>
          <w:szCs w:val="24"/>
          <w:lang w:val="en-US" w:eastAsia="zh-CN"/>
        </w:rPr>
        <w:t>70</w:t>
      </w:r>
      <w:r>
        <w:rPr>
          <w:rFonts w:ascii="Times New Roman" w:hAnsi="Times New Roman" w:cs="Times New Roman"/>
          <w:bCs/>
          <w:color w:val="FF0000"/>
          <w:sz w:val="24"/>
          <w:szCs w:val="24"/>
          <w:lang w:val="en-US"/>
        </w:rPr>
        <w:t>～</w:t>
      </w:r>
      <w:r>
        <w:rPr>
          <w:rFonts w:ascii="Times New Roman" w:hAnsi="Times New Roman" w:cs="Times New Roman"/>
          <w:color w:val="FF0000"/>
          <w:sz w:val="24"/>
          <w:szCs w:val="24"/>
          <w:lang w:val="en-US" w:eastAsia="zh-CN"/>
        </w:rPr>
        <w:t>96.7</w:t>
      </w:r>
      <w:r>
        <w:rPr>
          <w:rFonts w:ascii="Times New Roman" w:hAnsi="Times New Roman" w:eastAsia="宋体" w:cs="Times New Roman"/>
          <w:color w:val="000000"/>
          <w:sz w:val="24"/>
          <w:szCs w:val="24"/>
          <w:lang w:val="en-US"/>
        </w:rPr>
        <w:t>dB（A）。</w:t>
      </w:r>
      <w:r>
        <w:rPr>
          <w:rFonts w:ascii="Times New Roman" w:hAnsi="Times New Roman" w:eastAsia="宋体" w:cs="Times New Roman"/>
          <w:color w:val="000000"/>
          <w:sz w:val="24"/>
          <w:szCs w:val="24"/>
        </w:rPr>
        <w:t>为了尽可能降低机械设备噪声对周围敏感点的影响，建设单位</w:t>
      </w:r>
      <w:r>
        <w:rPr>
          <w:rFonts w:ascii="Times New Roman" w:hAnsi="Times New Roman" w:eastAsia="宋体" w:cs="Times New Roman"/>
          <w:color w:val="000000"/>
          <w:sz w:val="24"/>
          <w:szCs w:val="24"/>
          <w:lang w:val="en-US" w:eastAsia="zh-CN"/>
        </w:rPr>
        <w:t>已经采取了一些</w:t>
      </w:r>
      <w:r>
        <w:rPr>
          <w:rFonts w:ascii="Times New Roman" w:hAnsi="Times New Roman" w:eastAsia="宋体" w:cs="Times New Roman"/>
          <w:color w:val="000000"/>
          <w:sz w:val="24"/>
          <w:szCs w:val="24"/>
        </w:rPr>
        <w:t>机械设备噪声防治措施，具体降噪措施如下：</w:t>
      </w:r>
    </w:p>
    <w:p w14:paraId="166F8BC3">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①设备的选型尽可能选用噪声低、震动小的设备，对强噪声设备（如废气净化系统的风机），在支架下面安装橡胶减震设施，风机进出口采用软连接，以减少风管振动，降低噪声；</w:t>
      </w:r>
    </w:p>
    <w:p w14:paraId="60ACDB74">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②合理布置噪声源，将高噪声的设备放置于生产车间中央，远离敏感点一侧；</w:t>
      </w:r>
    </w:p>
    <w:p w14:paraId="770A53DD">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③对于传输设备的旋转和传动部分以及接近地面的连轴节，传动轴，皮带轮等均装设防护装置；</w:t>
      </w:r>
    </w:p>
    <w:p w14:paraId="042B6963">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④厂界设置2.5m高围墙，加强厂房外的绿化，绿化带有明显的吸声、隔声降噪作用； </w:t>
      </w:r>
    </w:p>
    <w:p w14:paraId="5EDD9F76">
      <w:pPr>
        <w:pStyle w:val="2"/>
        <w:ind w:firstLine="480"/>
        <w:rPr>
          <w:rFonts w:ascii="Times New Roman" w:hAnsi="Times New Roman" w:eastAsia="宋体" w:cs="Times New Roman"/>
          <w:color w:val="000000"/>
          <w:sz w:val="24"/>
          <w:szCs w:val="24"/>
          <w:lang w:val="en-GB"/>
        </w:rPr>
      </w:pPr>
      <w:r>
        <w:rPr>
          <w:rFonts w:ascii="Times New Roman" w:hAnsi="Times New Roman" w:eastAsia="宋体" w:cs="Times New Roman"/>
          <w:color w:val="000000"/>
          <w:sz w:val="24"/>
          <w:szCs w:val="24"/>
        </w:rPr>
        <w:t xml:space="preserve"> ⑤</w:t>
      </w:r>
      <w:r>
        <w:rPr>
          <w:rFonts w:hint="eastAsia" w:ascii="Times New Roman" w:hAnsi="Times New Roman" w:cs="Times New Roman"/>
          <w:sz w:val="24"/>
          <w:szCs w:val="20"/>
        </w:rPr>
        <w:t>合理安排工作时间，对高噪声设备的运行，应避免在人群休息时进行，与敏感点工作时间</w:t>
      </w:r>
      <w:r>
        <w:rPr>
          <w:rFonts w:hint="eastAsia" w:ascii="Times New Roman" w:hAnsi="Times New Roman" w:eastAsia="宋体" w:cs="Times New Roman"/>
          <w:sz w:val="24"/>
          <w:szCs w:val="20"/>
          <w:lang w:eastAsia="zh-CN"/>
        </w:rPr>
        <w:t>、</w:t>
      </w:r>
      <w:r>
        <w:rPr>
          <w:rFonts w:hint="eastAsia" w:ascii="Times New Roman" w:hAnsi="Times New Roman" w:eastAsia="宋体" w:cs="Times New Roman"/>
          <w:sz w:val="24"/>
          <w:szCs w:val="20"/>
          <w:lang w:val="en-US" w:eastAsia="zh-CN"/>
        </w:rPr>
        <w:t>休息时间</w:t>
      </w:r>
      <w:r>
        <w:rPr>
          <w:rFonts w:hint="eastAsia" w:ascii="Times New Roman" w:hAnsi="Times New Roman" w:cs="Times New Roman"/>
          <w:sz w:val="24"/>
          <w:szCs w:val="20"/>
        </w:rPr>
        <w:t xml:space="preserve">错开进行，以减少噪声的影响； </w:t>
      </w:r>
      <w:r>
        <w:rPr>
          <w:rFonts w:ascii="Times New Roman" w:hAnsi="Times New Roman" w:eastAsia="宋体" w:cs="Times New Roman"/>
          <w:color w:val="000000"/>
          <w:sz w:val="24"/>
          <w:szCs w:val="24"/>
          <w:lang w:val="en-GB"/>
        </w:rPr>
        <w:t xml:space="preserve"> </w:t>
      </w:r>
    </w:p>
    <w:p w14:paraId="36E9F98B">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⑥派专人定期对机械设备进行维修管理，保证正常运行，避免故障情况下产生高噪声影响；</w:t>
      </w:r>
    </w:p>
    <w:p w14:paraId="6F169070">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⑦连续接触高噪声源工作人员，配戴防噪声耳罩或耳塞，以减少噪声、振动对工作人员的影响；</w:t>
      </w:r>
    </w:p>
    <w:p w14:paraId="7F7D17E9">
      <w:pPr>
        <w:pStyle w:val="2"/>
        <w:ind w:firstLine="480"/>
        <w:rPr>
          <w:rFonts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为了进一步降低噪声对周边敏感点的影响，环评建议，减少高噪声设备同时运行，按照工序需要错开运行；减少高噪声设备夜间运行的频率，避免在夜间开展高噪声设备的运行的工序，可开展低噪声设备运行工序，</w:t>
      </w:r>
      <w:r>
        <w:rPr>
          <w:rFonts w:ascii="Times New Roman" w:hAnsi="Times New Roman" w:eastAsia="宋体" w:cs="Times New Roman"/>
          <w:color w:val="FF0000"/>
          <w:sz w:val="24"/>
          <w:szCs w:val="24"/>
        </w:rPr>
        <w:t>若出现扰民现场，必须</w:t>
      </w:r>
      <w:r>
        <w:rPr>
          <w:rFonts w:hint="eastAsia" w:ascii="Times New Roman" w:hAnsi="Times New Roman" w:eastAsia="宋体" w:cs="Times New Roman"/>
          <w:color w:val="FF0000"/>
          <w:sz w:val="24"/>
          <w:szCs w:val="24"/>
          <w:lang w:val="en-US" w:eastAsia="zh-CN"/>
        </w:rPr>
        <w:t>立刻</w:t>
      </w:r>
      <w:r>
        <w:rPr>
          <w:rFonts w:ascii="Times New Roman" w:hAnsi="Times New Roman" w:eastAsia="宋体" w:cs="Times New Roman"/>
          <w:color w:val="FF0000"/>
          <w:sz w:val="24"/>
          <w:szCs w:val="24"/>
        </w:rPr>
        <w:t>停止高噪声设备的运行</w:t>
      </w:r>
      <w:r>
        <w:rPr>
          <w:rFonts w:ascii="Times New Roman" w:hAnsi="Times New Roman" w:eastAsia="宋体" w:cs="Times New Roman"/>
          <w:color w:val="FF0000"/>
          <w:sz w:val="24"/>
          <w:szCs w:val="24"/>
          <w:lang w:eastAsia="zh-CN"/>
        </w:rPr>
        <w:t>，</w:t>
      </w:r>
      <w:r>
        <w:rPr>
          <w:rFonts w:ascii="Times New Roman" w:hAnsi="Times New Roman" w:eastAsia="宋体" w:cs="Times New Roman"/>
          <w:color w:val="FF0000"/>
          <w:sz w:val="24"/>
          <w:szCs w:val="24"/>
        </w:rPr>
        <w:t>积极配合解决好纠纷问题。</w:t>
      </w:r>
      <w:r>
        <w:rPr>
          <w:rFonts w:hint="eastAsia" w:ascii="Times New Roman" w:hAnsi="Times New Roman" w:eastAsia="宋体" w:cs="Times New Roman"/>
          <w:color w:val="FF0000"/>
          <w:sz w:val="24"/>
          <w:szCs w:val="24"/>
          <w:lang w:val="en-US" w:eastAsia="zh-CN"/>
        </w:rPr>
        <w:t>同时进一步的加强高噪声设备的降噪的措施，比如采取消声器、隔声罩等，可结合实际操作方便的需求进行设置。</w:t>
      </w:r>
    </w:p>
    <w:p w14:paraId="42CAF986">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落实以上降噪、隔声治理措施后</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可降噪15-20dB(A)，本次环评按照同时运行最大数量来进行预测，降噪后的噪声源强及距各厂界的距离见表</w:t>
      </w:r>
      <w:r>
        <w:rPr>
          <w:rFonts w:ascii="Times New Roman" w:hAnsi="Times New Roman" w:eastAsia="宋体" w:cs="Times New Roman"/>
          <w:color w:val="000000"/>
          <w:sz w:val="24"/>
          <w:szCs w:val="24"/>
          <w:lang w:val="en-US" w:eastAsia="zh-CN"/>
        </w:rPr>
        <w:t>6.2</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lang w:val="en-US" w:eastAsia="zh-CN"/>
        </w:rPr>
        <w:t>27</w:t>
      </w:r>
      <w:r>
        <w:rPr>
          <w:rFonts w:ascii="Times New Roman" w:hAnsi="Times New Roman" w:eastAsia="宋体" w:cs="Times New Roman"/>
          <w:color w:val="000000"/>
          <w:sz w:val="24"/>
          <w:szCs w:val="24"/>
        </w:rPr>
        <w:t>。</w:t>
      </w:r>
    </w:p>
    <w:p w14:paraId="5398DD2E">
      <w:pPr>
        <w:pStyle w:val="2"/>
        <w:ind w:firstLine="482"/>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表</w:t>
      </w:r>
      <w:r>
        <w:rPr>
          <w:rFonts w:hint="eastAsia" w:ascii="Times New Roman" w:hAnsi="Times New Roman" w:cs="Times New Roman"/>
          <w:b/>
          <w:bCs/>
          <w:color w:val="000000"/>
          <w:sz w:val="24"/>
          <w:szCs w:val="24"/>
          <w:lang w:val="en-US" w:eastAsia="zh-CN"/>
        </w:rPr>
        <w:t>6.2</w:t>
      </w:r>
      <w:r>
        <w:rPr>
          <w:rFonts w:ascii="Times New Roman" w:hAnsi="Times New Roman" w:cs="Times New Roman"/>
          <w:b/>
          <w:bCs/>
          <w:color w:val="000000"/>
          <w:sz w:val="24"/>
          <w:szCs w:val="24"/>
        </w:rPr>
        <w:t>-</w:t>
      </w:r>
      <w:r>
        <w:rPr>
          <w:rFonts w:hint="eastAsia" w:ascii="Times New Roman" w:hAnsi="Times New Roman" w:cs="Times New Roman"/>
          <w:b/>
          <w:bCs/>
          <w:color w:val="000000"/>
          <w:sz w:val="24"/>
          <w:szCs w:val="24"/>
          <w:lang w:val="en-US" w:eastAsia="zh-CN"/>
        </w:rPr>
        <w:t>27</w:t>
      </w:r>
      <w:r>
        <w:rPr>
          <w:rFonts w:ascii="Times New Roman" w:hAnsi="Times New Roman" w:cs="Times New Roman"/>
          <w:b/>
          <w:bCs/>
          <w:color w:val="000000"/>
          <w:sz w:val="24"/>
          <w:szCs w:val="24"/>
        </w:rPr>
        <w:t xml:space="preserve">   降噪后的噪声源强及距各厂界的距离</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594"/>
        <w:gridCol w:w="1279"/>
        <w:gridCol w:w="1065"/>
        <w:gridCol w:w="807"/>
        <w:gridCol w:w="949"/>
        <w:gridCol w:w="732"/>
        <w:gridCol w:w="872"/>
        <w:gridCol w:w="809"/>
        <w:gridCol w:w="1019"/>
      </w:tblGrid>
      <w:tr w14:paraId="3F1ECB4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594" w:type="dxa"/>
            <w:vMerge w:val="restart"/>
            <w:noWrap w:val="0"/>
            <w:vAlign w:val="center"/>
          </w:tcPr>
          <w:p w14:paraId="504AE272">
            <w:pPr>
              <w:pStyle w:val="421"/>
              <w:spacing w:line="321" w:lineRule="exact"/>
              <w:ind w:right="115" w:firstLine="0"/>
              <w:rPr>
                <w:rFonts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序号</w:t>
            </w:r>
          </w:p>
        </w:tc>
        <w:tc>
          <w:tcPr>
            <w:tcW w:w="1279" w:type="dxa"/>
            <w:vMerge w:val="restart"/>
            <w:noWrap w:val="0"/>
            <w:vAlign w:val="center"/>
          </w:tcPr>
          <w:p w14:paraId="232FB554">
            <w:pPr>
              <w:pStyle w:val="421"/>
              <w:spacing w:line="321" w:lineRule="exact"/>
              <w:ind w:right="115" w:firstLine="0"/>
              <w:rPr>
                <w:rFonts w:ascii="Times New Roman" w:hAnsi="Times New Roman" w:eastAsia="宋体" w:cs="Times New Roman"/>
                <w:b/>
                <w:color w:val="000000"/>
                <w:sz w:val="21"/>
                <w:szCs w:val="22"/>
              </w:rPr>
            </w:pPr>
            <w:r>
              <w:rPr>
                <w:rFonts w:ascii="Times New Roman" w:hAnsi="Times New Roman" w:eastAsia="宋体" w:cs="Times New Roman"/>
                <w:b/>
                <w:color w:val="000000"/>
                <w:sz w:val="21"/>
                <w:szCs w:val="22"/>
              </w:rPr>
              <w:t>声源</w:t>
            </w:r>
          </w:p>
        </w:tc>
        <w:tc>
          <w:tcPr>
            <w:tcW w:w="1065" w:type="dxa"/>
            <w:vMerge w:val="restart"/>
            <w:noWrap w:val="0"/>
            <w:vAlign w:val="center"/>
          </w:tcPr>
          <w:p w14:paraId="0DE02B2A">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同时运行最大</w:t>
            </w:r>
            <w:r>
              <w:rPr>
                <w:rFonts w:ascii="Times New Roman" w:hAnsi="Times New Roman" w:eastAsia="宋体" w:cs="Times New Roman"/>
                <w:b/>
                <w:color w:val="000000"/>
                <w:sz w:val="21"/>
                <w:szCs w:val="22"/>
              </w:rPr>
              <w:t>数量</w:t>
            </w:r>
          </w:p>
          <w:p w14:paraId="5473E2B9">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（台/套）</w:t>
            </w:r>
          </w:p>
        </w:tc>
        <w:tc>
          <w:tcPr>
            <w:tcW w:w="807" w:type="dxa"/>
            <w:vMerge w:val="restart"/>
            <w:noWrap w:val="0"/>
            <w:vAlign w:val="center"/>
          </w:tcPr>
          <w:p w14:paraId="1613B470">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降噪后的单台源强</w:t>
            </w:r>
          </w:p>
        </w:tc>
        <w:tc>
          <w:tcPr>
            <w:tcW w:w="949" w:type="dxa"/>
            <w:vMerge w:val="restart"/>
            <w:noWrap w:val="0"/>
            <w:vAlign w:val="center"/>
          </w:tcPr>
          <w:p w14:paraId="414EE6C6">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降噪后叠加源强</w:t>
            </w:r>
          </w:p>
        </w:tc>
        <w:tc>
          <w:tcPr>
            <w:tcW w:w="3432" w:type="dxa"/>
            <w:gridSpan w:val="4"/>
            <w:noWrap w:val="0"/>
            <w:vAlign w:val="center"/>
          </w:tcPr>
          <w:p w14:paraId="33609DAA">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 xml:space="preserve"> 到厂界的最近距离（m）</w:t>
            </w:r>
          </w:p>
        </w:tc>
      </w:tr>
      <w:tr w14:paraId="572143A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594" w:type="dxa"/>
            <w:vMerge w:val="continue"/>
            <w:noWrap w:val="0"/>
            <w:vAlign w:val="center"/>
          </w:tcPr>
          <w:p w14:paraId="549779D2">
            <w:pPr>
              <w:pStyle w:val="421"/>
              <w:spacing w:line="321" w:lineRule="exact"/>
              <w:ind w:right="115" w:firstLine="0"/>
              <w:rPr>
                <w:rFonts w:hint="eastAsia" w:ascii="Times New Roman" w:hAnsi="Times New Roman" w:eastAsia="宋体" w:cs="Times New Roman"/>
                <w:b/>
                <w:color w:val="000000"/>
                <w:sz w:val="21"/>
                <w:szCs w:val="22"/>
              </w:rPr>
            </w:pPr>
          </w:p>
        </w:tc>
        <w:tc>
          <w:tcPr>
            <w:tcW w:w="1279" w:type="dxa"/>
            <w:vMerge w:val="continue"/>
            <w:noWrap w:val="0"/>
            <w:vAlign w:val="center"/>
          </w:tcPr>
          <w:p w14:paraId="0B5E0242">
            <w:pPr>
              <w:pStyle w:val="421"/>
              <w:spacing w:line="321" w:lineRule="exact"/>
              <w:ind w:right="115" w:firstLine="0"/>
              <w:rPr>
                <w:rFonts w:ascii="Times New Roman" w:hAnsi="Times New Roman" w:eastAsia="宋体" w:cs="Times New Roman"/>
                <w:b/>
                <w:color w:val="000000"/>
                <w:sz w:val="21"/>
                <w:szCs w:val="22"/>
              </w:rPr>
            </w:pPr>
          </w:p>
        </w:tc>
        <w:tc>
          <w:tcPr>
            <w:tcW w:w="1065" w:type="dxa"/>
            <w:vMerge w:val="continue"/>
            <w:noWrap w:val="0"/>
            <w:vAlign w:val="center"/>
          </w:tcPr>
          <w:p w14:paraId="3E91406F">
            <w:pPr>
              <w:pStyle w:val="421"/>
              <w:spacing w:line="321" w:lineRule="exact"/>
              <w:ind w:right="115" w:firstLine="0"/>
              <w:rPr>
                <w:rFonts w:hint="eastAsia" w:ascii="Times New Roman" w:hAnsi="Times New Roman" w:eastAsia="宋体" w:cs="Times New Roman"/>
                <w:b/>
                <w:color w:val="000000"/>
                <w:sz w:val="21"/>
                <w:szCs w:val="22"/>
              </w:rPr>
            </w:pPr>
          </w:p>
        </w:tc>
        <w:tc>
          <w:tcPr>
            <w:tcW w:w="807" w:type="dxa"/>
            <w:vMerge w:val="continue"/>
            <w:noWrap w:val="0"/>
            <w:vAlign w:val="center"/>
          </w:tcPr>
          <w:p w14:paraId="7C018153">
            <w:pPr>
              <w:pStyle w:val="421"/>
              <w:spacing w:line="321" w:lineRule="exact"/>
              <w:ind w:right="115" w:firstLine="0"/>
              <w:rPr>
                <w:rFonts w:hint="eastAsia" w:ascii="Times New Roman" w:hAnsi="Times New Roman" w:eastAsia="宋体" w:cs="Times New Roman"/>
                <w:b/>
                <w:color w:val="000000"/>
                <w:sz w:val="21"/>
                <w:szCs w:val="22"/>
              </w:rPr>
            </w:pPr>
          </w:p>
        </w:tc>
        <w:tc>
          <w:tcPr>
            <w:tcW w:w="949" w:type="dxa"/>
            <w:vMerge w:val="continue"/>
            <w:noWrap w:val="0"/>
            <w:vAlign w:val="center"/>
          </w:tcPr>
          <w:p w14:paraId="5FD6D788">
            <w:pPr>
              <w:pStyle w:val="421"/>
              <w:spacing w:line="321" w:lineRule="exact"/>
              <w:ind w:right="115" w:firstLine="0"/>
              <w:rPr>
                <w:rFonts w:hint="eastAsia" w:ascii="Times New Roman" w:hAnsi="Times New Roman" w:eastAsia="宋体" w:cs="Times New Roman"/>
                <w:b/>
                <w:color w:val="000000"/>
                <w:sz w:val="21"/>
                <w:szCs w:val="22"/>
              </w:rPr>
            </w:pPr>
          </w:p>
        </w:tc>
        <w:tc>
          <w:tcPr>
            <w:tcW w:w="732" w:type="dxa"/>
            <w:noWrap w:val="0"/>
            <w:vAlign w:val="center"/>
          </w:tcPr>
          <w:p w14:paraId="44577D1A">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东</w:t>
            </w:r>
          </w:p>
        </w:tc>
        <w:tc>
          <w:tcPr>
            <w:tcW w:w="872" w:type="dxa"/>
            <w:noWrap w:val="0"/>
            <w:vAlign w:val="center"/>
          </w:tcPr>
          <w:p w14:paraId="64A922B3">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西</w:t>
            </w:r>
          </w:p>
        </w:tc>
        <w:tc>
          <w:tcPr>
            <w:tcW w:w="809" w:type="dxa"/>
            <w:noWrap w:val="0"/>
            <w:vAlign w:val="center"/>
          </w:tcPr>
          <w:p w14:paraId="4F8C7ECF">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南</w:t>
            </w:r>
          </w:p>
        </w:tc>
        <w:tc>
          <w:tcPr>
            <w:tcW w:w="1019" w:type="dxa"/>
            <w:noWrap w:val="0"/>
            <w:vAlign w:val="center"/>
          </w:tcPr>
          <w:p w14:paraId="3DE3A70C">
            <w:pPr>
              <w:pStyle w:val="421"/>
              <w:spacing w:line="321" w:lineRule="exact"/>
              <w:ind w:right="115" w:firstLine="0"/>
              <w:rPr>
                <w:rFonts w:hint="eastAsia" w:ascii="Times New Roman" w:hAnsi="Times New Roman" w:eastAsia="宋体" w:cs="Times New Roman"/>
                <w:b/>
                <w:color w:val="000000"/>
                <w:sz w:val="21"/>
                <w:szCs w:val="22"/>
              </w:rPr>
            </w:pPr>
            <w:r>
              <w:rPr>
                <w:rFonts w:hint="eastAsia" w:ascii="Times New Roman" w:hAnsi="Times New Roman" w:eastAsia="宋体" w:cs="Times New Roman"/>
                <w:b/>
                <w:color w:val="000000"/>
                <w:sz w:val="21"/>
                <w:szCs w:val="22"/>
              </w:rPr>
              <w:t>北</w:t>
            </w:r>
          </w:p>
        </w:tc>
      </w:tr>
      <w:tr w14:paraId="5494B24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594" w:type="dxa"/>
            <w:noWrap w:val="0"/>
            <w:vAlign w:val="center"/>
          </w:tcPr>
          <w:p w14:paraId="61CD56C0">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1</w:t>
            </w:r>
          </w:p>
        </w:tc>
        <w:tc>
          <w:tcPr>
            <w:tcW w:w="1279" w:type="dxa"/>
            <w:noWrap w:val="0"/>
            <w:vAlign w:val="center"/>
          </w:tcPr>
          <w:p w14:paraId="3DFD7B12">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断竹机</w:t>
            </w:r>
          </w:p>
        </w:tc>
        <w:tc>
          <w:tcPr>
            <w:tcW w:w="1065" w:type="dxa"/>
            <w:noWrap w:val="0"/>
            <w:vAlign w:val="center"/>
          </w:tcPr>
          <w:p w14:paraId="1F953DE6">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9</w:t>
            </w:r>
          </w:p>
        </w:tc>
        <w:tc>
          <w:tcPr>
            <w:tcW w:w="807" w:type="dxa"/>
            <w:noWrap w:val="0"/>
            <w:vAlign w:val="center"/>
          </w:tcPr>
          <w:p w14:paraId="23022370">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65</w:t>
            </w:r>
          </w:p>
        </w:tc>
        <w:tc>
          <w:tcPr>
            <w:tcW w:w="949" w:type="dxa"/>
            <w:noWrap w:val="0"/>
            <w:vAlign w:val="center"/>
          </w:tcPr>
          <w:p w14:paraId="6C6AD067">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74.54</w:t>
            </w:r>
          </w:p>
        </w:tc>
        <w:tc>
          <w:tcPr>
            <w:tcW w:w="732" w:type="dxa"/>
            <w:noWrap w:val="0"/>
            <w:vAlign w:val="center"/>
          </w:tcPr>
          <w:p w14:paraId="17B18B7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125</w:t>
            </w:r>
          </w:p>
        </w:tc>
        <w:tc>
          <w:tcPr>
            <w:tcW w:w="872" w:type="dxa"/>
            <w:noWrap w:val="0"/>
            <w:vAlign w:val="center"/>
          </w:tcPr>
          <w:p w14:paraId="495321C1">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316</w:t>
            </w:r>
          </w:p>
        </w:tc>
        <w:tc>
          <w:tcPr>
            <w:tcW w:w="809" w:type="dxa"/>
            <w:noWrap w:val="0"/>
            <w:vAlign w:val="center"/>
          </w:tcPr>
          <w:p w14:paraId="7783357C">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54</w:t>
            </w:r>
          </w:p>
        </w:tc>
        <w:tc>
          <w:tcPr>
            <w:tcW w:w="1019" w:type="dxa"/>
            <w:noWrap w:val="0"/>
            <w:vAlign w:val="center"/>
          </w:tcPr>
          <w:p w14:paraId="5F63B7C0">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56</w:t>
            </w:r>
          </w:p>
        </w:tc>
      </w:tr>
      <w:tr w14:paraId="4C30712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594" w:type="dxa"/>
            <w:noWrap w:val="0"/>
            <w:vAlign w:val="center"/>
          </w:tcPr>
          <w:p w14:paraId="27354D1E">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2</w:t>
            </w:r>
          </w:p>
        </w:tc>
        <w:tc>
          <w:tcPr>
            <w:tcW w:w="1279" w:type="dxa"/>
            <w:noWrap w:val="0"/>
            <w:vAlign w:val="center"/>
          </w:tcPr>
          <w:p w14:paraId="57AC52F6">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刨片机</w:t>
            </w:r>
          </w:p>
        </w:tc>
        <w:tc>
          <w:tcPr>
            <w:tcW w:w="1065" w:type="dxa"/>
            <w:noWrap w:val="0"/>
            <w:vAlign w:val="center"/>
          </w:tcPr>
          <w:p w14:paraId="3DD2627E">
            <w:pPr>
              <w:pStyle w:val="421"/>
              <w:spacing w:line="321" w:lineRule="exact"/>
              <w:ind w:right="115" w:firstLine="0"/>
              <w:jc w:val="center"/>
              <w:rPr>
                <w:rFonts w:ascii="Times New Roman" w:hAnsi="Times New Roman" w:eastAsia="宋体" w:cs="Times New Roman"/>
                <w:color w:val="000000"/>
                <w:sz w:val="21"/>
                <w:szCs w:val="22"/>
                <w:lang w:val="en-US"/>
              </w:rPr>
            </w:pPr>
            <w:r>
              <w:rPr>
                <w:rFonts w:hint="eastAsia" w:ascii="Times New Roman" w:hAnsi="Times New Roman" w:eastAsia="宋体" w:cs="Times New Roman"/>
                <w:color w:val="000000"/>
                <w:sz w:val="21"/>
                <w:szCs w:val="22"/>
                <w:lang w:val="en-US" w:eastAsia="zh-CN"/>
              </w:rPr>
              <w:t>25</w:t>
            </w:r>
          </w:p>
        </w:tc>
        <w:tc>
          <w:tcPr>
            <w:tcW w:w="807" w:type="dxa"/>
            <w:noWrap w:val="0"/>
            <w:vAlign w:val="center"/>
          </w:tcPr>
          <w:p w14:paraId="5022EA7C">
            <w:pPr>
              <w:ind w:firstLine="0"/>
              <w:jc w:val="center"/>
              <w:rPr>
                <w:rFonts w:ascii="Times New Roman" w:hAnsi="Times New Roman" w:eastAsia="宋体" w:cs="Times New Roman"/>
                <w:color w:val="000000"/>
                <w:sz w:val="21"/>
                <w:szCs w:val="22"/>
                <w:lang w:val="en-US"/>
              </w:rPr>
            </w:pPr>
            <w:r>
              <w:rPr>
                <w:rFonts w:hint="eastAsia"/>
                <w:color w:val="000000"/>
                <w:sz w:val="21"/>
                <w:szCs w:val="22"/>
                <w:lang w:val="en-US" w:eastAsia="zh-CN"/>
              </w:rPr>
              <w:t>50</w:t>
            </w:r>
          </w:p>
        </w:tc>
        <w:tc>
          <w:tcPr>
            <w:tcW w:w="949" w:type="dxa"/>
            <w:noWrap w:val="0"/>
            <w:vAlign w:val="center"/>
          </w:tcPr>
          <w:p w14:paraId="1126E150">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63.98</w:t>
            </w:r>
          </w:p>
        </w:tc>
        <w:tc>
          <w:tcPr>
            <w:tcW w:w="732" w:type="dxa"/>
            <w:noWrap w:val="0"/>
            <w:vAlign w:val="center"/>
          </w:tcPr>
          <w:p w14:paraId="1057447E">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140</w:t>
            </w:r>
          </w:p>
        </w:tc>
        <w:tc>
          <w:tcPr>
            <w:tcW w:w="872" w:type="dxa"/>
            <w:noWrap w:val="0"/>
            <w:vAlign w:val="center"/>
          </w:tcPr>
          <w:p w14:paraId="5BABE98E">
            <w:pPr>
              <w:ind w:firstLine="0"/>
              <w:jc w:val="center"/>
              <w:rPr>
                <w:rFonts w:eastAsia="宋体"/>
                <w:color w:val="000000"/>
                <w:sz w:val="21"/>
                <w:szCs w:val="22"/>
                <w:lang w:val="en-US" w:eastAsia="zh-CN"/>
              </w:rPr>
            </w:pPr>
            <w:r>
              <w:rPr>
                <w:rFonts w:hint="eastAsia"/>
                <w:color w:val="000000"/>
                <w:sz w:val="21"/>
                <w:szCs w:val="22"/>
                <w:lang w:val="en-US" w:eastAsia="zh-CN"/>
              </w:rPr>
              <w:t>306</w:t>
            </w:r>
          </w:p>
        </w:tc>
        <w:tc>
          <w:tcPr>
            <w:tcW w:w="809" w:type="dxa"/>
            <w:noWrap w:val="0"/>
            <w:vAlign w:val="center"/>
          </w:tcPr>
          <w:p w14:paraId="054F15E3">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63</w:t>
            </w:r>
          </w:p>
        </w:tc>
        <w:tc>
          <w:tcPr>
            <w:tcW w:w="1019" w:type="dxa"/>
            <w:noWrap w:val="0"/>
            <w:vAlign w:val="center"/>
          </w:tcPr>
          <w:p w14:paraId="5BFF2DE1">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45</w:t>
            </w:r>
          </w:p>
        </w:tc>
      </w:tr>
      <w:tr w14:paraId="09AA65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5E7F5EBE">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3</w:t>
            </w:r>
          </w:p>
        </w:tc>
        <w:tc>
          <w:tcPr>
            <w:tcW w:w="1279" w:type="dxa"/>
            <w:noWrap w:val="0"/>
            <w:vAlign w:val="center"/>
          </w:tcPr>
          <w:p w14:paraId="23A8F7B0">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干燥风机</w:t>
            </w:r>
          </w:p>
        </w:tc>
        <w:tc>
          <w:tcPr>
            <w:tcW w:w="1065" w:type="dxa"/>
            <w:noWrap w:val="0"/>
            <w:vAlign w:val="center"/>
          </w:tcPr>
          <w:p w14:paraId="35E293B0">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3</w:t>
            </w:r>
          </w:p>
        </w:tc>
        <w:tc>
          <w:tcPr>
            <w:tcW w:w="807" w:type="dxa"/>
            <w:noWrap w:val="0"/>
            <w:vAlign w:val="center"/>
          </w:tcPr>
          <w:p w14:paraId="74B3C003">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68</w:t>
            </w:r>
          </w:p>
        </w:tc>
        <w:tc>
          <w:tcPr>
            <w:tcW w:w="949" w:type="dxa"/>
            <w:noWrap w:val="0"/>
            <w:vAlign w:val="center"/>
          </w:tcPr>
          <w:p w14:paraId="575DC83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72.82</w:t>
            </w:r>
          </w:p>
        </w:tc>
        <w:tc>
          <w:tcPr>
            <w:tcW w:w="732" w:type="dxa"/>
            <w:noWrap w:val="0"/>
            <w:vAlign w:val="center"/>
          </w:tcPr>
          <w:p w14:paraId="5A29B92D">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215</w:t>
            </w:r>
          </w:p>
        </w:tc>
        <w:tc>
          <w:tcPr>
            <w:tcW w:w="872" w:type="dxa"/>
            <w:noWrap w:val="0"/>
            <w:vAlign w:val="center"/>
          </w:tcPr>
          <w:p w14:paraId="64A7B4B4">
            <w:pPr>
              <w:ind w:firstLine="0"/>
              <w:jc w:val="center"/>
              <w:rPr>
                <w:rFonts w:eastAsia="宋体"/>
                <w:color w:val="000000"/>
                <w:sz w:val="21"/>
                <w:szCs w:val="22"/>
                <w:lang w:val="en-US" w:eastAsia="zh-CN"/>
              </w:rPr>
            </w:pPr>
            <w:r>
              <w:rPr>
                <w:rFonts w:hint="eastAsia"/>
                <w:color w:val="000000"/>
                <w:sz w:val="21"/>
                <w:szCs w:val="22"/>
                <w:lang w:val="en-US" w:eastAsia="zh-CN"/>
              </w:rPr>
              <w:t>244</w:t>
            </w:r>
          </w:p>
        </w:tc>
        <w:tc>
          <w:tcPr>
            <w:tcW w:w="809" w:type="dxa"/>
            <w:noWrap w:val="0"/>
            <w:vAlign w:val="center"/>
          </w:tcPr>
          <w:p w14:paraId="679FDED2">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58</w:t>
            </w:r>
          </w:p>
        </w:tc>
        <w:tc>
          <w:tcPr>
            <w:tcW w:w="1019" w:type="dxa"/>
            <w:noWrap w:val="0"/>
            <w:vAlign w:val="center"/>
          </w:tcPr>
          <w:p w14:paraId="4FAB0BF4">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117</w:t>
            </w:r>
          </w:p>
        </w:tc>
      </w:tr>
      <w:tr w14:paraId="7E9D29D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058BD50B">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4</w:t>
            </w:r>
          </w:p>
        </w:tc>
        <w:tc>
          <w:tcPr>
            <w:tcW w:w="1279" w:type="dxa"/>
            <w:noWrap w:val="0"/>
            <w:vAlign w:val="center"/>
          </w:tcPr>
          <w:p w14:paraId="748DFE3E">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筛选机</w:t>
            </w:r>
          </w:p>
        </w:tc>
        <w:tc>
          <w:tcPr>
            <w:tcW w:w="1065" w:type="dxa"/>
            <w:noWrap w:val="0"/>
            <w:vAlign w:val="center"/>
          </w:tcPr>
          <w:p w14:paraId="59409635">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3</w:t>
            </w:r>
          </w:p>
        </w:tc>
        <w:tc>
          <w:tcPr>
            <w:tcW w:w="807" w:type="dxa"/>
            <w:noWrap w:val="0"/>
            <w:vAlign w:val="center"/>
          </w:tcPr>
          <w:p w14:paraId="390523E0">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60</w:t>
            </w:r>
          </w:p>
        </w:tc>
        <w:tc>
          <w:tcPr>
            <w:tcW w:w="949" w:type="dxa"/>
            <w:noWrap w:val="0"/>
            <w:vAlign w:val="center"/>
          </w:tcPr>
          <w:p w14:paraId="17292872">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65.05</w:t>
            </w:r>
          </w:p>
        </w:tc>
        <w:tc>
          <w:tcPr>
            <w:tcW w:w="732" w:type="dxa"/>
            <w:noWrap w:val="0"/>
            <w:vAlign w:val="center"/>
          </w:tcPr>
          <w:p w14:paraId="05D96BD0">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187</w:t>
            </w:r>
          </w:p>
        </w:tc>
        <w:tc>
          <w:tcPr>
            <w:tcW w:w="872" w:type="dxa"/>
            <w:noWrap w:val="0"/>
            <w:vAlign w:val="center"/>
          </w:tcPr>
          <w:p w14:paraId="1D739F64">
            <w:pPr>
              <w:ind w:firstLine="0"/>
              <w:jc w:val="center"/>
              <w:rPr>
                <w:rFonts w:eastAsia="宋体"/>
                <w:color w:val="000000"/>
                <w:sz w:val="21"/>
                <w:szCs w:val="22"/>
                <w:lang w:val="en-US" w:eastAsia="zh-CN"/>
              </w:rPr>
            </w:pPr>
            <w:r>
              <w:rPr>
                <w:rFonts w:hint="eastAsia"/>
                <w:color w:val="000000"/>
                <w:sz w:val="21"/>
                <w:szCs w:val="22"/>
                <w:lang w:val="en-US" w:eastAsia="zh-CN"/>
              </w:rPr>
              <w:t>268</w:t>
            </w:r>
          </w:p>
        </w:tc>
        <w:tc>
          <w:tcPr>
            <w:tcW w:w="809" w:type="dxa"/>
            <w:noWrap w:val="0"/>
            <w:vAlign w:val="center"/>
          </w:tcPr>
          <w:p w14:paraId="760C1581">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60</w:t>
            </w:r>
          </w:p>
        </w:tc>
        <w:tc>
          <w:tcPr>
            <w:tcW w:w="1019" w:type="dxa"/>
            <w:noWrap w:val="0"/>
            <w:vAlign w:val="center"/>
          </w:tcPr>
          <w:p w14:paraId="41EAEDD7">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115</w:t>
            </w:r>
          </w:p>
        </w:tc>
      </w:tr>
      <w:tr w14:paraId="6CACDE8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14DB8189">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5</w:t>
            </w:r>
          </w:p>
        </w:tc>
        <w:tc>
          <w:tcPr>
            <w:tcW w:w="1279" w:type="dxa"/>
            <w:noWrap w:val="0"/>
            <w:vAlign w:val="center"/>
          </w:tcPr>
          <w:p w14:paraId="233ED82A">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拌胶机</w:t>
            </w:r>
          </w:p>
        </w:tc>
        <w:tc>
          <w:tcPr>
            <w:tcW w:w="1065" w:type="dxa"/>
            <w:noWrap w:val="0"/>
            <w:vAlign w:val="center"/>
          </w:tcPr>
          <w:p w14:paraId="21A9DC5B">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4</w:t>
            </w:r>
          </w:p>
        </w:tc>
        <w:tc>
          <w:tcPr>
            <w:tcW w:w="807" w:type="dxa"/>
            <w:noWrap w:val="0"/>
            <w:vAlign w:val="center"/>
          </w:tcPr>
          <w:p w14:paraId="755D4EC8">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55</w:t>
            </w:r>
          </w:p>
        </w:tc>
        <w:tc>
          <w:tcPr>
            <w:tcW w:w="949" w:type="dxa"/>
            <w:noWrap w:val="0"/>
            <w:vAlign w:val="center"/>
          </w:tcPr>
          <w:p w14:paraId="2F763541">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61.35</w:t>
            </w:r>
          </w:p>
        </w:tc>
        <w:tc>
          <w:tcPr>
            <w:tcW w:w="732" w:type="dxa"/>
            <w:noWrap w:val="0"/>
            <w:vAlign w:val="center"/>
          </w:tcPr>
          <w:p w14:paraId="6DF323C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288</w:t>
            </w:r>
          </w:p>
        </w:tc>
        <w:tc>
          <w:tcPr>
            <w:tcW w:w="872" w:type="dxa"/>
            <w:noWrap w:val="0"/>
            <w:vAlign w:val="center"/>
          </w:tcPr>
          <w:p w14:paraId="46A28CDD">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156</w:t>
            </w:r>
          </w:p>
        </w:tc>
        <w:tc>
          <w:tcPr>
            <w:tcW w:w="809" w:type="dxa"/>
            <w:noWrap w:val="0"/>
            <w:vAlign w:val="center"/>
          </w:tcPr>
          <w:p w14:paraId="51DF3AC4">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84</w:t>
            </w:r>
          </w:p>
        </w:tc>
        <w:tc>
          <w:tcPr>
            <w:tcW w:w="1019" w:type="dxa"/>
            <w:noWrap w:val="0"/>
            <w:vAlign w:val="center"/>
          </w:tcPr>
          <w:p w14:paraId="5A23B069">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78</w:t>
            </w:r>
          </w:p>
        </w:tc>
      </w:tr>
      <w:tr w14:paraId="55954E2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7888D594">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6</w:t>
            </w:r>
          </w:p>
        </w:tc>
        <w:tc>
          <w:tcPr>
            <w:tcW w:w="1279" w:type="dxa"/>
            <w:noWrap w:val="0"/>
            <w:vAlign w:val="center"/>
          </w:tcPr>
          <w:p w14:paraId="2BEF8760">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齐边锯</w:t>
            </w:r>
          </w:p>
        </w:tc>
        <w:tc>
          <w:tcPr>
            <w:tcW w:w="1065" w:type="dxa"/>
            <w:noWrap w:val="0"/>
            <w:vAlign w:val="center"/>
          </w:tcPr>
          <w:p w14:paraId="580CACBE">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1</w:t>
            </w:r>
          </w:p>
        </w:tc>
        <w:tc>
          <w:tcPr>
            <w:tcW w:w="807" w:type="dxa"/>
            <w:noWrap w:val="0"/>
            <w:vAlign w:val="center"/>
          </w:tcPr>
          <w:p w14:paraId="5538B7AF">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60</w:t>
            </w:r>
          </w:p>
        </w:tc>
        <w:tc>
          <w:tcPr>
            <w:tcW w:w="949" w:type="dxa"/>
            <w:noWrap w:val="0"/>
            <w:vAlign w:val="center"/>
          </w:tcPr>
          <w:p w14:paraId="2F1D303A">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60</w:t>
            </w:r>
          </w:p>
        </w:tc>
        <w:tc>
          <w:tcPr>
            <w:tcW w:w="732" w:type="dxa"/>
            <w:noWrap w:val="0"/>
            <w:vAlign w:val="center"/>
          </w:tcPr>
          <w:p w14:paraId="22EF4224">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312</w:t>
            </w:r>
          </w:p>
        </w:tc>
        <w:tc>
          <w:tcPr>
            <w:tcW w:w="872" w:type="dxa"/>
            <w:noWrap w:val="0"/>
            <w:vAlign w:val="center"/>
          </w:tcPr>
          <w:p w14:paraId="4EA7A539">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128</w:t>
            </w:r>
          </w:p>
        </w:tc>
        <w:tc>
          <w:tcPr>
            <w:tcW w:w="809" w:type="dxa"/>
            <w:noWrap w:val="0"/>
            <w:vAlign w:val="center"/>
          </w:tcPr>
          <w:p w14:paraId="620CF66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98</w:t>
            </w:r>
          </w:p>
        </w:tc>
        <w:tc>
          <w:tcPr>
            <w:tcW w:w="1019" w:type="dxa"/>
            <w:noWrap w:val="0"/>
            <w:vAlign w:val="center"/>
          </w:tcPr>
          <w:p w14:paraId="58B24BFF">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62</w:t>
            </w:r>
          </w:p>
        </w:tc>
      </w:tr>
      <w:tr w14:paraId="4539BBC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103277F8">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7</w:t>
            </w:r>
          </w:p>
        </w:tc>
        <w:tc>
          <w:tcPr>
            <w:tcW w:w="1279" w:type="dxa"/>
            <w:noWrap w:val="0"/>
            <w:vAlign w:val="center"/>
          </w:tcPr>
          <w:p w14:paraId="305AD09A">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热压机</w:t>
            </w:r>
          </w:p>
        </w:tc>
        <w:tc>
          <w:tcPr>
            <w:tcW w:w="1065" w:type="dxa"/>
            <w:noWrap w:val="0"/>
            <w:vAlign w:val="center"/>
          </w:tcPr>
          <w:p w14:paraId="38955AFB">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4</w:t>
            </w:r>
          </w:p>
        </w:tc>
        <w:tc>
          <w:tcPr>
            <w:tcW w:w="807" w:type="dxa"/>
            <w:noWrap w:val="0"/>
            <w:vAlign w:val="center"/>
          </w:tcPr>
          <w:p w14:paraId="7B33267A">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55</w:t>
            </w:r>
          </w:p>
        </w:tc>
        <w:tc>
          <w:tcPr>
            <w:tcW w:w="949" w:type="dxa"/>
            <w:noWrap w:val="0"/>
            <w:vAlign w:val="center"/>
          </w:tcPr>
          <w:p w14:paraId="4DDA5814">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61.35</w:t>
            </w:r>
          </w:p>
        </w:tc>
        <w:tc>
          <w:tcPr>
            <w:tcW w:w="732" w:type="dxa"/>
            <w:noWrap w:val="0"/>
            <w:vAlign w:val="center"/>
          </w:tcPr>
          <w:p w14:paraId="79261221">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312</w:t>
            </w:r>
          </w:p>
        </w:tc>
        <w:tc>
          <w:tcPr>
            <w:tcW w:w="872" w:type="dxa"/>
            <w:noWrap w:val="0"/>
            <w:vAlign w:val="center"/>
          </w:tcPr>
          <w:p w14:paraId="1595C720">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128</w:t>
            </w:r>
          </w:p>
        </w:tc>
        <w:tc>
          <w:tcPr>
            <w:tcW w:w="809" w:type="dxa"/>
            <w:noWrap w:val="0"/>
            <w:vAlign w:val="center"/>
          </w:tcPr>
          <w:p w14:paraId="4449C73A">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98</w:t>
            </w:r>
          </w:p>
        </w:tc>
        <w:tc>
          <w:tcPr>
            <w:tcW w:w="1019" w:type="dxa"/>
            <w:noWrap w:val="0"/>
            <w:vAlign w:val="center"/>
          </w:tcPr>
          <w:p w14:paraId="0B66C753">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62</w:t>
            </w:r>
          </w:p>
        </w:tc>
      </w:tr>
      <w:tr w14:paraId="5F9DD98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5641F7CC">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8</w:t>
            </w:r>
          </w:p>
        </w:tc>
        <w:tc>
          <w:tcPr>
            <w:tcW w:w="1279" w:type="dxa"/>
            <w:noWrap w:val="0"/>
            <w:vAlign w:val="center"/>
          </w:tcPr>
          <w:p w14:paraId="4EED3610">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砂光机</w:t>
            </w:r>
          </w:p>
        </w:tc>
        <w:tc>
          <w:tcPr>
            <w:tcW w:w="1065" w:type="dxa"/>
            <w:noWrap w:val="0"/>
            <w:vAlign w:val="center"/>
          </w:tcPr>
          <w:p w14:paraId="2242F7F3">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3</w:t>
            </w:r>
          </w:p>
        </w:tc>
        <w:tc>
          <w:tcPr>
            <w:tcW w:w="807" w:type="dxa"/>
            <w:noWrap w:val="0"/>
            <w:vAlign w:val="center"/>
          </w:tcPr>
          <w:p w14:paraId="06591BC8">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60</w:t>
            </w:r>
          </w:p>
        </w:tc>
        <w:tc>
          <w:tcPr>
            <w:tcW w:w="949" w:type="dxa"/>
            <w:noWrap w:val="0"/>
            <w:vAlign w:val="center"/>
          </w:tcPr>
          <w:p w14:paraId="53DA778E">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65.05</w:t>
            </w:r>
          </w:p>
        </w:tc>
        <w:tc>
          <w:tcPr>
            <w:tcW w:w="732" w:type="dxa"/>
            <w:noWrap w:val="0"/>
            <w:vAlign w:val="center"/>
          </w:tcPr>
          <w:p w14:paraId="079D8DAF">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312</w:t>
            </w:r>
          </w:p>
        </w:tc>
        <w:tc>
          <w:tcPr>
            <w:tcW w:w="872" w:type="dxa"/>
            <w:noWrap w:val="0"/>
            <w:vAlign w:val="center"/>
          </w:tcPr>
          <w:p w14:paraId="54C2391D">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128</w:t>
            </w:r>
          </w:p>
        </w:tc>
        <w:tc>
          <w:tcPr>
            <w:tcW w:w="809" w:type="dxa"/>
            <w:noWrap w:val="0"/>
            <w:vAlign w:val="center"/>
          </w:tcPr>
          <w:p w14:paraId="624E884B">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98</w:t>
            </w:r>
          </w:p>
        </w:tc>
        <w:tc>
          <w:tcPr>
            <w:tcW w:w="1019" w:type="dxa"/>
            <w:noWrap w:val="0"/>
            <w:vAlign w:val="center"/>
          </w:tcPr>
          <w:p w14:paraId="4F563798">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62</w:t>
            </w:r>
          </w:p>
        </w:tc>
      </w:tr>
      <w:tr w14:paraId="4AC7E60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6B2FE9BE">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9</w:t>
            </w:r>
          </w:p>
        </w:tc>
        <w:tc>
          <w:tcPr>
            <w:tcW w:w="1279" w:type="dxa"/>
            <w:noWrap w:val="0"/>
            <w:vAlign w:val="center"/>
          </w:tcPr>
          <w:p w14:paraId="1A60A369">
            <w:pPr>
              <w:pStyle w:val="421"/>
              <w:spacing w:line="321" w:lineRule="exact"/>
              <w:ind w:right="115" w:firstLine="0"/>
              <w:rPr>
                <w:rFonts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冷压机</w:t>
            </w:r>
          </w:p>
        </w:tc>
        <w:tc>
          <w:tcPr>
            <w:tcW w:w="1065" w:type="dxa"/>
            <w:noWrap w:val="0"/>
            <w:vAlign w:val="center"/>
          </w:tcPr>
          <w:p w14:paraId="101207A5">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2</w:t>
            </w:r>
          </w:p>
        </w:tc>
        <w:tc>
          <w:tcPr>
            <w:tcW w:w="807" w:type="dxa"/>
            <w:noWrap w:val="0"/>
            <w:vAlign w:val="center"/>
          </w:tcPr>
          <w:p w14:paraId="3D37D320">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55</w:t>
            </w:r>
          </w:p>
        </w:tc>
        <w:tc>
          <w:tcPr>
            <w:tcW w:w="949" w:type="dxa"/>
            <w:noWrap w:val="0"/>
            <w:vAlign w:val="center"/>
          </w:tcPr>
          <w:p w14:paraId="711069FE">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58.01</w:t>
            </w:r>
          </w:p>
        </w:tc>
        <w:tc>
          <w:tcPr>
            <w:tcW w:w="732" w:type="dxa"/>
            <w:noWrap w:val="0"/>
            <w:vAlign w:val="center"/>
          </w:tcPr>
          <w:p w14:paraId="5F4DB804">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312</w:t>
            </w:r>
          </w:p>
        </w:tc>
        <w:tc>
          <w:tcPr>
            <w:tcW w:w="872" w:type="dxa"/>
            <w:noWrap w:val="0"/>
            <w:vAlign w:val="center"/>
          </w:tcPr>
          <w:p w14:paraId="6711005C">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128</w:t>
            </w:r>
          </w:p>
        </w:tc>
        <w:tc>
          <w:tcPr>
            <w:tcW w:w="809" w:type="dxa"/>
            <w:noWrap w:val="0"/>
            <w:vAlign w:val="center"/>
          </w:tcPr>
          <w:p w14:paraId="38EF80EC">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98</w:t>
            </w:r>
          </w:p>
        </w:tc>
        <w:tc>
          <w:tcPr>
            <w:tcW w:w="1019" w:type="dxa"/>
            <w:noWrap w:val="0"/>
            <w:vAlign w:val="center"/>
          </w:tcPr>
          <w:p w14:paraId="50AF7656">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62</w:t>
            </w:r>
          </w:p>
        </w:tc>
      </w:tr>
      <w:tr w14:paraId="6742659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5DC5EAE5">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rPr>
              <w:t>10</w:t>
            </w:r>
          </w:p>
        </w:tc>
        <w:tc>
          <w:tcPr>
            <w:tcW w:w="1279" w:type="dxa"/>
            <w:noWrap w:val="0"/>
            <w:vAlign w:val="center"/>
          </w:tcPr>
          <w:p w14:paraId="21F0CEE6">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锯边机</w:t>
            </w:r>
          </w:p>
        </w:tc>
        <w:tc>
          <w:tcPr>
            <w:tcW w:w="1065" w:type="dxa"/>
            <w:noWrap w:val="0"/>
            <w:vAlign w:val="center"/>
          </w:tcPr>
          <w:p w14:paraId="07505F28">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2</w:t>
            </w:r>
          </w:p>
        </w:tc>
        <w:tc>
          <w:tcPr>
            <w:tcW w:w="807" w:type="dxa"/>
            <w:noWrap w:val="0"/>
            <w:vAlign w:val="center"/>
          </w:tcPr>
          <w:p w14:paraId="59FAAB3C">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60</w:t>
            </w:r>
          </w:p>
        </w:tc>
        <w:tc>
          <w:tcPr>
            <w:tcW w:w="949" w:type="dxa"/>
            <w:noWrap w:val="0"/>
            <w:vAlign w:val="center"/>
          </w:tcPr>
          <w:p w14:paraId="6AEF358D">
            <w:pPr>
              <w:pStyle w:val="421"/>
              <w:tabs>
                <w:tab w:val="left" w:pos="555"/>
              </w:tabs>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63.01</w:t>
            </w:r>
          </w:p>
        </w:tc>
        <w:tc>
          <w:tcPr>
            <w:tcW w:w="732" w:type="dxa"/>
            <w:noWrap w:val="0"/>
            <w:vAlign w:val="center"/>
          </w:tcPr>
          <w:p w14:paraId="13A5F846">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312</w:t>
            </w:r>
          </w:p>
        </w:tc>
        <w:tc>
          <w:tcPr>
            <w:tcW w:w="872" w:type="dxa"/>
            <w:noWrap w:val="0"/>
            <w:vAlign w:val="center"/>
          </w:tcPr>
          <w:p w14:paraId="4E00BA3E">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128</w:t>
            </w:r>
          </w:p>
        </w:tc>
        <w:tc>
          <w:tcPr>
            <w:tcW w:w="809" w:type="dxa"/>
            <w:noWrap w:val="0"/>
            <w:vAlign w:val="center"/>
          </w:tcPr>
          <w:p w14:paraId="7521F061">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98</w:t>
            </w:r>
          </w:p>
        </w:tc>
        <w:tc>
          <w:tcPr>
            <w:tcW w:w="1019" w:type="dxa"/>
            <w:noWrap w:val="0"/>
            <w:vAlign w:val="center"/>
          </w:tcPr>
          <w:p w14:paraId="66D82455">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62</w:t>
            </w:r>
          </w:p>
        </w:tc>
      </w:tr>
      <w:tr w14:paraId="5161E21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5F07E7CD">
            <w:pPr>
              <w:pStyle w:val="421"/>
              <w:spacing w:line="321" w:lineRule="exact"/>
              <w:ind w:right="115" w:firstLine="0"/>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11</w:t>
            </w:r>
          </w:p>
        </w:tc>
        <w:tc>
          <w:tcPr>
            <w:tcW w:w="1279" w:type="dxa"/>
            <w:noWrap w:val="0"/>
            <w:vAlign w:val="center"/>
          </w:tcPr>
          <w:p w14:paraId="145E9ACA">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开槽机</w:t>
            </w:r>
          </w:p>
        </w:tc>
        <w:tc>
          <w:tcPr>
            <w:tcW w:w="1065" w:type="dxa"/>
            <w:noWrap w:val="0"/>
            <w:vAlign w:val="center"/>
          </w:tcPr>
          <w:p w14:paraId="7AF69345">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2</w:t>
            </w:r>
          </w:p>
        </w:tc>
        <w:tc>
          <w:tcPr>
            <w:tcW w:w="807" w:type="dxa"/>
            <w:noWrap w:val="0"/>
            <w:vAlign w:val="center"/>
          </w:tcPr>
          <w:p w14:paraId="0F741237">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60</w:t>
            </w:r>
          </w:p>
        </w:tc>
        <w:tc>
          <w:tcPr>
            <w:tcW w:w="949" w:type="dxa"/>
            <w:noWrap w:val="0"/>
            <w:vAlign w:val="center"/>
          </w:tcPr>
          <w:p w14:paraId="0487E41D">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63.01</w:t>
            </w:r>
          </w:p>
        </w:tc>
        <w:tc>
          <w:tcPr>
            <w:tcW w:w="732" w:type="dxa"/>
            <w:noWrap w:val="0"/>
            <w:vAlign w:val="center"/>
          </w:tcPr>
          <w:p w14:paraId="6195129D">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312</w:t>
            </w:r>
          </w:p>
        </w:tc>
        <w:tc>
          <w:tcPr>
            <w:tcW w:w="872" w:type="dxa"/>
            <w:noWrap w:val="0"/>
            <w:vAlign w:val="center"/>
          </w:tcPr>
          <w:p w14:paraId="38E45098">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128</w:t>
            </w:r>
          </w:p>
        </w:tc>
        <w:tc>
          <w:tcPr>
            <w:tcW w:w="809" w:type="dxa"/>
            <w:noWrap w:val="0"/>
            <w:vAlign w:val="center"/>
          </w:tcPr>
          <w:p w14:paraId="411D7AE7">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98</w:t>
            </w:r>
          </w:p>
        </w:tc>
        <w:tc>
          <w:tcPr>
            <w:tcW w:w="1019" w:type="dxa"/>
            <w:noWrap w:val="0"/>
            <w:vAlign w:val="center"/>
          </w:tcPr>
          <w:p w14:paraId="5EF71BA9">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62</w:t>
            </w:r>
          </w:p>
        </w:tc>
      </w:tr>
      <w:tr w14:paraId="5E87BC7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14C677F2">
            <w:pPr>
              <w:pStyle w:val="421"/>
              <w:spacing w:line="321" w:lineRule="exact"/>
              <w:ind w:right="115" w:firstLine="0"/>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12</w:t>
            </w:r>
          </w:p>
        </w:tc>
        <w:tc>
          <w:tcPr>
            <w:tcW w:w="1279" w:type="dxa"/>
            <w:noWrap w:val="0"/>
            <w:vAlign w:val="center"/>
          </w:tcPr>
          <w:p w14:paraId="3A9E71E0">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往复锯</w:t>
            </w:r>
          </w:p>
        </w:tc>
        <w:tc>
          <w:tcPr>
            <w:tcW w:w="1065" w:type="dxa"/>
            <w:noWrap w:val="0"/>
            <w:vAlign w:val="center"/>
          </w:tcPr>
          <w:p w14:paraId="7FCEBCB0">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2</w:t>
            </w:r>
          </w:p>
        </w:tc>
        <w:tc>
          <w:tcPr>
            <w:tcW w:w="807" w:type="dxa"/>
            <w:noWrap w:val="0"/>
            <w:vAlign w:val="center"/>
          </w:tcPr>
          <w:p w14:paraId="325D9E96">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60</w:t>
            </w:r>
          </w:p>
        </w:tc>
        <w:tc>
          <w:tcPr>
            <w:tcW w:w="949" w:type="dxa"/>
            <w:noWrap w:val="0"/>
            <w:vAlign w:val="center"/>
          </w:tcPr>
          <w:p w14:paraId="7AB20F0D">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63.01</w:t>
            </w:r>
          </w:p>
        </w:tc>
        <w:tc>
          <w:tcPr>
            <w:tcW w:w="732" w:type="dxa"/>
            <w:noWrap w:val="0"/>
            <w:vAlign w:val="center"/>
          </w:tcPr>
          <w:p w14:paraId="5B2664CC">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312</w:t>
            </w:r>
          </w:p>
        </w:tc>
        <w:tc>
          <w:tcPr>
            <w:tcW w:w="872" w:type="dxa"/>
            <w:noWrap w:val="0"/>
            <w:vAlign w:val="center"/>
          </w:tcPr>
          <w:p w14:paraId="02C0AB38">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128</w:t>
            </w:r>
          </w:p>
        </w:tc>
        <w:tc>
          <w:tcPr>
            <w:tcW w:w="809" w:type="dxa"/>
            <w:noWrap w:val="0"/>
            <w:vAlign w:val="center"/>
          </w:tcPr>
          <w:p w14:paraId="035E8CEF">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98</w:t>
            </w:r>
          </w:p>
        </w:tc>
        <w:tc>
          <w:tcPr>
            <w:tcW w:w="1019" w:type="dxa"/>
            <w:noWrap w:val="0"/>
            <w:vAlign w:val="center"/>
          </w:tcPr>
          <w:p w14:paraId="64D2507F">
            <w:pPr>
              <w:pStyle w:val="421"/>
              <w:spacing w:line="321" w:lineRule="exact"/>
              <w:ind w:right="115" w:firstLine="0"/>
              <w:jc w:val="center"/>
              <w:rPr>
                <w:rFonts w:hint="eastAsia" w:ascii="Times New Roman" w:hAnsi="Times New Roman" w:eastAsia="宋体" w:cs="Times New Roman"/>
                <w:color w:val="000000"/>
                <w:sz w:val="21"/>
                <w:szCs w:val="22"/>
                <w:lang w:val="en-US" w:eastAsia="zh-CN" w:bidi="ar-SA"/>
              </w:rPr>
            </w:pPr>
            <w:r>
              <w:rPr>
                <w:rFonts w:hint="eastAsia" w:ascii="Times New Roman" w:hAnsi="Times New Roman" w:eastAsia="宋体" w:cs="Times New Roman"/>
                <w:color w:val="000000"/>
                <w:sz w:val="21"/>
                <w:szCs w:val="22"/>
                <w:lang w:val="en-US" w:eastAsia="zh-CN"/>
              </w:rPr>
              <w:t>62</w:t>
            </w:r>
          </w:p>
        </w:tc>
      </w:tr>
      <w:tr w14:paraId="4E09AA3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6F703D70">
            <w:pPr>
              <w:pStyle w:val="421"/>
              <w:spacing w:line="321" w:lineRule="exact"/>
              <w:ind w:right="115" w:firstLine="0"/>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13</w:t>
            </w:r>
          </w:p>
        </w:tc>
        <w:tc>
          <w:tcPr>
            <w:tcW w:w="1279" w:type="dxa"/>
            <w:noWrap w:val="0"/>
            <w:vAlign w:val="center"/>
          </w:tcPr>
          <w:p w14:paraId="3FF4CDE1">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反应釜</w:t>
            </w:r>
          </w:p>
        </w:tc>
        <w:tc>
          <w:tcPr>
            <w:tcW w:w="1065" w:type="dxa"/>
            <w:noWrap w:val="0"/>
            <w:vAlign w:val="center"/>
          </w:tcPr>
          <w:p w14:paraId="421C547C">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2</w:t>
            </w:r>
          </w:p>
        </w:tc>
        <w:tc>
          <w:tcPr>
            <w:tcW w:w="807" w:type="dxa"/>
            <w:noWrap w:val="0"/>
            <w:vAlign w:val="center"/>
          </w:tcPr>
          <w:p w14:paraId="4D1AC8D0">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55</w:t>
            </w:r>
          </w:p>
        </w:tc>
        <w:tc>
          <w:tcPr>
            <w:tcW w:w="949" w:type="dxa"/>
            <w:noWrap w:val="0"/>
            <w:vAlign w:val="center"/>
          </w:tcPr>
          <w:p w14:paraId="40404BD5">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58.01</w:t>
            </w:r>
          </w:p>
        </w:tc>
        <w:tc>
          <w:tcPr>
            <w:tcW w:w="732" w:type="dxa"/>
            <w:noWrap w:val="0"/>
            <w:vAlign w:val="center"/>
          </w:tcPr>
          <w:p w14:paraId="68173442">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245</w:t>
            </w:r>
          </w:p>
        </w:tc>
        <w:tc>
          <w:tcPr>
            <w:tcW w:w="872" w:type="dxa"/>
            <w:noWrap w:val="0"/>
            <w:vAlign w:val="center"/>
          </w:tcPr>
          <w:p w14:paraId="405EE0BE">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208</w:t>
            </w:r>
          </w:p>
        </w:tc>
        <w:tc>
          <w:tcPr>
            <w:tcW w:w="809" w:type="dxa"/>
            <w:noWrap w:val="0"/>
            <w:vAlign w:val="center"/>
          </w:tcPr>
          <w:p w14:paraId="392C043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153</w:t>
            </w:r>
          </w:p>
        </w:tc>
        <w:tc>
          <w:tcPr>
            <w:tcW w:w="1019" w:type="dxa"/>
            <w:noWrap w:val="0"/>
            <w:vAlign w:val="center"/>
          </w:tcPr>
          <w:p w14:paraId="3C910A64">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25</w:t>
            </w:r>
          </w:p>
        </w:tc>
      </w:tr>
      <w:tr w14:paraId="6394BA6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3E14CD91">
            <w:pPr>
              <w:pStyle w:val="421"/>
              <w:spacing w:line="321" w:lineRule="exact"/>
              <w:ind w:right="115" w:firstLine="0"/>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14</w:t>
            </w:r>
          </w:p>
        </w:tc>
        <w:tc>
          <w:tcPr>
            <w:tcW w:w="1279" w:type="dxa"/>
            <w:noWrap w:val="0"/>
            <w:vAlign w:val="center"/>
          </w:tcPr>
          <w:p w14:paraId="349B94F1">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空压机</w:t>
            </w:r>
          </w:p>
        </w:tc>
        <w:tc>
          <w:tcPr>
            <w:tcW w:w="1065" w:type="dxa"/>
            <w:noWrap w:val="0"/>
            <w:vAlign w:val="center"/>
          </w:tcPr>
          <w:p w14:paraId="1FD2B4E4">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2</w:t>
            </w:r>
          </w:p>
        </w:tc>
        <w:tc>
          <w:tcPr>
            <w:tcW w:w="807" w:type="dxa"/>
            <w:noWrap w:val="0"/>
            <w:vAlign w:val="center"/>
          </w:tcPr>
          <w:p w14:paraId="1374D861">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68</w:t>
            </w:r>
          </w:p>
        </w:tc>
        <w:tc>
          <w:tcPr>
            <w:tcW w:w="949" w:type="dxa"/>
            <w:noWrap w:val="0"/>
            <w:vAlign w:val="center"/>
          </w:tcPr>
          <w:p w14:paraId="40DDF481">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71.01</w:t>
            </w:r>
          </w:p>
        </w:tc>
        <w:tc>
          <w:tcPr>
            <w:tcW w:w="732" w:type="dxa"/>
            <w:noWrap w:val="0"/>
            <w:vAlign w:val="center"/>
          </w:tcPr>
          <w:p w14:paraId="4751A9AF">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328</w:t>
            </w:r>
          </w:p>
        </w:tc>
        <w:tc>
          <w:tcPr>
            <w:tcW w:w="872" w:type="dxa"/>
            <w:noWrap w:val="0"/>
            <w:vAlign w:val="center"/>
          </w:tcPr>
          <w:p w14:paraId="32DABA7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130</w:t>
            </w:r>
          </w:p>
        </w:tc>
        <w:tc>
          <w:tcPr>
            <w:tcW w:w="809" w:type="dxa"/>
            <w:noWrap w:val="0"/>
            <w:vAlign w:val="center"/>
          </w:tcPr>
          <w:p w14:paraId="003E4A22">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156</w:t>
            </w:r>
          </w:p>
        </w:tc>
        <w:tc>
          <w:tcPr>
            <w:tcW w:w="1019" w:type="dxa"/>
            <w:noWrap w:val="0"/>
            <w:vAlign w:val="center"/>
          </w:tcPr>
          <w:p w14:paraId="6599D454">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15</w:t>
            </w:r>
          </w:p>
        </w:tc>
      </w:tr>
      <w:tr w14:paraId="529776B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23B41405">
            <w:pPr>
              <w:pStyle w:val="421"/>
              <w:spacing w:line="321" w:lineRule="exact"/>
              <w:ind w:right="115" w:firstLine="0"/>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15</w:t>
            </w:r>
          </w:p>
        </w:tc>
        <w:tc>
          <w:tcPr>
            <w:tcW w:w="1279" w:type="dxa"/>
            <w:noWrap w:val="0"/>
            <w:vAlign w:val="center"/>
          </w:tcPr>
          <w:p w14:paraId="58978810">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车、铣、刨、钻等机加工设备</w:t>
            </w:r>
          </w:p>
        </w:tc>
        <w:tc>
          <w:tcPr>
            <w:tcW w:w="1065" w:type="dxa"/>
            <w:noWrap w:val="0"/>
            <w:vAlign w:val="center"/>
          </w:tcPr>
          <w:p w14:paraId="2A2509D9">
            <w:pPr>
              <w:pStyle w:val="421"/>
              <w:spacing w:line="321" w:lineRule="exact"/>
              <w:ind w:right="115" w:firstLine="0"/>
              <w:jc w:val="center"/>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4</w:t>
            </w:r>
          </w:p>
        </w:tc>
        <w:tc>
          <w:tcPr>
            <w:tcW w:w="807" w:type="dxa"/>
            <w:noWrap w:val="0"/>
            <w:vAlign w:val="center"/>
          </w:tcPr>
          <w:p w14:paraId="6D111AF8">
            <w:pPr>
              <w:ind w:firstLine="0"/>
              <w:jc w:val="center"/>
              <w:rPr>
                <w:rFonts w:hint="eastAsia" w:ascii="Times New Roman" w:hAnsi="Times New Roman" w:eastAsia="宋体" w:cs="Times New Roman"/>
                <w:color w:val="000000"/>
                <w:sz w:val="21"/>
                <w:szCs w:val="22"/>
              </w:rPr>
            </w:pPr>
            <w:r>
              <w:rPr>
                <w:rFonts w:hint="eastAsia"/>
                <w:color w:val="000000"/>
                <w:sz w:val="21"/>
                <w:szCs w:val="22"/>
                <w:lang w:val="en-US" w:eastAsia="zh-CN"/>
              </w:rPr>
              <w:t>65</w:t>
            </w:r>
          </w:p>
        </w:tc>
        <w:tc>
          <w:tcPr>
            <w:tcW w:w="949" w:type="dxa"/>
            <w:noWrap w:val="0"/>
            <w:vAlign w:val="center"/>
          </w:tcPr>
          <w:p w14:paraId="21D10C4A">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71.02</w:t>
            </w:r>
          </w:p>
        </w:tc>
        <w:tc>
          <w:tcPr>
            <w:tcW w:w="732" w:type="dxa"/>
            <w:noWrap w:val="0"/>
            <w:vAlign w:val="center"/>
          </w:tcPr>
          <w:p w14:paraId="58C89F67">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434</w:t>
            </w:r>
          </w:p>
        </w:tc>
        <w:tc>
          <w:tcPr>
            <w:tcW w:w="872" w:type="dxa"/>
            <w:noWrap w:val="0"/>
            <w:vAlign w:val="center"/>
          </w:tcPr>
          <w:p w14:paraId="6411EBA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30</w:t>
            </w:r>
          </w:p>
        </w:tc>
        <w:tc>
          <w:tcPr>
            <w:tcW w:w="809" w:type="dxa"/>
            <w:noWrap w:val="0"/>
            <w:vAlign w:val="center"/>
          </w:tcPr>
          <w:p w14:paraId="56D7D646">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40</w:t>
            </w:r>
          </w:p>
        </w:tc>
        <w:tc>
          <w:tcPr>
            <w:tcW w:w="1019" w:type="dxa"/>
            <w:noWrap w:val="0"/>
            <w:vAlign w:val="center"/>
          </w:tcPr>
          <w:p w14:paraId="3C8A3946">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90</w:t>
            </w:r>
          </w:p>
        </w:tc>
      </w:tr>
      <w:tr w14:paraId="5A607A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9" w:hRule="atLeast"/>
          <w:jc w:val="center"/>
        </w:trPr>
        <w:tc>
          <w:tcPr>
            <w:tcW w:w="594" w:type="dxa"/>
            <w:noWrap w:val="0"/>
            <w:vAlign w:val="center"/>
          </w:tcPr>
          <w:p w14:paraId="1C5447C3">
            <w:pPr>
              <w:pStyle w:val="421"/>
              <w:spacing w:line="321" w:lineRule="exact"/>
              <w:ind w:right="115" w:firstLine="0"/>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16</w:t>
            </w:r>
          </w:p>
        </w:tc>
        <w:tc>
          <w:tcPr>
            <w:tcW w:w="1279" w:type="dxa"/>
            <w:noWrap w:val="0"/>
            <w:vAlign w:val="center"/>
          </w:tcPr>
          <w:p w14:paraId="1AB86822">
            <w:pPr>
              <w:pStyle w:val="421"/>
              <w:spacing w:line="321" w:lineRule="exact"/>
              <w:ind w:right="115" w:firstLine="0"/>
              <w:rPr>
                <w:rFonts w:hint="eastAsia" w:ascii="Times New Roman" w:hAnsi="Times New Roman" w:eastAsia="宋体" w:cs="Times New Roman"/>
                <w:color w:val="000000"/>
                <w:sz w:val="21"/>
                <w:szCs w:val="22"/>
              </w:rPr>
            </w:pPr>
            <w:r>
              <w:rPr>
                <w:rFonts w:hint="eastAsia" w:ascii="Times New Roman" w:hAnsi="Times New Roman" w:eastAsia="宋体" w:cs="Times New Roman"/>
                <w:color w:val="000000"/>
                <w:sz w:val="21"/>
                <w:szCs w:val="22"/>
                <w:lang w:val="en-US" w:eastAsia="zh-CN"/>
              </w:rPr>
              <w:t>热载体炉</w:t>
            </w:r>
            <w:r>
              <w:rPr>
                <w:rFonts w:hint="eastAsia" w:ascii="Times New Roman" w:hAnsi="Times New Roman" w:eastAsia="宋体" w:cs="Times New Roman"/>
                <w:color w:val="000000"/>
                <w:sz w:val="21"/>
                <w:szCs w:val="22"/>
              </w:rPr>
              <w:t>及风机</w:t>
            </w:r>
          </w:p>
        </w:tc>
        <w:tc>
          <w:tcPr>
            <w:tcW w:w="1065" w:type="dxa"/>
            <w:noWrap w:val="0"/>
            <w:vAlign w:val="center"/>
          </w:tcPr>
          <w:p w14:paraId="169901B3">
            <w:pPr>
              <w:pStyle w:val="421"/>
              <w:spacing w:line="321" w:lineRule="exact"/>
              <w:ind w:right="115" w:firstLine="0"/>
              <w:jc w:val="center"/>
              <w:rPr>
                <w:rFonts w:hint="eastAsia"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w:t>
            </w:r>
          </w:p>
        </w:tc>
        <w:tc>
          <w:tcPr>
            <w:tcW w:w="807" w:type="dxa"/>
            <w:noWrap w:val="0"/>
            <w:vAlign w:val="center"/>
          </w:tcPr>
          <w:p w14:paraId="53196D4F">
            <w:pPr>
              <w:pStyle w:val="421"/>
              <w:spacing w:line="321" w:lineRule="exact"/>
              <w:ind w:right="115" w:firstLine="0"/>
              <w:jc w:val="center"/>
              <w:rPr>
                <w:rFonts w:hint="eastAsia"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60</w:t>
            </w:r>
          </w:p>
        </w:tc>
        <w:tc>
          <w:tcPr>
            <w:tcW w:w="949" w:type="dxa"/>
            <w:noWrap w:val="0"/>
            <w:vAlign w:val="center"/>
          </w:tcPr>
          <w:p w14:paraId="4782EBCB">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60</w:t>
            </w:r>
          </w:p>
        </w:tc>
        <w:tc>
          <w:tcPr>
            <w:tcW w:w="732" w:type="dxa"/>
            <w:noWrap w:val="0"/>
            <w:vAlign w:val="center"/>
          </w:tcPr>
          <w:p w14:paraId="111C48C8">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186</w:t>
            </w:r>
          </w:p>
        </w:tc>
        <w:tc>
          <w:tcPr>
            <w:tcW w:w="872" w:type="dxa"/>
            <w:noWrap w:val="0"/>
            <w:vAlign w:val="center"/>
          </w:tcPr>
          <w:p w14:paraId="68B04AE8">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267</w:t>
            </w:r>
          </w:p>
        </w:tc>
        <w:tc>
          <w:tcPr>
            <w:tcW w:w="809" w:type="dxa"/>
            <w:noWrap w:val="0"/>
            <w:vAlign w:val="center"/>
          </w:tcPr>
          <w:p w14:paraId="3B8BCDFA">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150</w:t>
            </w:r>
          </w:p>
        </w:tc>
        <w:tc>
          <w:tcPr>
            <w:tcW w:w="1019" w:type="dxa"/>
            <w:noWrap w:val="0"/>
            <w:vAlign w:val="center"/>
          </w:tcPr>
          <w:p w14:paraId="1A867345">
            <w:pPr>
              <w:pStyle w:val="421"/>
              <w:spacing w:line="321" w:lineRule="exact"/>
              <w:ind w:right="115" w:firstLine="0"/>
              <w:jc w:val="center"/>
              <w:rPr>
                <w:rFonts w:ascii="Times New Roman" w:hAnsi="Times New Roman" w:eastAsia="宋体" w:cs="Times New Roman"/>
                <w:color w:val="000000"/>
                <w:sz w:val="21"/>
                <w:szCs w:val="22"/>
                <w:lang w:val="en-US" w:eastAsia="zh-CN"/>
              </w:rPr>
            </w:pPr>
            <w:r>
              <w:rPr>
                <w:rFonts w:hint="eastAsia" w:ascii="Times New Roman" w:hAnsi="Times New Roman" w:eastAsia="宋体" w:cs="Times New Roman"/>
                <w:color w:val="000000"/>
                <w:sz w:val="21"/>
                <w:szCs w:val="22"/>
                <w:lang w:val="en-US" w:eastAsia="zh-CN"/>
              </w:rPr>
              <w:t>20</w:t>
            </w:r>
          </w:p>
        </w:tc>
      </w:tr>
    </w:tbl>
    <w:p w14:paraId="6F2C7344">
      <w:pPr>
        <w:pStyle w:val="2"/>
        <w:ind w:firstLine="480"/>
        <w:rPr>
          <w:rFonts w:ascii="Times New Roman" w:hAnsi="Times New Roman" w:cs="Times New Roman"/>
          <w:sz w:val="24"/>
          <w:szCs w:val="24"/>
        </w:rPr>
      </w:pPr>
      <w:r>
        <w:rPr>
          <w:rFonts w:ascii="Times New Roman" w:hAnsi="Times New Roman" w:cs="Times New Roman"/>
          <w:sz w:val="24"/>
          <w:szCs w:val="24"/>
        </w:rPr>
        <w:t xml:space="preserve"> （2）厂界影响预测分析</w:t>
      </w:r>
    </w:p>
    <w:p w14:paraId="30B8ABE3">
      <w:pPr>
        <w:pStyle w:val="2"/>
        <w:ind w:firstLine="480"/>
        <w:rPr>
          <w:rFonts w:ascii="Times New Roman" w:hAnsi="Times New Roman" w:cs="Times New Roman"/>
          <w:sz w:val="24"/>
          <w:szCs w:val="24"/>
        </w:rPr>
      </w:pPr>
      <w:r>
        <w:rPr>
          <w:rFonts w:ascii="Times New Roman" w:hAnsi="Times New Roman" w:cs="Times New Roman"/>
          <w:sz w:val="24"/>
          <w:szCs w:val="24"/>
        </w:rPr>
        <w:t xml:space="preserve">  </w:t>
      </w:r>
      <w:r>
        <w:rPr>
          <w:rFonts w:hint="eastAsia" w:hAnsi="宋体" w:cs="宋体"/>
          <w:sz w:val="24"/>
          <w:szCs w:val="24"/>
        </w:rPr>
        <w:t>①</w:t>
      </w:r>
      <w:r>
        <w:rPr>
          <w:rFonts w:ascii="Times New Roman" w:hAnsi="Times New Roman" w:cs="Times New Roman"/>
          <w:sz w:val="24"/>
          <w:szCs w:val="24"/>
        </w:rPr>
        <w:t>预测模式</w:t>
      </w:r>
    </w:p>
    <w:p w14:paraId="587DDBE7">
      <w:pPr>
        <w:pStyle w:val="2"/>
        <w:ind w:firstLine="480"/>
        <w:rPr>
          <w:rFonts w:ascii="Times New Roman" w:hAnsi="Times New Roman" w:cs="Times New Roman"/>
          <w:sz w:val="24"/>
          <w:szCs w:val="24"/>
        </w:rPr>
      </w:pPr>
      <w:bookmarkStart w:id="162" w:name="_Toc184482080"/>
      <w:bookmarkStart w:id="163" w:name="_Toc184481523"/>
      <w:r>
        <w:rPr>
          <w:rFonts w:ascii="Times New Roman" w:hAnsi="Times New Roman" w:cs="Times New Roman"/>
          <w:sz w:val="24"/>
          <w:szCs w:val="24"/>
        </w:rPr>
        <w:t>根据HJ2.4-2009《环境影响评价技术导则》（声环境），无指向性点声源几何发散衰减按下列公式计算：</w:t>
      </w:r>
      <w:bookmarkEnd w:id="162"/>
      <w:bookmarkEnd w:id="163"/>
    </w:p>
    <w:p w14:paraId="6470832D">
      <w:pPr>
        <w:pStyle w:val="2"/>
        <w:ind w:firstLine="480"/>
        <w:rPr>
          <w:rFonts w:ascii="Times New Roman" w:hAnsi="Times New Roman" w:cs="Times New Roman"/>
          <w:sz w:val="24"/>
          <w:szCs w:val="24"/>
        </w:rPr>
      </w:pPr>
      <w:bookmarkStart w:id="164" w:name="_Toc203273547"/>
      <w:bookmarkStart w:id="165" w:name="_Toc184481524"/>
      <w:bookmarkStart w:id="166" w:name="_Toc203276013"/>
      <w:bookmarkStart w:id="167" w:name="_Toc203274782"/>
      <w:bookmarkStart w:id="168" w:name="_Toc184482081"/>
      <w:r>
        <w:rPr>
          <w:rFonts w:ascii="Times New Roman" w:hAnsi="Times New Roman" w:cs="Times New Roman"/>
          <w:sz w:val="24"/>
          <w:szCs w:val="24"/>
        </w:rPr>
        <w:t>L2=L1–20lg(r2/r1)</w:t>
      </w:r>
      <w:bookmarkEnd w:id="164"/>
      <w:bookmarkEnd w:id="165"/>
      <w:bookmarkEnd w:id="166"/>
      <w:bookmarkEnd w:id="167"/>
      <w:bookmarkEnd w:id="168"/>
    </w:p>
    <w:p w14:paraId="40C892CC">
      <w:pPr>
        <w:pStyle w:val="2"/>
        <w:ind w:firstLine="480"/>
        <w:rPr>
          <w:rFonts w:ascii="Times New Roman" w:hAnsi="Times New Roman" w:cs="Times New Roman"/>
          <w:sz w:val="24"/>
          <w:szCs w:val="24"/>
        </w:rPr>
      </w:pPr>
      <w:bookmarkStart w:id="169" w:name="_Toc184481525"/>
      <w:bookmarkStart w:id="170" w:name="_Toc184482082"/>
      <w:r>
        <w:rPr>
          <w:rFonts w:ascii="Times New Roman" w:hAnsi="Times New Roman" w:cs="Times New Roman"/>
          <w:sz w:val="24"/>
          <w:szCs w:val="24"/>
        </w:rPr>
        <w:t>式中：r1、r2---距声源的距离，m；</w:t>
      </w:r>
      <w:bookmarkEnd w:id="169"/>
      <w:bookmarkEnd w:id="170"/>
    </w:p>
    <w:p w14:paraId="693490AE">
      <w:pPr>
        <w:pStyle w:val="2"/>
        <w:ind w:firstLine="480"/>
        <w:rPr>
          <w:rFonts w:ascii="Times New Roman" w:hAnsi="Times New Roman" w:cs="Times New Roman"/>
          <w:sz w:val="24"/>
          <w:szCs w:val="24"/>
        </w:rPr>
      </w:pPr>
      <w:bookmarkStart w:id="171" w:name="_Toc184481526"/>
      <w:bookmarkStart w:id="172" w:name="_Toc203274783"/>
      <w:bookmarkStart w:id="173" w:name="_Toc203273548"/>
      <w:bookmarkStart w:id="174" w:name="_Toc203276014"/>
      <w:bookmarkStart w:id="175" w:name="_Toc184482083"/>
      <w:r>
        <w:rPr>
          <w:rFonts w:ascii="Times New Roman" w:hAnsi="Times New Roman" w:cs="Times New Roman"/>
          <w:sz w:val="24"/>
          <w:szCs w:val="24"/>
        </w:rPr>
        <w:t>L1、L2---- r1、r2距离处的声强级，dB（A）；</w:t>
      </w:r>
      <w:bookmarkEnd w:id="171"/>
      <w:bookmarkEnd w:id="172"/>
      <w:bookmarkEnd w:id="173"/>
      <w:bookmarkEnd w:id="174"/>
      <w:bookmarkEnd w:id="175"/>
    </w:p>
    <w:p w14:paraId="3D04749A">
      <w:pPr>
        <w:pStyle w:val="2"/>
        <w:ind w:firstLine="480"/>
        <w:rPr>
          <w:rFonts w:ascii="Times New Roman" w:hAnsi="Times New Roman" w:cs="Times New Roman"/>
          <w:sz w:val="24"/>
          <w:szCs w:val="24"/>
        </w:rPr>
      </w:pPr>
      <w:bookmarkStart w:id="176" w:name="_Toc184482088"/>
      <w:bookmarkStart w:id="177" w:name="_Toc184481531"/>
      <w:r>
        <w:rPr>
          <w:rFonts w:ascii="Times New Roman" w:hAnsi="Times New Roman" w:cs="Times New Roman"/>
          <w:sz w:val="24"/>
          <w:szCs w:val="24"/>
        </w:rPr>
        <w:t>各受声点的声源迭加按下列公式计算：</w:t>
      </w:r>
      <w:bookmarkEnd w:id="176"/>
      <w:bookmarkEnd w:id="177"/>
    </w:p>
    <w:p w14:paraId="222E0BB3">
      <w:pPr>
        <w:pStyle w:val="2"/>
        <w:ind w:firstLine="480"/>
        <w:rPr>
          <w:rFonts w:ascii="Times New Roman" w:hAnsi="Times New Roman" w:cs="Times New Roman"/>
          <w:sz w:val="24"/>
          <w:szCs w:val="24"/>
        </w:rPr>
      </w:pPr>
      <w:bookmarkStart w:id="178" w:name="_Toc184482090"/>
      <w:bookmarkStart w:id="179" w:name="_Toc184481533"/>
      <w:r>
        <w:rPr>
          <w:rFonts w:ascii="Times New Roman" w:hAnsi="Times New Roman" w:cs="Times New Roman"/>
          <w:sz w:val="24"/>
          <w:szCs w:val="24"/>
        </w:rPr>
        <w:t>L = 10lg(100.1L1+100.1L2+…+100.1Ln)</w:t>
      </w:r>
    </w:p>
    <w:p w14:paraId="541778AE">
      <w:pPr>
        <w:pStyle w:val="2"/>
        <w:ind w:firstLine="480"/>
        <w:rPr>
          <w:rFonts w:ascii="Times New Roman" w:hAnsi="Times New Roman" w:cs="Times New Roman"/>
          <w:sz w:val="24"/>
          <w:szCs w:val="24"/>
        </w:rPr>
      </w:pPr>
      <w:r>
        <w:rPr>
          <w:rFonts w:ascii="Times New Roman" w:hAnsi="Times New Roman" w:cs="Times New Roman"/>
          <w:sz w:val="24"/>
          <w:szCs w:val="24"/>
        </w:rPr>
        <w:t>式中：L--- 总声压级</w:t>
      </w:r>
      <w:bookmarkEnd w:id="178"/>
      <w:bookmarkEnd w:id="179"/>
      <w:r>
        <w:rPr>
          <w:rFonts w:ascii="Times New Roman" w:hAnsi="Times New Roman" w:cs="Times New Roman"/>
          <w:sz w:val="24"/>
          <w:szCs w:val="24"/>
        </w:rPr>
        <w:t>，dB(A)；</w:t>
      </w:r>
    </w:p>
    <w:p w14:paraId="2E95A42C">
      <w:pPr>
        <w:pStyle w:val="2"/>
        <w:ind w:firstLine="480"/>
        <w:rPr>
          <w:rFonts w:ascii="Times New Roman" w:hAnsi="Times New Roman" w:cs="Times New Roman"/>
          <w:sz w:val="24"/>
          <w:szCs w:val="24"/>
        </w:rPr>
      </w:pPr>
      <w:r>
        <w:rPr>
          <w:rFonts w:ascii="Times New Roman" w:hAnsi="Times New Roman" w:cs="Times New Roman"/>
          <w:sz w:val="24"/>
          <w:szCs w:val="24"/>
        </w:rPr>
        <w:t xml:space="preserve">      </w:t>
      </w:r>
      <w:bookmarkStart w:id="180" w:name="_Toc184482091"/>
      <w:bookmarkStart w:id="181" w:name="_Toc184481534"/>
      <w:r>
        <w:rPr>
          <w:rFonts w:ascii="Times New Roman" w:hAnsi="Times New Roman" w:cs="Times New Roman"/>
          <w:sz w:val="24"/>
          <w:szCs w:val="24"/>
        </w:rPr>
        <w:t>L1……Ln---第1个至第n个噪声源在某一预测点处的声压级；</w:t>
      </w:r>
      <w:bookmarkEnd w:id="180"/>
      <w:bookmarkEnd w:id="181"/>
    </w:p>
    <w:p w14:paraId="1C3D86B4">
      <w:pPr>
        <w:pStyle w:val="2"/>
        <w:ind w:left="480" w:firstLine="0"/>
        <w:rPr>
          <w:rFonts w:ascii="Times New Roman" w:hAnsi="Times New Roman" w:cs="Times New Roman"/>
          <w:sz w:val="24"/>
          <w:szCs w:val="24"/>
        </w:rPr>
      </w:pPr>
      <w:r>
        <w:rPr>
          <w:rFonts w:hint="eastAsia" w:hAnsi="宋体" w:cs="宋体"/>
          <w:sz w:val="24"/>
          <w:szCs w:val="24"/>
        </w:rPr>
        <w:t>②</w:t>
      </w:r>
      <w:r>
        <w:rPr>
          <w:rFonts w:ascii="Times New Roman" w:hAnsi="Times New Roman" w:cs="Times New Roman"/>
          <w:sz w:val="24"/>
          <w:szCs w:val="24"/>
        </w:rPr>
        <w:t>厂界噪声预测结果及影响分析</w:t>
      </w:r>
    </w:p>
    <w:p w14:paraId="025DFE11">
      <w:pPr>
        <w:pStyle w:val="2"/>
        <w:ind w:firstLine="480"/>
        <w:rPr>
          <w:rFonts w:ascii="Times New Roman" w:hAnsi="Times New Roman" w:cs="Times New Roman"/>
          <w:sz w:val="24"/>
          <w:szCs w:val="24"/>
        </w:rPr>
      </w:pPr>
      <w:r>
        <w:rPr>
          <w:rFonts w:ascii="Times New Roman" w:hAnsi="Times New Roman" w:cs="Times New Roman"/>
          <w:sz w:val="24"/>
          <w:szCs w:val="24"/>
        </w:rPr>
        <w:t>本项目各种噪声源距厂界距离参照表</w:t>
      </w:r>
      <w:r>
        <w:rPr>
          <w:rFonts w:hint="eastAsia" w:ascii="Times New Roman" w:hAnsi="Times New Roman" w:cs="Times New Roman"/>
          <w:sz w:val="24"/>
          <w:szCs w:val="24"/>
          <w:lang w:val="en-US" w:eastAsia="zh-CN"/>
        </w:rPr>
        <w:t>6.2</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27</w:t>
      </w:r>
      <w:r>
        <w:rPr>
          <w:rFonts w:ascii="Times New Roman" w:hAnsi="Times New Roman" w:cs="Times New Roman"/>
          <w:sz w:val="24"/>
          <w:szCs w:val="24"/>
        </w:rPr>
        <w:t>，本次环评针对昼</w:t>
      </w:r>
      <w:r>
        <w:rPr>
          <w:rFonts w:hint="eastAsia" w:ascii="Times New Roman" w:hAnsi="Times New Roman" w:cs="Times New Roman"/>
          <w:sz w:val="24"/>
          <w:szCs w:val="24"/>
        </w:rPr>
        <w:t>、夜</w:t>
      </w:r>
      <w:r>
        <w:rPr>
          <w:rFonts w:ascii="Times New Roman" w:hAnsi="Times New Roman" w:cs="Times New Roman"/>
          <w:sz w:val="24"/>
          <w:szCs w:val="24"/>
        </w:rPr>
        <w:t>间进行预测，主要预测噪声源对厂界的影响，详见表</w:t>
      </w:r>
      <w:r>
        <w:rPr>
          <w:rFonts w:hint="eastAsia" w:ascii="Times New Roman" w:hAnsi="Times New Roman" w:cs="Times New Roman"/>
          <w:sz w:val="24"/>
          <w:szCs w:val="24"/>
          <w:lang w:val="en-US" w:eastAsia="zh-CN"/>
        </w:rPr>
        <w:t>6.2</w:t>
      </w:r>
      <w:r>
        <w:rPr>
          <w:rFonts w:ascii="Times New Roman" w:hAnsi="Times New Roman" w:cs="Times New Roman"/>
          <w:sz w:val="24"/>
          <w:szCs w:val="24"/>
        </w:rPr>
        <w:t>-</w:t>
      </w:r>
      <w:r>
        <w:rPr>
          <w:rFonts w:hint="eastAsia" w:ascii="Times New Roman" w:hAnsi="Times New Roman" w:cs="Times New Roman"/>
          <w:sz w:val="24"/>
          <w:szCs w:val="24"/>
          <w:lang w:val="en-US" w:eastAsia="zh-CN"/>
        </w:rPr>
        <w:t>28</w:t>
      </w:r>
      <w:r>
        <w:rPr>
          <w:rFonts w:ascii="Times New Roman" w:hAnsi="Times New Roman" w:cs="Times New Roman"/>
          <w:sz w:val="24"/>
          <w:szCs w:val="24"/>
        </w:rPr>
        <w:t>。</w:t>
      </w:r>
    </w:p>
    <w:p w14:paraId="7E8E80AC">
      <w:pPr>
        <w:pStyle w:val="2"/>
        <w:ind w:firstLine="482"/>
        <w:jc w:val="center"/>
        <w:rPr>
          <w:b/>
          <w:bCs/>
          <w:sz w:val="24"/>
          <w:szCs w:val="24"/>
        </w:rPr>
      </w:pPr>
      <w:r>
        <w:rPr>
          <w:b/>
          <w:bCs/>
          <w:sz w:val="24"/>
          <w:szCs w:val="24"/>
        </w:rPr>
        <w:t>表</w:t>
      </w:r>
      <w:r>
        <w:rPr>
          <w:rFonts w:hint="eastAsia"/>
          <w:b/>
          <w:bCs/>
          <w:sz w:val="24"/>
          <w:szCs w:val="24"/>
          <w:lang w:val="en-US" w:eastAsia="zh-CN"/>
        </w:rPr>
        <w:t>6.2</w:t>
      </w:r>
      <w:r>
        <w:rPr>
          <w:b/>
          <w:bCs/>
          <w:sz w:val="24"/>
          <w:szCs w:val="24"/>
        </w:rPr>
        <w:t>-</w:t>
      </w:r>
      <w:r>
        <w:rPr>
          <w:rFonts w:hint="eastAsia"/>
          <w:b/>
          <w:bCs/>
          <w:sz w:val="24"/>
          <w:szCs w:val="24"/>
          <w:lang w:val="en-US" w:eastAsia="zh-CN"/>
        </w:rPr>
        <w:t xml:space="preserve">28 </w:t>
      </w:r>
      <w:r>
        <w:rPr>
          <w:b/>
          <w:bCs/>
          <w:sz w:val="24"/>
          <w:szCs w:val="24"/>
        </w:rPr>
        <w:t>各厂界噪声预测结果     单位： dB(A)</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914"/>
        <w:gridCol w:w="1134"/>
        <w:gridCol w:w="1275"/>
        <w:gridCol w:w="851"/>
        <w:gridCol w:w="850"/>
        <w:gridCol w:w="1056"/>
      </w:tblGrid>
      <w:tr w14:paraId="17404B1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vMerge w:val="restart"/>
            <w:noWrap w:val="0"/>
            <w:vAlign w:val="center"/>
          </w:tcPr>
          <w:p w14:paraId="579B1682">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预测点</w:t>
            </w:r>
          </w:p>
        </w:tc>
        <w:tc>
          <w:tcPr>
            <w:tcW w:w="1134" w:type="dxa"/>
            <w:vMerge w:val="restart"/>
            <w:noWrap w:val="0"/>
            <w:vAlign w:val="center"/>
          </w:tcPr>
          <w:p w14:paraId="457DE421">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贡献值</w:t>
            </w:r>
          </w:p>
        </w:tc>
        <w:tc>
          <w:tcPr>
            <w:tcW w:w="2126" w:type="dxa"/>
            <w:gridSpan w:val="2"/>
            <w:noWrap w:val="0"/>
            <w:vAlign w:val="center"/>
          </w:tcPr>
          <w:p w14:paraId="0F5EB80D">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背景值</w:t>
            </w:r>
          </w:p>
        </w:tc>
        <w:tc>
          <w:tcPr>
            <w:tcW w:w="1906" w:type="dxa"/>
            <w:gridSpan w:val="2"/>
            <w:noWrap w:val="0"/>
            <w:vAlign w:val="center"/>
          </w:tcPr>
          <w:p w14:paraId="30F295E1">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叠加值</w:t>
            </w:r>
          </w:p>
        </w:tc>
      </w:tr>
      <w:tr w14:paraId="4569FE0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vMerge w:val="continue"/>
            <w:noWrap w:val="0"/>
            <w:vAlign w:val="center"/>
          </w:tcPr>
          <w:p w14:paraId="2C7D8C16">
            <w:pPr>
              <w:pStyle w:val="421"/>
              <w:spacing w:line="321" w:lineRule="exact"/>
              <w:ind w:right="115" w:firstLine="0"/>
              <w:rPr>
                <w:rFonts w:hint="eastAsia" w:ascii="Times New Roman" w:hAnsi="Times New Roman" w:eastAsia="宋体" w:cs="Times New Roman"/>
                <w:b/>
                <w:bCs/>
                <w:sz w:val="21"/>
                <w:szCs w:val="22"/>
              </w:rPr>
            </w:pPr>
          </w:p>
        </w:tc>
        <w:tc>
          <w:tcPr>
            <w:tcW w:w="1134" w:type="dxa"/>
            <w:vMerge w:val="continue"/>
            <w:noWrap w:val="0"/>
            <w:vAlign w:val="center"/>
          </w:tcPr>
          <w:p w14:paraId="0486A661">
            <w:pPr>
              <w:pStyle w:val="421"/>
              <w:spacing w:line="321" w:lineRule="exact"/>
              <w:ind w:right="115" w:firstLine="0"/>
              <w:rPr>
                <w:rFonts w:hint="eastAsia" w:ascii="Times New Roman" w:hAnsi="Times New Roman" w:eastAsia="宋体" w:cs="Times New Roman"/>
                <w:b/>
                <w:bCs/>
                <w:sz w:val="21"/>
                <w:szCs w:val="22"/>
              </w:rPr>
            </w:pPr>
          </w:p>
        </w:tc>
        <w:tc>
          <w:tcPr>
            <w:tcW w:w="1275" w:type="dxa"/>
            <w:noWrap w:val="0"/>
            <w:vAlign w:val="center"/>
          </w:tcPr>
          <w:p w14:paraId="7CC858DF">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昼间</w:t>
            </w:r>
          </w:p>
        </w:tc>
        <w:tc>
          <w:tcPr>
            <w:tcW w:w="851" w:type="dxa"/>
            <w:noWrap w:val="0"/>
            <w:vAlign w:val="center"/>
          </w:tcPr>
          <w:p w14:paraId="6E046BFB">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夜间</w:t>
            </w:r>
          </w:p>
        </w:tc>
        <w:tc>
          <w:tcPr>
            <w:tcW w:w="850" w:type="dxa"/>
            <w:noWrap w:val="0"/>
            <w:vAlign w:val="center"/>
          </w:tcPr>
          <w:p w14:paraId="211E89FA">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昼间</w:t>
            </w:r>
          </w:p>
        </w:tc>
        <w:tc>
          <w:tcPr>
            <w:tcW w:w="1056" w:type="dxa"/>
            <w:noWrap w:val="0"/>
            <w:vAlign w:val="center"/>
          </w:tcPr>
          <w:p w14:paraId="1290CFE4">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夜间</w:t>
            </w:r>
          </w:p>
        </w:tc>
      </w:tr>
      <w:tr w14:paraId="7433317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noWrap w:val="0"/>
            <w:vAlign w:val="center"/>
          </w:tcPr>
          <w:p w14:paraId="21FEECC7">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1#（东厂界）</w:t>
            </w:r>
          </w:p>
        </w:tc>
        <w:tc>
          <w:tcPr>
            <w:tcW w:w="1134" w:type="dxa"/>
            <w:noWrap w:val="0"/>
            <w:vAlign w:val="center"/>
          </w:tcPr>
          <w:p w14:paraId="57B8802A">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34.48</w:t>
            </w:r>
          </w:p>
        </w:tc>
        <w:tc>
          <w:tcPr>
            <w:tcW w:w="1275" w:type="dxa"/>
            <w:noWrap w:val="0"/>
            <w:vAlign w:val="center"/>
          </w:tcPr>
          <w:p w14:paraId="6041EF23">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52.4</w:t>
            </w:r>
          </w:p>
        </w:tc>
        <w:tc>
          <w:tcPr>
            <w:tcW w:w="851" w:type="dxa"/>
            <w:noWrap w:val="0"/>
            <w:vAlign w:val="center"/>
          </w:tcPr>
          <w:p w14:paraId="6636BB00">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47.0</w:t>
            </w:r>
          </w:p>
        </w:tc>
        <w:tc>
          <w:tcPr>
            <w:tcW w:w="850" w:type="dxa"/>
            <w:noWrap w:val="0"/>
            <w:vAlign w:val="center"/>
          </w:tcPr>
          <w:p w14:paraId="013461AE">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52.47</w:t>
            </w:r>
          </w:p>
        </w:tc>
        <w:tc>
          <w:tcPr>
            <w:tcW w:w="1056" w:type="dxa"/>
            <w:noWrap w:val="0"/>
            <w:vAlign w:val="center"/>
          </w:tcPr>
          <w:p w14:paraId="505F04D0">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47.24</w:t>
            </w:r>
          </w:p>
        </w:tc>
      </w:tr>
      <w:tr w14:paraId="51CFEFF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noWrap w:val="0"/>
            <w:vAlign w:val="center"/>
          </w:tcPr>
          <w:p w14:paraId="01F2A3B6">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2#（西厂界）</w:t>
            </w:r>
          </w:p>
        </w:tc>
        <w:tc>
          <w:tcPr>
            <w:tcW w:w="1134" w:type="dxa"/>
            <w:noWrap w:val="0"/>
            <w:vAlign w:val="center"/>
          </w:tcPr>
          <w:p w14:paraId="077AC6D0">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42.14</w:t>
            </w:r>
          </w:p>
        </w:tc>
        <w:tc>
          <w:tcPr>
            <w:tcW w:w="1275" w:type="dxa"/>
            <w:noWrap w:val="0"/>
            <w:vAlign w:val="center"/>
          </w:tcPr>
          <w:p w14:paraId="65E64E43">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51.5</w:t>
            </w:r>
          </w:p>
        </w:tc>
        <w:tc>
          <w:tcPr>
            <w:tcW w:w="851" w:type="dxa"/>
            <w:noWrap w:val="0"/>
            <w:vAlign w:val="center"/>
          </w:tcPr>
          <w:p w14:paraId="005A16ED">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45.9</w:t>
            </w:r>
          </w:p>
        </w:tc>
        <w:tc>
          <w:tcPr>
            <w:tcW w:w="850" w:type="dxa"/>
            <w:noWrap w:val="0"/>
            <w:vAlign w:val="center"/>
          </w:tcPr>
          <w:p w14:paraId="78309D2C">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51.98</w:t>
            </w:r>
          </w:p>
        </w:tc>
        <w:tc>
          <w:tcPr>
            <w:tcW w:w="1056" w:type="dxa"/>
            <w:noWrap w:val="0"/>
            <w:vAlign w:val="center"/>
          </w:tcPr>
          <w:p w14:paraId="4CBB6D67">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47.43</w:t>
            </w:r>
          </w:p>
        </w:tc>
      </w:tr>
      <w:tr w14:paraId="585F676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noWrap w:val="0"/>
            <w:vAlign w:val="center"/>
          </w:tcPr>
          <w:p w14:paraId="162F46F2">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3#（南厂界）</w:t>
            </w:r>
          </w:p>
        </w:tc>
        <w:tc>
          <w:tcPr>
            <w:tcW w:w="1134" w:type="dxa"/>
            <w:noWrap w:val="0"/>
            <w:vAlign w:val="center"/>
          </w:tcPr>
          <w:p w14:paraId="05498AC7">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44.26</w:t>
            </w:r>
          </w:p>
        </w:tc>
        <w:tc>
          <w:tcPr>
            <w:tcW w:w="1275" w:type="dxa"/>
            <w:noWrap w:val="0"/>
            <w:vAlign w:val="center"/>
          </w:tcPr>
          <w:p w14:paraId="4CE0D434">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52.3</w:t>
            </w:r>
          </w:p>
        </w:tc>
        <w:tc>
          <w:tcPr>
            <w:tcW w:w="851" w:type="dxa"/>
            <w:noWrap w:val="0"/>
            <w:vAlign w:val="center"/>
          </w:tcPr>
          <w:p w14:paraId="3F049C8C">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46.252.5</w:t>
            </w:r>
          </w:p>
        </w:tc>
        <w:tc>
          <w:tcPr>
            <w:tcW w:w="850" w:type="dxa"/>
            <w:noWrap w:val="0"/>
            <w:vAlign w:val="center"/>
          </w:tcPr>
          <w:p w14:paraId="4C3E96D7">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52.93</w:t>
            </w:r>
          </w:p>
        </w:tc>
        <w:tc>
          <w:tcPr>
            <w:tcW w:w="1056" w:type="dxa"/>
            <w:noWrap w:val="0"/>
            <w:vAlign w:val="center"/>
          </w:tcPr>
          <w:p w14:paraId="3F80A827">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48.38</w:t>
            </w:r>
          </w:p>
        </w:tc>
      </w:tr>
      <w:tr w14:paraId="7272491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noWrap w:val="0"/>
            <w:vAlign w:val="center"/>
          </w:tcPr>
          <w:p w14:paraId="6E66EDCA">
            <w:pPr>
              <w:pStyle w:val="421"/>
              <w:spacing w:line="321" w:lineRule="exact"/>
              <w:ind w:right="115" w:firstLine="0"/>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t>4#（北厂界）</w:t>
            </w:r>
          </w:p>
        </w:tc>
        <w:tc>
          <w:tcPr>
            <w:tcW w:w="1134" w:type="dxa"/>
            <w:noWrap w:val="0"/>
            <w:vAlign w:val="center"/>
          </w:tcPr>
          <w:p w14:paraId="5DFE1732">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47.0</w:t>
            </w:r>
          </w:p>
        </w:tc>
        <w:tc>
          <w:tcPr>
            <w:tcW w:w="1275" w:type="dxa"/>
            <w:noWrap w:val="0"/>
            <w:vAlign w:val="center"/>
          </w:tcPr>
          <w:p w14:paraId="28268E30">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52.5</w:t>
            </w:r>
          </w:p>
        </w:tc>
        <w:tc>
          <w:tcPr>
            <w:tcW w:w="851" w:type="dxa"/>
            <w:noWrap w:val="0"/>
            <w:vAlign w:val="center"/>
          </w:tcPr>
          <w:p w14:paraId="05655D32">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46.8</w:t>
            </w:r>
          </w:p>
        </w:tc>
        <w:tc>
          <w:tcPr>
            <w:tcW w:w="850" w:type="dxa"/>
            <w:noWrap w:val="0"/>
            <w:vAlign w:val="center"/>
          </w:tcPr>
          <w:p w14:paraId="76E2216B">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53.58</w:t>
            </w:r>
          </w:p>
        </w:tc>
        <w:tc>
          <w:tcPr>
            <w:tcW w:w="1056" w:type="dxa"/>
            <w:noWrap w:val="0"/>
            <w:vAlign w:val="center"/>
          </w:tcPr>
          <w:p w14:paraId="05850012">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49.91</w:t>
            </w:r>
          </w:p>
        </w:tc>
      </w:tr>
    </w:tbl>
    <w:p w14:paraId="39E64293">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由表</w:t>
      </w:r>
      <w:r>
        <w:rPr>
          <w:rFonts w:ascii="Times New Roman" w:hAnsi="Times New Roman" w:eastAsia="宋体" w:cs="Times New Roman"/>
          <w:sz w:val="24"/>
          <w:szCs w:val="24"/>
          <w:lang w:val="en-US" w:eastAsia="zh-CN"/>
        </w:rPr>
        <w:t>6.2</w:t>
      </w: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8</w:t>
      </w:r>
      <w:r>
        <w:rPr>
          <w:rFonts w:ascii="Times New Roman" w:hAnsi="Times New Roman" w:eastAsia="宋体" w:cs="Times New Roman"/>
          <w:sz w:val="24"/>
          <w:szCs w:val="24"/>
        </w:rPr>
        <w:t>可知，本项目正常运行时，经过环评提出的以上降噪、减震措施后，厂区东、南、西、北各厂界昼间噪声贡献值较低，叠加背景后，维持现状水平，因此</w:t>
      </w:r>
      <w:bookmarkStart w:id="182" w:name="_Hlk1393662"/>
      <w:r>
        <w:rPr>
          <w:rFonts w:ascii="Times New Roman" w:hAnsi="Times New Roman" w:eastAsia="宋体" w:cs="Times New Roman"/>
          <w:sz w:val="24"/>
          <w:szCs w:val="24"/>
        </w:rPr>
        <w:t>各个厂界昼、夜间噪声均能满足《工业企业厂界环境噪声排放标准》（GB12348-2008）中2类标准的要求。</w:t>
      </w:r>
    </w:p>
    <w:bookmarkEnd w:id="182"/>
    <w:p w14:paraId="185E035D">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（3）对关心点预测分析</w:t>
      </w:r>
    </w:p>
    <w:p w14:paraId="69C5377E">
      <w:pPr>
        <w:pStyle w:val="2"/>
        <w:ind w:firstLine="480"/>
        <w:rPr>
          <w:rFonts w:ascii="Times New Roman" w:hAnsi="Times New Roman" w:eastAsia="宋体" w:cs="Times New Roman"/>
          <w:sz w:val="24"/>
          <w:szCs w:val="24"/>
        </w:rPr>
      </w:pPr>
      <w:r>
        <w:rPr>
          <w:rFonts w:ascii="Times New Roman" w:hAnsi="Times New Roman" w:eastAsia="宋体" w:cs="Times New Roman"/>
          <w:sz w:val="24"/>
          <w:szCs w:val="24"/>
        </w:rPr>
        <w:t>通过对最近的敏感点保护目标</w:t>
      </w:r>
      <w:r>
        <w:rPr>
          <w:rFonts w:hint="eastAsia" w:ascii="Times New Roman" w:hAnsi="Times New Roman" w:eastAsia="宋体" w:cs="Times New Roman"/>
          <w:sz w:val="24"/>
          <w:szCs w:val="24"/>
          <w:lang w:val="en-US" w:eastAsia="zh-CN"/>
        </w:rPr>
        <w:t>中东灰窑村新村、双红新村、盛世佳园小区等</w:t>
      </w:r>
      <w:r>
        <w:rPr>
          <w:rFonts w:ascii="Times New Roman" w:hAnsi="Times New Roman" w:eastAsia="宋体" w:cs="Times New Roman"/>
          <w:sz w:val="24"/>
          <w:szCs w:val="24"/>
        </w:rPr>
        <w:t>进行预测可知，</w:t>
      </w:r>
      <w:r>
        <w:rPr>
          <w:rFonts w:ascii="Times New Roman" w:hAnsi="Times New Roman" w:eastAsia="宋体" w:cs="Times New Roman"/>
          <w:sz w:val="24"/>
          <w:szCs w:val="24"/>
          <w:lang w:val="en-GB"/>
        </w:rPr>
        <w:t>生产机械噪声</w:t>
      </w:r>
      <w:r>
        <w:rPr>
          <w:rFonts w:ascii="Times New Roman" w:hAnsi="Times New Roman" w:eastAsia="宋体" w:cs="Times New Roman"/>
          <w:sz w:val="24"/>
          <w:szCs w:val="24"/>
        </w:rPr>
        <w:t>采取以上降噪措施，</w:t>
      </w:r>
      <w:r>
        <w:rPr>
          <w:rFonts w:ascii="Times New Roman" w:hAnsi="Times New Roman" w:eastAsia="宋体" w:cs="Times New Roman"/>
          <w:sz w:val="24"/>
          <w:szCs w:val="24"/>
          <w:lang w:val="en-GB"/>
        </w:rPr>
        <w:t>传播至噪声敏感点时的</w:t>
      </w:r>
      <w:r>
        <w:rPr>
          <w:rFonts w:ascii="Times New Roman" w:hAnsi="Times New Roman" w:eastAsia="宋体" w:cs="Times New Roman"/>
          <w:sz w:val="24"/>
          <w:szCs w:val="24"/>
        </w:rPr>
        <w:t>噪声贡献值较小，由于</w:t>
      </w:r>
      <w:r>
        <w:rPr>
          <w:rFonts w:hint="eastAsia" w:ascii="Times New Roman" w:hAnsi="Times New Roman" w:eastAsia="宋体" w:cs="Times New Roman"/>
          <w:sz w:val="24"/>
          <w:szCs w:val="24"/>
          <w:lang w:val="en-US" w:eastAsia="zh-CN"/>
        </w:rPr>
        <w:t>敏感目标</w:t>
      </w:r>
      <w:r>
        <w:rPr>
          <w:rFonts w:ascii="Times New Roman" w:hAnsi="Times New Roman" w:eastAsia="宋体" w:cs="Times New Roman"/>
          <w:sz w:val="24"/>
          <w:szCs w:val="24"/>
        </w:rPr>
        <w:t>周边无大型的高噪声企业，噪声背景值较低，叠加背景值后，</w:t>
      </w:r>
      <w:r>
        <w:rPr>
          <w:rFonts w:ascii="Times New Roman" w:hAnsi="Times New Roman" w:eastAsia="宋体" w:cs="Times New Roman"/>
          <w:sz w:val="24"/>
          <w:szCs w:val="24"/>
          <w:lang w:val="en-GB"/>
        </w:rPr>
        <w:t>能满足《声环境质量标准》（GB3096-2008）2 类标准的要求，项目生产机械噪声对周边敏感点影响不大，</w:t>
      </w:r>
      <w:r>
        <w:rPr>
          <w:rFonts w:ascii="Times New Roman" w:hAnsi="Times New Roman" w:eastAsia="宋体" w:cs="Times New Roman"/>
          <w:sz w:val="24"/>
          <w:szCs w:val="24"/>
        </w:rPr>
        <w:t>但必须保证设备的正常运行以及安装的降噪设施能正常工作。</w:t>
      </w:r>
    </w:p>
    <w:p w14:paraId="086337EA">
      <w:pPr>
        <w:pStyle w:val="2"/>
        <w:ind w:firstLine="482"/>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lang w:val="en-US" w:eastAsia="zh-CN"/>
        </w:rPr>
        <w:t>6.2</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29</w:t>
      </w:r>
      <w:r>
        <w:rPr>
          <w:rFonts w:ascii="Times New Roman" w:hAnsi="Times New Roman" w:cs="Times New Roman"/>
          <w:b/>
          <w:sz w:val="24"/>
          <w:szCs w:val="24"/>
        </w:rPr>
        <w:t xml:space="preserve"> 关心点噪声预测值结果表     单位：dB(A)</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914"/>
        <w:gridCol w:w="1134"/>
        <w:gridCol w:w="1275"/>
        <w:gridCol w:w="851"/>
        <w:gridCol w:w="850"/>
        <w:gridCol w:w="1056"/>
      </w:tblGrid>
      <w:tr w14:paraId="1150265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vMerge w:val="restart"/>
            <w:noWrap w:val="0"/>
            <w:vAlign w:val="center"/>
          </w:tcPr>
          <w:p w14:paraId="75DDD333">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预测点</w:t>
            </w:r>
          </w:p>
        </w:tc>
        <w:tc>
          <w:tcPr>
            <w:tcW w:w="1134" w:type="dxa"/>
            <w:vMerge w:val="restart"/>
            <w:noWrap w:val="0"/>
            <w:vAlign w:val="center"/>
          </w:tcPr>
          <w:p w14:paraId="611CCC63">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贡献值</w:t>
            </w:r>
          </w:p>
        </w:tc>
        <w:tc>
          <w:tcPr>
            <w:tcW w:w="2126" w:type="dxa"/>
            <w:gridSpan w:val="2"/>
            <w:noWrap w:val="0"/>
            <w:vAlign w:val="center"/>
          </w:tcPr>
          <w:p w14:paraId="7AC38ACB">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背景值</w:t>
            </w:r>
          </w:p>
        </w:tc>
        <w:tc>
          <w:tcPr>
            <w:tcW w:w="1906" w:type="dxa"/>
            <w:gridSpan w:val="2"/>
            <w:noWrap w:val="0"/>
            <w:vAlign w:val="center"/>
          </w:tcPr>
          <w:p w14:paraId="45D19FE9">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叠加值</w:t>
            </w:r>
          </w:p>
        </w:tc>
      </w:tr>
      <w:tr w14:paraId="41A79CA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vMerge w:val="continue"/>
            <w:noWrap w:val="0"/>
            <w:vAlign w:val="center"/>
          </w:tcPr>
          <w:p w14:paraId="06AB5C89">
            <w:pPr>
              <w:pStyle w:val="421"/>
              <w:spacing w:line="321" w:lineRule="exact"/>
              <w:ind w:right="115" w:firstLine="0"/>
              <w:rPr>
                <w:rFonts w:hint="eastAsia" w:ascii="Times New Roman" w:hAnsi="Times New Roman" w:eastAsia="宋体" w:cs="Times New Roman"/>
                <w:b/>
                <w:bCs/>
                <w:sz w:val="21"/>
                <w:szCs w:val="22"/>
              </w:rPr>
            </w:pPr>
          </w:p>
        </w:tc>
        <w:tc>
          <w:tcPr>
            <w:tcW w:w="1134" w:type="dxa"/>
            <w:vMerge w:val="continue"/>
            <w:noWrap w:val="0"/>
            <w:vAlign w:val="center"/>
          </w:tcPr>
          <w:p w14:paraId="1D73CE32">
            <w:pPr>
              <w:pStyle w:val="421"/>
              <w:spacing w:line="321" w:lineRule="exact"/>
              <w:ind w:right="115" w:firstLine="0"/>
              <w:rPr>
                <w:rFonts w:hint="eastAsia" w:ascii="Times New Roman" w:hAnsi="Times New Roman" w:eastAsia="宋体" w:cs="Times New Roman"/>
                <w:b/>
                <w:bCs/>
                <w:sz w:val="21"/>
                <w:szCs w:val="22"/>
              </w:rPr>
            </w:pPr>
          </w:p>
        </w:tc>
        <w:tc>
          <w:tcPr>
            <w:tcW w:w="1275" w:type="dxa"/>
            <w:noWrap w:val="0"/>
            <w:vAlign w:val="center"/>
          </w:tcPr>
          <w:p w14:paraId="7053631C">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昼间</w:t>
            </w:r>
          </w:p>
        </w:tc>
        <w:tc>
          <w:tcPr>
            <w:tcW w:w="851" w:type="dxa"/>
            <w:noWrap w:val="0"/>
            <w:vAlign w:val="center"/>
          </w:tcPr>
          <w:p w14:paraId="557068D4">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夜间</w:t>
            </w:r>
          </w:p>
        </w:tc>
        <w:tc>
          <w:tcPr>
            <w:tcW w:w="850" w:type="dxa"/>
            <w:noWrap w:val="0"/>
            <w:vAlign w:val="center"/>
          </w:tcPr>
          <w:p w14:paraId="0BFB8035">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昼间</w:t>
            </w:r>
          </w:p>
        </w:tc>
        <w:tc>
          <w:tcPr>
            <w:tcW w:w="1056" w:type="dxa"/>
            <w:noWrap w:val="0"/>
            <w:vAlign w:val="center"/>
          </w:tcPr>
          <w:p w14:paraId="1DFCDB34">
            <w:pPr>
              <w:pStyle w:val="421"/>
              <w:spacing w:line="321" w:lineRule="exact"/>
              <w:ind w:right="115" w:firstLine="0"/>
              <w:rPr>
                <w:rFonts w:hint="eastAsia" w:ascii="Times New Roman" w:hAnsi="Times New Roman" w:eastAsia="宋体" w:cs="Times New Roman"/>
                <w:b/>
                <w:bCs/>
                <w:sz w:val="21"/>
                <w:szCs w:val="22"/>
              </w:rPr>
            </w:pPr>
            <w:r>
              <w:rPr>
                <w:rFonts w:hint="eastAsia" w:ascii="Times New Roman" w:hAnsi="Times New Roman" w:eastAsia="宋体" w:cs="Times New Roman"/>
                <w:b/>
                <w:bCs/>
                <w:sz w:val="21"/>
                <w:szCs w:val="22"/>
              </w:rPr>
              <w:t>夜间</w:t>
            </w:r>
          </w:p>
        </w:tc>
      </w:tr>
      <w:tr w14:paraId="79F8EDC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35" w:hRule="exact"/>
          <w:jc w:val="center"/>
        </w:trPr>
        <w:tc>
          <w:tcPr>
            <w:tcW w:w="1914" w:type="dxa"/>
            <w:noWrap w:val="0"/>
            <w:vAlign w:val="center"/>
          </w:tcPr>
          <w:p w14:paraId="41162A66">
            <w:pPr>
              <w:ind w:firstLine="0"/>
              <w:jc w:val="center"/>
              <w:rPr>
                <w:rFonts w:hint="eastAsia" w:ascii="Times New Roman" w:hAnsi="Times New Roman" w:eastAsia="宋体" w:cs="Times New Roman"/>
                <w:sz w:val="21"/>
                <w:szCs w:val="22"/>
              </w:rPr>
            </w:pPr>
            <w:r>
              <w:rPr>
                <w:sz w:val="21"/>
                <w:szCs w:val="21"/>
              </w:rPr>
              <w:t>中东灰窑村新村5）</w:t>
            </w:r>
          </w:p>
        </w:tc>
        <w:tc>
          <w:tcPr>
            <w:tcW w:w="1134" w:type="dxa"/>
            <w:noWrap w:val="0"/>
            <w:vAlign w:val="center"/>
          </w:tcPr>
          <w:p w14:paraId="4EBBDD5A">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-4.6</w:t>
            </w:r>
          </w:p>
        </w:tc>
        <w:tc>
          <w:tcPr>
            <w:tcW w:w="1275" w:type="dxa"/>
            <w:noWrap w:val="0"/>
            <w:vAlign w:val="center"/>
          </w:tcPr>
          <w:p w14:paraId="2F29983E">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51.6</w:t>
            </w:r>
          </w:p>
        </w:tc>
        <w:tc>
          <w:tcPr>
            <w:tcW w:w="851" w:type="dxa"/>
            <w:noWrap w:val="0"/>
            <w:vAlign w:val="center"/>
          </w:tcPr>
          <w:p w14:paraId="44D14C62">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44.3</w:t>
            </w:r>
          </w:p>
        </w:tc>
        <w:tc>
          <w:tcPr>
            <w:tcW w:w="850" w:type="dxa"/>
            <w:noWrap w:val="0"/>
            <w:vAlign w:val="center"/>
          </w:tcPr>
          <w:p w14:paraId="03763C89">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51.6</w:t>
            </w:r>
          </w:p>
        </w:tc>
        <w:tc>
          <w:tcPr>
            <w:tcW w:w="1056" w:type="dxa"/>
            <w:noWrap w:val="0"/>
            <w:vAlign w:val="center"/>
          </w:tcPr>
          <w:p w14:paraId="20671548">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44.3</w:t>
            </w:r>
          </w:p>
        </w:tc>
      </w:tr>
      <w:tr w14:paraId="692799F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noWrap w:val="0"/>
            <w:vAlign w:val="center"/>
          </w:tcPr>
          <w:p w14:paraId="2BF78690">
            <w:pPr>
              <w:ind w:firstLine="0"/>
              <w:jc w:val="center"/>
              <w:rPr>
                <w:rFonts w:hint="eastAsia" w:ascii="Times New Roman" w:hAnsi="Times New Roman" w:eastAsia="宋体" w:cs="Times New Roman"/>
                <w:sz w:val="21"/>
                <w:szCs w:val="22"/>
              </w:rPr>
            </w:pPr>
            <w:r>
              <w:rPr>
                <w:sz w:val="21"/>
                <w:szCs w:val="21"/>
              </w:rPr>
              <w:t>双红新村</w:t>
            </w:r>
          </w:p>
        </w:tc>
        <w:tc>
          <w:tcPr>
            <w:tcW w:w="1134" w:type="dxa"/>
            <w:noWrap w:val="0"/>
            <w:vAlign w:val="center"/>
          </w:tcPr>
          <w:p w14:paraId="5938968C">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24.26</w:t>
            </w:r>
          </w:p>
        </w:tc>
        <w:tc>
          <w:tcPr>
            <w:tcW w:w="1275" w:type="dxa"/>
            <w:noWrap w:val="0"/>
            <w:vAlign w:val="center"/>
          </w:tcPr>
          <w:p w14:paraId="1BDD11D0">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51.0</w:t>
            </w:r>
          </w:p>
        </w:tc>
        <w:tc>
          <w:tcPr>
            <w:tcW w:w="851" w:type="dxa"/>
            <w:noWrap w:val="0"/>
            <w:vAlign w:val="center"/>
          </w:tcPr>
          <w:p w14:paraId="2D834679">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44.8</w:t>
            </w:r>
          </w:p>
        </w:tc>
        <w:tc>
          <w:tcPr>
            <w:tcW w:w="850" w:type="dxa"/>
            <w:noWrap w:val="0"/>
            <w:vAlign w:val="center"/>
          </w:tcPr>
          <w:p w14:paraId="02C75650">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51.01</w:t>
            </w:r>
          </w:p>
        </w:tc>
        <w:tc>
          <w:tcPr>
            <w:tcW w:w="1056" w:type="dxa"/>
            <w:noWrap w:val="0"/>
            <w:vAlign w:val="center"/>
          </w:tcPr>
          <w:p w14:paraId="7CF66A86">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44.84</w:t>
            </w:r>
          </w:p>
        </w:tc>
      </w:tr>
      <w:tr w14:paraId="138B6E0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914" w:type="dxa"/>
            <w:noWrap w:val="0"/>
            <w:vAlign w:val="center"/>
          </w:tcPr>
          <w:p w14:paraId="51720753">
            <w:pPr>
              <w:ind w:firstLine="0"/>
              <w:jc w:val="center"/>
              <w:rPr>
                <w:rFonts w:hint="eastAsia" w:ascii="Times New Roman" w:hAnsi="Times New Roman" w:eastAsia="宋体" w:cs="Times New Roman"/>
                <w:sz w:val="21"/>
                <w:szCs w:val="22"/>
              </w:rPr>
            </w:pPr>
            <w:r>
              <w:rPr>
                <w:sz w:val="21"/>
                <w:szCs w:val="21"/>
              </w:rPr>
              <w:t>盛世佳园小区（ZS07）</w:t>
            </w:r>
          </w:p>
        </w:tc>
        <w:tc>
          <w:tcPr>
            <w:tcW w:w="1134" w:type="dxa"/>
            <w:noWrap w:val="0"/>
            <w:vAlign w:val="center"/>
          </w:tcPr>
          <w:p w14:paraId="545821F0">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5.2</w:t>
            </w:r>
          </w:p>
        </w:tc>
        <w:tc>
          <w:tcPr>
            <w:tcW w:w="1275" w:type="dxa"/>
            <w:noWrap w:val="0"/>
            <w:vAlign w:val="center"/>
          </w:tcPr>
          <w:p w14:paraId="4FC8D1E8">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50.7</w:t>
            </w:r>
          </w:p>
        </w:tc>
        <w:tc>
          <w:tcPr>
            <w:tcW w:w="851" w:type="dxa"/>
            <w:noWrap w:val="0"/>
            <w:vAlign w:val="center"/>
          </w:tcPr>
          <w:p w14:paraId="090B1B4A">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43.7</w:t>
            </w:r>
          </w:p>
        </w:tc>
        <w:tc>
          <w:tcPr>
            <w:tcW w:w="850" w:type="dxa"/>
            <w:noWrap w:val="0"/>
            <w:vAlign w:val="center"/>
          </w:tcPr>
          <w:p w14:paraId="470CEAE7">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50.7</w:t>
            </w:r>
          </w:p>
        </w:tc>
        <w:tc>
          <w:tcPr>
            <w:tcW w:w="1056" w:type="dxa"/>
            <w:noWrap w:val="0"/>
            <w:vAlign w:val="center"/>
          </w:tcPr>
          <w:p w14:paraId="6E5CCC17">
            <w:pPr>
              <w:pStyle w:val="421"/>
              <w:spacing w:line="321" w:lineRule="exact"/>
              <w:ind w:right="115" w:firstLine="0"/>
              <w:rPr>
                <w:rFonts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43.7</w:t>
            </w:r>
          </w:p>
        </w:tc>
      </w:tr>
    </w:tbl>
    <w:p w14:paraId="69EF41C4">
      <w:pPr>
        <w:pStyle w:val="282"/>
        <w:rPr>
          <w:b w:val="0"/>
          <w:bCs/>
          <w:lang w:val="en-US" w:eastAsia="zh-CN"/>
        </w:rPr>
      </w:pPr>
      <w:r>
        <w:rPr>
          <w:rFonts w:hint="eastAsia"/>
          <w:b w:val="0"/>
          <w:bCs/>
          <w:lang w:val="en-US" w:eastAsia="zh-CN"/>
        </w:rPr>
        <w:t>6.2.4.3小结</w:t>
      </w:r>
    </w:p>
    <w:p w14:paraId="57502D08">
      <w:pPr>
        <w:pStyle w:val="2"/>
        <w:ind w:firstLine="480"/>
        <w:rPr>
          <w:sz w:val="24"/>
          <w:szCs w:val="24"/>
          <w:lang w:val="en-GB"/>
        </w:rPr>
      </w:pPr>
      <w:r>
        <w:rPr>
          <w:rFonts w:hint="eastAsia"/>
          <w:sz w:val="24"/>
          <w:szCs w:val="24"/>
          <w:lang w:val="en-GB"/>
        </w:rPr>
        <w:t>综上，</w:t>
      </w:r>
      <w:r>
        <w:rPr>
          <w:rFonts w:hint="eastAsia"/>
          <w:sz w:val="24"/>
          <w:szCs w:val="24"/>
        </w:rPr>
        <w:t>项目运营期</w:t>
      </w:r>
      <w:r>
        <w:rPr>
          <w:rFonts w:hint="eastAsia"/>
          <w:sz w:val="24"/>
          <w:szCs w:val="24"/>
          <w:lang w:val="en-GB"/>
        </w:rPr>
        <w:t>设备</w:t>
      </w:r>
      <w:r>
        <w:rPr>
          <w:sz w:val="24"/>
          <w:szCs w:val="24"/>
          <w:lang w:val="en-GB"/>
        </w:rPr>
        <w:t>在正常</w:t>
      </w:r>
      <w:r>
        <w:rPr>
          <w:rFonts w:hint="eastAsia"/>
          <w:sz w:val="24"/>
          <w:szCs w:val="24"/>
          <w:lang w:val="en-GB"/>
        </w:rPr>
        <w:t>运营</w:t>
      </w:r>
      <w:r>
        <w:rPr>
          <w:sz w:val="24"/>
          <w:szCs w:val="24"/>
          <w:lang w:val="en-GB"/>
        </w:rPr>
        <w:t>情况下，</w:t>
      </w:r>
      <w:r>
        <w:rPr>
          <w:rFonts w:hint="eastAsia"/>
          <w:sz w:val="24"/>
          <w:szCs w:val="24"/>
          <w:lang w:val="en-US" w:eastAsia="zh-CN"/>
        </w:rPr>
        <w:t>采取以上</w:t>
      </w:r>
      <w:r>
        <w:rPr>
          <w:rFonts w:hint="eastAsia"/>
          <w:sz w:val="24"/>
          <w:szCs w:val="24"/>
          <w:lang w:val="en-GB"/>
        </w:rPr>
        <w:t>措施及远</w:t>
      </w:r>
      <w:r>
        <w:rPr>
          <w:sz w:val="24"/>
          <w:szCs w:val="24"/>
          <w:lang w:val="en-GB"/>
        </w:rPr>
        <w:t>距离衰减后</w:t>
      </w:r>
      <w:r>
        <w:rPr>
          <w:rFonts w:hint="eastAsia"/>
          <w:sz w:val="24"/>
          <w:szCs w:val="24"/>
          <w:lang w:val="en-GB"/>
        </w:rPr>
        <w:t>对周边环境影响不大，不扰民</w:t>
      </w:r>
      <w:r>
        <w:rPr>
          <w:sz w:val="24"/>
          <w:szCs w:val="24"/>
          <w:lang w:val="en-GB"/>
        </w:rPr>
        <w:t>。</w:t>
      </w:r>
    </w:p>
    <w:p w14:paraId="18D4EDC0">
      <w:pPr>
        <w:pStyle w:val="188"/>
      </w:pPr>
      <w:bookmarkStart w:id="183" w:name="_Toc409484401"/>
      <w:r>
        <w:rPr>
          <w:rFonts w:hint="eastAsia"/>
          <w:lang w:val="en-US" w:eastAsia="zh-CN"/>
        </w:rPr>
        <w:t>6</w:t>
      </w:r>
      <w:r>
        <w:rPr>
          <w:rFonts w:hint="eastAsia"/>
        </w:rPr>
        <w:t>.2.5</w:t>
      </w:r>
      <w:r>
        <w:t>固体废物环境影响分析</w:t>
      </w:r>
    </w:p>
    <w:p w14:paraId="2FA91282">
      <w:pPr>
        <w:pStyle w:val="380"/>
        <w:spacing w:line="360" w:lineRule="auto"/>
        <w:ind w:firstLine="480"/>
        <w:rPr>
          <w:sz w:val="24"/>
          <w:szCs w:val="24"/>
        </w:rPr>
      </w:pPr>
      <w:r>
        <w:rPr>
          <w:rFonts w:hint="eastAsia"/>
          <w:sz w:val="24"/>
          <w:szCs w:val="24"/>
        </w:rPr>
        <w:t>该</w:t>
      </w:r>
      <w:r>
        <w:rPr>
          <w:rFonts w:hint="eastAsia"/>
          <w:color w:val="000000"/>
          <w:sz w:val="24"/>
          <w:szCs w:val="24"/>
        </w:rPr>
        <w:t>工程运行过程中产生的固体废物</w:t>
      </w:r>
      <w:r>
        <w:rPr>
          <w:color w:val="000000"/>
        </w:rPr>
        <w:t>主要</w:t>
      </w:r>
      <w:r>
        <w:rPr>
          <w:rFonts w:hint="eastAsia"/>
          <w:color w:val="000000"/>
          <w:lang w:val="en-US" w:eastAsia="zh-CN"/>
        </w:rPr>
        <w:t>有废边角料、炉渣、</w:t>
      </w:r>
      <w:r>
        <w:rPr>
          <w:rFonts w:hint="eastAsia"/>
          <w:color w:val="000000"/>
        </w:rPr>
        <w:t>循环水池沉淀渣、除尘器回收的粉尘、</w:t>
      </w:r>
      <w:r>
        <w:rPr>
          <w:rFonts w:hint="eastAsia"/>
          <w:color w:val="000000"/>
          <w:lang w:val="en-US" w:eastAsia="zh-CN"/>
        </w:rPr>
        <w:t>生活垃圾、制胶废包装材料、更换的废导热油、</w:t>
      </w:r>
      <w:r>
        <w:rPr>
          <w:color w:val="000000"/>
        </w:rPr>
        <w:t>废离子树脂、废机油及</w:t>
      </w:r>
      <w:r>
        <w:rPr>
          <w:rFonts w:hint="eastAsia"/>
          <w:color w:val="000000"/>
          <w:lang w:val="en-US" w:eastAsia="zh-CN"/>
        </w:rPr>
        <w:t>废活性炭、废灯管</w:t>
      </w:r>
      <w:r>
        <w:rPr>
          <w:rFonts w:hint="eastAsia"/>
          <w:color w:val="000000"/>
        </w:rPr>
        <w:t>等</w:t>
      </w:r>
      <w:r>
        <w:rPr>
          <w:color w:val="000000"/>
        </w:rPr>
        <w:t>。</w:t>
      </w:r>
      <w:r>
        <w:rPr>
          <w:rFonts w:hint="eastAsia"/>
          <w:color w:val="000000"/>
          <w:sz w:val="24"/>
          <w:szCs w:val="24"/>
        </w:rPr>
        <w:t>固体废物按其性质分为一般工业固体废物、危险废物和生活垃圾。通过以下措施进行处理：</w:t>
      </w:r>
    </w:p>
    <w:p w14:paraId="73BBBCF8">
      <w:pPr>
        <w:pStyle w:val="282"/>
        <w:rPr>
          <w:rFonts w:hint="eastAsia"/>
        </w:rPr>
      </w:pPr>
      <w:r>
        <w:rPr>
          <w:rFonts w:hint="eastAsia"/>
          <w:lang w:val="en-US" w:eastAsia="zh-CN"/>
        </w:rPr>
        <w:t>6</w:t>
      </w:r>
      <w:r>
        <w:rPr>
          <w:rFonts w:hint="eastAsia"/>
        </w:rPr>
        <w:t>.2.5.1</w:t>
      </w:r>
      <w:bookmarkStart w:id="184" w:name="_Hlk1394538"/>
      <w:r>
        <w:rPr>
          <w:rFonts w:hint="eastAsia"/>
        </w:rPr>
        <w:t>一般工业固废</w:t>
      </w:r>
    </w:p>
    <w:p w14:paraId="0514C708">
      <w:pPr>
        <w:ind w:firstLine="480"/>
        <w:rPr>
          <w:rFonts w:ascii="Times New Roman" w:hAnsi="Times New Roman" w:eastAsia="宋体" w:cs="Times New Roman"/>
          <w:color w:val="000000"/>
          <w:szCs w:val="22"/>
        </w:rPr>
      </w:pPr>
      <w:r>
        <w:rPr>
          <w:rFonts w:ascii="Times New Roman" w:hAnsi="Times New Roman" w:eastAsia="宋体" w:cs="Times New Roman"/>
          <w:color w:val="000000"/>
          <w:szCs w:val="22"/>
        </w:rPr>
        <w:t>（1）</w:t>
      </w:r>
      <w:r>
        <w:rPr>
          <w:rFonts w:ascii="Times New Roman" w:hAnsi="Times New Roman" w:eastAsia="宋体" w:cs="Times New Roman"/>
          <w:color w:val="000000"/>
          <w:szCs w:val="22"/>
          <w:lang w:val="en-US" w:eastAsia="zh-CN"/>
        </w:rPr>
        <w:t>板材加工废边角料</w:t>
      </w:r>
    </w:p>
    <w:p w14:paraId="2C1CA7FB">
      <w:pPr>
        <w:spacing w:line="360" w:lineRule="auto"/>
        <w:ind w:firstLine="480"/>
        <w:rPr>
          <w:rFonts w:ascii="Times New Roman" w:hAnsi="Times New Roman" w:eastAsia="宋体" w:cs="Times New Roman"/>
          <w:color w:val="000000"/>
          <w:sz w:val="24"/>
          <w:szCs w:val="21"/>
        </w:rPr>
      </w:pPr>
      <w:r>
        <w:rPr>
          <w:rFonts w:ascii="Times New Roman" w:hAnsi="Times New Roman" w:eastAsia="宋体" w:cs="Times New Roman"/>
          <w:color w:val="000000"/>
          <w:sz w:val="24"/>
          <w:szCs w:val="21"/>
        </w:rPr>
        <w:t>根据企业实际生产经验，本项目在生产加工过程中产生的废边角料和</w:t>
      </w:r>
      <w:r>
        <w:rPr>
          <w:rFonts w:ascii="Times New Roman" w:hAnsi="Times New Roman" w:eastAsia="宋体" w:cs="Times New Roman"/>
          <w:color w:val="000000"/>
          <w:sz w:val="24"/>
          <w:szCs w:val="21"/>
          <w:lang w:val="en-US" w:eastAsia="zh-CN"/>
        </w:rPr>
        <w:t>竹</w:t>
      </w:r>
      <w:r>
        <w:rPr>
          <w:rFonts w:ascii="Times New Roman" w:hAnsi="Times New Roman" w:eastAsia="宋体" w:cs="Times New Roman"/>
          <w:color w:val="000000"/>
          <w:sz w:val="24"/>
          <w:szCs w:val="21"/>
        </w:rPr>
        <w:t>屑产生量为</w:t>
      </w:r>
      <w:r>
        <w:rPr>
          <w:rFonts w:ascii="Times New Roman" w:hAnsi="Times New Roman" w:eastAsia="宋体" w:cs="Times New Roman"/>
          <w:color w:val="000000"/>
          <w:sz w:val="24"/>
          <w:szCs w:val="21"/>
          <w:lang w:val="en-US" w:eastAsia="zh-CN"/>
        </w:rPr>
        <w:t>9000</w:t>
      </w:r>
      <w:r>
        <w:rPr>
          <w:rFonts w:ascii="Times New Roman" w:hAnsi="Times New Roman" w:eastAsia="宋体" w:cs="Times New Roman"/>
          <w:color w:val="000000"/>
          <w:sz w:val="24"/>
          <w:szCs w:val="21"/>
        </w:rPr>
        <w:t>t/a</w:t>
      </w:r>
      <w:r>
        <w:rPr>
          <w:rFonts w:ascii="Times New Roman" w:hAnsi="Times New Roman" w:eastAsia="宋体" w:cs="Times New Roman"/>
          <w:color w:val="000000"/>
          <w:sz w:val="24"/>
          <w:szCs w:val="21"/>
          <w:lang w:eastAsia="zh-CN"/>
        </w:rPr>
        <w:t>，</w:t>
      </w:r>
      <w:r>
        <w:rPr>
          <w:rFonts w:ascii="Times New Roman" w:hAnsi="Times New Roman" w:eastAsia="宋体" w:cs="Times New Roman"/>
          <w:color w:val="000000"/>
          <w:sz w:val="24"/>
          <w:szCs w:val="21"/>
        </w:rPr>
        <w:t>作为厂区内</w:t>
      </w:r>
      <w:r>
        <w:rPr>
          <w:rFonts w:ascii="Times New Roman" w:hAnsi="Times New Roman" w:eastAsia="宋体" w:cs="Times New Roman"/>
          <w:color w:val="000000"/>
          <w:sz w:val="24"/>
          <w:szCs w:val="21"/>
          <w:lang w:val="en-US" w:eastAsia="zh-CN"/>
        </w:rPr>
        <w:t>供热系统</w:t>
      </w:r>
      <w:r>
        <w:rPr>
          <w:rFonts w:ascii="Times New Roman" w:hAnsi="Times New Roman" w:eastAsia="宋体" w:cs="Times New Roman"/>
          <w:color w:val="000000"/>
          <w:sz w:val="24"/>
          <w:szCs w:val="21"/>
        </w:rPr>
        <w:t>燃料使用。</w:t>
      </w:r>
    </w:p>
    <w:p w14:paraId="6442F651">
      <w:pPr>
        <w:pStyle w:val="2"/>
        <w:ind w:left="480" w:firstLine="0"/>
        <w:rPr>
          <w:rFonts w:ascii="Times New Roman" w:hAnsi="Times New Roman" w:eastAsia="宋体" w:cs="Times New Roman"/>
          <w:color w:val="000000"/>
        </w:rPr>
      </w:pPr>
      <w:r>
        <w:rPr>
          <w:rFonts w:ascii="Times New Roman" w:hAnsi="Times New Roman" w:eastAsia="宋体" w:cs="Times New Roman"/>
          <w:color w:val="000000"/>
          <w:sz w:val="24"/>
          <w:szCs w:val="24"/>
          <w:lang w:val="en-US" w:eastAsia="zh-CN"/>
        </w:rPr>
        <w:t>（2）炉渣</w:t>
      </w:r>
    </w:p>
    <w:p w14:paraId="60D34ED4">
      <w:pPr>
        <w:ind w:firstLine="480"/>
        <w:rPr>
          <w:rFonts w:ascii="Times New Roman" w:hAnsi="Times New Roman" w:eastAsia="宋体" w:cs="Times New Roman"/>
          <w:color w:val="000000"/>
          <w:sz w:val="24"/>
          <w:szCs w:val="24"/>
        </w:rPr>
      </w:pPr>
      <w:r>
        <w:rPr>
          <w:rFonts w:ascii="Times New Roman" w:hAnsi="Times New Roman" w:eastAsia="宋体" w:cs="Times New Roman"/>
          <w:color w:val="000000"/>
        </w:rPr>
        <w:t>本项目生物质燃料燃烧炉渣产生量约</w:t>
      </w:r>
      <w:r>
        <w:rPr>
          <w:rFonts w:ascii="Times New Roman" w:hAnsi="Times New Roman" w:eastAsia="宋体" w:cs="Times New Roman"/>
          <w:color w:val="000000"/>
          <w:lang w:val="en-US" w:eastAsia="zh-CN"/>
        </w:rPr>
        <w:t>1800</w:t>
      </w:r>
      <w:r>
        <w:rPr>
          <w:rFonts w:ascii="Times New Roman" w:hAnsi="Times New Roman" w:eastAsia="宋体" w:cs="Times New Roman"/>
          <w:color w:val="000000"/>
        </w:rPr>
        <w:t>t/a，主要成分为</w:t>
      </w:r>
      <w:r>
        <w:rPr>
          <w:rFonts w:ascii="Times New Roman" w:hAnsi="Times New Roman" w:eastAsia="宋体" w:cs="Times New Roman"/>
          <w:color w:val="000000"/>
          <w:sz w:val="24"/>
          <w:szCs w:val="24"/>
        </w:rPr>
        <w:t>草木灰，通过人工除渣集中暂存于</w:t>
      </w:r>
      <w:r>
        <w:rPr>
          <w:rFonts w:ascii="Times New Roman" w:hAnsi="Times New Roman" w:eastAsia="宋体" w:cs="Times New Roman"/>
          <w:color w:val="000000"/>
          <w:sz w:val="24"/>
          <w:szCs w:val="24"/>
          <w:lang w:val="en-US" w:eastAsia="zh-CN"/>
        </w:rPr>
        <w:t>能源工厂</w:t>
      </w:r>
      <w:r>
        <w:rPr>
          <w:rFonts w:ascii="Times New Roman" w:hAnsi="Times New Roman" w:eastAsia="宋体" w:cs="Times New Roman"/>
          <w:color w:val="000000"/>
          <w:sz w:val="24"/>
          <w:szCs w:val="24"/>
        </w:rPr>
        <w:t>的一角，</w:t>
      </w:r>
      <w:r>
        <w:rPr>
          <w:rFonts w:ascii="Times New Roman" w:hAnsi="Times New Roman" w:eastAsia="宋体" w:cs="Times New Roman"/>
          <w:color w:val="000000"/>
          <w:sz w:val="24"/>
          <w:szCs w:val="24"/>
          <w:lang w:eastAsia="zh-CN"/>
        </w:rPr>
        <w:t>由附近村民定期清运用于周边农田施肥</w:t>
      </w:r>
      <w:r>
        <w:rPr>
          <w:rFonts w:ascii="Times New Roman" w:hAnsi="Times New Roman" w:eastAsia="宋体" w:cs="Times New Roman"/>
          <w:color w:val="000000"/>
          <w:sz w:val="24"/>
          <w:szCs w:val="24"/>
        </w:rPr>
        <w:t>。</w:t>
      </w:r>
    </w:p>
    <w:p w14:paraId="5AE6BEDF">
      <w:pPr>
        <w:ind w:firstLine="480"/>
        <w:rPr>
          <w:rFonts w:ascii="Times New Roman" w:hAnsi="Times New Roman" w:eastAsia="宋体" w:cs="Times New Roman"/>
          <w:sz w:val="24"/>
          <w:szCs w:val="24"/>
        </w:rPr>
      </w:pP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3</w:t>
      </w: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水膜除尘器</w:t>
      </w:r>
      <w:r>
        <w:rPr>
          <w:rFonts w:ascii="Times New Roman" w:hAnsi="Times New Roman" w:eastAsia="宋体" w:cs="Times New Roman"/>
          <w:sz w:val="24"/>
          <w:szCs w:val="24"/>
        </w:rPr>
        <w:t>循环水池沉淀渣</w:t>
      </w:r>
    </w:p>
    <w:p w14:paraId="30BAA971">
      <w:pPr>
        <w:ind w:firstLine="480"/>
        <w:rPr>
          <w:rFonts w:ascii="Times New Roman" w:hAnsi="Times New Roman" w:eastAsia="宋体" w:cs="Times New Roman"/>
          <w:sz w:val="24"/>
          <w:szCs w:val="24"/>
        </w:rPr>
      </w:pPr>
      <w:r>
        <w:rPr>
          <w:rFonts w:ascii="Times New Roman" w:hAnsi="Times New Roman" w:eastAsia="宋体" w:cs="Times New Roman"/>
          <w:sz w:val="24"/>
          <w:szCs w:val="24"/>
        </w:rPr>
        <w:t>本项目</w:t>
      </w:r>
      <w:r>
        <w:rPr>
          <w:rFonts w:ascii="Times New Roman" w:hAnsi="Times New Roman" w:eastAsia="宋体" w:cs="Times New Roman"/>
          <w:sz w:val="24"/>
          <w:szCs w:val="24"/>
          <w:lang w:val="en-US" w:eastAsia="zh-CN"/>
        </w:rPr>
        <w:t>热载体炉及备用6t/h的锅炉均设置有1</w:t>
      </w:r>
      <w:r>
        <w:rPr>
          <w:rFonts w:ascii="Times New Roman" w:hAnsi="Times New Roman" w:eastAsia="宋体" w:cs="Times New Roman"/>
          <w:sz w:val="24"/>
          <w:szCs w:val="24"/>
        </w:rPr>
        <w:t>套水膜除尘装置对锅炉烟气进行除尘，年产生沉淀渣约</w:t>
      </w:r>
      <w:r>
        <w:rPr>
          <w:rFonts w:ascii="Times New Roman" w:hAnsi="Times New Roman" w:eastAsia="宋体" w:cs="Times New Roman"/>
          <w:sz w:val="24"/>
          <w:szCs w:val="24"/>
          <w:lang w:val="en-US" w:eastAsia="zh-CN"/>
        </w:rPr>
        <w:t>76.1</w:t>
      </w:r>
      <w:r>
        <w:rPr>
          <w:rFonts w:ascii="Times New Roman" w:hAnsi="Times New Roman" w:eastAsia="宋体" w:cs="Times New Roman"/>
          <w:sz w:val="24"/>
          <w:szCs w:val="24"/>
        </w:rPr>
        <w:t>t/a，同炉渣性质一致，</w:t>
      </w:r>
      <w:r>
        <w:rPr>
          <w:rFonts w:ascii="Times New Roman" w:hAnsi="Times New Roman" w:eastAsia="宋体" w:cs="Times New Roman"/>
          <w:color w:val="000000"/>
          <w:sz w:val="24"/>
          <w:szCs w:val="24"/>
          <w:lang w:eastAsia="zh-CN"/>
        </w:rPr>
        <w:t>由附近村民定期清运用于周边农田施肥</w:t>
      </w:r>
      <w:r>
        <w:rPr>
          <w:rFonts w:ascii="Times New Roman" w:hAnsi="Times New Roman" w:eastAsia="宋体" w:cs="Times New Roman"/>
          <w:sz w:val="24"/>
          <w:szCs w:val="24"/>
        </w:rPr>
        <w:t>。</w:t>
      </w:r>
    </w:p>
    <w:p w14:paraId="20CD7F92">
      <w:pPr>
        <w:pStyle w:val="2"/>
        <w:keepNext w:val="0"/>
        <w:keepLines w:val="0"/>
        <w:pageBreakBefore w:val="0"/>
        <w:widowControl/>
        <w:numPr>
          <w:ilvl w:val="0"/>
          <w:numId w:val="0"/>
        </w:num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4</w:t>
      </w:r>
      <w:r>
        <w:rPr>
          <w:rFonts w:ascii="Times New Roman" w:hAnsi="Times New Roman" w:eastAsia="宋体" w:cs="Times New Roman"/>
          <w:sz w:val="24"/>
          <w:szCs w:val="24"/>
          <w:lang w:eastAsia="zh-CN"/>
        </w:rPr>
        <w:t>）</w:t>
      </w:r>
      <w:r>
        <w:rPr>
          <w:rFonts w:ascii="Times New Roman" w:hAnsi="Times New Roman" w:eastAsia="宋体" w:cs="Times New Roman"/>
          <w:sz w:val="24"/>
          <w:szCs w:val="24"/>
        </w:rPr>
        <w:t>回收的粉尘</w:t>
      </w:r>
    </w:p>
    <w:p w14:paraId="6B1378AC">
      <w:pPr>
        <w:pStyle w:val="2"/>
        <w:keepNext w:val="0"/>
        <w:keepLines w:val="0"/>
        <w:pageBreakBefore w:val="0"/>
        <w:widowControl/>
        <w:spacing w:line="360" w:lineRule="auto"/>
        <w:ind w:left="200" w:firstLine="0"/>
        <w:rPr>
          <w:rFonts w:ascii="Times New Roman" w:hAnsi="Times New Roman" w:eastAsia="宋体" w:cs="Times New Roman"/>
          <w:color w:val="000000"/>
          <w:sz w:val="24"/>
          <w:szCs w:val="24"/>
          <w:lang w:val="en-US" w:eastAsia="zh-CN"/>
        </w:rPr>
      </w:pPr>
      <w:r>
        <w:rPr>
          <w:rFonts w:ascii="Times New Roman" w:hAnsi="Times New Roman" w:eastAsia="宋体" w:cs="Times New Roman"/>
          <w:sz w:val="24"/>
          <w:szCs w:val="24"/>
        </w:rPr>
        <w:t xml:space="preserve">   本项目</w:t>
      </w:r>
      <w:r>
        <w:rPr>
          <w:rFonts w:ascii="Times New Roman" w:hAnsi="Times New Roman" w:eastAsia="宋体" w:cs="Times New Roman"/>
          <w:sz w:val="24"/>
          <w:szCs w:val="24"/>
          <w:lang w:val="en-US" w:eastAsia="zh-CN"/>
        </w:rPr>
        <w:t>板材加工分别采用旋风、布袋除尘</w:t>
      </w:r>
      <w:r>
        <w:rPr>
          <w:rFonts w:ascii="Times New Roman" w:hAnsi="Times New Roman" w:eastAsia="宋体" w:cs="Times New Roman"/>
          <w:color w:val="000000"/>
          <w:sz w:val="24"/>
          <w:szCs w:val="24"/>
          <w:lang w:val="en-US" w:eastAsia="zh-CN"/>
        </w:rPr>
        <w:t>器，则回收粉尘量</w:t>
      </w:r>
      <w:r>
        <w:rPr>
          <w:rFonts w:hint="eastAsia" w:ascii="Times New Roman" w:hAnsi="Times New Roman" w:eastAsia="宋体" w:cs="Times New Roman"/>
          <w:color w:val="000000"/>
          <w:sz w:val="24"/>
          <w:szCs w:val="24"/>
          <w:lang w:val="en-US" w:eastAsia="zh-CN"/>
        </w:rPr>
        <w:t>为2511.935</w:t>
      </w:r>
      <w:r>
        <w:rPr>
          <w:rFonts w:ascii="Times New Roman" w:hAnsi="Times New Roman" w:eastAsia="宋体" w:cs="Times New Roman"/>
          <w:color w:val="000000"/>
          <w:sz w:val="24"/>
          <w:szCs w:val="24"/>
          <w:lang w:val="en-US" w:eastAsia="zh-CN"/>
        </w:rPr>
        <w:t>t/a，装袋暂存，作为生物质燃料的原料外售。</w:t>
      </w:r>
    </w:p>
    <w:p w14:paraId="7182F7F0">
      <w:pPr>
        <w:pStyle w:val="380"/>
        <w:keepNext w:val="0"/>
        <w:keepLines w:val="0"/>
        <w:pageBreakBefore w:val="0"/>
        <w:widowControl/>
        <w:spacing w:line="360" w:lineRule="auto"/>
        <w:ind w:firstLine="480"/>
        <w:rPr>
          <w:rFonts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废抹布</w:t>
      </w:r>
    </w:p>
    <w:p w14:paraId="3673BE89">
      <w:pPr>
        <w:pStyle w:val="2"/>
        <w:ind w:firstLine="480"/>
        <w:rPr>
          <w:rFonts w:hint="eastAsia"/>
          <w:sz w:val="24"/>
          <w:szCs w:val="24"/>
        </w:rPr>
      </w:pPr>
      <w:r>
        <w:rPr>
          <w:rFonts w:ascii="Times New Roman" w:hAnsi="Times New Roman" w:eastAsia="宋体" w:cs="Times New Roman"/>
          <w:sz w:val="24"/>
          <w:szCs w:val="24"/>
        </w:rPr>
        <w:t>本项目机械设备每</w:t>
      </w:r>
      <w:r>
        <w:rPr>
          <w:rFonts w:ascii="Times New Roman" w:hAnsi="Times New Roman" w:eastAsia="宋体" w:cs="Times New Roman"/>
          <w:color w:val="000000"/>
          <w:sz w:val="24"/>
          <w:szCs w:val="24"/>
        </w:rPr>
        <w:t>年因维修和更换会产生一定量</w:t>
      </w:r>
      <w:r>
        <w:rPr>
          <w:rFonts w:hint="eastAsia" w:ascii="Times New Roman" w:hAnsi="Times New Roman" w:eastAsia="宋体" w:cs="Times New Roman"/>
          <w:color w:val="000000"/>
          <w:sz w:val="24"/>
          <w:szCs w:val="24"/>
          <w:lang w:val="en-US" w:eastAsia="zh-CN"/>
        </w:rPr>
        <w:t>的</w:t>
      </w:r>
      <w:r>
        <w:rPr>
          <w:rFonts w:ascii="Times New Roman" w:hAnsi="Times New Roman" w:eastAsia="宋体" w:cs="Times New Roman"/>
          <w:color w:val="000000"/>
          <w:sz w:val="24"/>
          <w:szCs w:val="24"/>
          <w:lang w:val="en-US" w:eastAsia="zh-CN"/>
        </w:rPr>
        <w:t>废抹布</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lang w:val="en-US" w:eastAsia="zh-CN"/>
        </w:rPr>
        <w:t>废抹布产生量0.1t/a</w:t>
      </w:r>
      <w:r>
        <w:rPr>
          <w:rFonts w:ascii="Times New Roman" w:hAnsi="Times New Roman" w:eastAsia="宋体" w:cs="Times New Roman"/>
          <w:color w:val="000000"/>
          <w:sz w:val="24"/>
          <w:szCs w:val="24"/>
        </w:rPr>
        <w:t>。含油废抹布、手套已列入危险废物豁免管理清单，混入生活垃圾的可按生活垃圾处理。</w:t>
      </w:r>
    </w:p>
    <w:p w14:paraId="62FD229A">
      <w:pPr>
        <w:ind w:firstLine="480"/>
        <w:rPr>
          <w:rFonts w:hint="eastAsia"/>
          <w:szCs w:val="24"/>
        </w:rPr>
      </w:pPr>
      <w:r>
        <w:rPr>
          <w:spacing w:val="-4"/>
        </w:rPr>
        <w:t>项目产生的一般</w:t>
      </w:r>
      <w:r>
        <w:rPr>
          <w:rFonts w:hint="eastAsia" w:eastAsia="宋体"/>
          <w:spacing w:val="-4"/>
          <w:lang w:val="en-US" w:eastAsia="zh-CN"/>
        </w:rPr>
        <w:t>工业</w:t>
      </w:r>
      <w:r>
        <w:rPr>
          <w:spacing w:val="-4"/>
        </w:rPr>
        <w:t xml:space="preserve">固体废物，集中收集后设置专门的区域存放， </w:t>
      </w:r>
      <w:r>
        <w:t>做好防雨防渗措施，并及时清运处置；项目在</w:t>
      </w:r>
      <w:r>
        <w:rPr>
          <w:rFonts w:hint="eastAsia" w:eastAsia="宋体"/>
          <w:lang w:val="en-US" w:eastAsia="zh-CN"/>
        </w:rPr>
        <w:t>成品仓库</w:t>
      </w:r>
      <w:r>
        <w:t>北部设置</w:t>
      </w:r>
      <w:r>
        <w:rPr>
          <w:rFonts w:hint="eastAsia" w:eastAsia="宋体"/>
          <w:lang w:val="en-US" w:eastAsia="zh-CN"/>
        </w:rPr>
        <w:t>1</w:t>
      </w:r>
      <w:r>
        <w:t>个一般固废暂存间</w:t>
      </w:r>
      <w:r>
        <w:rPr>
          <w:rFonts w:hint="eastAsia" w:eastAsia="宋体"/>
          <w:lang w:val="en-US" w:eastAsia="zh-CN"/>
        </w:rPr>
        <w:t>100m</w:t>
      </w:r>
      <w:r>
        <w:rPr>
          <w:rFonts w:hint="eastAsia" w:eastAsia="宋体"/>
          <w:vertAlign w:val="superscript"/>
          <w:lang w:val="en-US" w:eastAsia="zh-CN"/>
        </w:rPr>
        <w:t>2</w:t>
      </w:r>
      <w:r>
        <w:t>，设有遮挡，地面水泥硬化，满足</w:t>
      </w:r>
      <w:r>
        <w:rPr>
          <w:szCs w:val="22"/>
        </w:rPr>
        <w:t>《一般工业固体废物储存、处置场污染控制标准》（GB18599-2001）及2013年修改单</w:t>
      </w:r>
      <w:r>
        <w:t>中防风、防雨、防渗的要求。</w:t>
      </w:r>
      <w:r>
        <w:rPr>
          <w:szCs w:val="22"/>
        </w:rPr>
        <w:t>一般固体废物处置</w:t>
      </w:r>
      <w:r>
        <w:rPr>
          <w:rFonts w:hint="eastAsia"/>
          <w:szCs w:val="22"/>
        </w:rPr>
        <w:t>严格按照</w:t>
      </w:r>
      <w:r>
        <w:rPr>
          <w:szCs w:val="22"/>
        </w:rPr>
        <w:t>要求</w:t>
      </w:r>
      <w:r>
        <w:rPr>
          <w:rFonts w:hint="eastAsia"/>
          <w:szCs w:val="22"/>
        </w:rPr>
        <w:t>进行暂存及处置，对周围环境影响不大。</w:t>
      </w:r>
    </w:p>
    <w:p w14:paraId="6F0AE8BF">
      <w:pPr>
        <w:pStyle w:val="282"/>
        <w:rPr>
          <w:rFonts w:hint="eastAsia"/>
        </w:rPr>
      </w:pPr>
      <w:r>
        <w:rPr>
          <w:rFonts w:hint="eastAsia"/>
          <w:lang w:val="en-US" w:eastAsia="zh-CN"/>
        </w:rPr>
        <w:t>6.</w:t>
      </w:r>
      <w:r>
        <w:rPr>
          <w:rFonts w:hint="eastAsia"/>
        </w:rPr>
        <w:t>2.</w:t>
      </w:r>
      <w:r>
        <w:rPr>
          <w:rFonts w:hint="eastAsia"/>
          <w:lang w:val="en-US" w:eastAsia="zh-CN"/>
        </w:rPr>
        <w:t>5</w:t>
      </w:r>
      <w:r>
        <w:rPr>
          <w:rFonts w:hint="eastAsia"/>
        </w:rPr>
        <w:t>.2危险废物</w:t>
      </w:r>
    </w:p>
    <w:p w14:paraId="25DB3BC9">
      <w:pPr>
        <w:numPr>
          <w:ilvl w:val="0"/>
          <w:numId w:val="0"/>
        </w:numPr>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lang w:val="en-US" w:eastAsia="zh-CN"/>
        </w:rPr>
        <w:t>（1）制胶生产废包装材料</w:t>
      </w:r>
    </w:p>
    <w:p w14:paraId="0606B4D9">
      <w:pPr>
        <w:keepNext w:val="0"/>
        <w:keepLines w:val="0"/>
        <w:widowControl/>
        <w:suppressLineNumbers w:val="0"/>
        <w:jc w:val="left"/>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bidi="ar"/>
        </w:rPr>
        <w:t>本项目制胶过程中会产生一定量废包装材料、原料包装袋、包装桶，产生量约为 0.5t/a，属于《国家危险废物名录》（2016版）中规定的危险废物，HW13有机树脂类废物。目前厂区内设置有单独的1个危险废物暂存间，环评要求</w:t>
      </w:r>
      <w:r>
        <w:rPr>
          <w:rFonts w:hint="eastAsia" w:ascii="Times New Roman" w:hAnsi="Times New Roman" w:eastAsia="宋体" w:cs="Times New Roman"/>
          <w:color w:val="000000"/>
          <w:sz w:val="24"/>
          <w:szCs w:val="24"/>
          <w:lang w:val="en-US" w:eastAsia="zh-CN" w:bidi="ar"/>
        </w:rPr>
        <w:t>分类收集，妥善暂存，并</w:t>
      </w:r>
      <w:r>
        <w:rPr>
          <w:rFonts w:ascii="Times New Roman" w:hAnsi="Times New Roman" w:eastAsia="宋体" w:cs="Times New Roman"/>
          <w:color w:val="000000"/>
          <w:sz w:val="24"/>
          <w:szCs w:val="24"/>
          <w:lang w:val="en-US" w:eastAsia="zh-CN" w:bidi="ar"/>
        </w:rPr>
        <w:t>交由资质单位进行回收处置</w:t>
      </w:r>
      <w:r>
        <w:rPr>
          <w:rFonts w:hint="eastAsia" w:ascii="Times New Roman" w:hAnsi="Times New Roman" w:eastAsia="宋体" w:cs="Times New Roman"/>
          <w:bCs/>
          <w:color w:val="000000"/>
          <w:sz w:val="24"/>
          <w:szCs w:val="24"/>
          <w:lang w:eastAsia="zh-CN"/>
        </w:rPr>
        <w:t>，</w:t>
      </w:r>
      <w:r>
        <w:rPr>
          <w:rFonts w:hint="eastAsia" w:ascii="Times New Roman" w:hAnsi="Times New Roman" w:eastAsia="宋体" w:cs="Times New Roman"/>
          <w:bCs/>
          <w:color w:val="000000"/>
          <w:sz w:val="24"/>
          <w:szCs w:val="24"/>
          <w:lang w:val="en-US" w:eastAsia="zh-CN"/>
        </w:rPr>
        <w:t>不会对周围环境造成影响。</w:t>
      </w:r>
    </w:p>
    <w:p w14:paraId="068F5208">
      <w:pPr>
        <w:spacing w:line="360" w:lineRule="auto"/>
        <w:ind w:left="480" w:firstLine="0"/>
        <w:jc w:val="both"/>
        <w:rPr>
          <w:rFonts w:ascii="Times New Roman" w:hAnsi="Times New Roman" w:eastAsia="宋体" w:cs="Times New Roman"/>
          <w:color w:val="0000FF"/>
          <w:sz w:val="24"/>
          <w:szCs w:val="24"/>
          <w:lang w:val="en-US" w:eastAsia="zh-CN" w:bidi="ar-SA"/>
        </w:rPr>
      </w:pPr>
      <w:r>
        <w:rPr>
          <w:rFonts w:ascii="Times New Roman" w:hAnsi="Times New Roman" w:eastAsia="宋体" w:cs="Times New Roman"/>
          <w:sz w:val="24"/>
          <w:szCs w:val="24"/>
          <w:lang w:val="en-US" w:eastAsia="zh-CN" w:bidi="ar-SA"/>
        </w:rPr>
        <w:t>（2）更换的废导热油</w:t>
      </w:r>
    </w:p>
    <w:p w14:paraId="1E14B316">
      <w:pPr>
        <w:spacing w:line="360" w:lineRule="auto"/>
        <w:ind w:firstLine="480"/>
        <w:rPr>
          <w:rFonts w:ascii="Times New Roman" w:hAnsi="Times New Roman" w:eastAsia="宋体" w:cs="Times New Roman"/>
          <w:sz w:val="24"/>
          <w:szCs w:val="24"/>
          <w:lang w:val="en-US" w:eastAsia="zh-CN"/>
        </w:rPr>
      </w:pPr>
      <w:r>
        <w:rPr>
          <w:rFonts w:ascii="Times New Roman" w:hAnsi="Times New Roman" w:eastAsia="宋体" w:cs="Times New Roman"/>
          <w:sz w:val="24"/>
          <w:szCs w:val="24"/>
        </w:rPr>
        <w:t>据</w:t>
      </w:r>
      <w:r>
        <w:rPr>
          <w:rFonts w:ascii="Times New Roman" w:hAnsi="Times New Roman" w:eastAsia="宋体" w:cs="Times New Roman"/>
          <w:sz w:val="24"/>
          <w:szCs w:val="24"/>
          <w:lang w:val="en-US" w:eastAsia="zh-CN"/>
        </w:rPr>
        <w:t>建设方</w:t>
      </w:r>
      <w:r>
        <w:rPr>
          <w:rFonts w:ascii="Times New Roman" w:hAnsi="Times New Roman" w:eastAsia="宋体" w:cs="Times New Roman"/>
          <w:sz w:val="24"/>
          <w:szCs w:val="24"/>
        </w:rPr>
        <w:t>提供资料循环导热油，</w:t>
      </w:r>
      <w:r>
        <w:rPr>
          <w:rFonts w:ascii="Times New Roman" w:hAnsi="Times New Roman" w:eastAsia="宋体" w:cs="Times New Roman"/>
          <w:sz w:val="24"/>
          <w:szCs w:val="24"/>
          <w:lang w:val="en-US" w:eastAsia="zh-CN"/>
        </w:rPr>
        <w:t>每年补充</w:t>
      </w:r>
      <w:r>
        <w:rPr>
          <w:rFonts w:ascii="Times New Roman" w:hAnsi="Times New Roman" w:eastAsia="宋体" w:cs="Times New Roman"/>
          <w:sz w:val="24"/>
          <w:szCs w:val="24"/>
        </w:rPr>
        <w:t>一次，循环使用。</w:t>
      </w:r>
      <w:r>
        <w:rPr>
          <w:rFonts w:ascii="Times New Roman" w:hAnsi="Times New Roman" w:eastAsia="宋体" w:cs="Times New Roman"/>
          <w:sz w:val="24"/>
          <w:szCs w:val="24"/>
          <w:lang w:val="en-US" w:eastAsia="zh-CN"/>
        </w:rPr>
        <w:t>约3年更换一次，废导热油一次更换量约15t，</w:t>
      </w:r>
      <w:r>
        <w:rPr>
          <w:rFonts w:ascii="Times New Roman" w:hAnsi="Times New Roman" w:eastAsia="宋体" w:cs="Times New Roman"/>
          <w:sz w:val="24"/>
          <w:szCs w:val="24"/>
        </w:rPr>
        <w:t>属于危险废物，</w:t>
      </w:r>
      <w:r>
        <w:rPr>
          <w:rFonts w:ascii="Times New Roman" w:hAnsi="Times New Roman" w:eastAsia="宋体" w:cs="Times New Roman"/>
          <w:color w:val="000000"/>
          <w:sz w:val="24"/>
          <w:szCs w:val="24"/>
        </w:rPr>
        <w:t>属于“HW08废矿物油与含矿物油废物”类别</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代码为 900-2</w:t>
      </w:r>
      <w:r>
        <w:rPr>
          <w:rFonts w:hint="eastAsia" w:ascii="Times New Roman" w:hAnsi="Times New Roman" w:eastAsia="宋体" w:cs="Times New Roman"/>
          <w:color w:val="000000"/>
          <w:sz w:val="24"/>
          <w:szCs w:val="24"/>
          <w:lang w:val="en-US" w:eastAsia="zh-CN"/>
        </w:rPr>
        <w:t>21</w:t>
      </w:r>
      <w:r>
        <w:rPr>
          <w:rFonts w:ascii="Times New Roman" w:hAnsi="Times New Roman" w:eastAsia="宋体" w:cs="Times New Roman"/>
          <w:color w:val="000000"/>
          <w:sz w:val="24"/>
          <w:szCs w:val="24"/>
        </w:rPr>
        <w:t>-08</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sz w:val="24"/>
          <w:szCs w:val="24"/>
        </w:rPr>
        <w:t>环评要求待服务期满后将废导热油交有资质的单位</w:t>
      </w:r>
      <w:r>
        <w:rPr>
          <w:rFonts w:ascii="Times New Roman" w:hAnsi="Times New Roman" w:eastAsia="宋体" w:cs="Times New Roman"/>
          <w:sz w:val="24"/>
          <w:szCs w:val="24"/>
          <w:lang w:val="en-US" w:eastAsia="zh-CN"/>
        </w:rPr>
        <w:t>进行更换回收</w:t>
      </w:r>
      <w:r>
        <w:rPr>
          <w:rFonts w:ascii="Times New Roman" w:hAnsi="Times New Roman" w:eastAsia="宋体" w:cs="Times New Roman"/>
          <w:sz w:val="24"/>
          <w:szCs w:val="24"/>
        </w:rPr>
        <w:t>处置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不会对周围环境造成污染。</w:t>
      </w:r>
    </w:p>
    <w:p w14:paraId="54371E14">
      <w:pPr>
        <w:spacing w:line="360" w:lineRule="auto"/>
        <w:ind w:left="480" w:firstLine="0"/>
        <w:jc w:val="both"/>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t>（3）废活性炭</w:t>
      </w:r>
    </w:p>
    <w:p w14:paraId="43048D15">
      <w:pPr>
        <w:keepNext w:val="0"/>
        <w:keepLines w:val="0"/>
        <w:widowControl/>
        <w:suppressLineNumbers w:val="0"/>
        <w:jc w:val="left"/>
        <w:rPr>
          <w:rFonts w:ascii="Times New Roman" w:hAnsi="Times New Roman" w:eastAsia="宋体" w:cs="Times New Roman"/>
          <w:sz w:val="24"/>
          <w:szCs w:val="24"/>
        </w:rPr>
      </w:pPr>
      <w:r>
        <w:rPr>
          <w:rFonts w:ascii="Times New Roman" w:hAnsi="Times New Roman" w:eastAsia="宋体" w:cs="Times New Roman"/>
          <w:color w:val="000000"/>
          <w:sz w:val="24"/>
          <w:szCs w:val="24"/>
          <w:lang w:val="en-US" w:eastAsia="zh-CN"/>
        </w:rPr>
        <w:t>UV光催化活性炭吸附一体设备</w:t>
      </w:r>
      <w:r>
        <w:rPr>
          <w:rFonts w:hint="eastAsia" w:ascii="Times New Roman" w:hAnsi="Times New Roman" w:eastAsia="宋体" w:cs="Times New Roman"/>
          <w:color w:val="000000"/>
          <w:sz w:val="24"/>
          <w:szCs w:val="24"/>
          <w:lang w:val="en-US" w:eastAsia="zh-CN"/>
        </w:rPr>
        <w:t>填充有</w:t>
      </w:r>
      <w:r>
        <w:rPr>
          <w:rFonts w:hint="eastAsia" w:ascii="Times New Roman" w:hAnsi="Times New Roman" w:eastAsia="宋体" w:cs="Times New Roman"/>
          <w:color w:val="000000"/>
          <w:sz w:val="24"/>
          <w:szCs w:val="24"/>
          <w:lang w:val="en-US" w:eastAsia="zh-CN" w:bidi="ar"/>
        </w:rPr>
        <w:t>活性炭</w:t>
      </w:r>
      <w:r>
        <w:rPr>
          <w:rFonts w:ascii="Times New Roman" w:hAnsi="Times New Roman" w:eastAsia="宋体" w:cs="Times New Roman"/>
          <w:color w:val="000000"/>
          <w:sz w:val="24"/>
          <w:szCs w:val="24"/>
          <w:lang w:val="en-US" w:eastAsia="zh-CN" w:bidi="ar"/>
        </w:rPr>
        <w:t>，约一年更换一次，每次产生</w:t>
      </w:r>
      <w:r>
        <w:rPr>
          <w:rFonts w:hint="eastAsia" w:ascii="Times New Roman" w:hAnsi="Times New Roman" w:eastAsia="宋体" w:cs="Times New Roman"/>
          <w:color w:val="000000"/>
          <w:sz w:val="24"/>
          <w:szCs w:val="24"/>
          <w:lang w:val="en-US" w:eastAsia="zh-CN" w:bidi="ar"/>
        </w:rPr>
        <w:t>废活性炭的</w:t>
      </w:r>
      <w:r>
        <w:rPr>
          <w:rFonts w:ascii="Times New Roman" w:hAnsi="Times New Roman" w:eastAsia="宋体" w:cs="Times New Roman"/>
          <w:color w:val="000000"/>
          <w:sz w:val="24"/>
          <w:szCs w:val="24"/>
          <w:lang w:val="en-US" w:eastAsia="zh-CN" w:bidi="ar"/>
        </w:rPr>
        <w:t>量为0.4t/a，属于危险废物，</w:t>
      </w:r>
      <w:r>
        <w:rPr>
          <w:rFonts w:hint="eastAsia" w:ascii="Times New Roman" w:hAnsi="Times New Roman" w:eastAsia="宋体" w:cs="Times New Roman"/>
          <w:color w:val="000000"/>
          <w:sz w:val="24"/>
          <w:szCs w:val="24"/>
          <w:lang w:val="en-US" w:eastAsia="zh-CN" w:bidi="ar"/>
        </w:rPr>
        <w:t>废物类别：HW49其他危险废物，废物</w:t>
      </w:r>
      <w:r>
        <w:rPr>
          <w:rFonts w:ascii="Times New Roman" w:hAnsi="Times New Roman" w:eastAsia="宋体" w:cs="Times New Roman"/>
          <w:color w:val="000000"/>
          <w:sz w:val="24"/>
          <w:szCs w:val="24"/>
        </w:rPr>
        <w:t>代码为 900-</w:t>
      </w:r>
      <w:r>
        <w:rPr>
          <w:rFonts w:hint="eastAsia" w:ascii="Times New Roman" w:hAnsi="Times New Roman" w:eastAsia="宋体" w:cs="Times New Roman"/>
          <w:color w:val="000000"/>
          <w:sz w:val="24"/>
          <w:szCs w:val="24"/>
          <w:lang w:val="en-US" w:eastAsia="zh-CN"/>
        </w:rPr>
        <w:t>039</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49。</w:t>
      </w:r>
      <w:r>
        <w:rPr>
          <w:rFonts w:ascii="Times New Roman" w:hAnsi="Times New Roman" w:eastAsia="宋体" w:cs="Times New Roman"/>
          <w:color w:val="000000"/>
          <w:sz w:val="24"/>
          <w:szCs w:val="24"/>
          <w:lang w:val="en-US" w:eastAsia="zh-CN" w:bidi="ar"/>
        </w:rPr>
        <w:t>收集后暂存于危废暂存间内，委托有资质单位进行回收处置。</w:t>
      </w:r>
    </w:p>
    <w:p w14:paraId="4EB1BE00">
      <w:pPr>
        <w:keepNext w:val="0"/>
        <w:keepLines w:val="0"/>
        <w:widowControl/>
        <w:suppressLineNumbers w:val="0"/>
        <w:jc w:val="left"/>
        <w:rPr>
          <w:rFonts w:ascii="Times New Roman" w:hAnsi="Times New Roman" w:eastAsia="宋体" w:cs="Times New Roman"/>
          <w:sz w:val="24"/>
          <w:szCs w:val="24"/>
        </w:rPr>
      </w:pPr>
      <w:r>
        <w:rPr>
          <w:rFonts w:ascii="Times New Roman" w:hAnsi="Times New Roman" w:eastAsia="宋体" w:cs="Times New Roman"/>
          <w:color w:val="000000"/>
          <w:sz w:val="24"/>
          <w:szCs w:val="24"/>
          <w:lang w:val="en-US" w:eastAsia="zh-CN" w:bidi="ar"/>
        </w:rPr>
        <w:t>（4）废灯管</w:t>
      </w:r>
    </w:p>
    <w:p w14:paraId="499D1126">
      <w:pPr>
        <w:spacing w:line="360" w:lineRule="auto"/>
        <w:ind w:firstLine="480"/>
        <w:rPr>
          <w:rFonts w:ascii="Times New Roman" w:hAnsi="Times New Roman" w:eastAsia="宋体" w:cs="Times New Roman"/>
          <w:sz w:val="24"/>
          <w:szCs w:val="24"/>
        </w:rPr>
      </w:pPr>
      <w:r>
        <w:rPr>
          <w:rFonts w:ascii="Times New Roman" w:hAnsi="Times New Roman" w:eastAsia="宋体" w:cs="Times New Roman"/>
          <w:color w:val="000000"/>
          <w:sz w:val="24"/>
          <w:szCs w:val="24"/>
          <w:lang w:val="en-US" w:eastAsia="zh-CN"/>
        </w:rPr>
        <w:t>UV光催化活性炭吸附一体设备</w:t>
      </w:r>
      <w:r>
        <w:rPr>
          <w:rFonts w:hint="eastAsia" w:ascii="Times New Roman" w:hAnsi="Times New Roman" w:eastAsia="宋体" w:cs="Times New Roman"/>
          <w:sz w:val="24"/>
          <w:szCs w:val="24"/>
          <w:lang w:val="en-US" w:eastAsia="zh-CN"/>
        </w:rPr>
        <w:t>设有</w:t>
      </w:r>
      <w:r>
        <w:rPr>
          <w:rFonts w:ascii="Times New Roman" w:hAnsi="Times New Roman" w:eastAsia="宋体" w:cs="Times New Roman"/>
          <w:sz w:val="24"/>
          <w:szCs w:val="24"/>
          <w:lang w:val="en-US" w:eastAsia="zh-CN"/>
        </w:rPr>
        <w:t>灯管</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lang w:val="en-US" w:eastAsia="zh-CN"/>
        </w:rPr>
        <w:t>每次更换的废灯管产生量为0.048t，均属于危险废物，</w:t>
      </w:r>
      <w:r>
        <w:rPr>
          <w:rFonts w:ascii="Times New Roman" w:hAnsi="Times New Roman" w:eastAsia="宋体" w:cs="Times New Roman"/>
          <w:color w:val="000000"/>
          <w:sz w:val="24"/>
          <w:szCs w:val="24"/>
          <w:lang w:val="en-US" w:eastAsia="zh-CN" w:bidi="ar"/>
        </w:rPr>
        <w:t>废物类别：HW29</w:t>
      </w:r>
      <w:r>
        <w:rPr>
          <w:rFonts w:hint="eastAsia" w:ascii="Times New Roman" w:hAnsi="Times New Roman" w:eastAsia="宋体" w:cs="Times New Roman"/>
          <w:color w:val="000000"/>
          <w:sz w:val="24"/>
          <w:szCs w:val="24"/>
          <w:lang w:val="en-US" w:eastAsia="zh-CN" w:bidi="ar"/>
        </w:rPr>
        <w:t>含汞废物</w:t>
      </w:r>
      <w:r>
        <w:rPr>
          <w:rFonts w:ascii="Times New Roman" w:hAnsi="Times New Roman" w:eastAsia="宋体" w:cs="Times New Roman"/>
          <w:color w:val="000000"/>
          <w:sz w:val="24"/>
          <w:szCs w:val="24"/>
          <w:lang w:val="en-US" w:eastAsia="zh-CN" w:bidi="ar"/>
        </w:rPr>
        <w:t>，废物代码：900-023-29。项目废灯管采用桶装密封，存于危险废物暂存间中，定期交由有资质单位</w:t>
      </w:r>
      <w:r>
        <w:rPr>
          <w:rFonts w:ascii="Times New Roman" w:hAnsi="Times New Roman" w:eastAsia="宋体" w:cs="Times New Roman"/>
          <w:sz w:val="24"/>
          <w:szCs w:val="24"/>
          <w:lang w:val="en-US" w:eastAsia="zh-CN"/>
        </w:rPr>
        <w:t xml:space="preserve">进行回收处理。 </w:t>
      </w:r>
    </w:p>
    <w:p w14:paraId="40D76CDD">
      <w:pPr>
        <w:pStyle w:val="380"/>
        <w:keepNext w:val="0"/>
        <w:keepLines w:val="0"/>
        <w:pageBreakBefore w:val="0"/>
        <w:widowControl/>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5</w:t>
      </w:r>
      <w:r>
        <w:rPr>
          <w:rFonts w:ascii="Times New Roman" w:hAnsi="Times New Roman" w:eastAsia="宋体" w:cs="Times New Roman"/>
          <w:sz w:val="24"/>
          <w:szCs w:val="24"/>
        </w:rPr>
        <w:t>）废离子树脂</w:t>
      </w:r>
    </w:p>
    <w:p w14:paraId="4DC519B5">
      <w:pPr>
        <w:pStyle w:val="380"/>
        <w:keepNext w:val="0"/>
        <w:keepLines w:val="0"/>
        <w:pageBreakBefore w:val="0"/>
        <w:widowControl/>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sz w:val="24"/>
          <w:szCs w:val="24"/>
        </w:rPr>
        <w:t>本项目软水设备中的交换树脂采用的是恢复钠离子交换树脂，同时</w:t>
      </w:r>
      <w:r>
        <w:rPr>
          <w:rFonts w:ascii="Times New Roman" w:hAnsi="Times New Roman" w:eastAsia="宋体" w:cs="Times New Roman"/>
          <w:color w:val="000000"/>
          <w:sz w:val="24"/>
          <w:szCs w:val="24"/>
        </w:rPr>
        <w:t>软水设备上配套设置树脂过滤再生设备。软水器中的树脂失去活性后，经使用添加了再生盐（NaCl）的软水反复冲洗、再生处理后即可恢复活性，可反复使用，平时无需更换。根据建设单位提供的资料，项目软水设备中的树脂仅在使用一定长的期限后，待树脂磨损老化严重无法再满足软水制备要求时方才进行更换；约3~4年更换一次，废树脂产生量约100kg/次；根据《国家危险废物名录》</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lang w:val="en-US" w:eastAsia="zh-CN"/>
        </w:rPr>
        <w:t>2016版</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中对危险废物的分类更换后废弃离子树脂属于“HW13有机树脂类废物”类别</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代码为900-015-13</w:t>
      </w:r>
      <w:r>
        <w:rPr>
          <w:rFonts w:ascii="Times New Roman" w:hAnsi="Times New Roman" w:eastAsia="宋体" w:cs="Times New Roman"/>
          <w:color w:val="000000"/>
          <w:sz w:val="24"/>
          <w:szCs w:val="24"/>
        </w:rPr>
        <w:t>。树脂属危险废物，由厂家负责定期更换并返回生产厂家。</w:t>
      </w:r>
    </w:p>
    <w:p w14:paraId="206B6227">
      <w:pPr>
        <w:pStyle w:val="2"/>
        <w:ind w:firstLine="480"/>
        <w:rPr>
          <w:rFonts w:hint="eastAsia"/>
          <w:sz w:val="24"/>
          <w:szCs w:val="24"/>
        </w:rPr>
      </w:pP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6</w:t>
      </w:r>
      <w:r>
        <w:rPr>
          <w:rFonts w:ascii="Times New Roman" w:hAnsi="Times New Roman" w:eastAsia="宋体" w:cs="Times New Roman"/>
          <w:sz w:val="24"/>
          <w:szCs w:val="24"/>
        </w:rPr>
        <w:t>）废机油</w:t>
      </w:r>
    </w:p>
    <w:p w14:paraId="378F113A">
      <w:pPr>
        <w:pStyle w:val="2"/>
        <w:ind w:firstLine="480"/>
        <w:rPr>
          <w:rFonts w:ascii="Times New Roman" w:hAnsi="Times New Roman" w:cs="Times New Roman"/>
          <w:sz w:val="24"/>
          <w:szCs w:val="24"/>
        </w:rPr>
      </w:pPr>
      <w:r>
        <w:rPr>
          <w:rFonts w:ascii="Times New Roman" w:hAnsi="Times New Roman" w:cs="Times New Roman"/>
          <w:sz w:val="24"/>
          <w:szCs w:val="24"/>
        </w:rPr>
        <w:t>本项目机械设备每年因维修和更换会产生一定量的废机油，类比其他同类项目每年产生量约为0.5t/a。根据《国家危险废物名录》中对危险废物的分类废机油属于“HW08废矿物油与含矿物油废物”类别。代码为 900-217-08。按  GB18597-2001《危险废物贮存污染控制标准》要求，暂存于危废暂存间，交由具有危废处置资质的单位处置。</w:t>
      </w:r>
    </w:p>
    <w:p w14:paraId="121835CD">
      <w:pPr>
        <w:pStyle w:val="2"/>
        <w:ind w:firstLine="480"/>
        <w:rPr>
          <w:rFonts w:ascii="Times New Roman" w:hAnsi="Times New Roman" w:cs="Times New Roman"/>
          <w:sz w:val="24"/>
          <w:szCs w:val="24"/>
        </w:rPr>
      </w:pPr>
      <w:r>
        <w:rPr>
          <w:rFonts w:ascii="Times New Roman" w:hAnsi="Times New Roman" w:cs="Times New Roman"/>
          <w:sz w:val="24"/>
          <w:szCs w:val="24"/>
        </w:rPr>
        <w:t>危险废物的存放要求：</w:t>
      </w:r>
    </w:p>
    <w:p w14:paraId="6DCE0431">
      <w:pPr>
        <w:pStyle w:val="219"/>
        <w:keepNext w:val="0"/>
        <w:keepLines w:val="0"/>
        <w:pageBreakBefore w:val="0"/>
        <w:widowControl/>
        <w:spacing w:after="0"/>
        <w:ind w:left="0" w:firstLine="480"/>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项目产生的危险废物按《危险废物贮存污染控制标准》（GB18597-2001）及其修改单的要求建设与运行管理，在</w:t>
      </w:r>
      <w:r>
        <w:rPr>
          <w:rFonts w:hint="eastAsia" w:ascii="Times New Roman" w:hAnsi="Times New Roman" w:cs="Times New Roman"/>
          <w:sz w:val="24"/>
          <w:szCs w:val="24"/>
          <w:lang w:val="en-US" w:eastAsia="zh-CN" w:bidi="ar-SA"/>
        </w:rPr>
        <w:t>原料堆场的</w:t>
      </w:r>
      <w:r>
        <w:rPr>
          <w:rFonts w:ascii="Times New Roman" w:hAnsi="Times New Roman" w:cs="Times New Roman"/>
          <w:sz w:val="24"/>
          <w:szCs w:val="24"/>
          <w:lang w:val="en-US" w:eastAsia="zh-CN" w:bidi="ar-SA"/>
        </w:rPr>
        <w:t>南部设置一个危险废物暂存间</w:t>
      </w:r>
      <w:r>
        <w:rPr>
          <w:rFonts w:hint="eastAsia" w:ascii="Times New Roman" w:hAnsi="Times New Roman" w:cs="Times New Roman"/>
          <w:sz w:val="24"/>
          <w:szCs w:val="24"/>
          <w:lang w:val="en-US" w:eastAsia="zh-CN" w:bidi="ar-SA"/>
        </w:rPr>
        <w:t>57m</w:t>
      </w:r>
      <w:r>
        <w:rPr>
          <w:rFonts w:hint="eastAsia" w:ascii="Times New Roman" w:hAnsi="Times New Roman" w:cs="Times New Roman"/>
          <w:sz w:val="24"/>
          <w:szCs w:val="24"/>
          <w:vertAlign w:val="superscript"/>
          <w:lang w:val="en-US" w:eastAsia="zh-CN" w:bidi="ar-SA"/>
        </w:rPr>
        <w:t>2</w:t>
      </w:r>
      <w:r>
        <w:rPr>
          <w:rFonts w:ascii="Times New Roman" w:hAnsi="Times New Roman" w:cs="Times New Roman"/>
          <w:sz w:val="24"/>
          <w:szCs w:val="24"/>
          <w:lang w:val="en-US" w:eastAsia="zh-CN" w:bidi="ar-SA"/>
        </w:rPr>
        <w:t>，设有遮挡，地面水泥硬化，满足防风、防雨、防渗要求，临时贮存产生的危废。建设单位需与有危险废物处置资质的</w:t>
      </w:r>
      <w:r>
        <w:rPr>
          <w:rFonts w:hint="eastAsia" w:ascii="Times New Roman" w:hAnsi="Times New Roman" w:cs="Times New Roman"/>
          <w:sz w:val="24"/>
          <w:szCs w:val="24"/>
          <w:lang w:val="en-US" w:eastAsia="zh-CN" w:bidi="ar-SA"/>
        </w:rPr>
        <w:t>单位</w:t>
      </w:r>
      <w:r>
        <w:rPr>
          <w:rFonts w:ascii="Times New Roman" w:hAnsi="Times New Roman" w:cs="Times New Roman"/>
          <w:sz w:val="24"/>
          <w:szCs w:val="24"/>
          <w:lang w:val="en-US" w:eastAsia="zh-CN" w:bidi="ar-SA"/>
        </w:rPr>
        <w:t>签订危险废物处置协议书，将危险废物委托有危险废物处置资质的公司进行安全处置，使项目产生的危险废物能得到妥善的处置，不会产生流入环境的危险。</w:t>
      </w:r>
      <w:bookmarkEnd w:id="183"/>
    </w:p>
    <w:p w14:paraId="2A2CADD2">
      <w:pPr>
        <w:pStyle w:val="219"/>
        <w:keepNext w:val="0"/>
        <w:keepLines w:val="0"/>
        <w:pageBreakBefore w:val="0"/>
        <w:widowControl/>
        <w:spacing w:after="0"/>
        <w:ind w:left="0" w:firstLine="480"/>
        <w:rPr>
          <w:rFonts w:ascii="Times New Roman" w:hAnsi="Times New Roman" w:cs="Times New Roman"/>
          <w:sz w:val="24"/>
          <w:szCs w:val="24"/>
        </w:rPr>
      </w:pPr>
      <w:r>
        <w:rPr>
          <w:rFonts w:ascii="Times New Roman" w:hAnsi="Times New Roman" w:cs="Times New Roman"/>
          <w:sz w:val="24"/>
          <w:szCs w:val="24"/>
        </w:rPr>
        <w:t>危废暂存要求对照表详见表</w:t>
      </w:r>
      <w:r>
        <w:rPr>
          <w:rFonts w:hint="eastAsia" w:ascii="Times New Roman" w:hAnsi="Times New Roman" w:cs="Times New Roman"/>
          <w:sz w:val="24"/>
          <w:szCs w:val="24"/>
          <w:lang w:val="en-US" w:eastAsia="zh-CN"/>
        </w:rPr>
        <w:t>6.2</w:t>
      </w:r>
      <w:r>
        <w:rPr>
          <w:rFonts w:ascii="Times New Roman" w:hAnsi="Times New Roman" w:cs="Times New Roman"/>
          <w:sz w:val="24"/>
          <w:szCs w:val="24"/>
        </w:rPr>
        <w:t>-</w:t>
      </w:r>
      <w:r>
        <w:rPr>
          <w:rFonts w:hint="eastAsia" w:ascii="Times New Roman" w:hAnsi="Times New Roman" w:cs="Times New Roman"/>
          <w:sz w:val="24"/>
          <w:szCs w:val="24"/>
          <w:lang w:val="en-US" w:eastAsia="zh-CN"/>
        </w:rPr>
        <w:t>30</w:t>
      </w:r>
      <w:r>
        <w:rPr>
          <w:rFonts w:ascii="Times New Roman" w:hAnsi="Times New Roman" w:cs="Times New Roman"/>
          <w:sz w:val="24"/>
          <w:szCs w:val="24"/>
        </w:rPr>
        <w:t>、</w:t>
      </w:r>
      <w:r>
        <w:rPr>
          <w:rFonts w:hint="eastAsia" w:ascii="Times New Roman" w:hAnsi="Times New Roman" w:cs="Times New Roman"/>
          <w:sz w:val="24"/>
          <w:szCs w:val="24"/>
          <w:lang w:val="en-US" w:eastAsia="zh-CN"/>
        </w:rPr>
        <w:t>6.2</w:t>
      </w:r>
      <w:r>
        <w:rPr>
          <w:rFonts w:ascii="Times New Roman" w:hAnsi="Times New Roman" w:cs="Times New Roman"/>
          <w:sz w:val="24"/>
          <w:szCs w:val="24"/>
        </w:rPr>
        <w:t>-</w:t>
      </w:r>
      <w:r>
        <w:rPr>
          <w:rFonts w:hint="eastAsia" w:ascii="Times New Roman" w:hAnsi="Times New Roman" w:cs="Times New Roman"/>
          <w:sz w:val="24"/>
          <w:szCs w:val="24"/>
          <w:lang w:val="en-US" w:eastAsia="zh-CN"/>
        </w:rPr>
        <w:t>31</w:t>
      </w:r>
      <w:r>
        <w:rPr>
          <w:rFonts w:ascii="Times New Roman" w:hAnsi="Times New Roman" w:cs="Times New Roman"/>
          <w:sz w:val="24"/>
          <w:szCs w:val="24"/>
        </w:rPr>
        <w:t>。</w:t>
      </w:r>
    </w:p>
    <w:p w14:paraId="4C39CEBE">
      <w:pPr>
        <w:pStyle w:val="2"/>
        <w:ind w:firstLine="482"/>
        <w:jc w:val="center"/>
        <w:rPr>
          <w:rFonts w:ascii="Times New Roman" w:hAnsi="Times New Roman" w:eastAsia="宋体" w:cs="Times New Roman"/>
          <w:sz w:val="24"/>
          <w:szCs w:val="24"/>
        </w:rPr>
      </w:pPr>
      <w:r>
        <w:rPr>
          <w:rFonts w:ascii="Times New Roman" w:hAnsi="Times New Roman" w:eastAsia="宋体" w:cs="Times New Roman"/>
          <w:b/>
          <w:sz w:val="24"/>
          <w:szCs w:val="24"/>
        </w:rPr>
        <w:t>表</w:t>
      </w:r>
      <w:r>
        <w:rPr>
          <w:rFonts w:ascii="Times New Roman" w:hAnsi="Times New Roman" w:eastAsia="宋体" w:cs="Times New Roman"/>
          <w:b/>
          <w:sz w:val="24"/>
          <w:szCs w:val="24"/>
          <w:lang w:val="en-US" w:eastAsia="zh-CN"/>
        </w:rPr>
        <w:t>6.2</w:t>
      </w:r>
      <w:r>
        <w:rPr>
          <w:rFonts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30</w:t>
      </w:r>
      <w:r>
        <w:rPr>
          <w:rFonts w:ascii="Times New Roman" w:hAnsi="Times New Roman" w:eastAsia="宋体" w:cs="Times New Roman"/>
          <w:b/>
          <w:sz w:val="24"/>
          <w:szCs w:val="24"/>
        </w:rPr>
        <w:t xml:space="preserve"> 危废暂存要求对照表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81"/>
        <w:gridCol w:w="3968"/>
      </w:tblGrid>
      <w:tr w14:paraId="72875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4581" w:type="dxa"/>
            <w:noWrap w:val="0"/>
            <w:vAlign w:val="center"/>
          </w:tcPr>
          <w:p w14:paraId="268CB04D">
            <w:pPr>
              <w:pStyle w:val="2"/>
              <w:ind w:firstLine="0"/>
              <w:jc w:val="center"/>
              <w:rPr>
                <w:b/>
                <w:szCs w:val="24"/>
              </w:rPr>
            </w:pPr>
            <w:r>
              <w:rPr>
                <w:rFonts w:hint="eastAsia"/>
                <w:b/>
                <w:szCs w:val="24"/>
              </w:rPr>
              <w:t>标准要求</w:t>
            </w:r>
          </w:p>
        </w:tc>
        <w:tc>
          <w:tcPr>
            <w:tcW w:w="3968" w:type="dxa"/>
            <w:noWrap w:val="0"/>
            <w:vAlign w:val="center"/>
          </w:tcPr>
          <w:p w14:paraId="60BEAE78">
            <w:pPr>
              <w:pStyle w:val="2"/>
              <w:ind w:firstLine="0"/>
              <w:jc w:val="center"/>
              <w:rPr>
                <w:b/>
                <w:szCs w:val="24"/>
              </w:rPr>
            </w:pPr>
            <w:r>
              <w:rPr>
                <w:rFonts w:hint="eastAsia"/>
                <w:b/>
                <w:szCs w:val="24"/>
              </w:rPr>
              <w:t>本项目措施</w:t>
            </w:r>
          </w:p>
        </w:tc>
      </w:tr>
      <w:tr w14:paraId="47DD9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4581" w:type="dxa"/>
            <w:noWrap w:val="0"/>
            <w:vAlign w:val="center"/>
          </w:tcPr>
          <w:p w14:paraId="2EF5C39E">
            <w:pPr>
              <w:pStyle w:val="2"/>
              <w:ind w:firstLine="0"/>
              <w:jc w:val="center"/>
              <w:rPr>
                <w:szCs w:val="24"/>
              </w:rPr>
            </w:pPr>
            <w:r>
              <w:rPr>
                <w:rFonts w:hint="eastAsia"/>
                <w:szCs w:val="24"/>
              </w:rPr>
              <w:t>建造专用的危险废物贮存设施，也可以利用原有构建物改建成危险废物贮存设施</w:t>
            </w:r>
          </w:p>
        </w:tc>
        <w:tc>
          <w:tcPr>
            <w:tcW w:w="3968" w:type="dxa"/>
            <w:noWrap w:val="0"/>
            <w:vAlign w:val="center"/>
          </w:tcPr>
          <w:p w14:paraId="2804DBA6">
            <w:pPr>
              <w:pStyle w:val="2"/>
              <w:ind w:firstLine="0"/>
              <w:jc w:val="center"/>
              <w:rPr>
                <w:szCs w:val="24"/>
              </w:rPr>
            </w:pPr>
            <w:r>
              <w:rPr>
                <w:rFonts w:hint="eastAsia"/>
                <w:szCs w:val="24"/>
              </w:rPr>
              <w:t>环评要求建造专用的危险废物贮设措施。</w:t>
            </w:r>
          </w:p>
        </w:tc>
      </w:tr>
      <w:tr w14:paraId="56827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4581" w:type="dxa"/>
            <w:noWrap w:val="0"/>
            <w:vAlign w:val="center"/>
          </w:tcPr>
          <w:p w14:paraId="0FB8C5CE">
            <w:pPr>
              <w:pStyle w:val="2"/>
              <w:ind w:firstLine="0"/>
              <w:jc w:val="center"/>
              <w:rPr>
                <w:szCs w:val="24"/>
              </w:rPr>
            </w:pPr>
            <w:r>
              <w:rPr>
                <w:rFonts w:hint="eastAsia"/>
                <w:szCs w:val="24"/>
              </w:rPr>
              <w:t>用水降温，经行预处理，使之稳定后贮存</w:t>
            </w:r>
          </w:p>
        </w:tc>
        <w:tc>
          <w:tcPr>
            <w:tcW w:w="3968" w:type="dxa"/>
            <w:noWrap w:val="0"/>
            <w:vAlign w:val="center"/>
          </w:tcPr>
          <w:p w14:paraId="45DBE529">
            <w:pPr>
              <w:pStyle w:val="2"/>
              <w:ind w:firstLine="0"/>
              <w:jc w:val="center"/>
              <w:rPr>
                <w:szCs w:val="24"/>
              </w:rPr>
            </w:pPr>
            <w:r>
              <w:rPr>
                <w:rFonts w:hint="eastAsia"/>
                <w:szCs w:val="24"/>
              </w:rPr>
              <w:t>本项目危废为废油，常温，不需要经行预处理</w:t>
            </w:r>
          </w:p>
        </w:tc>
      </w:tr>
      <w:tr w14:paraId="398A0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4581" w:type="dxa"/>
            <w:noWrap w:val="0"/>
            <w:vAlign w:val="center"/>
          </w:tcPr>
          <w:p w14:paraId="20AD7869">
            <w:pPr>
              <w:pStyle w:val="2"/>
              <w:ind w:firstLine="0"/>
              <w:jc w:val="center"/>
              <w:rPr>
                <w:szCs w:val="24"/>
              </w:rPr>
            </w:pPr>
            <w:r>
              <w:rPr>
                <w:rFonts w:hint="eastAsia"/>
                <w:szCs w:val="24"/>
              </w:rPr>
              <w:t>将危废装入专门的容器中</w:t>
            </w:r>
          </w:p>
        </w:tc>
        <w:tc>
          <w:tcPr>
            <w:tcW w:w="3968" w:type="dxa"/>
            <w:noWrap w:val="0"/>
            <w:vAlign w:val="center"/>
          </w:tcPr>
          <w:p w14:paraId="5C9C8183">
            <w:pPr>
              <w:pStyle w:val="2"/>
              <w:ind w:firstLine="0"/>
              <w:jc w:val="center"/>
              <w:rPr>
                <w:szCs w:val="24"/>
              </w:rPr>
            </w:pPr>
            <w:r>
              <w:rPr>
                <w:rFonts w:hint="eastAsia"/>
                <w:szCs w:val="24"/>
              </w:rPr>
              <w:t>环评要求本项目危险废物使用专用容器暂存</w:t>
            </w:r>
          </w:p>
        </w:tc>
      </w:tr>
      <w:tr w14:paraId="7BDB4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4581" w:type="dxa"/>
            <w:noWrap w:val="0"/>
            <w:vAlign w:val="center"/>
          </w:tcPr>
          <w:p w14:paraId="6C1544FE">
            <w:pPr>
              <w:pStyle w:val="2"/>
              <w:ind w:firstLine="0"/>
              <w:jc w:val="center"/>
              <w:rPr>
                <w:szCs w:val="24"/>
              </w:rPr>
            </w:pPr>
            <w:r>
              <w:rPr>
                <w:rFonts w:hint="eastAsia"/>
                <w:szCs w:val="24"/>
              </w:rPr>
              <w:t>禁止将不相容的危险废物在同一容器内混装</w:t>
            </w:r>
          </w:p>
        </w:tc>
        <w:tc>
          <w:tcPr>
            <w:tcW w:w="3968" w:type="dxa"/>
            <w:noWrap w:val="0"/>
            <w:vAlign w:val="center"/>
          </w:tcPr>
          <w:p w14:paraId="71CACDBA">
            <w:pPr>
              <w:pStyle w:val="2"/>
              <w:ind w:firstLine="0"/>
              <w:jc w:val="center"/>
              <w:rPr>
                <w:szCs w:val="24"/>
              </w:rPr>
            </w:pPr>
            <w:r>
              <w:rPr>
                <w:rFonts w:hint="eastAsia"/>
                <w:szCs w:val="24"/>
              </w:rPr>
              <w:t>使用专用容器暂存</w:t>
            </w:r>
          </w:p>
        </w:tc>
      </w:tr>
      <w:tr w14:paraId="3B4DE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jc w:val="center"/>
        </w:trPr>
        <w:tc>
          <w:tcPr>
            <w:tcW w:w="4581" w:type="dxa"/>
            <w:noWrap w:val="0"/>
            <w:vAlign w:val="center"/>
          </w:tcPr>
          <w:p w14:paraId="3FF87FD3">
            <w:pPr>
              <w:pStyle w:val="2"/>
              <w:ind w:firstLine="0"/>
              <w:jc w:val="center"/>
              <w:rPr>
                <w:szCs w:val="24"/>
              </w:rPr>
            </w:pPr>
            <w:r>
              <w:rPr>
                <w:rFonts w:hint="eastAsia"/>
                <w:szCs w:val="24"/>
              </w:rPr>
              <w:t>装载液体、半固体危险废物的容器必须留足够空间，容器顶部与液体表面之间保留</w:t>
            </w:r>
            <w:r>
              <w:rPr>
                <w:szCs w:val="24"/>
              </w:rPr>
              <w:t>100mm</w:t>
            </w:r>
            <w:r>
              <w:rPr>
                <w:rFonts w:hint="eastAsia"/>
                <w:szCs w:val="24"/>
              </w:rPr>
              <w:t>以上的空间</w:t>
            </w:r>
          </w:p>
        </w:tc>
        <w:tc>
          <w:tcPr>
            <w:tcW w:w="3968" w:type="dxa"/>
            <w:noWrap w:val="0"/>
            <w:vAlign w:val="center"/>
          </w:tcPr>
          <w:p w14:paraId="67614BEF">
            <w:pPr>
              <w:pStyle w:val="2"/>
              <w:ind w:firstLine="0"/>
              <w:jc w:val="center"/>
              <w:rPr>
                <w:szCs w:val="24"/>
              </w:rPr>
            </w:pPr>
            <w:r>
              <w:rPr>
                <w:rFonts w:hint="eastAsia"/>
                <w:szCs w:val="24"/>
              </w:rPr>
              <w:t>按标准要求设计</w:t>
            </w:r>
          </w:p>
        </w:tc>
      </w:tr>
      <w:tr w14:paraId="10AD0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4581" w:type="dxa"/>
            <w:noWrap w:val="0"/>
            <w:vAlign w:val="center"/>
          </w:tcPr>
          <w:p w14:paraId="03287D65">
            <w:pPr>
              <w:pStyle w:val="2"/>
              <w:ind w:firstLine="0"/>
              <w:jc w:val="center"/>
              <w:rPr>
                <w:szCs w:val="24"/>
              </w:rPr>
            </w:pPr>
            <w:r>
              <w:rPr>
                <w:rFonts w:hint="eastAsia"/>
                <w:szCs w:val="24"/>
              </w:rPr>
              <w:t>盛装危险废物的容器上必须粘贴符合本标准附录</w:t>
            </w:r>
            <w:r>
              <w:rPr>
                <w:szCs w:val="24"/>
              </w:rPr>
              <w:t>A</w:t>
            </w:r>
            <w:r>
              <w:rPr>
                <w:rFonts w:hint="eastAsia"/>
                <w:szCs w:val="24"/>
              </w:rPr>
              <w:t>所示的标签</w:t>
            </w:r>
          </w:p>
        </w:tc>
        <w:tc>
          <w:tcPr>
            <w:tcW w:w="3968" w:type="dxa"/>
            <w:noWrap w:val="0"/>
            <w:vAlign w:val="center"/>
          </w:tcPr>
          <w:p w14:paraId="34AEA68B">
            <w:pPr>
              <w:pStyle w:val="2"/>
              <w:ind w:firstLine="0"/>
              <w:jc w:val="center"/>
              <w:rPr>
                <w:szCs w:val="24"/>
              </w:rPr>
            </w:pPr>
            <w:r>
              <w:rPr>
                <w:rFonts w:hint="eastAsia"/>
                <w:szCs w:val="24"/>
              </w:rPr>
              <w:t>按标准要求设计</w:t>
            </w:r>
          </w:p>
        </w:tc>
      </w:tr>
    </w:tbl>
    <w:p w14:paraId="0A6C6F3E">
      <w:pPr>
        <w:pStyle w:val="2"/>
        <w:ind w:firstLine="482"/>
        <w:jc w:val="center"/>
        <w:rPr>
          <w:rFonts w:ascii="Times New Roman" w:hAnsi="Times New Roman" w:eastAsia="宋体" w:cs="Times New Roman"/>
          <w:sz w:val="24"/>
          <w:szCs w:val="24"/>
        </w:rPr>
      </w:pPr>
      <w:r>
        <w:rPr>
          <w:rFonts w:ascii="Times New Roman" w:hAnsi="Times New Roman" w:eastAsia="宋体" w:cs="Times New Roman"/>
          <w:b/>
          <w:sz w:val="24"/>
          <w:szCs w:val="24"/>
        </w:rPr>
        <w:t>表</w:t>
      </w:r>
      <w:r>
        <w:rPr>
          <w:rFonts w:ascii="Times New Roman" w:hAnsi="Times New Roman" w:eastAsia="宋体" w:cs="Times New Roman"/>
          <w:b/>
          <w:sz w:val="24"/>
          <w:szCs w:val="24"/>
          <w:lang w:val="en-US" w:eastAsia="zh-CN"/>
        </w:rPr>
        <w:t>6.2</w:t>
      </w:r>
      <w:r>
        <w:rPr>
          <w:rFonts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31</w:t>
      </w:r>
      <w:r>
        <w:rPr>
          <w:rFonts w:ascii="Times New Roman" w:hAnsi="Times New Roman" w:eastAsia="宋体" w:cs="Times New Roman"/>
          <w:b/>
          <w:sz w:val="24"/>
          <w:szCs w:val="24"/>
        </w:rPr>
        <w:t xml:space="preserve"> 危险废物贮存容器要求对照表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0"/>
        <w:gridCol w:w="3854"/>
      </w:tblGrid>
      <w:tr w14:paraId="68E70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4650" w:type="dxa"/>
            <w:noWrap w:val="0"/>
            <w:vAlign w:val="center"/>
          </w:tcPr>
          <w:p w14:paraId="472C6C84">
            <w:pPr>
              <w:pStyle w:val="2"/>
              <w:ind w:firstLine="0"/>
              <w:jc w:val="center"/>
              <w:rPr>
                <w:b/>
                <w:szCs w:val="24"/>
              </w:rPr>
            </w:pPr>
            <w:r>
              <w:rPr>
                <w:rFonts w:hint="eastAsia"/>
                <w:b/>
                <w:szCs w:val="24"/>
              </w:rPr>
              <w:t>标准要求</w:t>
            </w:r>
          </w:p>
        </w:tc>
        <w:tc>
          <w:tcPr>
            <w:tcW w:w="3854" w:type="dxa"/>
            <w:noWrap w:val="0"/>
            <w:vAlign w:val="center"/>
          </w:tcPr>
          <w:p w14:paraId="57A66227">
            <w:pPr>
              <w:pStyle w:val="2"/>
              <w:ind w:firstLine="0"/>
              <w:jc w:val="center"/>
              <w:rPr>
                <w:b/>
                <w:szCs w:val="24"/>
              </w:rPr>
            </w:pPr>
            <w:r>
              <w:rPr>
                <w:rFonts w:hint="eastAsia"/>
                <w:b/>
                <w:szCs w:val="24"/>
              </w:rPr>
              <w:t>本项目措施</w:t>
            </w:r>
          </w:p>
        </w:tc>
      </w:tr>
      <w:tr w14:paraId="3A9D1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6" w:hRule="atLeast"/>
          <w:jc w:val="center"/>
        </w:trPr>
        <w:tc>
          <w:tcPr>
            <w:tcW w:w="4650" w:type="dxa"/>
            <w:noWrap w:val="0"/>
            <w:vAlign w:val="center"/>
          </w:tcPr>
          <w:p w14:paraId="21F47B17">
            <w:pPr>
              <w:pStyle w:val="2"/>
              <w:ind w:firstLine="0"/>
              <w:jc w:val="center"/>
              <w:rPr>
                <w:szCs w:val="24"/>
              </w:rPr>
            </w:pPr>
            <w:r>
              <w:rPr>
                <w:rFonts w:hint="eastAsia"/>
                <w:szCs w:val="24"/>
              </w:rPr>
              <w:t>应当使用符合标准的容器盛装危险废物</w:t>
            </w:r>
          </w:p>
        </w:tc>
        <w:tc>
          <w:tcPr>
            <w:tcW w:w="3854" w:type="dxa"/>
            <w:noWrap w:val="0"/>
            <w:vAlign w:val="center"/>
          </w:tcPr>
          <w:p w14:paraId="7C58601B">
            <w:pPr>
              <w:pStyle w:val="2"/>
              <w:ind w:firstLine="0"/>
              <w:jc w:val="center"/>
              <w:rPr>
                <w:szCs w:val="24"/>
              </w:rPr>
            </w:pPr>
            <w:r>
              <w:rPr>
                <w:rFonts w:hint="eastAsia"/>
                <w:szCs w:val="24"/>
              </w:rPr>
              <w:t>环评要求使用防腐蚀的木质制造的容器，建议为铁器、硬质塑料</w:t>
            </w:r>
          </w:p>
        </w:tc>
      </w:tr>
      <w:tr w14:paraId="7D92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50" w:type="dxa"/>
            <w:noWrap w:val="0"/>
            <w:vAlign w:val="center"/>
          </w:tcPr>
          <w:p w14:paraId="4764F8F9">
            <w:pPr>
              <w:pStyle w:val="2"/>
              <w:ind w:firstLine="0"/>
              <w:jc w:val="center"/>
              <w:rPr>
                <w:szCs w:val="24"/>
              </w:rPr>
            </w:pPr>
            <w:r>
              <w:rPr>
                <w:rFonts w:hint="eastAsia"/>
                <w:szCs w:val="24"/>
              </w:rPr>
              <w:t>装载危险废物的容器和材质要满足相应的强度要求</w:t>
            </w:r>
          </w:p>
        </w:tc>
        <w:tc>
          <w:tcPr>
            <w:tcW w:w="3854" w:type="dxa"/>
            <w:noWrap w:val="0"/>
            <w:vAlign w:val="center"/>
          </w:tcPr>
          <w:p w14:paraId="44408693">
            <w:pPr>
              <w:pStyle w:val="2"/>
              <w:ind w:firstLine="0"/>
              <w:jc w:val="center"/>
              <w:rPr>
                <w:szCs w:val="24"/>
              </w:rPr>
            </w:pPr>
            <w:r>
              <w:rPr>
                <w:rFonts w:hint="eastAsia"/>
                <w:szCs w:val="24"/>
              </w:rPr>
              <w:t>设计时要依据盛装的体积采用不同的强度</w:t>
            </w:r>
          </w:p>
        </w:tc>
      </w:tr>
      <w:tr w14:paraId="0DB4E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50" w:type="dxa"/>
            <w:noWrap w:val="0"/>
            <w:vAlign w:val="center"/>
          </w:tcPr>
          <w:p w14:paraId="76D47E70">
            <w:pPr>
              <w:pStyle w:val="2"/>
              <w:ind w:firstLine="0"/>
              <w:jc w:val="center"/>
              <w:rPr>
                <w:szCs w:val="24"/>
              </w:rPr>
            </w:pPr>
            <w:r>
              <w:rPr>
                <w:rFonts w:hint="eastAsia"/>
                <w:szCs w:val="24"/>
              </w:rPr>
              <w:t>装载危险废物的容器必须完好无损</w:t>
            </w:r>
          </w:p>
        </w:tc>
        <w:tc>
          <w:tcPr>
            <w:tcW w:w="3854" w:type="dxa"/>
            <w:noWrap w:val="0"/>
            <w:vAlign w:val="center"/>
          </w:tcPr>
          <w:p w14:paraId="57CA3BBD">
            <w:pPr>
              <w:pStyle w:val="2"/>
              <w:ind w:firstLine="0"/>
              <w:jc w:val="center"/>
              <w:rPr>
                <w:szCs w:val="24"/>
              </w:rPr>
            </w:pPr>
            <w:r>
              <w:rPr>
                <w:rFonts w:hint="eastAsia"/>
                <w:szCs w:val="24"/>
              </w:rPr>
              <w:t>盛装危险废物的容器必须定期检查，试漏后方可重新使用</w:t>
            </w:r>
          </w:p>
        </w:tc>
      </w:tr>
      <w:tr w14:paraId="73D12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50" w:type="dxa"/>
            <w:noWrap w:val="0"/>
            <w:vAlign w:val="center"/>
          </w:tcPr>
          <w:p w14:paraId="1EFA8801">
            <w:pPr>
              <w:pStyle w:val="2"/>
              <w:ind w:firstLine="0"/>
              <w:jc w:val="center"/>
              <w:rPr>
                <w:szCs w:val="24"/>
              </w:rPr>
            </w:pPr>
            <w:r>
              <w:rPr>
                <w:rFonts w:hint="eastAsia"/>
                <w:szCs w:val="24"/>
              </w:rPr>
              <w:t>装载危险废物的容器材质和衬里要与危险废物不相容（不相互反应）</w:t>
            </w:r>
          </w:p>
        </w:tc>
        <w:tc>
          <w:tcPr>
            <w:tcW w:w="3854" w:type="dxa"/>
            <w:noWrap w:val="0"/>
            <w:vAlign w:val="center"/>
          </w:tcPr>
          <w:p w14:paraId="76CD7E56">
            <w:pPr>
              <w:pStyle w:val="2"/>
              <w:ind w:firstLine="0"/>
              <w:jc w:val="center"/>
              <w:rPr>
                <w:szCs w:val="24"/>
              </w:rPr>
            </w:pPr>
            <w:r>
              <w:rPr>
                <w:rFonts w:hint="eastAsia"/>
                <w:szCs w:val="24"/>
              </w:rPr>
              <w:t>按标准要求设计</w:t>
            </w:r>
          </w:p>
        </w:tc>
      </w:tr>
      <w:tr w14:paraId="19E90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50" w:type="dxa"/>
            <w:noWrap w:val="0"/>
            <w:vAlign w:val="center"/>
          </w:tcPr>
          <w:p w14:paraId="09319C3D">
            <w:pPr>
              <w:pStyle w:val="2"/>
              <w:ind w:firstLine="0"/>
              <w:jc w:val="center"/>
              <w:rPr>
                <w:szCs w:val="24"/>
              </w:rPr>
            </w:pPr>
            <w:r>
              <w:rPr>
                <w:rFonts w:hint="eastAsia"/>
                <w:szCs w:val="24"/>
              </w:rPr>
              <w:t>液体危险废物可注入开孔直径不超过</w:t>
            </w:r>
            <w:r>
              <w:rPr>
                <w:szCs w:val="24"/>
              </w:rPr>
              <w:t>70mm</w:t>
            </w:r>
            <w:r>
              <w:rPr>
                <w:rFonts w:hint="eastAsia"/>
                <w:szCs w:val="24"/>
              </w:rPr>
              <w:t>并放有气孔的桶中</w:t>
            </w:r>
          </w:p>
        </w:tc>
        <w:tc>
          <w:tcPr>
            <w:tcW w:w="3854" w:type="dxa"/>
            <w:noWrap w:val="0"/>
            <w:vAlign w:val="center"/>
          </w:tcPr>
          <w:p w14:paraId="03CA1467">
            <w:pPr>
              <w:pStyle w:val="2"/>
              <w:ind w:firstLine="0"/>
              <w:jc w:val="center"/>
              <w:rPr>
                <w:szCs w:val="24"/>
              </w:rPr>
            </w:pPr>
            <w:r>
              <w:rPr>
                <w:rFonts w:hint="eastAsia"/>
                <w:szCs w:val="24"/>
              </w:rPr>
              <w:t>按标准要求设计</w:t>
            </w:r>
          </w:p>
        </w:tc>
      </w:tr>
      <w:tr w14:paraId="4D264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50" w:type="dxa"/>
            <w:noWrap w:val="0"/>
            <w:vAlign w:val="center"/>
          </w:tcPr>
          <w:p w14:paraId="624DB9AF">
            <w:pPr>
              <w:pStyle w:val="2"/>
              <w:ind w:firstLine="0"/>
              <w:jc w:val="center"/>
              <w:rPr>
                <w:szCs w:val="24"/>
              </w:rPr>
            </w:pPr>
            <w:r>
              <w:rPr>
                <w:rFonts w:hint="eastAsia"/>
                <w:szCs w:val="24"/>
              </w:rPr>
              <w:t>装载液体、半固体危险废物的容器必须留足够空间，容器顶部与液体表面之间保留</w:t>
            </w:r>
            <w:r>
              <w:rPr>
                <w:szCs w:val="24"/>
              </w:rPr>
              <w:t>100mm</w:t>
            </w:r>
            <w:r>
              <w:rPr>
                <w:rFonts w:hint="eastAsia"/>
                <w:szCs w:val="24"/>
              </w:rPr>
              <w:t>以上的空间</w:t>
            </w:r>
          </w:p>
        </w:tc>
        <w:tc>
          <w:tcPr>
            <w:tcW w:w="3854" w:type="dxa"/>
            <w:noWrap w:val="0"/>
            <w:vAlign w:val="center"/>
          </w:tcPr>
          <w:p w14:paraId="0E2146B0">
            <w:pPr>
              <w:pStyle w:val="2"/>
              <w:ind w:firstLine="0"/>
              <w:jc w:val="center"/>
              <w:rPr>
                <w:szCs w:val="24"/>
              </w:rPr>
            </w:pPr>
            <w:r>
              <w:rPr>
                <w:rFonts w:hint="eastAsia"/>
                <w:szCs w:val="24"/>
              </w:rPr>
              <w:t>按标准要求设计</w:t>
            </w:r>
          </w:p>
        </w:tc>
      </w:tr>
      <w:tr w14:paraId="094EB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650" w:type="dxa"/>
            <w:noWrap w:val="0"/>
            <w:vAlign w:val="center"/>
          </w:tcPr>
          <w:p w14:paraId="6BA4385D">
            <w:pPr>
              <w:pStyle w:val="2"/>
              <w:ind w:firstLine="0"/>
              <w:jc w:val="center"/>
              <w:rPr>
                <w:szCs w:val="24"/>
              </w:rPr>
            </w:pPr>
            <w:r>
              <w:rPr>
                <w:rFonts w:hint="eastAsia"/>
                <w:szCs w:val="24"/>
              </w:rPr>
              <w:t>盛装危险废物的容器上必须粘贴符合本标准附录</w:t>
            </w:r>
            <w:r>
              <w:rPr>
                <w:szCs w:val="24"/>
              </w:rPr>
              <w:t>A</w:t>
            </w:r>
            <w:r>
              <w:rPr>
                <w:rFonts w:hint="eastAsia"/>
                <w:szCs w:val="24"/>
              </w:rPr>
              <w:t>所示的标签</w:t>
            </w:r>
          </w:p>
        </w:tc>
        <w:tc>
          <w:tcPr>
            <w:tcW w:w="3854" w:type="dxa"/>
            <w:noWrap w:val="0"/>
            <w:vAlign w:val="center"/>
          </w:tcPr>
          <w:p w14:paraId="7F72CC0A">
            <w:pPr>
              <w:pStyle w:val="2"/>
              <w:ind w:firstLine="0"/>
              <w:jc w:val="center"/>
              <w:rPr>
                <w:szCs w:val="24"/>
              </w:rPr>
            </w:pPr>
            <w:r>
              <w:rPr>
                <w:rFonts w:hint="eastAsia"/>
                <w:szCs w:val="24"/>
              </w:rPr>
              <w:t>按标准要求设计</w:t>
            </w:r>
          </w:p>
        </w:tc>
      </w:tr>
      <w:tr w14:paraId="346F5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50" w:type="dxa"/>
            <w:noWrap w:val="0"/>
            <w:vAlign w:val="center"/>
          </w:tcPr>
          <w:p w14:paraId="68E51BD5">
            <w:pPr>
              <w:pStyle w:val="2"/>
              <w:ind w:firstLine="0"/>
              <w:jc w:val="center"/>
              <w:rPr>
                <w:szCs w:val="24"/>
              </w:rPr>
            </w:pPr>
            <w:r>
              <w:rPr>
                <w:rFonts w:hint="eastAsia"/>
                <w:szCs w:val="24"/>
              </w:rPr>
              <w:t>总贮存量不超过</w:t>
            </w:r>
            <w:r>
              <w:rPr>
                <w:szCs w:val="24"/>
              </w:rPr>
              <w:t>300kg</w:t>
            </w:r>
            <w:r>
              <w:rPr>
                <w:rFonts w:hint="eastAsia"/>
                <w:szCs w:val="24"/>
              </w:rPr>
              <w:t>（</w:t>
            </w:r>
            <w:r>
              <w:rPr>
                <w:szCs w:val="24"/>
              </w:rPr>
              <w:t>L</w:t>
            </w:r>
            <w:r>
              <w:rPr>
                <w:rFonts w:hint="eastAsia"/>
                <w:szCs w:val="24"/>
              </w:rPr>
              <w:t>）的危险废物要放入符合标准的容器内，加上标签，容器加入坚固的柜或箱中，柜或箱设多个直径不少于</w:t>
            </w:r>
            <w:r>
              <w:rPr>
                <w:szCs w:val="24"/>
              </w:rPr>
              <w:t>30mm</w:t>
            </w:r>
            <w:r>
              <w:rPr>
                <w:rFonts w:hint="eastAsia"/>
                <w:szCs w:val="24"/>
              </w:rPr>
              <w:t>的排气孔。不相容危险废物要分别存放或存放在不渗透间隔分开的区域内，防漏裙脚或漏盘的材料要与危险废物相容</w:t>
            </w:r>
          </w:p>
        </w:tc>
        <w:tc>
          <w:tcPr>
            <w:tcW w:w="3854" w:type="dxa"/>
            <w:noWrap w:val="0"/>
            <w:vAlign w:val="center"/>
          </w:tcPr>
          <w:p w14:paraId="2C9837BC">
            <w:pPr>
              <w:pStyle w:val="2"/>
              <w:ind w:firstLine="0"/>
              <w:jc w:val="center"/>
              <w:rPr>
                <w:szCs w:val="24"/>
              </w:rPr>
            </w:pPr>
            <w:r>
              <w:rPr>
                <w:rFonts w:hint="eastAsia"/>
                <w:szCs w:val="24"/>
              </w:rPr>
              <w:t>按标准要求设计</w:t>
            </w:r>
          </w:p>
        </w:tc>
      </w:tr>
    </w:tbl>
    <w:p w14:paraId="39639650">
      <w:pPr>
        <w:pStyle w:val="2"/>
        <w:ind w:firstLine="480"/>
        <w:rPr>
          <w:sz w:val="24"/>
          <w:szCs w:val="24"/>
        </w:rPr>
      </w:pPr>
      <w:r>
        <w:rPr>
          <w:rFonts w:hint="eastAsia"/>
          <w:sz w:val="24"/>
          <w:szCs w:val="24"/>
        </w:rPr>
        <w:t>危险废物贮存设施的运行与管理：</w:t>
      </w:r>
    </w:p>
    <w:p w14:paraId="6194D698">
      <w:pPr>
        <w:pStyle w:val="2"/>
        <w:ind w:firstLine="480"/>
        <w:rPr>
          <w:sz w:val="24"/>
          <w:szCs w:val="24"/>
        </w:rPr>
      </w:pPr>
      <w:r>
        <w:rPr>
          <w:sz w:val="24"/>
          <w:szCs w:val="24"/>
        </w:rPr>
        <w:t>1)</w:t>
      </w:r>
      <w:r>
        <w:rPr>
          <w:rFonts w:hint="eastAsia"/>
          <w:sz w:val="24"/>
          <w:szCs w:val="24"/>
        </w:rPr>
        <w:t>从事危险废物贮存的单位，必须得到有资质单位出具的该危险废物样品物理和化学性质的分析报告，认定可以贮存后方可接收。</w:t>
      </w:r>
    </w:p>
    <w:p w14:paraId="5C967670">
      <w:pPr>
        <w:pStyle w:val="2"/>
        <w:ind w:firstLine="480"/>
        <w:rPr>
          <w:sz w:val="24"/>
          <w:szCs w:val="24"/>
        </w:rPr>
      </w:pPr>
      <w:r>
        <w:rPr>
          <w:sz w:val="24"/>
          <w:szCs w:val="24"/>
        </w:rPr>
        <w:t>2)</w:t>
      </w:r>
      <w:r>
        <w:rPr>
          <w:rFonts w:hint="eastAsia"/>
          <w:sz w:val="24"/>
          <w:szCs w:val="24"/>
        </w:rPr>
        <w:t>危险废物贮存前应进行检验，确保同预定接收的危险废物一致，并登记注册</w:t>
      </w:r>
    </w:p>
    <w:p w14:paraId="2695154D">
      <w:pPr>
        <w:pStyle w:val="2"/>
        <w:ind w:firstLine="480"/>
        <w:rPr>
          <w:sz w:val="24"/>
          <w:szCs w:val="24"/>
        </w:rPr>
      </w:pPr>
      <w:r>
        <w:rPr>
          <w:sz w:val="24"/>
          <w:szCs w:val="24"/>
        </w:rPr>
        <w:t>3)</w:t>
      </w:r>
      <w:r>
        <w:rPr>
          <w:rFonts w:hint="eastAsia"/>
          <w:sz w:val="24"/>
          <w:szCs w:val="24"/>
        </w:rPr>
        <w:t>不得接收未粘贴符合</w:t>
      </w:r>
      <w:r>
        <w:rPr>
          <w:sz w:val="24"/>
          <w:szCs w:val="24"/>
        </w:rPr>
        <w:t>4.9</w:t>
      </w:r>
      <w:r>
        <w:rPr>
          <w:rFonts w:hint="eastAsia"/>
          <w:sz w:val="24"/>
          <w:szCs w:val="24"/>
        </w:rPr>
        <w:t>规定的标签或标签没按规定填写的危险废物。</w:t>
      </w:r>
    </w:p>
    <w:p w14:paraId="3AD5CA4B">
      <w:pPr>
        <w:pStyle w:val="2"/>
        <w:ind w:firstLine="480"/>
        <w:rPr>
          <w:sz w:val="24"/>
          <w:szCs w:val="24"/>
        </w:rPr>
      </w:pPr>
      <w:r>
        <w:rPr>
          <w:sz w:val="24"/>
          <w:szCs w:val="24"/>
        </w:rPr>
        <w:t>4)</w:t>
      </w:r>
      <w:r>
        <w:rPr>
          <w:rFonts w:hint="eastAsia"/>
          <w:sz w:val="24"/>
          <w:szCs w:val="24"/>
        </w:rPr>
        <w:t>每个堆间应留有搬运通道。</w:t>
      </w:r>
    </w:p>
    <w:p w14:paraId="4479F4F0">
      <w:pPr>
        <w:pStyle w:val="2"/>
        <w:ind w:firstLine="480"/>
        <w:rPr>
          <w:sz w:val="24"/>
          <w:szCs w:val="24"/>
        </w:rPr>
      </w:pPr>
      <w:r>
        <w:rPr>
          <w:sz w:val="24"/>
          <w:szCs w:val="24"/>
        </w:rPr>
        <w:t>5)</w:t>
      </w:r>
      <w:r>
        <w:rPr>
          <w:rFonts w:hint="eastAsia"/>
          <w:sz w:val="24"/>
          <w:szCs w:val="24"/>
        </w:rPr>
        <w:t>危险废物产生者和危险废物贮存设施经营者均须作好危险废物情况的记录，记录上须注明危险废物的名称、来源、数量、特性和包装容器的类别、入库日期、存放库位、废物出库日期及接收单位名称。</w:t>
      </w:r>
    </w:p>
    <w:p w14:paraId="68CD50CC">
      <w:pPr>
        <w:pStyle w:val="2"/>
        <w:ind w:firstLine="480"/>
        <w:rPr>
          <w:sz w:val="24"/>
          <w:szCs w:val="24"/>
        </w:rPr>
      </w:pPr>
      <w:r>
        <w:rPr>
          <w:sz w:val="24"/>
          <w:szCs w:val="24"/>
        </w:rPr>
        <w:t>6)</w:t>
      </w:r>
      <w:r>
        <w:rPr>
          <w:rFonts w:hint="eastAsia"/>
          <w:sz w:val="24"/>
          <w:szCs w:val="24"/>
        </w:rPr>
        <w:t>危险废物的记录和货单在危险废物回取后应继续保留</w:t>
      </w:r>
      <w:r>
        <w:rPr>
          <w:sz w:val="24"/>
          <w:szCs w:val="24"/>
        </w:rPr>
        <w:t>3</w:t>
      </w:r>
      <w:r>
        <w:rPr>
          <w:rFonts w:hint="eastAsia"/>
          <w:sz w:val="24"/>
          <w:szCs w:val="24"/>
        </w:rPr>
        <w:t>年。</w:t>
      </w:r>
    </w:p>
    <w:p w14:paraId="4F3B23FE">
      <w:pPr>
        <w:pStyle w:val="2"/>
        <w:ind w:firstLine="480"/>
        <w:rPr>
          <w:sz w:val="24"/>
          <w:szCs w:val="24"/>
        </w:rPr>
      </w:pPr>
      <w:r>
        <w:rPr>
          <w:sz w:val="24"/>
          <w:szCs w:val="24"/>
        </w:rPr>
        <w:t>7)</w:t>
      </w:r>
      <w:r>
        <w:rPr>
          <w:rFonts w:hint="eastAsia"/>
          <w:sz w:val="24"/>
          <w:szCs w:val="24"/>
        </w:rPr>
        <w:t>必须定期对所贮存的危险废物包装容器及贮存设施进行检查，发现破损，应及时采取措施清理更换。</w:t>
      </w:r>
    </w:p>
    <w:p w14:paraId="6882AEA2">
      <w:pPr>
        <w:pStyle w:val="2"/>
        <w:ind w:firstLine="480"/>
        <w:rPr>
          <w:sz w:val="24"/>
          <w:szCs w:val="24"/>
        </w:rPr>
      </w:pPr>
      <w:r>
        <w:rPr>
          <w:sz w:val="24"/>
          <w:szCs w:val="24"/>
        </w:rPr>
        <w:t>8)</w:t>
      </w:r>
      <w:r>
        <w:rPr>
          <w:rFonts w:hint="eastAsia"/>
          <w:sz w:val="24"/>
          <w:szCs w:val="24"/>
        </w:rPr>
        <w:t>泄漏液、清沈液、浸出液不得排放，须收集重新贮存，气体导出口排出的气体经处理后，应满足《大气污染物综合排放标准》（</w:t>
      </w:r>
      <w:r>
        <w:rPr>
          <w:sz w:val="24"/>
          <w:szCs w:val="24"/>
        </w:rPr>
        <w:t>GB 16297-1996</w:t>
      </w:r>
      <w:r>
        <w:rPr>
          <w:rFonts w:hint="eastAsia"/>
          <w:sz w:val="24"/>
          <w:szCs w:val="24"/>
        </w:rPr>
        <w:t>）和《恶臭污染物排放标准》（</w:t>
      </w:r>
      <w:r>
        <w:rPr>
          <w:sz w:val="24"/>
          <w:szCs w:val="24"/>
        </w:rPr>
        <w:t>GB 14554-1993</w:t>
      </w:r>
      <w:r>
        <w:rPr>
          <w:rFonts w:hint="eastAsia"/>
          <w:sz w:val="24"/>
          <w:szCs w:val="24"/>
        </w:rPr>
        <w:t>）的要求。</w:t>
      </w:r>
    </w:p>
    <w:p w14:paraId="76233882">
      <w:pPr>
        <w:pStyle w:val="2"/>
        <w:ind w:firstLine="480"/>
        <w:rPr>
          <w:sz w:val="24"/>
          <w:szCs w:val="24"/>
        </w:rPr>
      </w:pPr>
      <w:r>
        <w:rPr>
          <w:rFonts w:hint="eastAsia"/>
          <w:sz w:val="24"/>
          <w:szCs w:val="24"/>
        </w:rPr>
        <w:t>危险废物贮存设施的安全防护：</w:t>
      </w:r>
    </w:p>
    <w:p w14:paraId="1A1E9697">
      <w:pPr>
        <w:pStyle w:val="2"/>
        <w:ind w:firstLine="480"/>
        <w:rPr>
          <w:sz w:val="24"/>
          <w:szCs w:val="24"/>
        </w:rPr>
      </w:pPr>
      <w:r>
        <w:rPr>
          <w:sz w:val="24"/>
          <w:szCs w:val="24"/>
        </w:rPr>
        <w:t>1)</w:t>
      </w:r>
      <w:r>
        <w:rPr>
          <w:rFonts w:hint="eastAsia"/>
          <w:sz w:val="24"/>
          <w:szCs w:val="24"/>
        </w:rPr>
        <w:t>危险废物贮存设施都必须按《环境保护图形标志》（</w:t>
      </w:r>
      <w:r>
        <w:rPr>
          <w:sz w:val="24"/>
          <w:szCs w:val="24"/>
        </w:rPr>
        <w:t>GB 15562.2-1995</w:t>
      </w:r>
      <w:r>
        <w:rPr>
          <w:rFonts w:hint="eastAsia"/>
          <w:sz w:val="24"/>
          <w:szCs w:val="24"/>
        </w:rPr>
        <w:t>）的规定设置警示标志。</w:t>
      </w:r>
    </w:p>
    <w:p w14:paraId="5FE69640">
      <w:pPr>
        <w:pStyle w:val="2"/>
        <w:ind w:firstLine="480"/>
        <w:rPr>
          <w:sz w:val="24"/>
          <w:szCs w:val="24"/>
        </w:rPr>
      </w:pPr>
      <w:r>
        <w:rPr>
          <w:sz w:val="24"/>
          <w:szCs w:val="24"/>
        </w:rPr>
        <w:t>2)</w:t>
      </w:r>
      <w:r>
        <w:rPr>
          <w:rFonts w:hint="eastAsia"/>
          <w:sz w:val="24"/>
          <w:szCs w:val="24"/>
        </w:rPr>
        <w:t>危险废物贮存设施周围应设置围墙或其他防护栅栏。</w:t>
      </w:r>
    </w:p>
    <w:p w14:paraId="33DC5E44">
      <w:pPr>
        <w:pStyle w:val="2"/>
        <w:ind w:firstLine="480"/>
        <w:rPr>
          <w:sz w:val="24"/>
          <w:szCs w:val="24"/>
        </w:rPr>
      </w:pPr>
      <w:r>
        <w:rPr>
          <w:sz w:val="24"/>
          <w:szCs w:val="24"/>
        </w:rPr>
        <w:t>3)</w:t>
      </w:r>
      <w:r>
        <w:rPr>
          <w:rFonts w:hint="eastAsia"/>
          <w:sz w:val="24"/>
          <w:szCs w:val="24"/>
        </w:rPr>
        <w:t>危险废物贮存设施应配备通讯设备、照明设施、安全防护服装及工具，并设有应急防护设施。</w:t>
      </w:r>
    </w:p>
    <w:p w14:paraId="309CCA52">
      <w:pPr>
        <w:pStyle w:val="2"/>
        <w:ind w:firstLine="480"/>
        <w:rPr>
          <w:sz w:val="24"/>
          <w:szCs w:val="24"/>
        </w:rPr>
      </w:pPr>
      <w:r>
        <w:rPr>
          <w:sz w:val="24"/>
          <w:szCs w:val="24"/>
        </w:rPr>
        <w:t>4)</w:t>
      </w:r>
      <w:r>
        <w:rPr>
          <w:rFonts w:hint="eastAsia"/>
          <w:sz w:val="24"/>
          <w:szCs w:val="24"/>
        </w:rPr>
        <w:t>危险废物贮存设施内清理出来的泄漏物，一律按危险废物处理。</w:t>
      </w:r>
    </w:p>
    <w:p w14:paraId="6FEE2177">
      <w:pPr>
        <w:pStyle w:val="2"/>
        <w:ind w:firstLine="480"/>
        <w:rPr>
          <w:sz w:val="24"/>
          <w:szCs w:val="24"/>
        </w:rPr>
      </w:pPr>
      <w:r>
        <w:rPr>
          <w:sz w:val="24"/>
          <w:szCs w:val="24"/>
        </w:rPr>
        <w:t>5)</w:t>
      </w:r>
      <w:r>
        <w:rPr>
          <w:rFonts w:hint="eastAsia"/>
          <w:sz w:val="24"/>
          <w:szCs w:val="24"/>
        </w:rPr>
        <w:t>按国家污染源管理要求对危险废物贮存设施进行监测。</w:t>
      </w:r>
    </w:p>
    <w:p w14:paraId="0DE1CEF5">
      <w:pPr>
        <w:pStyle w:val="2"/>
        <w:ind w:firstLine="480"/>
        <w:rPr>
          <w:sz w:val="24"/>
          <w:szCs w:val="24"/>
        </w:rPr>
      </w:pPr>
      <w:r>
        <w:rPr>
          <w:sz w:val="24"/>
          <w:szCs w:val="24"/>
        </w:rPr>
        <w:t>6)</w:t>
      </w:r>
      <w:r>
        <w:rPr>
          <w:rFonts w:hint="eastAsia"/>
          <w:sz w:val="24"/>
          <w:szCs w:val="24"/>
        </w:rPr>
        <w:t>危废转移时，需按要求填写转移联单。</w:t>
      </w:r>
    </w:p>
    <w:p w14:paraId="5AFDE34F">
      <w:pPr>
        <w:pStyle w:val="282"/>
        <w:rPr>
          <w:rFonts w:hint="eastAsia"/>
        </w:rPr>
      </w:pPr>
      <w:r>
        <w:rPr>
          <w:rFonts w:hint="eastAsia"/>
          <w:lang w:val="en-US" w:eastAsia="zh-CN"/>
        </w:rPr>
        <w:t>6</w:t>
      </w:r>
      <w:r>
        <w:rPr>
          <w:rFonts w:hint="eastAsia"/>
        </w:rPr>
        <w:t>.2.</w:t>
      </w:r>
      <w:r>
        <w:rPr>
          <w:rFonts w:hint="eastAsia"/>
          <w:lang w:val="en-US" w:eastAsia="zh-CN"/>
        </w:rPr>
        <w:t>5</w:t>
      </w:r>
      <w:r>
        <w:rPr>
          <w:rFonts w:hint="eastAsia"/>
        </w:rPr>
        <w:t>.3</w:t>
      </w:r>
      <w:r>
        <w:t>生活垃圾</w:t>
      </w:r>
    </w:p>
    <w:p w14:paraId="111C5EFA">
      <w:pPr>
        <w:spacing w:line="360" w:lineRule="auto"/>
        <w:ind w:firstLine="480"/>
        <w:rPr>
          <w:rFonts w:ascii="Times New Roman" w:hAnsi="Times New Roman" w:eastAsia="宋体" w:cs="Times New Roman"/>
          <w:color w:val="000000"/>
          <w:sz w:val="24"/>
          <w:szCs w:val="21"/>
        </w:rPr>
      </w:pPr>
      <w:r>
        <w:rPr>
          <w:rFonts w:ascii="Times New Roman" w:hAnsi="Times New Roman" w:eastAsia="宋体" w:cs="Times New Roman"/>
        </w:rPr>
        <w:t>项目运营期生活垃圾主要来自员工产生的生活垃圾，生活垃圾产生量为</w:t>
      </w:r>
      <w:r>
        <w:rPr>
          <w:rFonts w:ascii="Times New Roman" w:hAnsi="Times New Roman" w:eastAsia="宋体" w:cs="Times New Roman"/>
          <w:lang w:val="en-US" w:eastAsia="zh-CN"/>
        </w:rPr>
        <w:t>80</w:t>
      </w:r>
      <w:r>
        <w:rPr>
          <w:rFonts w:ascii="Times New Roman" w:hAnsi="Times New Roman" w:eastAsia="宋体" w:cs="Times New Roman"/>
        </w:rPr>
        <w:t>kg/d（</w:t>
      </w:r>
      <w:r>
        <w:rPr>
          <w:rFonts w:ascii="Times New Roman" w:hAnsi="Times New Roman" w:eastAsia="宋体" w:cs="Times New Roman"/>
          <w:lang w:val="en-US" w:eastAsia="zh-CN"/>
        </w:rPr>
        <w:t>24</w:t>
      </w:r>
      <w:r>
        <w:rPr>
          <w:rFonts w:ascii="Times New Roman" w:hAnsi="Times New Roman" w:eastAsia="宋体" w:cs="Times New Roman"/>
        </w:rPr>
        <w:t>t/a）。</w:t>
      </w:r>
      <w:r>
        <w:rPr>
          <w:rFonts w:ascii="Times New Roman" w:hAnsi="Times New Roman" w:eastAsia="宋体" w:cs="Times New Roman"/>
          <w:lang w:val="en-US" w:eastAsia="zh-CN"/>
        </w:rPr>
        <w:t>厂区内</w:t>
      </w:r>
      <w:r>
        <w:rPr>
          <w:rFonts w:ascii="Times New Roman" w:hAnsi="Times New Roman" w:eastAsia="宋体" w:cs="Times New Roman"/>
          <w:sz w:val="24"/>
          <w:szCs w:val="24"/>
        </w:rPr>
        <w:t>设置</w:t>
      </w:r>
      <w:r>
        <w:rPr>
          <w:rFonts w:ascii="Times New Roman" w:hAnsi="Times New Roman" w:eastAsia="宋体" w:cs="Times New Roman"/>
          <w:color w:val="FF0000"/>
          <w:sz w:val="24"/>
          <w:szCs w:val="24"/>
          <w:lang w:val="en-US" w:eastAsia="zh-CN"/>
        </w:rPr>
        <w:t>有环保垃</w:t>
      </w:r>
      <w:r>
        <w:rPr>
          <w:rFonts w:ascii="Times New Roman" w:hAnsi="Times New Roman" w:eastAsia="宋体" w:cs="Times New Roman"/>
          <w:color w:val="FF0000"/>
          <w:szCs w:val="22"/>
          <w:lang w:val="en-US" w:eastAsia="zh-CN"/>
        </w:rPr>
        <w:t>圾收集桶5</w:t>
      </w:r>
      <w:r>
        <w:rPr>
          <w:rFonts w:ascii="Times New Roman" w:hAnsi="Times New Roman" w:eastAsia="宋体" w:cs="Times New Roman"/>
          <w:color w:val="FF0000"/>
          <w:szCs w:val="22"/>
        </w:rPr>
        <w:t>个收集生活垃圾，垃</w:t>
      </w:r>
      <w:r>
        <w:rPr>
          <w:rFonts w:ascii="Times New Roman" w:hAnsi="Times New Roman" w:eastAsia="宋体" w:cs="Times New Roman"/>
        </w:rPr>
        <w:t>圾收集后委托当地环卫部</w:t>
      </w:r>
      <w:r>
        <w:rPr>
          <w:rFonts w:ascii="Times New Roman" w:hAnsi="Times New Roman" w:eastAsia="宋体" w:cs="Times New Roman"/>
          <w:color w:val="000000"/>
        </w:rPr>
        <w:t>门定期清运处置。</w:t>
      </w:r>
      <w:r>
        <w:rPr>
          <w:rFonts w:ascii="Times New Roman" w:hAnsi="Times New Roman" w:eastAsia="宋体" w:cs="Times New Roman"/>
          <w:color w:val="000000"/>
          <w:sz w:val="24"/>
          <w:szCs w:val="21"/>
        </w:rPr>
        <w:t>食堂泔水企业采用塑料桶分类收集后，</w:t>
      </w:r>
      <w:r>
        <w:rPr>
          <w:rFonts w:ascii="Times New Roman" w:hAnsi="Times New Roman" w:eastAsia="宋体" w:cs="Times New Roman"/>
          <w:color w:val="000000"/>
          <w:sz w:val="24"/>
          <w:szCs w:val="21"/>
          <w:lang w:eastAsia="zh-CN"/>
        </w:rPr>
        <w:t>按照当地相关政府部门管理要求进行处置</w:t>
      </w:r>
      <w:r>
        <w:rPr>
          <w:rFonts w:ascii="Times New Roman" w:hAnsi="Times New Roman" w:eastAsia="宋体" w:cs="Times New Roman"/>
          <w:color w:val="000000"/>
          <w:sz w:val="24"/>
          <w:szCs w:val="21"/>
        </w:rPr>
        <w:t>，不外排。化粪池污泥定期由附近的村民进行清掏作为农家肥使用。</w:t>
      </w:r>
    </w:p>
    <w:p w14:paraId="134A88D4">
      <w:pPr>
        <w:spacing w:line="360" w:lineRule="auto"/>
        <w:ind w:firstLine="480"/>
        <w:rPr>
          <w:rFonts w:ascii="Times New Roman" w:hAnsi="Times New Roman" w:eastAsia="宋体" w:cs="Times New Roman"/>
          <w:sz w:val="24"/>
          <w:szCs w:val="21"/>
        </w:rPr>
      </w:pPr>
      <w:r>
        <w:rPr>
          <w:rFonts w:ascii="Times New Roman" w:hAnsi="Times New Roman" w:eastAsia="宋体" w:cs="Times New Roman"/>
          <w:sz w:val="24"/>
          <w:szCs w:val="21"/>
        </w:rPr>
        <w:t>此外，本环评要求企业增设的</w:t>
      </w:r>
      <w:r>
        <w:rPr>
          <w:rFonts w:hint="eastAsia" w:ascii="Times New Roman" w:hAnsi="Times New Roman" w:eastAsia="宋体" w:cs="Times New Roman"/>
          <w:sz w:val="24"/>
          <w:szCs w:val="21"/>
          <w:lang w:val="en-US" w:eastAsia="zh-CN"/>
        </w:rPr>
        <w:t>隔油池</w:t>
      </w:r>
      <w:r>
        <w:rPr>
          <w:rFonts w:ascii="Times New Roman" w:hAnsi="Times New Roman" w:eastAsia="宋体" w:cs="Times New Roman"/>
          <w:sz w:val="24"/>
          <w:szCs w:val="21"/>
        </w:rPr>
        <w:t>委托专业的单位定期清掏清运处置。</w:t>
      </w:r>
    </w:p>
    <w:p w14:paraId="36227EFB">
      <w:pPr>
        <w:pStyle w:val="282"/>
        <w:rPr>
          <w:b w:val="0"/>
          <w:bCs/>
          <w:lang w:val="en-US" w:eastAsia="zh-CN"/>
        </w:rPr>
      </w:pPr>
      <w:r>
        <w:rPr>
          <w:rFonts w:hint="eastAsia"/>
          <w:b w:val="0"/>
          <w:bCs/>
          <w:lang w:val="en-US" w:eastAsia="zh-CN"/>
        </w:rPr>
        <w:t>6.2.5.4小结</w:t>
      </w:r>
    </w:p>
    <w:p w14:paraId="325467F1">
      <w:pPr>
        <w:pStyle w:val="2"/>
        <w:ind w:firstLine="480"/>
        <w:rPr>
          <w:rFonts w:hint="eastAsia"/>
          <w:sz w:val="24"/>
          <w:szCs w:val="24"/>
        </w:rPr>
      </w:pPr>
      <w:r>
        <w:rPr>
          <w:rFonts w:hint="eastAsia"/>
          <w:sz w:val="24"/>
          <w:szCs w:val="24"/>
        </w:rPr>
        <w:t>综上所述，</w:t>
      </w:r>
      <w:r>
        <w:rPr>
          <w:rFonts w:hint="eastAsia" w:eastAsia="宋体"/>
          <w:sz w:val="24"/>
          <w:szCs w:val="24"/>
          <w:lang w:val="en-US" w:eastAsia="zh-CN"/>
        </w:rPr>
        <w:t>建设方</w:t>
      </w:r>
      <w:r>
        <w:rPr>
          <w:rFonts w:hint="eastAsia"/>
          <w:sz w:val="24"/>
          <w:szCs w:val="24"/>
        </w:rPr>
        <w:t>要切实落实好本报告书提出的管理和处理措施，在固体废弃物产生、处置过程中加强管理，项目固体废弃物对环境的影响较小。</w:t>
      </w:r>
    </w:p>
    <w:p w14:paraId="0D6F259B">
      <w:pPr>
        <w:pStyle w:val="188"/>
        <w:rPr>
          <w:rFonts w:hint="eastAsia"/>
        </w:rPr>
      </w:pPr>
      <w:bookmarkStart w:id="185" w:name="_Toc17843"/>
      <w:bookmarkStart w:id="186" w:name="_Toc29430"/>
      <w:r>
        <w:rPr>
          <w:rFonts w:hint="eastAsia"/>
          <w:lang w:val="en-US" w:eastAsia="zh-CN"/>
        </w:rPr>
        <w:t>6</w:t>
      </w:r>
      <w:r>
        <w:rPr>
          <w:rFonts w:hint="eastAsia"/>
        </w:rPr>
        <w:t>.2.6生态影响分析</w:t>
      </w:r>
      <w:bookmarkEnd w:id="184"/>
      <w:bookmarkEnd w:id="185"/>
    </w:p>
    <w:bookmarkEnd w:id="186"/>
    <w:p w14:paraId="012BDD92">
      <w:pPr>
        <w:pStyle w:val="219"/>
        <w:keepNext w:val="0"/>
        <w:keepLines w:val="0"/>
        <w:pageBreakBefore w:val="0"/>
        <w:widowControl/>
        <w:spacing w:before="1" w:after="0" w:line="374" w:lineRule="auto"/>
        <w:ind w:left="0" w:right="565" w:firstLine="480"/>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项目评价范围内无国家重点保护的植物种类，主要野生动物有鼠、蛇等。项目评价区域内无重点保护动物，无名胜古迹、风景旅游区及自然保护区。</w:t>
      </w:r>
      <w:r>
        <w:rPr>
          <w:rFonts w:hint="eastAsia" w:ascii="Times New Roman" w:hAnsi="Times New Roman" w:cs="Times New Roman"/>
          <w:sz w:val="24"/>
          <w:szCs w:val="24"/>
          <w:lang w:val="en-US" w:eastAsia="zh-CN" w:bidi="ar-SA"/>
        </w:rPr>
        <w:t>项目所在区域生态环境一般。</w:t>
      </w:r>
      <w:r>
        <w:rPr>
          <w:rFonts w:ascii="Times New Roman" w:hAnsi="Times New Roman" w:cs="Times New Roman"/>
          <w:sz w:val="24"/>
          <w:szCs w:val="24"/>
        </w:rPr>
        <w:t>施工期间通过加强管理，不扩大施工范围，减少地标扰动，不破坏项目周边的植被。</w:t>
      </w:r>
      <w:r>
        <w:rPr>
          <w:rFonts w:ascii="Times New Roman" w:hAnsi="Times New Roman" w:cs="Times New Roman"/>
          <w:sz w:val="24"/>
          <w:szCs w:val="24"/>
          <w:lang w:val="en-US" w:eastAsia="zh-CN" w:bidi="ar-SA"/>
        </w:rPr>
        <w:t>项目运营期污染物均达标排放</w:t>
      </w:r>
      <w:r>
        <w:rPr>
          <w:rFonts w:hint="eastAsia" w:ascii="Times New Roman" w:hAnsi="Times New Roman" w:cs="Times New Roman"/>
          <w:sz w:val="24"/>
          <w:szCs w:val="24"/>
          <w:lang w:val="en-US" w:eastAsia="zh-CN" w:bidi="ar-SA"/>
        </w:rPr>
        <w:t>，</w:t>
      </w:r>
      <w:r>
        <w:rPr>
          <w:rFonts w:ascii="Times New Roman" w:hAnsi="Times New Roman" w:cs="Times New Roman"/>
          <w:sz w:val="24"/>
          <w:szCs w:val="24"/>
          <w:lang w:val="en-US" w:eastAsia="zh-CN" w:bidi="ar-SA"/>
        </w:rPr>
        <w:t xml:space="preserve"> 区域环境质量均能够满足相应的功能区划要求，项目运营对环境影响不大。</w:t>
      </w:r>
    </w:p>
    <w:p w14:paraId="5600E14B">
      <w:pPr>
        <w:pStyle w:val="219"/>
        <w:keepNext w:val="0"/>
        <w:keepLines w:val="0"/>
        <w:pageBreakBefore w:val="0"/>
        <w:widowControl/>
        <w:spacing w:after="0"/>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综上所述，项目运营期对生态环境影响不大。</w:t>
      </w:r>
    </w:p>
    <w:p w14:paraId="1BAA170C">
      <w:pPr>
        <w:pStyle w:val="188"/>
        <w:rPr>
          <w:lang w:val="en-US" w:eastAsia="zh-CN"/>
        </w:rPr>
      </w:pPr>
      <w:r>
        <w:rPr>
          <w:rFonts w:hint="eastAsia"/>
          <w:lang w:val="en-US" w:eastAsia="zh-CN"/>
        </w:rPr>
        <w:t>6.2.7土壤环境影响分析</w:t>
      </w:r>
    </w:p>
    <w:p w14:paraId="0D34990D">
      <w:pPr>
        <w:pStyle w:val="282"/>
        <w:rPr>
          <w:rFonts w:hint="eastAsia"/>
          <w:b w:val="0"/>
          <w:bCs/>
          <w:lang w:val="en-US" w:eastAsia="zh-CN"/>
        </w:rPr>
      </w:pPr>
      <w:r>
        <w:rPr>
          <w:rFonts w:hint="eastAsia"/>
          <w:b w:val="0"/>
          <w:bCs/>
          <w:lang w:val="en-US" w:eastAsia="zh-CN"/>
        </w:rPr>
        <w:t xml:space="preserve">6.2.7.1土壤环境影响类型与影响途径识别 </w:t>
      </w:r>
    </w:p>
    <w:p w14:paraId="0E820637">
      <w:pPr>
        <w:keepNext w:val="0"/>
        <w:keepLines w:val="0"/>
        <w:widowControl/>
        <w:suppressLineNumbers w:val="0"/>
        <w:jc w:val="left"/>
      </w:pPr>
      <w:r>
        <w:rPr>
          <w:rFonts w:hint="eastAsia" w:ascii="宋体" w:hAnsi="宋体" w:eastAsia="宋体" w:cs="宋体"/>
          <w:color w:val="000000"/>
          <w:sz w:val="24"/>
          <w:szCs w:val="24"/>
          <w:lang w:val="en-US" w:eastAsia="zh-CN" w:bidi="ar"/>
        </w:rPr>
        <w:t xml:space="preserve">本项目由于废气、废水均收集处理达标后排放，固体废物也不直接排入环境， 正常情况下由于采取防渗措施，污染物直接进入环境中的极少。土壤环境影响类型与影响途径识别详见表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w:t>
      </w:r>
      <w:r>
        <w:rPr>
          <w:rFonts w:hint="eastAsia" w:ascii="Times New Roman" w:hAnsi="Times New Roman" w:eastAsia="宋体" w:cs="Times New Roman"/>
          <w:color w:val="000000"/>
          <w:sz w:val="24"/>
          <w:szCs w:val="24"/>
          <w:lang w:val="en-US" w:eastAsia="zh-CN" w:bidi="ar"/>
        </w:rPr>
        <w:t xml:space="preserve">32 </w:t>
      </w:r>
      <w:r>
        <w:rPr>
          <w:rFonts w:hint="eastAsia" w:ascii="宋体" w:hAnsi="宋体" w:eastAsia="宋体" w:cs="宋体"/>
          <w:color w:val="000000"/>
          <w:sz w:val="24"/>
          <w:szCs w:val="24"/>
          <w:lang w:val="en-US" w:eastAsia="zh-CN" w:bidi="ar"/>
        </w:rPr>
        <w:t xml:space="preserve">和表 </w:t>
      </w:r>
      <w:r>
        <w:rPr>
          <w:rFonts w:hint="eastAsia" w:ascii="Times New Roman" w:hAnsi="Times New Roman" w:eastAsia="宋体" w:cs="Times New Roman"/>
          <w:color w:val="000000"/>
          <w:sz w:val="24"/>
          <w:szCs w:val="24"/>
          <w:lang w:val="en-US" w:eastAsia="zh-CN" w:bidi="ar"/>
        </w:rPr>
        <w:t>6</w:t>
      </w:r>
      <w:r>
        <w:rPr>
          <w:rFonts w:ascii="Times New Roman" w:hAnsi="Times New Roman" w:eastAsia="宋体" w:cs="Times New Roman"/>
          <w:color w:val="000000"/>
          <w:sz w:val="24"/>
          <w:szCs w:val="24"/>
          <w:lang w:val="en-US" w:eastAsia="zh-CN" w:bidi="ar"/>
        </w:rPr>
        <w:t>.2-</w:t>
      </w:r>
      <w:r>
        <w:rPr>
          <w:rFonts w:hint="eastAsia" w:ascii="Times New Roman" w:hAnsi="Times New Roman" w:eastAsia="宋体" w:cs="Times New Roman"/>
          <w:color w:val="000000"/>
          <w:sz w:val="24"/>
          <w:szCs w:val="24"/>
          <w:lang w:val="en-US" w:eastAsia="zh-CN" w:bidi="ar"/>
        </w:rPr>
        <w:t>33</w:t>
      </w:r>
      <w:r>
        <w:rPr>
          <w:rFonts w:hint="eastAsia" w:ascii="宋体" w:hAnsi="宋体" w:eastAsia="宋体" w:cs="宋体"/>
          <w:color w:val="000000"/>
          <w:sz w:val="24"/>
          <w:szCs w:val="24"/>
          <w:lang w:val="en-US" w:eastAsia="zh-CN" w:bidi="ar"/>
        </w:rPr>
        <w:t xml:space="preserve">。 </w:t>
      </w:r>
    </w:p>
    <w:p w14:paraId="4B43E722">
      <w:pPr>
        <w:pStyle w:val="219"/>
        <w:keepNext w:val="0"/>
        <w:keepLines w:val="0"/>
        <w:pageBreakBefore w:val="0"/>
        <w:widowControl/>
        <w:spacing w:after="0"/>
        <w:ind w:firstLine="1205"/>
        <w:rPr>
          <w:rFonts w:hint="eastAsia" w:ascii="Times New Roman" w:hAnsi="Times New Roman" w:cs="Times New Roman"/>
          <w:b/>
          <w:bCs/>
          <w:sz w:val="24"/>
          <w:szCs w:val="24"/>
          <w:lang w:val="en-US" w:eastAsia="zh-CN" w:bidi="ar-SA"/>
        </w:rPr>
      </w:pPr>
      <w:r>
        <w:rPr>
          <w:rFonts w:hint="eastAsia" w:ascii="Times New Roman" w:hAnsi="Times New Roman" w:cs="Times New Roman"/>
          <w:b/>
          <w:bCs/>
          <w:sz w:val="24"/>
          <w:szCs w:val="24"/>
          <w:lang w:val="en-US" w:eastAsia="zh-CN" w:bidi="ar-SA"/>
        </w:rPr>
        <w:t>表6.2-32建设项目土壤环境影响类型与影响途径表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8"/>
        <w:gridCol w:w="943"/>
        <w:gridCol w:w="943"/>
        <w:gridCol w:w="943"/>
        <w:gridCol w:w="943"/>
        <w:gridCol w:w="943"/>
        <w:gridCol w:w="943"/>
        <w:gridCol w:w="945"/>
        <w:gridCol w:w="945"/>
      </w:tblGrid>
      <w:tr w14:paraId="47420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18" w:type="dxa"/>
            <w:vMerge w:val="restart"/>
            <w:noWrap w:val="0"/>
            <w:vAlign w:val="center"/>
          </w:tcPr>
          <w:p w14:paraId="4527048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不同时段</w:t>
            </w:r>
          </w:p>
        </w:tc>
        <w:tc>
          <w:tcPr>
            <w:tcW w:w="3868" w:type="dxa"/>
            <w:gridSpan w:val="4"/>
            <w:noWrap w:val="0"/>
            <w:vAlign w:val="center"/>
          </w:tcPr>
          <w:p w14:paraId="2C6278F6">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污染影响型</w:t>
            </w:r>
          </w:p>
        </w:tc>
        <w:tc>
          <w:tcPr>
            <w:tcW w:w="3870" w:type="dxa"/>
            <w:gridSpan w:val="4"/>
            <w:noWrap w:val="0"/>
            <w:vAlign w:val="center"/>
          </w:tcPr>
          <w:p w14:paraId="3EE68E5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生态影响型</w:t>
            </w:r>
          </w:p>
        </w:tc>
      </w:tr>
      <w:tr w14:paraId="030D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1118" w:type="dxa"/>
            <w:vMerge w:val="continue"/>
            <w:noWrap w:val="0"/>
            <w:vAlign w:val="center"/>
          </w:tcPr>
          <w:p w14:paraId="4C4BC4C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center"/>
          </w:tcPr>
          <w:p w14:paraId="7F622DB3">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大气沉降</w:t>
            </w:r>
          </w:p>
        </w:tc>
        <w:tc>
          <w:tcPr>
            <w:tcW w:w="967" w:type="dxa"/>
            <w:noWrap w:val="0"/>
            <w:vAlign w:val="center"/>
          </w:tcPr>
          <w:p w14:paraId="6F8B2324">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地面漫流</w:t>
            </w:r>
          </w:p>
        </w:tc>
        <w:tc>
          <w:tcPr>
            <w:tcW w:w="967" w:type="dxa"/>
            <w:noWrap w:val="0"/>
            <w:vAlign w:val="center"/>
          </w:tcPr>
          <w:p w14:paraId="3C07637C">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垂直入渗</w:t>
            </w:r>
          </w:p>
        </w:tc>
        <w:tc>
          <w:tcPr>
            <w:tcW w:w="967" w:type="dxa"/>
            <w:noWrap w:val="0"/>
            <w:vAlign w:val="center"/>
          </w:tcPr>
          <w:p w14:paraId="24F5AD52">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其他</w:t>
            </w:r>
          </w:p>
        </w:tc>
        <w:tc>
          <w:tcPr>
            <w:tcW w:w="967" w:type="dxa"/>
            <w:noWrap w:val="0"/>
            <w:vAlign w:val="center"/>
          </w:tcPr>
          <w:p w14:paraId="43A5F3E4">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盐化</w:t>
            </w:r>
          </w:p>
        </w:tc>
        <w:tc>
          <w:tcPr>
            <w:tcW w:w="967" w:type="dxa"/>
            <w:noWrap w:val="0"/>
            <w:vAlign w:val="center"/>
          </w:tcPr>
          <w:p w14:paraId="7D276369">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碱化</w:t>
            </w:r>
          </w:p>
        </w:tc>
        <w:tc>
          <w:tcPr>
            <w:tcW w:w="968" w:type="dxa"/>
            <w:noWrap w:val="0"/>
            <w:vAlign w:val="center"/>
          </w:tcPr>
          <w:p w14:paraId="6D2208FA">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酸化</w:t>
            </w:r>
          </w:p>
        </w:tc>
        <w:tc>
          <w:tcPr>
            <w:tcW w:w="968" w:type="dxa"/>
            <w:noWrap w:val="0"/>
            <w:vAlign w:val="center"/>
          </w:tcPr>
          <w:p w14:paraId="245E8635">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其他</w:t>
            </w:r>
          </w:p>
        </w:tc>
      </w:tr>
      <w:tr w14:paraId="24FCD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8" w:type="dxa"/>
            <w:noWrap w:val="0"/>
            <w:vAlign w:val="top"/>
          </w:tcPr>
          <w:p w14:paraId="71E23E9C">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建设期</w:t>
            </w:r>
          </w:p>
        </w:tc>
        <w:tc>
          <w:tcPr>
            <w:tcW w:w="967" w:type="dxa"/>
            <w:noWrap w:val="0"/>
            <w:vAlign w:val="top"/>
          </w:tcPr>
          <w:p w14:paraId="68B18855">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67F1CD5F">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08F2DB34">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324039B2">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02AB6159">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6C433F33">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8" w:type="dxa"/>
            <w:noWrap w:val="0"/>
            <w:vAlign w:val="top"/>
          </w:tcPr>
          <w:p w14:paraId="358BBEB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8" w:type="dxa"/>
            <w:noWrap w:val="0"/>
            <w:vAlign w:val="top"/>
          </w:tcPr>
          <w:p w14:paraId="52365DF0">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r>
      <w:tr w14:paraId="11104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8" w:type="dxa"/>
            <w:noWrap w:val="0"/>
            <w:vAlign w:val="top"/>
          </w:tcPr>
          <w:p w14:paraId="2E3DBDCE">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运营期</w:t>
            </w:r>
          </w:p>
        </w:tc>
        <w:tc>
          <w:tcPr>
            <w:tcW w:w="967" w:type="dxa"/>
            <w:noWrap w:val="0"/>
            <w:vAlign w:val="top"/>
          </w:tcPr>
          <w:p w14:paraId="3FCBB17C">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7" w:type="dxa"/>
            <w:noWrap w:val="0"/>
            <w:vAlign w:val="top"/>
          </w:tcPr>
          <w:p w14:paraId="39FF6B29">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00CD35C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7" w:type="dxa"/>
            <w:noWrap w:val="0"/>
            <w:vAlign w:val="top"/>
          </w:tcPr>
          <w:p w14:paraId="3BE52F5C">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7CDD0C52">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59D18BCC">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8" w:type="dxa"/>
            <w:noWrap w:val="0"/>
            <w:vAlign w:val="top"/>
          </w:tcPr>
          <w:p w14:paraId="29230DC2">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8" w:type="dxa"/>
            <w:noWrap w:val="0"/>
            <w:vAlign w:val="top"/>
          </w:tcPr>
          <w:p w14:paraId="01CE5B13">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r>
      <w:tr w14:paraId="2D66E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8" w:type="dxa"/>
            <w:noWrap w:val="0"/>
            <w:vAlign w:val="top"/>
          </w:tcPr>
          <w:p w14:paraId="53609AC8">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服务期满后</w:t>
            </w:r>
          </w:p>
        </w:tc>
        <w:tc>
          <w:tcPr>
            <w:tcW w:w="967" w:type="dxa"/>
            <w:noWrap w:val="0"/>
            <w:vAlign w:val="top"/>
          </w:tcPr>
          <w:p w14:paraId="03D8742C">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7A1D7570">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1CC55479">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25E3642E">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4169740F">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7" w:type="dxa"/>
            <w:noWrap w:val="0"/>
            <w:vAlign w:val="top"/>
          </w:tcPr>
          <w:p w14:paraId="4897B01D">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8" w:type="dxa"/>
            <w:noWrap w:val="0"/>
            <w:vAlign w:val="top"/>
          </w:tcPr>
          <w:p w14:paraId="0EC51DAE">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c>
          <w:tcPr>
            <w:tcW w:w="968" w:type="dxa"/>
            <w:noWrap w:val="0"/>
            <w:vAlign w:val="top"/>
          </w:tcPr>
          <w:p w14:paraId="6E6279FB">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p>
        </w:tc>
      </w:tr>
      <w:tr w14:paraId="1BD24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56" w:type="dxa"/>
            <w:gridSpan w:val="9"/>
            <w:noWrap w:val="0"/>
            <w:vAlign w:val="top"/>
          </w:tcPr>
          <w:p w14:paraId="5A965A7D">
            <w:pPr>
              <w:pStyle w:val="219"/>
              <w:keepNext w:val="0"/>
              <w:keepLines w:val="0"/>
              <w:pageBreakBefore w:val="0"/>
              <w:widowControl/>
              <w:spacing w:after="0"/>
              <w:ind w:left="0" w:firstLine="0"/>
              <w:jc w:val="both"/>
              <w:rPr>
                <w:rFonts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注：可能产生的土壤环境影响类型处打“√”</w:t>
            </w:r>
          </w:p>
        </w:tc>
      </w:tr>
    </w:tbl>
    <w:p w14:paraId="31857047">
      <w:pPr>
        <w:pStyle w:val="219"/>
        <w:keepNext w:val="0"/>
        <w:keepLines w:val="0"/>
        <w:pageBreakBefore w:val="0"/>
        <w:widowControl/>
        <w:spacing w:after="0"/>
        <w:ind w:firstLine="723"/>
        <w:rPr>
          <w:rFonts w:ascii="Times New Roman" w:hAnsi="Times New Roman" w:cs="Times New Roman"/>
          <w:b/>
          <w:bCs/>
          <w:sz w:val="24"/>
          <w:szCs w:val="24"/>
          <w:lang w:val="en-US" w:eastAsia="zh-CN" w:bidi="ar-SA"/>
        </w:rPr>
      </w:pPr>
      <w:r>
        <w:rPr>
          <w:rFonts w:hint="eastAsia" w:ascii="Times New Roman" w:hAnsi="Times New Roman" w:cs="Times New Roman"/>
          <w:b/>
          <w:bCs/>
          <w:sz w:val="24"/>
          <w:szCs w:val="24"/>
          <w:lang w:val="en-US" w:eastAsia="zh-CN" w:bidi="ar-SA"/>
        </w:rPr>
        <w:t>表6.2-33污染影响型建设项目土壤环境影响源及影响因子识别表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4"/>
        <w:gridCol w:w="1441"/>
        <w:gridCol w:w="1434"/>
        <w:gridCol w:w="1212"/>
        <w:gridCol w:w="938"/>
        <w:gridCol w:w="2177"/>
      </w:tblGrid>
      <w:tr w14:paraId="3C974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noWrap w:val="0"/>
            <w:vAlign w:val="center"/>
          </w:tcPr>
          <w:p w14:paraId="1FD5ADC6">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污染源</w:t>
            </w:r>
          </w:p>
        </w:tc>
        <w:tc>
          <w:tcPr>
            <w:tcW w:w="1476" w:type="dxa"/>
            <w:noWrap w:val="0"/>
            <w:vAlign w:val="center"/>
          </w:tcPr>
          <w:p w14:paraId="3A2CF136">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工艺流程/节点</w:t>
            </w:r>
          </w:p>
        </w:tc>
        <w:tc>
          <w:tcPr>
            <w:tcW w:w="1476" w:type="dxa"/>
            <w:noWrap w:val="0"/>
            <w:vAlign w:val="center"/>
          </w:tcPr>
          <w:p w14:paraId="46E29479">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污染途径</w:t>
            </w:r>
          </w:p>
        </w:tc>
        <w:tc>
          <w:tcPr>
            <w:tcW w:w="1230" w:type="dxa"/>
            <w:noWrap w:val="0"/>
            <w:vAlign w:val="center"/>
          </w:tcPr>
          <w:p w14:paraId="47ABA34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全部污染物指标a</w:t>
            </w:r>
          </w:p>
        </w:tc>
        <w:tc>
          <w:tcPr>
            <w:tcW w:w="960" w:type="dxa"/>
            <w:noWrap w:val="0"/>
            <w:vAlign w:val="center"/>
          </w:tcPr>
          <w:p w14:paraId="1E5E6118">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特征因子</w:t>
            </w:r>
          </w:p>
        </w:tc>
        <w:tc>
          <w:tcPr>
            <w:tcW w:w="2238" w:type="dxa"/>
            <w:noWrap w:val="0"/>
            <w:vAlign w:val="center"/>
          </w:tcPr>
          <w:p w14:paraId="08DFEFDD">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备注b</w:t>
            </w:r>
          </w:p>
        </w:tc>
      </w:tr>
      <w:tr w14:paraId="4845C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restart"/>
            <w:noWrap w:val="0"/>
            <w:vAlign w:val="center"/>
          </w:tcPr>
          <w:p w14:paraId="6DF17FBB">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胶水生产</w:t>
            </w:r>
          </w:p>
        </w:tc>
        <w:tc>
          <w:tcPr>
            <w:tcW w:w="1476" w:type="dxa"/>
            <w:vMerge w:val="restart"/>
            <w:noWrap w:val="0"/>
            <w:vAlign w:val="center"/>
          </w:tcPr>
          <w:p w14:paraId="51E37115">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脲醛树脂胶主要原料为甲醛、聚乙烯醇、尿素、氢氧化钠、三聚氰胺，经聚合反应后真空脱水后得到产生，生产过程中有有机废气、脱水废水产生。</w:t>
            </w:r>
          </w:p>
        </w:tc>
        <w:tc>
          <w:tcPr>
            <w:tcW w:w="1476" w:type="dxa"/>
            <w:noWrap w:val="0"/>
            <w:vAlign w:val="center"/>
          </w:tcPr>
          <w:p w14:paraId="6A493617">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大气沉降</w:t>
            </w:r>
          </w:p>
        </w:tc>
        <w:tc>
          <w:tcPr>
            <w:tcW w:w="1230" w:type="dxa"/>
            <w:noWrap w:val="0"/>
            <w:vAlign w:val="center"/>
          </w:tcPr>
          <w:p w14:paraId="6E58D1D2">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甲醛、氨、VOCs</w:t>
            </w:r>
          </w:p>
        </w:tc>
        <w:tc>
          <w:tcPr>
            <w:tcW w:w="960" w:type="dxa"/>
            <w:noWrap w:val="0"/>
            <w:vAlign w:val="center"/>
          </w:tcPr>
          <w:p w14:paraId="313462A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56D3B186">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有机废气通过</w:t>
            </w:r>
            <w:r>
              <w:rPr>
                <w:rFonts w:hint="eastAsia" w:ascii="Times New Roman" w:hAnsi="Times New Roman" w:eastAsia="宋体" w:cs="Times New Roman"/>
                <w:b w:val="0"/>
                <w:bCs w:val="0"/>
                <w:color w:val="000000"/>
                <w:sz w:val="18"/>
                <w:szCs w:val="18"/>
                <w:lang w:val="en-US" w:eastAsia="zh-CN" w:bidi="ar-SA"/>
              </w:rPr>
              <w:t>设置1套UV光催化活性炭吸附一体设备+15m高排气筒达标排放</w:t>
            </w:r>
          </w:p>
        </w:tc>
      </w:tr>
      <w:tr w14:paraId="4AB5C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30CE5A53">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7A5A7217">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7C0BEB5B">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地面漫流</w:t>
            </w:r>
          </w:p>
        </w:tc>
        <w:tc>
          <w:tcPr>
            <w:tcW w:w="1230" w:type="dxa"/>
            <w:noWrap w:val="0"/>
            <w:vAlign w:val="center"/>
          </w:tcPr>
          <w:p w14:paraId="03DFC08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743BB2B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1B4CEDC9">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eastAsia="宋体" w:cs="Times New Roman"/>
                <w:b w:val="0"/>
                <w:bCs w:val="0"/>
                <w:color w:val="000000"/>
                <w:sz w:val="18"/>
                <w:szCs w:val="18"/>
                <w:lang w:val="en-US" w:eastAsia="zh-CN" w:bidi="ar-SA"/>
              </w:rPr>
              <w:t>工艺废水收集至脱水罐后，用于胶水生产，不外排，没有地面漫流现象</w:t>
            </w:r>
          </w:p>
        </w:tc>
      </w:tr>
      <w:tr w14:paraId="7A753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381C93A3">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1E67F9B9">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0EDA5E5D">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垂直入渗</w:t>
            </w:r>
          </w:p>
        </w:tc>
        <w:tc>
          <w:tcPr>
            <w:tcW w:w="1230" w:type="dxa"/>
            <w:noWrap w:val="0"/>
            <w:vAlign w:val="center"/>
          </w:tcPr>
          <w:p w14:paraId="29396B03">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5FD8E18A">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3B6A80A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工艺废水收集于脱水罐内，且车间进行防渗处理，一般不会导致废水垂直渗入土壤</w:t>
            </w:r>
          </w:p>
        </w:tc>
      </w:tr>
      <w:tr w14:paraId="29904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2DBD0A1E">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49599FAC">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6AD3CB24">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其他</w:t>
            </w:r>
          </w:p>
        </w:tc>
        <w:tc>
          <w:tcPr>
            <w:tcW w:w="1230" w:type="dxa"/>
            <w:noWrap w:val="0"/>
            <w:vAlign w:val="center"/>
          </w:tcPr>
          <w:p w14:paraId="15A6CAC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650A050A">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527C93A5">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r>
      <w:tr w14:paraId="6A80D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476" w:type="dxa"/>
            <w:vMerge w:val="continue"/>
            <w:noWrap w:val="0"/>
            <w:vAlign w:val="center"/>
          </w:tcPr>
          <w:p w14:paraId="6A6DEEFB">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restart"/>
            <w:noWrap w:val="0"/>
            <w:vAlign w:val="center"/>
          </w:tcPr>
          <w:p w14:paraId="2D9343C5">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酚醛树脂胶主要原料为甲醛、苯酚、尿素、氢氧化钠，经聚合反应后真空脱水后得到产生，生产过程中有有机废气、脱水废水产生。</w:t>
            </w:r>
          </w:p>
        </w:tc>
        <w:tc>
          <w:tcPr>
            <w:tcW w:w="1476" w:type="dxa"/>
            <w:noWrap w:val="0"/>
            <w:vAlign w:val="center"/>
          </w:tcPr>
          <w:p w14:paraId="377534FC">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大气沉降</w:t>
            </w:r>
          </w:p>
        </w:tc>
        <w:tc>
          <w:tcPr>
            <w:tcW w:w="1230" w:type="dxa"/>
            <w:noWrap w:val="0"/>
            <w:vAlign w:val="center"/>
          </w:tcPr>
          <w:p w14:paraId="5EA56DDB">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甲醛、酚类、VOCs</w:t>
            </w:r>
          </w:p>
        </w:tc>
        <w:tc>
          <w:tcPr>
            <w:tcW w:w="960" w:type="dxa"/>
            <w:noWrap w:val="0"/>
            <w:vAlign w:val="center"/>
          </w:tcPr>
          <w:p w14:paraId="43205A4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3EEB37C6">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有机废气通过</w:t>
            </w:r>
            <w:r>
              <w:rPr>
                <w:rFonts w:hint="eastAsia" w:ascii="Times New Roman" w:hAnsi="Times New Roman" w:eastAsia="宋体" w:cs="Times New Roman"/>
                <w:b w:val="0"/>
                <w:bCs w:val="0"/>
                <w:color w:val="000000"/>
                <w:sz w:val="18"/>
                <w:szCs w:val="18"/>
                <w:lang w:val="en-US" w:eastAsia="zh-CN" w:bidi="ar-SA"/>
              </w:rPr>
              <w:t>设置1套UV光催化活性炭吸附一体设备+15m高排气筒达标排放</w:t>
            </w:r>
          </w:p>
        </w:tc>
      </w:tr>
      <w:tr w14:paraId="7E49B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75475AFF">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6AE82DC2">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1E53940A">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地面漫流</w:t>
            </w:r>
          </w:p>
        </w:tc>
        <w:tc>
          <w:tcPr>
            <w:tcW w:w="1230" w:type="dxa"/>
            <w:noWrap w:val="0"/>
            <w:vAlign w:val="center"/>
          </w:tcPr>
          <w:p w14:paraId="1061DF44">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3DEDA08B">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659D6DC1">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eastAsia="宋体" w:cs="Times New Roman"/>
                <w:b w:val="0"/>
                <w:bCs w:val="0"/>
                <w:color w:val="000000"/>
                <w:sz w:val="18"/>
                <w:szCs w:val="18"/>
                <w:lang w:val="en-US" w:eastAsia="zh-CN" w:bidi="ar-SA"/>
              </w:rPr>
              <w:t>工艺废水收集至脱水罐后，用于胶水生产，不外排，没有地面漫流现象</w:t>
            </w:r>
          </w:p>
        </w:tc>
      </w:tr>
      <w:tr w14:paraId="488EE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6D4F19BB">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48BD8B0D">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064A019A">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垂直入渗</w:t>
            </w:r>
          </w:p>
        </w:tc>
        <w:tc>
          <w:tcPr>
            <w:tcW w:w="1230" w:type="dxa"/>
            <w:noWrap w:val="0"/>
            <w:vAlign w:val="center"/>
          </w:tcPr>
          <w:p w14:paraId="54AAC8AC">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62B4DA32">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35F3FDCC">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工艺废水收集于脱水罐内，且车间进行防渗处理，一般不会导致废水垂直渗入土壤</w:t>
            </w:r>
          </w:p>
        </w:tc>
      </w:tr>
      <w:tr w14:paraId="2194A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7AD74FE0">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0E4322B3">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69C0A588">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其他</w:t>
            </w:r>
          </w:p>
        </w:tc>
        <w:tc>
          <w:tcPr>
            <w:tcW w:w="1230" w:type="dxa"/>
            <w:noWrap w:val="0"/>
            <w:vAlign w:val="center"/>
          </w:tcPr>
          <w:p w14:paraId="22C5B07D">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3BB90654">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7A5D7564">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r>
      <w:tr w14:paraId="1A3BD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restart"/>
            <w:noWrap w:val="0"/>
            <w:vAlign w:val="center"/>
          </w:tcPr>
          <w:p w14:paraId="7AD0FB0E">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板材生产</w:t>
            </w:r>
          </w:p>
        </w:tc>
        <w:tc>
          <w:tcPr>
            <w:tcW w:w="1476" w:type="dxa"/>
            <w:vMerge w:val="restart"/>
            <w:noWrap w:val="0"/>
            <w:vAlign w:val="center"/>
          </w:tcPr>
          <w:p w14:paraId="3797959A">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原料为竹子，经过断竹、刨片、干燥、筛分、铺装、热压、贴面、砂光、锯边、开槽等，生产过程中主要是粉尘、少量的有机废气、废边角料等</w:t>
            </w:r>
          </w:p>
        </w:tc>
        <w:tc>
          <w:tcPr>
            <w:tcW w:w="1476" w:type="dxa"/>
            <w:noWrap w:val="0"/>
            <w:vAlign w:val="center"/>
          </w:tcPr>
          <w:p w14:paraId="6F0D25BC">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大气沉降</w:t>
            </w:r>
          </w:p>
        </w:tc>
        <w:tc>
          <w:tcPr>
            <w:tcW w:w="1230" w:type="dxa"/>
            <w:noWrap w:val="0"/>
            <w:vAlign w:val="center"/>
          </w:tcPr>
          <w:p w14:paraId="47364FC7">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粉尘、甲醛</w:t>
            </w:r>
          </w:p>
        </w:tc>
        <w:tc>
          <w:tcPr>
            <w:tcW w:w="960" w:type="dxa"/>
            <w:noWrap w:val="0"/>
            <w:vAlign w:val="center"/>
          </w:tcPr>
          <w:p w14:paraId="74C2A244">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7BDBFA34">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各环节粉尘采取除尘装置处置后达标排放；有机废气</w:t>
            </w:r>
            <w:r>
              <w:rPr>
                <w:rFonts w:hint="eastAsia" w:ascii="Times New Roman" w:hAnsi="Times New Roman" w:eastAsia="宋体" w:cs="Times New Roman"/>
                <w:b w:val="0"/>
                <w:bCs w:val="0"/>
                <w:color w:val="000000"/>
                <w:sz w:val="18"/>
                <w:szCs w:val="18"/>
                <w:lang w:val="en-US" w:eastAsia="zh-CN" w:bidi="ar-SA"/>
              </w:rPr>
              <w:t>设置1套UV光催化活性炭吸附一体设备+15m高排气筒达标排放</w:t>
            </w:r>
          </w:p>
        </w:tc>
      </w:tr>
      <w:tr w14:paraId="1CAF3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43B57ADF">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772A4FA4">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344021A5">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地面漫流</w:t>
            </w:r>
          </w:p>
        </w:tc>
        <w:tc>
          <w:tcPr>
            <w:tcW w:w="1230" w:type="dxa"/>
            <w:noWrap w:val="0"/>
            <w:vAlign w:val="center"/>
          </w:tcPr>
          <w:p w14:paraId="7C868E24">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4128BAED">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66A7D0EB">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无生产废水产生，不存在地面漫流</w:t>
            </w:r>
          </w:p>
        </w:tc>
      </w:tr>
      <w:tr w14:paraId="2EDD8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201A17F2">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2660564D">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26548C2A">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垂直入渗</w:t>
            </w:r>
          </w:p>
        </w:tc>
        <w:tc>
          <w:tcPr>
            <w:tcW w:w="1230" w:type="dxa"/>
            <w:noWrap w:val="0"/>
            <w:vAlign w:val="center"/>
          </w:tcPr>
          <w:p w14:paraId="28BC9B7A">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7D6519C0">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73C51EB3">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无生产废水产生，不存在地面漫流</w:t>
            </w:r>
          </w:p>
        </w:tc>
      </w:tr>
      <w:tr w14:paraId="5E20D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5ED469A7">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298BBFB9">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3A188087">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其他</w:t>
            </w:r>
          </w:p>
        </w:tc>
        <w:tc>
          <w:tcPr>
            <w:tcW w:w="1230" w:type="dxa"/>
            <w:noWrap w:val="0"/>
            <w:vAlign w:val="center"/>
          </w:tcPr>
          <w:p w14:paraId="1F39A05D">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1F17C29E">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61289B11">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r>
      <w:tr w14:paraId="09F8F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restart"/>
            <w:noWrap w:val="0"/>
            <w:vAlign w:val="center"/>
          </w:tcPr>
          <w:p w14:paraId="4E721716">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甲醛储罐</w:t>
            </w:r>
          </w:p>
        </w:tc>
        <w:tc>
          <w:tcPr>
            <w:tcW w:w="1476" w:type="dxa"/>
            <w:vMerge w:val="restart"/>
            <w:noWrap w:val="0"/>
            <w:vAlign w:val="center"/>
          </w:tcPr>
          <w:p w14:paraId="00C40AF0">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3AA6D443">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大气沉降</w:t>
            </w:r>
          </w:p>
        </w:tc>
        <w:tc>
          <w:tcPr>
            <w:tcW w:w="1230" w:type="dxa"/>
            <w:noWrap w:val="0"/>
            <w:vAlign w:val="center"/>
          </w:tcPr>
          <w:p w14:paraId="1877B21A">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73DDB5A6">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71587A25">
            <w:pPr>
              <w:pStyle w:val="219"/>
              <w:keepNext w:val="0"/>
              <w:keepLines w:val="0"/>
              <w:pageBreakBefore w:val="0"/>
              <w:widowControl/>
              <w:spacing w:after="0"/>
              <w:ind w:left="0" w:firstLine="0"/>
              <w:jc w:val="center"/>
              <w:rPr>
                <w:rFonts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r>
      <w:tr w14:paraId="0571A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6BFA1CE5">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56D524D2">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0F794EFA">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地面漫流</w:t>
            </w:r>
          </w:p>
        </w:tc>
        <w:tc>
          <w:tcPr>
            <w:tcW w:w="1230" w:type="dxa"/>
            <w:noWrap w:val="0"/>
            <w:vAlign w:val="center"/>
          </w:tcPr>
          <w:p w14:paraId="2D272C41">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960" w:type="dxa"/>
            <w:noWrap w:val="0"/>
            <w:vAlign w:val="center"/>
          </w:tcPr>
          <w:p w14:paraId="494C3210">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2238" w:type="dxa"/>
            <w:noWrap w:val="0"/>
            <w:vAlign w:val="center"/>
          </w:tcPr>
          <w:p w14:paraId="4314A6BC">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重点防渗防治，即使围堰内防渗层出现损坏，项目设置有备用应急罐，也不会出现地面漫流</w:t>
            </w:r>
          </w:p>
        </w:tc>
      </w:tr>
      <w:tr w14:paraId="6D692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7EB8D88D">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18FB3B6A">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766A345C">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垂直入渗</w:t>
            </w:r>
          </w:p>
        </w:tc>
        <w:tc>
          <w:tcPr>
            <w:tcW w:w="1230" w:type="dxa"/>
            <w:noWrap w:val="0"/>
            <w:vAlign w:val="center"/>
          </w:tcPr>
          <w:p w14:paraId="43882836">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甲醛</w:t>
            </w:r>
          </w:p>
        </w:tc>
        <w:tc>
          <w:tcPr>
            <w:tcW w:w="960" w:type="dxa"/>
            <w:noWrap w:val="0"/>
            <w:vAlign w:val="center"/>
          </w:tcPr>
          <w:p w14:paraId="7F74675A">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2238" w:type="dxa"/>
            <w:noWrap w:val="0"/>
            <w:vAlign w:val="center"/>
          </w:tcPr>
          <w:p w14:paraId="2BB48C99">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事故状态罐体破损导致液体泄漏，围堰内防渗层出现损坏，可能导致垂直入渗</w:t>
            </w:r>
          </w:p>
        </w:tc>
      </w:tr>
      <w:tr w14:paraId="65442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05B24176">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4C1E2F4B">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4FB50191">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其他</w:t>
            </w:r>
          </w:p>
        </w:tc>
        <w:tc>
          <w:tcPr>
            <w:tcW w:w="1230" w:type="dxa"/>
            <w:noWrap w:val="0"/>
            <w:vAlign w:val="center"/>
          </w:tcPr>
          <w:p w14:paraId="4C75E64B">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960" w:type="dxa"/>
            <w:noWrap w:val="0"/>
            <w:vAlign w:val="center"/>
          </w:tcPr>
          <w:p w14:paraId="4C572A20">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c>
          <w:tcPr>
            <w:tcW w:w="2238" w:type="dxa"/>
            <w:noWrap w:val="0"/>
            <w:vAlign w:val="center"/>
          </w:tcPr>
          <w:p w14:paraId="61DFBE82">
            <w:pPr>
              <w:pStyle w:val="219"/>
              <w:keepNext w:val="0"/>
              <w:keepLines w:val="0"/>
              <w:pageBreakBefore w:val="0"/>
              <w:widowControl/>
              <w:spacing w:after="0"/>
              <w:ind w:left="0" w:firstLine="0"/>
              <w:jc w:val="center"/>
              <w:rPr>
                <w:rFonts w:hint="eastAsia" w:ascii="Times New Roman" w:hAnsi="Times New Roman" w:cs="Times New Roman"/>
                <w:b/>
                <w:bCs/>
                <w:sz w:val="18"/>
                <w:szCs w:val="18"/>
                <w:vertAlign w:val="baseline"/>
                <w:lang w:val="en-US" w:eastAsia="zh-CN" w:bidi="ar-SA"/>
              </w:rPr>
            </w:pPr>
            <w:r>
              <w:rPr>
                <w:rFonts w:hint="eastAsia" w:ascii="Times New Roman" w:hAnsi="Times New Roman" w:cs="Times New Roman"/>
                <w:b/>
                <w:bCs/>
                <w:sz w:val="18"/>
                <w:szCs w:val="18"/>
                <w:vertAlign w:val="baseline"/>
                <w:lang w:val="en-US" w:eastAsia="zh-CN" w:bidi="ar-SA"/>
              </w:rPr>
              <w:t>/</w:t>
            </w:r>
          </w:p>
        </w:tc>
      </w:tr>
      <w:tr w14:paraId="0412D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restart"/>
            <w:noWrap w:val="0"/>
            <w:vAlign w:val="center"/>
          </w:tcPr>
          <w:p w14:paraId="34412FC3">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化粪池</w:t>
            </w:r>
          </w:p>
        </w:tc>
        <w:tc>
          <w:tcPr>
            <w:tcW w:w="1476" w:type="dxa"/>
            <w:vMerge w:val="restart"/>
            <w:noWrap w:val="0"/>
            <w:vAlign w:val="center"/>
          </w:tcPr>
          <w:p w14:paraId="35DDB5F5">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地下结构</w:t>
            </w:r>
          </w:p>
        </w:tc>
        <w:tc>
          <w:tcPr>
            <w:tcW w:w="1476" w:type="dxa"/>
            <w:noWrap w:val="0"/>
            <w:vAlign w:val="center"/>
          </w:tcPr>
          <w:p w14:paraId="71647EF7">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大气沉降</w:t>
            </w:r>
          </w:p>
        </w:tc>
        <w:tc>
          <w:tcPr>
            <w:tcW w:w="1230" w:type="dxa"/>
            <w:noWrap w:val="0"/>
            <w:vAlign w:val="center"/>
          </w:tcPr>
          <w:p w14:paraId="7B27516D">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960" w:type="dxa"/>
            <w:noWrap w:val="0"/>
            <w:vAlign w:val="center"/>
          </w:tcPr>
          <w:p w14:paraId="35A84F40">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2238" w:type="dxa"/>
            <w:noWrap w:val="0"/>
            <w:vAlign w:val="center"/>
          </w:tcPr>
          <w:p w14:paraId="6667F7CC">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r>
      <w:tr w14:paraId="7E18A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5550CC90">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31F807C7">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71DEF66C">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地面漫流</w:t>
            </w:r>
          </w:p>
        </w:tc>
        <w:tc>
          <w:tcPr>
            <w:tcW w:w="1230" w:type="dxa"/>
            <w:noWrap w:val="0"/>
            <w:vAlign w:val="center"/>
          </w:tcPr>
          <w:p w14:paraId="050E473F">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960" w:type="dxa"/>
            <w:noWrap w:val="0"/>
            <w:vAlign w:val="center"/>
          </w:tcPr>
          <w:p w14:paraId="6018BF85">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2238" w:type="dxa"/>
            <w:noWrap w:val="0"/>
            <w:vAlign w:val="center"/>
          </w:tcPr>
          <w:p w14:paraId="08DF96F2">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地下结构，且重点防渗，即使防渗层损坏，也不会出现地面漫流现象</w:t>
            </w:r>
          </w:p>
        </w:tc>
      </w:tr>
      <w:tr w14:paraId="3D578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74A969E8">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5DB0E3BE">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1F23FBD6">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垂直入渗</w:t>
            </w:r>
          </w:p>
        </w:tc>
        <w:tc>
          <w:tcPr>
            <w:tcW w:w="1230" w:type="dxa"/>
            <w:noWrap w:val="0"/>
            <w:vAlign w:val="center"/>
          </w:tcPr>
          <w:p w14:paraId="6DF9AF27">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COD、NH</w:t>
            </w:r>
            <w:r>
              <w:rPr>
                <w:rFonts w:hint="eastAsia" w:ascii="Times New Roman" w:hAnsi="Times New Roman" w:cs="Times New Roman"/>
                <w:b w:val="0"/>
                <w:bCs w:val="0"/>
                <w:sz w:val="18"/>
                <w:szCs w:val="18"/>
                <w:vertAlign w:val="subscript"/>
                <w:lang w:val="en-US" w:eastAsia="zh-CN" w:bidi="ar-SA"/>
              </w:rPr>
              <w:t>3</w:t>
            </w:r>
            <w:r>
              <w:rPr>
                <w:rFonts w:hint="eastAsia" w:ascii="Times New Roman" w:hAnsi="Times New Roman" w:cs="Times New Roman"/>
                <w:b w:val="0"/>
                <w:bCs w:val="0"/>
                <w:sz w:val="18"/>
                <w:szCs w:val="18"/>
                <w:vertAlign w:val="baseline"/>
                <w:lang w:val="en-US" w:eastAsia="zh-CN" w:bidi="ar-SA"/>
              </w:rPr>
              <w:t>-N</w:t>
            </w:r>
          </w:p>
        </w:tc>
        <w:tc>
          <w:tcPr>
            <w:tcW w:w="960" w:type="dxa"/>
            <w:noWrap w:val="0"/>
            <w:vAlign w:val="center"/>
          </w:tcPr>
          <w:p w14:paraId="2405E36A">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2238" w:type="dxa"/>
            <w:noWrap w:val="0"/>
            <w:vAlign w:val="center"/>
          </w:tcPr>
          <w:p w14:paraId="48890539">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地下结构，如防渗层损坏，污染物会出现垂直入渗现象</w:t>
            </w:r>
          </w:p>
        </w:tc>
      </w:tr>
      <w:tr w14:paraId="55D30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6" w:type="dxa"/>
            <w:vMerge w:val="continue"/>
            <w:noWrap w:val="0"/>
            <w:vAlign w:val="center"/>
          </w:tcPr>
          <w:p w14:paraId="4D2E559E">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vMerge w:val="continue"/>
            <w:noWrap w:val="0"/>
            <w:vAlign w:val="center"/>
          </w:tcPr>
          <w:p w14:paraId="20C95F7E">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p>
        </w:tc>
        <w:tc>
          <w:tcPr>
            <w:tcW w:w="1476" w:type="dxa"/>
            <w:noWrap w:val="0"/>
            <w:vAlign w:val="center"/>
          </w:tcPr>
          <w:p w14:paraId="46686E2B">
            <w:pPr>
              <w:pStyle w:val="219"/>
              <w:keepNext w:val="0"/>
              <w:keepLines w:val="0"/>
              <w:pageBreakBefore w:val="0"/>
              <w:widowControl/>
              <w:spacing w:after="0"/>
              <w:ind w:left="0" w:firstLine="0"/>
              <w:jc w:val="center"/>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其他</w:t>
            </w:r>
          </w:p>
        </w:tc>
        <w:tc>
          <w:tcPr>
            <w:tcW w:w="1230" w:type="dxa"/>
            <w:noWrap w:val="0"/>
            <w:vAlign w:val="center"/>
          </w:tcPr>
          <w:p w14:paraId="1A31E5FF">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960" w:type="dxa"/>
            <w:noWrap w:val="0"/>
            <w:vAlign w:val="center"/>
          </w:tcPr>
          <w:p w14:paraId="5407661F">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c>
          <w:tcPr>
            <w:tcW w:w="2238" w:type="dxa"/>
            <w:noWrap w:val="0"/>
            <w:vAlign w:val="center"/>
          </w:tcPr>
          <w:p w14:paraId="36459808">
            <w:pPr>
              <w:pStyle w:val="219"/>
              <w:keepNext w:val="0"/>
              <w:keepLines w:val="0"/>
              <w:pageBreakBefore w:val="0"/>
              <w:widowControl/>
              <w:spacing w:after="0"/>
              <w:ind w:left="0" w:firstLine="0"/>
              <w:jc w:val="center"/>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w:t>
            </w:r>
          </w:p>
        </w:tc>
      </w:tr>
      <w:tr w14:paraId="28584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56" w:type="dxa"/>
            <w:gridSpan w:val="6"/>
            <w:noWrap w:val="0"/>
            <w:vAlign w:val="center"/>
          </w:tcPr>
          <w:p w14:paraId="55BABC88">
            <w:pPr>
              <w:pStyle w:val="219"/>
              <w:keepNext w:val="0"/>
              <w:keepLines w:val="0"/>
              <w:pageBreakBefore w:val="0"/>
              <w:widowControl/>
              <w:spacing w:after="0"/>
              <w:ind w:left="0" w:firstLine="0"/>
              <w:jc w:val="left"/>
              <w:rPr>
                <w:rFonts w:hint="eastAsia"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a根据工程分析结果填写</w:t>
            </w:r>
          </w:p>
          <w:p w14:paraId="1FCA15F7">
            <w:pPr>
              <w:pStyle w:val="219"/>
              <w:keepNext w:val="0"/>
              <w:keepLines w:val="0"/>
              <w:pageBreakBefore w:val="0"/>
              <w:widowControl/>
              <w:spacing w:after="0"/>
              <w:ind w:left="0" w:firstLine="0"/>
              <w:jc w:val="left"/>
              <w:rPr>
                <w:rFonts w:ascii="Times New Roman" w:hAnsi="Times New Roman" w:cs="Times New Roman"/>
                <w:b w:val="0"/>
                <w:bCs w:val="0"/>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bidi="ar-SA"/>
              </w:rPr>
              <w:t>b应描述污染源特征，如连续、间断、正常、事故等；涉及大气沉降途径的，应识别建设项目周边土壤环境敏感目标</w:t>
            </w:r>
          </w:p>
        </w:tc>
      </w:tr>
    </w:tbl>
    <w:p w14:paraId="52BD0379">
      <w:pPr>
        <w:pStyle w:val="282"/>
        <w:rPr>
          <w:rFonts w:hint="eastAsia"/>
          <w:b w:val="0"/>
          <w:bCs/>
          <w:lang w:val="en-US" w:eastAsia="zh-CN"/>
        </w:rPr>
      </w:pPr>
      <w:r>
        <w:rPr>
          <w:rFonts w:hint="eastAsia"/>
          <w:b w:val="0"/>
          <w:bCs/>
          <w:lang w:val="en-US" w:eastAsia="zh-CN"/>
        </w:rPr>
        <w:t xml:space="preserve">6.2.7.2土壤环境影响预测与评价 </w:t>
      </w:r>
    </w:p>
    <w:p w14:paraId="2555E57C">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 xml:space="preserve">化工项目在正常生产或发生事故时，排放的污染物都可能对周围土壤造成污染， 影响土壤的理化性质，破坏土壤的结构。通过对土壤环境影响类型与影响途径识别， 土壤的影响途径主要为大气沉降、地面漫流、垂直入渗等。 </w:t>
      </w:r>
    </w:p>
    <w:p w14:paraId="4B7BCA25">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w:t>
      </w:r>
      <w:r>
        <w:rPr>
          <w:rFonts w:ascii="宋体" w:hAnsi="宋体" w:eastAsia="宋体" w:cs="宋体"/>
          <w:color w:val="000000"/>
          <w:sz w:val="24"/>
          <w:szCs w:val="24"/>
          <w:lang w:val="en-US" w:eastAsia="zh-CN" w:bidi="ar"/>
        </w:rPr>
        <w:t>1</w:t>
      </w:r>
      <w:r>
        <w:rPr>
          <w:rFonts w:hint="eastAsia" w:ascii="宋体" w:hAnsi="宋体" w:eastAsia="宋体" w:cs="宋体"/>
          <w:color w:val="000000"/>
          <w:sz w:val="24"/>
          <w:szCs w:val="24"/>
          <w:lang w:val="en-US" w:eastAsia="zh-CN" w:bidi="ar"/>
        </w:rPr>
        <w:t>）大气沉降影响</w:t>
      </w:r>
    </w:p>
    <w:p w14:paraId="6BDD5F86">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 xml:space="preserve">气态污染物在扩散过程中可能会落到地面，从而对土壤产生大气沉降影响。拟 建项目产生的废气包括粉尘及有机废气。 </w:t>
      </w:r>
    </w:p>
    <w:p w14:paraId="3A2D46C7">
      <w:pPr>
        <w:keepNext w:val="0"/>
        <w:keepLines w:val="0"/>
        <w:widowControl/>
        <w:suppressLineNumbers w:val="0"/>
        <w:jc w:val="left"/>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项目产生的粉尘均采用布袋除尘器进行处理，布袋除尘效率高达99</w:t>
      </w:r>
      <w:r>
        <w:rPr>
          <w:rFonts w:ascii="宋体" w:hAnsi="宋体" w:eastAsia="宋体" w:cs="宋体"/>
          <w:color w:val="000000"/>
          <w:sz w:val="24"/>
          <w:szCs w:val="24"/>
          <w:lang w:val="en-US" w:eastAsia="zh-CN" w:bidi="ar"/>
        </w:rPr>
        <w:t>%</w:t>
      </w:r>
      <w:r>
        <w:rPr>
          <w:rFonts w:hint="eastAsia" w:ascii="宋体" w:hAnsi="宋体" w:eastAsia="宋体" w:cs="宋体"/>
          <w:color w:val="000000"/>
          <w:sz w:val="24"/>
          <w:szCs w:val="24"/>
          <w:lang w:val="en-US" w:eastAsia="zh-CN" w:bidi="ar"/>
        </w:rPr>
        <w:t>，仅有少量达标排放的粉尘及未被集尘罩收集的粉尘扩散到大气中逐渐沉降下来，事故状态时沉降的粉尘会比较多，</w:t>
      </w:r>
      <w:r>
        <w:rPr>
          <w:rFonts w:ascii="Times New Roman" w:hAnsi="Times New Roman" w:eastAsia="宋体" w:cs="Times New Roman"/>
          <w:color w:val="000000"/>
          <w:sz w:val="24"/>
          <w:szCs w:val="24"/>
          <w:lang w:val="en-US" w:eastAsia="zh-CN" w:bidi="ar"/>
        </w:rPr>
        <w:t>不含有《土壤环境质量 建设用地土壤污染风险管控标准（试行）》GB36600-2018中所规定的基本项目及其他项目。</w:t>
      </w:r>
      <w:r>
        <w:rPr>
          <w:rFonts w:hint="eastAsia" w:ascii="宋体" w:hAnsi="宋体" w:eastAsia="宋体" w:cs="宋体"/>
          <w:color w:val="000000"/>
          <w:sz w:val="24"/>
          <w:szCs w:val="24"/>
          <w:lang w:val="en-US" w:eastAsia="zh-CN" w:bidi="ar"/>
        </w:rPr>
        <w:t xml:space="preserve">而且，厂区内除绿化用地以外，其它全部都是水泥地面，基本没有直接裸露的土壤存在，因此，拟建项目污染物通过大气沉降对土壤的影响有限，基本不会对预测区内的土壤造成严重污染。 </w:t>
      </w:r>
    </w:p>
    <w:p w14:paraId="64476E5F">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有机废气均收集后采用UV光氧催化活性炭吸附装置进行处理，达标后排放，主要污染物包括苯酚、甲醛、VOCs等，基本不会产生大气沉降。 </w:t>
      </w:r>
    </w:p>
    <w:p w14:paraId="56EBFAAA">
      <w:pPr>
        <w:keepNext w:val="0"/>
        <w:keepLines w:val="0"/>
        <w:widowControl/>
        <w:numPr>
          <w:ilvl w:val="0"/>
          <w:numId w:val="9"/>
        </w:numPr>
        <w:suppressLineNumbers w:val="0"/>
        <w:ind w:left="0" w:firstLine="48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地面漫流 </w:t>
      </w:r>
    </w:p>
    <w:p w14:paraId="43BC87BA">
      <w:pPr>
        <w:keepNext w:val="0"/>
        <w:keepLines w:val="0"/>
        <w:widowControl/>
        <w:numPr>
          <w:ilvl w:val="0"/>
          <w:numId w:val="0"/>
        </w:numPr>
        <w:suppressLineNumbers w:val="0"/>
        <w:ind w:firstLine="48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项目的废水包括酚醛树脂胶真空脱水产生的冷凝废水、生活污水、设备清洗废水，如果废水收集处置不当，污水会形成地面漫流，对周围的土壤造成污染。正常工况下，酚醛树脂冷凝废水及设备清洗废水收集至污水暂存罐后回用于生产，不外排，不会有地面漫流现象发生。事故状态时，如果污水储罐破损时废水也会通过车间内防渗的导流沟槽流入事故池，也不会产生地面漫流。苯酚储罐、事故池、化粪池均为地下结构，且都进行了防渗处理，即使事故池防渗层损坏，也不会出现地面漫流现象。 </w:t>
      </w:r>
    </w:p>
    <w:p w14:paraId="0F8C8434">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（3）垂直入渗 </w:t>
      </w:r>
    </w:p>
    <w:p w14:paraId="170D7B1A">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有毒有害物料及废水在储存过程中，如果存储设施出现损坏，污染物会通过破 损处直接渗入土壤，造成土壤污染。 </w:t>
      </w:r>
    </w:p>
    <w:p w14:paraId="12EB1D75">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项目树脂胶生产过程中冷凝废水存放于地上收集罐内，且车间内进行了防渗处理，即使污水储罐破损时废水也会通过车间内防渗的导流沟槽流入事故池，一般不会导致 废水垂直渗入土壤。 </w:t>
      </w:r>
    </w:p>
    <w:p w14:paraId="7AF305EF">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甲醛储罐、事故池、化粪池为地下结构，且进行了防渗处理，可有效降低泄漏时污染物对土壤造成的污染风险。如果防渗层损坏，会出现垂直入渗现象，污染物进入地下对土壤造成污染。事故池中的污染物主要为甲醛，化粪池中的污染物主要为 COD、氨氮、SS，均不含有《土壤环境质量 建设用地土壤污染风险管控标准（试行）》GB36600-2018 中所规定的基本项目及其他项目。</w:t>
      </w:r>
    </w:p>
    <w:p w14:paraId="7AFE44A8">
      <w:pPr>
        <w:keepNext w:val="0"/>
        <w:keepLines w:val="0"/>
        <w:widowControl/>
        <w:suppressLineNumbers w:val="0"/>
        <w:jc w:val="left"/>
        <w:rPr>
          <w:rFonts w:ascii="Times New Roman" w:hAnsi="Times New Roman" w:eastAsia="宋体" w:cs="Times New Roman"/>
          <w:color w:val="000000"/>
          <w:sz w:val="24"/>
          <w:szCs w:val="24"/>
          <w:lang w:val="en-US" w:eastAsia="zh-CN" w:bidi="ar"/>
        </w:rPr>
      </w:pPr>
      <w:r>
        <w:rPr>
          <w:rFonts w:ascii="Times New Roman" w:hAnsi="Times New Roman" w:eastAsia="宋体" w:cs="Times New Roman"/>
          <w:color w:val="000000"/>
          <w:sz w:val="24"/>
          <w:szCs w:val="24"/>
          <w:lang w:val="en-US" w:eastAsia="zh-CN" w:bidi="ar"/>
        </w:rPr>
        <w:t xml:space="preserve">综上所述，项目有可能产生土壤污染的途径主要为大气沉降及垂直入渗， 项目对废气采取了有效的治理措施，对甲醛罐区、事故池等进行了防渗处理，可以有效降低污染物排放对土壤造成的污染风险。 </w:t>
      </w:r>
    </w:p>
    <w:p w14:paraId="3743B5C5">
      <w:pPr>
        <w:pStyle w:val="282"/>
        <w:rPr>
          <w:rFonts w:hint="eastAsia"/>
          <w:b w:val="0"/>
          <w:bCs/>
          <w:lang w:val="en-US" w:eastAsia="zh-CN"/>
        </w:rPr>
      </w:pPr>
      <w:r>
        <w:rPr>
          <w:rFonts w:hint="eastAsia"/>
          <w:b w:val="0"/>
          <w:bCs/>
          <w:lang w:val="en-US" w:eastAsia="zh-CN"/>
        </w:rPr>
        <w:t xml:space="preserve">6.2.7.3土壤环境影响评价自查表 </w:t>
      </w:r>
    </w:p>
    <w:p w14:paraId="341AA58B">
      <w:pPr>
        <w:keepNext w:val="0"/>
        <w:keepLines w:val="0"/>
        <w:widowControl/>
        <w:suppressLineNumbers w:val="0"/>
        <w:jc w:val="center"/>
        <w:rPr>
          <w:rFonts w:ascii="Times New Roman" w:hAnsi="Times New Roman" w:eastAsia="宋体" w:cs="Times New Roman"/>
          <w:b/>
          <w:bCs/>
          <w:color w:val="000000"/>
          <w:sz w:val="24"/>
          <w:szCs w:val="24"/>
          <w:lang w:val="en-US" w:eastAsia="zh-CN" w:bidi="ar"/>
        </w:rPr>
      </w:pPr>
      <w:r>
        <w:rPr>
          <w:rFonts w:ascii="Times New Roman" w:hAnsi="Times New Roman" w:eastAsia="宋体" w:cs="Times New Roman"/>
          <w:b/>
          <w:bCs/>
          <w:color w:val="000000"/>
          <w:sz w:val="24"/>
          <w:szCs w:val="24"/>
          <w:lang w:val="en-US" w:eastAsia="zh-CN" w:bidi="ar"/>
        </w:rPr>
        <w:t>表6.2-3</w:t>
      </w:r>
      <w:r>
        <w:rPr>
          <w:rFonts w:hint="eastAsia" w:ascii="Times New Roman" w:hAnsi="Times New Roman" w:eastAsia="宋体" w:cs="Times New Roman"/>
          <w:b/>
          <w:bCs/>
          <w:color w:val="000000"/>
          <w:sz w:val="24"/>
          <w:szCs w:val="24"/>
          <w:lang w:val="en-US" w:eastAsia="zh-CN" w:bidi="ar"/>
        </w:rPr>
        <w:t>4</w:t>
      </w:r>
      <w:r>
        <w:rPr>
          <w:rFonts w:ascii="Times New Roman" w:hAnsi="Times New Roman" w:eastAsia="宋体" w:cs="Times New Roman"/>
          <w:b/>
          <w:bCs/>
          <w:color w:val="000000"/>
          <w:sz w:val="24"/>
          <w:szCs w:val="24"/>
          <w:lang w:val="en-US" w:eastAsia="zh-CN" w:bidi="ar"/>
        </w:rPr>
        <w:t xml:space="preserve"> 土壤环境影响评价自查表</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2103"/>
        <w:gridCol w:w="1170"/>
        <w:gridCol w:w="66"/>
        <w:gridCol w:w="1308"/>
        <w:gridCol w:w="417"/>
        <w:gridCol w:w="715"/>
        <w:gridCol w:w="1402"/>
        <w:gridCol w:w="664"/>
      </w:tblGrid>
      <w:tr w14:paraId="6D67E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88" w:type="dxa"/>
            <w:gridSpan w:val="2"/>
            <w:noWrap w:val="0"/>
            <w:vAlign w:val="center"/>
          </w:tcPr>
          <w:p w14:paraId="71E1A172">
            <w:pPr>
              <w:pStyle w:val="255"/>
              <w:widowControl w:val="0"/>
              <w:jc w:val="center"/>
              <w:rPr>
                <w:sz w:val="18"/>
                <w:szCs w:val="18"/>
                <w:vertAlign w:val="baseline"/>
                <w:lang w:val="en-US" w:eastAsia="zh-CN"/>
              </w:rPr>
            </w:pPr>
            <w:r>
              <w:rPr>
                <w:rFonts w:hint="eastAsia"/>
                <w:sz w:val="18"/>
                <w:szCs w:val="18"/>
                <w:vertAlign w:val="baseline"/>
                <w:lang w:val="en-US" w:eastAsia="zh-CN"/>
              </w:rPr>
              <w:t>工作内容</w:t>
            </w:r>
          </w:p>
        </w:tc>
        <w:tc>
          <w:tcPr>
            <w:tcW w:w="5190" w:type="dxa"/>
            <w:gridSpan w:val="6"/>
            <w:noWrap w:val="0"/>
            <w:vAlign w:val="center"/>
          </w:tcPr>
          <w:p w14:paraId="13AA3BD3">
            <w:pPr>
              <w:pStyle w:val="255"/>
              <w:widowControl w:val="0"/>
              <w:jc w:val="center"/>
              <w:rPr>
                <w:sz w:val="18"/>
                <w:szCs w:val="18"/>
                <w:vertAlign w:val="baseline"/>
                <w:lang w:val="en-US" w:eastAsia="zh-CN"/>
              </w:rPr>
            </w:pPr>
            <w:r>
              <w:rPr>
                <w:rFonts w:hint="eastAsia"/>
                <w:sz w:val="18"/>
                <w:szCs w:val="18"/>
                <w:vertAlign w:val="baseline"/>
                <w:lang w:val="en-US" w:eastAsia="zh-CN"/>
              </w:rPr>
              <w:t>完成情况</w:t>
            </w:r>
          </w:p>
        </w:tc>
        <w:tc>
          <w:tcPr>
            <w:tcW w:w="678" w:type="dxa"/>
            <w:noWrap w:val="0"/>
            <w:vAlign w:val="center"/>
          </w:tcPr>
          <w:p w14:paraId="4A4972C7">
            <w:pPr>
              <w:pStyle w:val="255"/>
              <w:widowControl w:val="0"/>
              <w:ind w:left="0" w:firstLine="0"/>
              <w:jc w:val="both"/>
              <w:rPr>
                <w:sz w:val="18"/>
                <w:szCs w:val="18"/>
                <w:vertAlign w:val="baseline"/>
                <w:lang w:val="en-US" w:eastAsia="zh-CN"/>
              </w:rPr>
            </w:pPr>
            <w:r>
              <w:rPr>
                <w:rFonts w:hint="eastAsia"/>
                <w:sz w:val="18"/>
                <w:szCs w:val="18"/>
                <w:vertAlign w:val="baseline"/>
                <w:lang w:val="en-US" w:eastAsia="zh-CN"/>
              </w:rPr>
              <w:t>备注</w:t>
            </w:r>
          </w:p>
        </w:tc>
      </w:tr>
      <w:tr w14:paraId="74694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restart"/>
            <w:noWrap w:val="0"/>
            <w:vAlign w:val="center"/>
          </w:tcPr>
          <w:p w14:paraId="21457F41">
            <w:pPr>
              <w:pStyle w:val="255"/>
              <w:widowControl w:val="0"/>
              <w:ind w:left="0" w:firstLine="0"/>
              <w:jc w:val="center"/>
              <w:rPr>
                <w:rFonts w:hint="eastAsia"/>
                <w:sz w:val="18"/>
                <w:szCs w:val="18"/>
                <w:vertAlign w:val="baseline"/>
                <w:lang w:val="en-US" w:eastAsia="zh-CN"/>
              </w:rPr>
            </w:pPr>
            <w:r>
              <w:rPr>
                <w:rFonts w:hint="eastAsia"/>
                <w:sz w:val="18"/>
                <w:szCs w:val="18"/>
                <w:vertAlign w:val="baseline"/>
                <w:lang w:val="en-US" w:eastAsia="zh-CN"/>
              </w:rPr>
              <w:t>影响</w:t>
            </w:r>
          </w:p>
          <w:p w14:paraId="305A2572">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识别</w:t>
            </w:r>
          </w:p>
        </w:tc>
        <w:tc>
          <w:tcPr>
            <w:tcW w:w="2175" w:type="dxa"/>
            <w:noWrap w:val="0"/>
            <w:vAlign w:val="center"/>
          </w:tcPr>
          <w:p w14:paraId="2E581291">
            <w:pPr>
              <w:pStyle w:val="255"/>
              <w:widowControl w:val="0"/>
              <w:jc w:val="center"/>
              <w:rPr>
                <w:sz w:val="18"/>
                <w:szCs w:val="18"/>
                <w:vertAlign w:val="baseline"/>
                <w:lang w:val="en-US" w:eastAsia="zh-CN"/>
              </w:rPr>
            </w:pPr>
            <w:r>
              <w:rPr>
                <w:rFonts w:hint="eastAsia"/>
                <w:sz w:val="18"/>
                <w:szCs w:val="18"/>
                <w:vertAlign w:val="baseline"/>
                <w:lang w:val="en-US" w:eastAsia="zh-CN"/>
              </w:rPr>
              <w:t>影响类型</w:t>
            </w:r>
          </w:p>
        </w:tc>
        <w:tc>
          <w:tcPr>
            <w:tcW w:w="5190" w:type="dxa"/>
            <w:gridSpan w:val="6"/>
            <w:noWrap w:val="0"/>
            <w:vAlign w:val="center"/>
          </w:tcPr>
          <w:p w14:paraId="430B5917">
            <w:pPr>
              <w:pStyle w:val="255"/>
              <w:widowControl w:val="0"/>
              <w:jc w:val="both"/>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污染影响型</w:t>
            </w:r>
            <w:r>
              <w:rPr>
                <w:rFonts w:ascii="Wingdings 2" w:hAnsi="Wingdings 2" w:eastAsia="Wingdings 2" w:cs="Wingdings 2"/>
                <w:color w:val="000000"/>
                <w:sz w:val="18"/>
                <w:szCs w:val="18"/>
              </w:rPr>
              <w:t>R</w:t>
            </w:r>
            <w:r>
              <w:rPr>
                <w:rFonts w:ascii="Times New Roman" w:hAnsi="Times New Roman" w:eastAsia="宋体" w:cs="Times New Roman"/>
                <w:sz w:val="18"/>
                <w:szCs w:val="18"/>
                <w:vertAlign w:val="baseline"/>
                <w:lang w:val="en-US" w:eastAsia="zh-CN"/>
              </w:rPr>
              <w:t xml:space="preserve"> ； 生态影响型</w:t>
            </w:r>
            <w:r>
              <w:rPr>
                <w:rFonts w:ascii="Wingdings 2" w:hAnsi="Wingdings 2" w:eastAsia="Wingdings 2" w:cs="Wingdings 2"/>
                <w:color w:val="000000"/>
                <w:sz w:val="18"/>
                <w:szCs w:val="18"/>
              </w:rPr>
              <w:t>£</w:t>
            </w:r>
            <w:r>
              <w:rPr>
                <w:rFonts w:ascii="Times New Roman" w:hAnsi="Times New Roman" w:eastAsia="宋体" w:cs="Times New Roman"/>
                <w:sz w:val="18"/>
                <w:szCs w:val="18"/>
                <w:vertAlign w:val="baseline"/>
                <w:lang w:val="en-US" w:eastAsia="zh-CN"/>
              </w:rPr>
              <w:t xml:space="preserve">  ；两种兼有</w:t>
            </w:r>
            <w:r>
              <w:rPr>
                <w:rFonts w:ascii="Wingdings 2" w:hAnsi="Wingdings 2" w:eastAsia="Wingdings 2" w:cs="Wingdings 2"/>
                <w:color w:val="000000"/>
                <w:sz w:val="18"/>
                <w:szCs w:val="18"/>
              </w:rPr>
              <w:t>£</w:t>
            </w:r>
          </w:p>
        </w:tc>
        <w:tc>
          <w:tcPr>
            <w:tcW w:w="678" w:type="dxa"/>
            <w:noWrap w:val="0"/>
            <w:vAlign w:val="center"/>
          </w:tcPr>
          <w:p w14:paraId="619C8D8B">
            <w:pPr>
              <w:pStyle w:val="255"/>
              <w:widowControl w:val="0"/>
              <w:jc w:val="center"/>
              <w:rPr>
                <w:sz w:val="18"/>
                <w:szCs w:val="18"/>
                <w:vertAlign w:val="baseline"/>
                <w:lang w:val="en-US" w:eastAsia="zh-CN"/>
              </w:rPr>
            </w:pPr>
          </w:p>
        </w:tc>
      </w:tr>
      <w:tr w14:paraId="3F81F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3E68D208">
            <w:pPr>
              <w:pStyle w:val="255"/>
              <w:widowControl w:val="0"/>
              <w:jc w:val="center"/>
              <w:rPr>
                <w:sz w:val="18"/>
                <w:szCs w:val="18"/>
                <w:vertAlign w:val="baseline"/>
                <w:lang w:val="en-US" w:eastAsia="zh-CN"/>
              </w:rPr>
            </w:pPr>
          </w:p>
        </w:tc>
        <w:tc>
          <w:tcPr>
            <w:tcW w:w="2175" w:type="dxa"/>
            <w:noWrap w:val="0"/>
            <w:vAlign w:val="center"/>
          </w:tcPr>
          <w:p w14:paraId="0B37F1A8">
            <w:pPr>
              <w:pStyle w:val="255"/>
              <w:widowControl w:val="0"/>
              <w:jc w:val="center"/>
              <w:rPr>
                <w:sz w:val="18"/>
                <w:szCs w:val="18"/>
                <w:vertAlign w:val="baseline"/>
                <w:lang w:val="en-US" w:eastAsia="zh-CN"/>
              </w:rPr>
            </w:pPr>
            <w:r>
              <w:rPr>
                <w:rFonts w:hint="eastAsia"/>
                <w:sz w:val="18"/>
                <w:szCs w:val="18"/>
                <w:vertAlign w:val="baseline"/>
                <w:lang w:val="en-US" w:eastAsia="zh-CN"/>
              </w:rPr>
              <w:t>土地利用类型</w:t>
            </w:r>
          </w:p>
        </w:tc>
        <w:tc>
          <w:tcPr>
            <w:tcW w:w="5190" w:type="dxa"/>
            <w:gridSpan w:val="6"/>
            <w:noWrap w:val="0"/>
            <w:vAlign w:val="center"/>
          </w:tcPr>
          <w:p w14:paraId="1C80603A">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建设用地</w:t>
            </w:r>
            <w:r>
              <w:rPr>
                <w:rFonts w:ascii="Wingdings 2" w:hAnsi="Wingdings 2" w:eastAsia="Wingdings 2" w:cs="Wingdings 2"/>
                <w:color w:val="000000"/>
                <w:sz w:val="18"/>
                <w:szCs w:val="18"/>
              </w:rPr>
              <w:t>R</w:t>
            </w:r>
            <w:r>
              <w:rPr>
                <w:rFonts w:ascii="Times New Roman" w:hAnsi="Times New Roman" w:eastAsia="宋体" w:cs="Times New Roman"/>
                <w:sz w:val="18"/>
                <w:szCs w:val="18"/>
                <w:vertAlign w:val="baseline"/>
                <w:lang w:val="en-US" w:eastAsia="zh-CN"/>
              </w:rPr>
              <w:t>； 农用地</w:t>
            </w:r>
            <w:r>
              <w:rPr>
                <w:rFonts w:ascii="Wingdings 2" w:hAnsi="Wingdings 2" w:eastAsia="Wingdings 2" w:cs="Wingdings 2"/>
                <w:color w:val="000000"/>
                <w:sz w:val="18"/>
                <w:szCs w:val="18"/>
              </w:rPr>
              <w:t>£</w:t>
            </w:r>
            <w:r>
              <w:rPr>
                <w:rFonts w:ascii="Times New Roman" w:hAnsi="Times New Roman" w:eastAsia="宋体" w:cs="Times New Roman"/>
                <w:sz w:val="18"/>
                <w:szCs w:val="18"/>
                <w:vertAlign w:val="baseline"/>
                <w:lang w:val="en-US" w:eastAsia="zh-CN"/>
              </w:rPr>
              <w:t>；未利用地</w:t>
            </w:r>
            <w:r>
              <w:rPr>
                <w:rFonts w:ascii="Wingdings 2" w:hAnsi="Wingdings 2" w:eastAsia="Wingdings 2" w:cs="Wingdings 2"/>
                <w:color w:val="000000"/>
                <w:sz w:val="18"/>
                <w:szCs w:val="18"/>
              </w:rPr>
              <w:t>£</w:t>
            </w:r>
          </w:p>
        </w:tc>
        <w:tc>
          <w:tcPr>
            <w:tcW w:w="678" w:type="dxa"/>
            <w:noWrap w:val="0"/>
            <w:vAlign w:val="center"/>
          </w:tcPr>
          <w:p w14:paraId="45D7E8A2">
            <w:pPr>
              <w:pStyle w:val="255"/>
              <w:widowControl w:val="0"/>
              <w:jc w:val="center"/>
              <w:rPr>
                <w:sz w:val="18"/>
                <w:szCs w:val="18"/>
                <w:vertAlign w:val="baseline"/>
                <w:lang w:val="en-US" w:eastAsia="zh-CN"/>
              </w:rPr>
            </w:pPr>
          </w:p>
        </w:tc>
      </w:tr>
      <w:tr w14:paraId="3187F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2E5FABB1">
            <w:pPr>
              <w:pStyle w:val="255"/>
              <w:widowControl w:val="0"/>
              <w:jc w:val="center"/>
              <w:rPr>
                <w:sz w:val="18"/>
                <w:szCs w:val="18"/>
                <w:vertAlign w:val="baseline"/>
                <w:lang w:val="en-US" w:eastAsia="zh-CN"/>
              </w:rPr>
            </w:pPr>
          </w:p>
        </w:tc>
        <w:tc>
          <w:tcPr>
            <w:tcW w:w="2175" w:type="dxa"/>
            <w:noWrap w:val="0"/>
            <w:vAlign w:val="center"/>
          </w:tcPr>
          <w:p w14:paraId="1E20184B">
            <w:pPr>
              <w:pStyle w:val="255"/>
              <w:widowControl w:val="0"/>
              <w:jc w:val="center"/>
              <w:rPr>
                <w:sz w:val="18"/>
                <w:szCs w:val="18"/>
                <w:vertAlign w:val="baseline"/>
                <w:lang w:val="en-US" w:eastAsia="zh-CN"/>
              </w:rPr>
            </w:pPr>
            <w:r>
              <w:rPr>
                <w:rFonts w:hint="eastAsia"/>
                <w:sz w:val="18"/>
                <w:szCs w:val="18"/>
                <w:vertAlign w:val="baseline"/>
                <w:lang w:val="en-US" w:eastAsia="zh-CN"/>
              </w:rPr>
              <w:t>占地规模</w:t>
            </w:r>
          </w:p>
        </w:tc>
        <w:tc>
          <w:tcPr>
            <w:tcW w:w="5190" w:type="dxa"/>
            <w:gridSpan w:val="6"/>
            <w:noWrap w:val="0"/>
            <w:vAlign w:val="center"/>
          </w:tcPr>
          <w:p w14:paraId="20873C90">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（7.70426）hm</w:t>
            </w:r>
            <w:r>
              <w:rPr>
                <w:rFonts w:ascii="Times New Roman" w:hAnsi="Times New Roman" w:eastAsia="宋体" w:cs="Times New Roman"/>
                <w:sz w:val="18"/>
                <w:szCs w:val="18"/>
                <w:vertAlign w:val="superscript"/>
                <w:lang w:val="en-US" w:eastAsia="zh-CN"/>
              </w:rPr>
              <w:t>2</w:t>
            </w:r>
          </w:p>
        </w:tc>
        <w:tc>
          <w:tcPr>
            <w:tcW w:w="678" w:type="dxa"/>
            <w:noWrap w:val="0"/>
            <w:vAlign w:val="center"/>
          </w:tcPr>
          <w:p w14:paraId="2261F007">
            <w:pPr>
              <w:pStyle w:val="255"/>
              <w:widowControl w:val="0"/>
              <w:jc w:val="center"/>
              <w:rPr>
                <w:sz w:val="18"/>
                <w:szCs w:val="18"/>
                <w:vertAlign w:val="baseline"/>
                <w:lang w:val="en-US" w:eastAsia="zh-CN"/>
              </w:rPr>
            </w:pPr>
          </w:p>
        </w:tc>
      </w:tr>
      <w:tr w14:paraId="22FCD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49B97036">
            <w:pPr>
              <w:pStyle w:val="255"/>
              <w:widowControl w:val="0"/>
              <w:jc w:val="center"/>
              <w:rPr>
                <w:sz w:val="18"/>
                <w:szCs w:val="18"/>
                <w:vertAlign w:val="baseline"/>
                <w:lang w:val="en-US" w:eastAsia="zh-CN"/>
              </w:rPr>
            </w:pPr>
          </w:p>
        </w:tc>
        <w:tc>
          <w:tcPr>
            <w:tcW w:w="2175" w:type="dxa"/>
            <w:noWrap w:val="0"/>
            <w:vAlign w:val="center"/>
          </w:tcPr>
          <w:p w14:paraId="55582B5D">
            <w:pPr>
              <w:pStyle w:val="255"/>
              <w:widowControl w:val="0"/>
              <w:jc w:val="center"/>
              <w:rPr>
                <w:sz w:val="18"/>
                <w:szCs w:val="18"/>
                <w:vertAlign w:val="baseline"/>
                <w:lang w:val="en-US" w:eastAsia="zh-CN"/>
              </w:rPr>
            </w:pPr>
            <w:r>
              <w:rPr>
                <w:rFonts w:hint="eastAsia"/>
                <w:sz w:val="18"/>
                <w:szCs w:val="18"/>
                <w:vertAlign w:val="baseline"/>
                <w:lang w:val="en-US" w:eastAsia="zh-CN"/>
              </w:rPr>
              <w:t>敏感目标信息</w:t>
            </w:r>
          </w:p>
        </w:tc>
        <w:tc>
          <w:tcPr>
            <w:tcW w:w="5190" w:type="dxa"/>
            <w:gridSpan w:val="6"/>
            <w:noWrap w:val="0"/>
            <w:vAlign w:val="center"/>
          </w:tcPr>
          <w:p w14:paraId="0FDCFD79">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敏感目标（无）、方位（）、距离（）</w:t>
            </w:r>
          </w:p>
        </w:tc>
        <w:tc>
          <w:tcPr>
            <w:tcW w:w="678" w:type="dxa"/>
            <w:noWrap w:val="0"/>
            <w:vAlign w:val="center"/>
          </w:tcPr>
          <w:p w14:paraId="06DB6D18">
            <w:pPr>
              <w:pStyle w:val="255"/>
              <w:widowControl w:val="0"/>
              <w:jc w:val="center"/>
              <w:rPr>
                <w:sz w:val="18"/>
                <w:szCs w:val="18"/>
                <w:vertAlign w:val="baseline"/>
                <w:lang w:val="en-US" w:eastAsia="zh-CN"/>
              </w:rPr>
            </w:pPr>
          </w:p>
        </w:tc>
      </w:tr>
      <w:tr w14:paraId="4A47E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0DB8BC66">
            <w:pPr>
              <w:pStyle w:val="255"/>
              <w:widowControl w:val="0"/>
              <w:jc w:val="center"/>
              <w:rPr>
                <w:sz w:val="18"/>
                <w:szCs w:val="18"/>
                <w:vertAlign w:val="baseline"/>
                <w:lang w:val="en-US" w:eastAsia="zh-CN"/>
              </w:rPr>
            </w:pPr>
          </w:p>
        </w:tc>
        <w:tc>
          <w:tcPr>
            <w:tcW w:w="2175" w:type="dxa"/>
            <w:noWrap w:val="0"/>
            <w:vAlign w:val="center"/>
          </w:tcPr>
          <w:p w14:paraId="108C8E0A">
            <w:pPr>
              <w:pStyle w:val="255"/>
              <w:widowControl w:val="0"/>
              <w:jc w:val="center"/>
              <w:rPr>
                <w:sz w:val="18"/>
                <w:szCs w:val="18"/>
                <w:vertAlign w:val="baseline"/>
                <w:lang w:val="en-US" w:eastAsia="zh-CN"/>
              </w:rPr>
            </w:pPr>
            <w:r>
              <w:rPr>
                <w:rFonts w:hint="eastAsia"/>
                <w:sz w:val="18"/>
                <w:szCs w:val="18"/>
                <w:vertAlign w:val="baseline"/>
                <w:lang w:val="en-US" w:eastAsia="zh-CN"/>
              </w:rPr>
              <w:t>影响途径</w:t>
            </w:r>
          </w:p>
        </w:tc>
        <w:tc>
          <w:tcPr>
            <w:tcW w:w="5190" w:type="dxa"/>
            <w:gridSpan w:val="6"/>
            <w:noWrap w:val="0"/>
            <w:vAlign w:val="center"/>
          </w:tcPr>
          <w:p w14:paraId="45150054">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大气沉降</w:t>
            </w:r>
            <w:r>
              <w:rPr>
                <w:rFonts w:ascii="Wingdings 2" w:hAnsi="Wingdings 2" w:eastAsia="Wingdings 2" w:cs="Wingdings 2"/>
                <w:color w:val="000000"/>
                <w:sz w:val="18"/>
                <w:szCs w:val="18"/>
              </w:rPr>
              <w:t>R</w:t>
            </w:r>
            <w:r>
              <w:rPr>
                <w:rFonts w:ascii="Times New Roman" w:hAnsi="Times New Roman" w:eastAsia="宋体" w:cs="Times New Roman"/>
                <w:sz w:val="18"/>
                <w:szCs w:val="18"/>
                <w:vertAlign w:val="baseline"/>
                <w:lang w:val="en-US" w:eastAsia="zh-CN"/>
              </w:rPr>
              <w:t>；地面漫流</w:t>
            </w:r>
            <w:r>
              <w:rPr>
                <w:rFonts w:ascii="Wingdings 2" w:hAnsi="Wingdings 2" w:eastAsia="Wingdings 2" w:cs="Wingdings 2"/>
                <w:color w:val="000000"/>
                <w:sz w:val="18"/>
                <w:szCs w:val="18"/>
              </w:rPr>
              <w:t>£</w:t>
            </w:r>
            <w:r>
              <w:rPr>
                <w:rFonts w:ascii="Times New Roman" w:hAnsi="Times New Roman" w:eastAsia="宋体" w:cs="Times New Roman"/>
                <w:sz w:val="18"/>
                <w:szCs w:val="18"/>
                <w:vertAlign w:val="baseline"/>
                <w:lang w:val="en-US" w:eastAsia="zh-CN"/>
              </w:rPr>
              <w:t>；垂直入渗</w:t>
            </w:r>
            <w:r>
              <w:rPr>
                <w:rFonts w:ascii="Wingdings 2" w:hAnsi="Wingdings 2" w:eastAsia="Wingdings 2" w:cs="Wingdings 2"/>
                <w:color w:val="000000"/>
                <w:sz w:val="18"/>
                <w:szCs w:val="18"/>
              </w:rPr>
              <w:t>R</w:t>
            </w:r>
            <w:r>
              <w:rPr>
                <w:rFonts w:ascii="Times New Roman" w:hAnsi="Times New Roman" w:eastAsia="宋体" w:cs="Times New Roman"/>
                <w:sz w:val="18"/>
                <w:szCs w:val="18"/>
                <w:vertAlign w:val="baseline"/>
                <w:lang w:val="en-US" w:eastAsia="zh-CN"/>
              </w:rPr>
              <w:t>；地下水位</w:t>
            </w:r>
            <w:r>
              <w:rPr>
                <w:rFonts w:ascii="Wingdings 2" w:hAnsi="Wingdings 2" w:eastAsia="Wingdings 2" w:cs="Wingdings 2"/>
                <w:color w:val="000000"/>
                <w:sz w:val="18"/>
                <w:szCs w:val="18"/>
              </w:rPr>
              <w:t>£</w:t>
            </w:r>
            <w:r>
              <w:rPr>
                <w:rFonts w:ascii="Times New Roman" w:hAnsi="Times New Roman" w:eastAsia="宋体" w:cs="Times New Roman"/>
                <w:sz w:val="18"/>
                <w:szCs w:val="18"/>
                <w:vertAlign w:val="baseline"/>
                <w:lang w:val="en-US" w:eastAsia="zh-CN"/>
              </w:rPr>
              <w:t>；其他（）</w:t>
            </w:r>
          </w:p>
        </w:tc>
        <w:tc>
          <w:tcPr>
            <w:tcW w:w="678" w:type="dxa"/>
            <w:noWrap w:val="0"/>
            <w:vAlign w:val="center"/>
          </w:tcPr>
          <w:p w14:paraId="1645D6B4">
            <w:pPr>
              <w:pStyle w:val="255"/>
              <w:widowControl w:val="0"/>
              <w:jc w:val="center"/>
              <w:rPr>
                <w:sz w:val="18"/>
                <w:szCs w:val="18"/>
                <w:vertAlign w:val="baseline"/>
                <w:lang w:val="en-US" w:eastAsia="zh-CN"/>
              </w:rPr>
            </w:pPr>
          </w:p>
        </w:tc>
      </w:tr>
      <w:tr w14:paraId="467BA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76A0C7BB">
            <w:pPr>
              <w:pStyle w:val="255"/>
              <w:widowControl w:val="0"/>
              <w:jc w:val="center"/>
              <w:rPr>
                <w:sz w:val="18"/>
                <w:szCs w:val="18"/>
                <w:vertAlign w:val="baseline"/>
                <w:lang w:val="en-US" w:eastAsia="zh-CN"/>
              </w:rPr>
            </w:pPr>
          </w:p>
        </w:tc>
        <w:tc>
          <w:tcPr>
            <w:tcW w:w="2175" w:type="dxa"/>
            <w:noWrap w:val="0"/>
            <w:vAlign w:val="center"/>
          </w:tcPr>
          <w:p w14:paraId="0D814D7D">
            <w:pPr>
              <w:pStyle w:val="255"/>
              <w:widowControl w:val="0"/>
              <w:jc w:val="center"/>
              <w:rPr>
                <w:sz w:val="18"/>
                <w:szCs w:val="18"/>
                <w:vertAlign w:val="baseline"/>
                <w:lang w:val="en-US" w:eastAsia="zh-CN"/>
              </w:rPr>
            </w:pPr>
            <w:r>
              <w:rPr>
                <w:rFonts w:hint="eastAsia"/>
                <w:sz w:val="18"/>
                <w:szCs w:val="18"/>
                <w:vertAlign w:val="baseline"/>
                <w:lang w:val="en-US" w:eastAsia="zh-CN"/>
              </w:rPr>
              <w:t>全部污染物</w:t>
            </w:r>
          </w:p>
        </w:tc>
        <w:tc>
          <w:tcPr>
            <w:tcW w:w="5190" w:type="dxa"/>
            <w:gridSpan w:val="6"/>
            <w:noWrap w:val="0"/>
            <w:vAlign w:val="center"/>
          </w:tcPr>
          <w:p w14:paraId="6E44BF33">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甲醛、酚类、颗粒物、SO</w:t>
            </w:r>
            <w:r>
              <w:rPr>
                <w:rFonts w:ascii="Times New Roman" w:hAnsi="Times New Roman" w:eastAsia="宋体" w:cs="Times New Roman"/>
                <w:sz w:val="18"/>
                <w:szCs w:val="18"/>
                <w:vertAlign w:val="subscript"/>
                <w:lang w:val="en-US" w:eastAsia="zh-CN"/>
              </w:rPr>
              <w:t>2</w:t>
            </w:r>
            <w:r>
              <w:rPr>
                <w:rFonts w:ascii="Times New Roman" w:hAnsi="Times New Roman" w:eastAsia="宋体" w:cs="Times New Roman"/>
                <w:sz w:val="18"/>
                <w:szCs w:val="18"/>
                <w:vertAlign w:val="baseline"/>
                <w:lang w:val="en-US" w:eastAsia="zh-CN"/>
              </w:rPr>
              <w:t>、NO</w:t>
            </w:r>
            <w:r>
              <w:rPr>
                <w:rFonts w:ascii="Times New Roman" w:hAnsi="Times New Roman" w:eastAsia="宋体" w:cs="Times New Roman"/>
                <w:sz w:val="18"/>
                <w:szCs w:val="18"/>
                <w:vertAlign w:val="subscript"/>
                <w:lang w:val="en-US" w:eastAsia="zh-CN"/>
              </w:rPr>
              <w:t>X</w:t>
            </w:r>
            <w:r>
              <w:rPr>
                <w:rFonts w:ascii="Times New Roman" w:hAnsi="Times New Roman" w:eastAsia="宋体" w:cs="Times New Roman"/>
                <w:sz w:val="18"/>
                <w:szCs w:val="18"/>
                <w:vertAlign w:val="baseline"/>
                <w:lang w:val="en-US" w:eastAsia="zh-CN"/>
              </w:rPr>
              <w:t>、非甲烷总烃、氨气、COD、BOD</w:t>
            </w:r>
            <w:r>
              <w:rPr>
                <w:rFonts w:ascii="Times New Roman" w:hAnsi="Times New Roman" w:eastAsia="宋体" w:cs="Times New Roman"/>
                <w:sz w:val="18"/>
                <w:szCs w:val="18"/>
                <w:vertAlign w:val="subscript"/>
                <w:lang w:val="en-US" w:eastAsia="zh-CN"/>
              </w:rPr>
              <w:t>5</w:t>
            </w:r>
            <w:r>
              <w:rPr>
                <w:rFonts w:ascii="Times New Roman" w:hAnsi="Times New Roman" w:eastAsia="宋体" w:cs="Times New Roman"/>
                <w:sz w:val="18"/>
                <w:szCs w:val="18"/>
                <w:vertAlign w:val="baseline"/>
                <w:lang w:val="en-US" w:eastAsia="zh-CN"/>
              </w:rPr>
              <w:t>、NH</w:t>
            </w:r>
            <w:r>
              <w:rPr>
                <w:rFonts w:ascii="Times New Roman" w:hAnsi="Times New Roman" w:eastAsia="宋体" w:cs="Times New Roman"/>
                <w:sz w:val="18"/>
                <w:szCs w:val="18"/>
                <w:vertAlign w:val="subscript"/>
                <w:lang w:val="en-US" w:eastAsia="zh-CN"/>
              </w:rPr>
              <w:t>3</w:t>
            </w:r>
            <w:r>
              <w:rPr>
                <w:rFonts w:ascii="Times New Roman" w:hAnsi="Times New Roman" w:eastAsia="宋体" w:cs="Times New Roman"/>
                <w:sz w:val="18"/>
                <w:szCs w:val="18"/>
                <w:vertAlign w:val="baseline"/>
                <w:lang w:val="en-US" w:eastAsia="zh-CN"/>
              </w:rPr>
              <w:t>-N</w:t>
            </w:r>
          </w:p>
        </w:tc>
        <w:tc>
          <w:tcPr>
            <w:tcW w:w="678" w:type="dxa"/>
            <w:noWrap w:val="0"/>
            <w:vAlign w:val="center"/>
          </w:tcPr>
          <w:p w14:paraId="7912454D">
            <w:pPr>
              <w:pStyle w:val="255"/>
              <w:widowControl w:val="0"/>
              <w:jc w:val="center"/>
              <w:rPr>
                <w:sz w:val="18"/>
                <w:szCs w:val="18"/>
                <w:vertAlign w:val="baseline"/>
                <w:lang w:val="en-US" w:eastAsia="zh-CN"/>
              </w:rPr>
            </w:pPr>
          </w:p>
        </w:tc>
      </w:tr>
      <w:tr w14:paraId="55CD2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40B0A53A">
            <w:pPr>
              <w:pStyle w:val="255"/>
              <w:widowControl w:val="0"/>
              <w:jc w:val="center"/>
              <w:rPr>
                <w:sz w:val="18"/>
                <w:szCs w:val="18"/>
                <w:vertAlign w:val="baseline"/>
                <w:lang w:val="en-US" w:eastAsia="zh-CN"/>
              </w:rPr>
            </w:pPr>
          </w:p>
        </w:tc>
        <w:tc>
          <w:tcPr>
            <w:tcW w:w="2175" w:type="dxa"/>
            <w:noWrap w:val="0"/>
            <w:vAlign w:val="center"/>
          </w:tcPr>
          <w:p w14:paraId="4F64A8E0">
            <w:pPr>
              <w:pStyle w:val="255"/>
              <w:widowControl w:val="0"/>
              <w:jc w:val="center"/>
              <w:rPr>
                <w:sz w:val="18"/>
                <w:szCs w:val="18"/>
                <w:vertAlign w:val="baseline"/>
                <w:lang w:val="en-US" w:eastAsia="zh-CN"/>
              </w:rPr>
            </w:pPr>
            <w:r>
              <w:rPr>
                <w:rFonts w:hint="eastAsia"/>
                <w:sz w:val="18"/>
                <w:szCs w:val="18"/>
                <w:vertAlign w:val="baseline"/>
                <w:lang w:val="en-US" w:eastAsia="zh-CN"/>
              </w:rPr>
              <w:t>特征因子</w:t>
            </w:r>
          </w:p>
        </w:tc>
        <w:tc>
          <w:tcPr>
            <w:tcW w:w="5190" w:type="dxa"/>
            <w:gridSpan w:val="6"/>
            <w:noWrap w:val="0"/>
            <w:vAlign w:val="center"/>
          </w:tcPr>
          <w:p w14:paraId="444ECCBD">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甲醛</w:t>
            </w:r>
          </w:p>
        </w:tc>
        <w:tc>
          <w:tcPr>
            <w:tcW w:w="678" w:type="dxa"/>
            <w:noWrap w:val="0"/>
            <w:vAlign w:val="center"/>
          </w:tcPr>
          <w:p w14:paraId="16715770">
            <w:pPr>
              <w:pStyle w:val="255"/>
              <w:widowControl w:val="0"/>
              <w:jc w:val="center"/>
              <w:rPr>
                <w:sz w:val="18"/>
                <w:szCs w:val="18"/>
                <w:vertAlign w:val="baseline"/>
                <w:lang w:val="en-US" w:eastAsia="zh-CN"/>
              </w:rPr>
            </w:pPr>
          </w:p>
        </w:tc>
      </w:tr>
      <w:tr w14:paraId="53A33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109802E8">
            <w:pPr>
              <w:pStyle w:val="255"/>
              <w:widowControl w:val="0"/>
              <w:jc w:val="center"/>
              <w:rPr>
                <w:sz w:val="18"/>
                <w:szCs w:val="18"/>
                <w:vertAlign w:val="baseline"/>
                <w:lang w:val="en-US" w:eastAsia="zh-CN"/>
              </w:rPr>
            </w:pPr>
          </w:p>
        </w:tc>
        <w:tc>
          <w:tcPr>
            <w:tcW w:w="2175" w:type="dxa"/>
            <w:noWrap w:val="0"/>
            <w:vAlign w:val="center"/>
          </w:tcPr>
          <w:p w14:paraId="7A42458C">
            <w:pPr>
              <w:pStyle w:val="255"/>
              <w:widowControl w:val="0"/>
              <w:jc w:val="center"/>
              <w:rPr>
                <w:sz w:val="18"/>
                <w:szCs w:val="18"/>
                <w:vertAlign w:val="baseline"/>
                <w:lang w:val="en-US" w:eastAsia="zh-CN"/>
              </w:rPr>
            </w:pPr>
            <w:r>
              <w:rPr>
                <w:rFonts w:hint="eastAsia"/>
                <w:sz w:val="18"/>
                <w:szCs w:val="18"/>
                <w:vertAlign w:val="baseline"/>
                <w:lang w:val="en-US" w:eastAsia="zh-CN"/>
              </w:rPr>
              <w:t>所属土壤环境影响评价项目类别</w:t>
            </w:r>
          </w:p>
        </w:tc>
        <w:tc>
          <w:tcPr>
            <w:tcW w:w="5190" w:type="dxa"/>
            <w:gridSpan w:val="6"/>
            <w:noWrap w:val="0"/>
            <w:vAlign w:val="center"/>
          </w:tcPr>
          <w:p w14:paraId="57477EAA">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sz w:val="18"/>
                <w:szCs w:val="18"/>
                <w:vertAlign w:val="baseline"/>
                <w:lang w:val="en-US" w:eastAsia="zh-CN"/>
              </w:rPr>
              <w:t>Ⅰ类</w:t>
            </w:r>
            <w:r>
              <w:rPr>
                <w:rFonts w:ascii="Wingdings 2" w:hAnsi="Wingdings 2" w:eastAsia="Wingdings 2" w:cs="Wingdings 2"/>
                <w:color w:val="000000"/>
                <w:sz w:val="18"/>
                <w:szCs w:val="18"/>
              </w:rPr>
              <w:t>R</w:t>
            </w:r>
            <w:r>
              <w:rPr>
                <w:rFonts w:ascii="Times New Roman" w:hAnsi="Times New Roman" w:eastAsia="宋体" w:cs="Times New Roman"/>
                <w:sz w:val="18"/>
                <w:szCs w:val="18"/>
                <w:vertAlign w:val="baseline"/>
                <w:lang w:val="en-US" w:eastAsia="zh-CN"/>
              </w:rPr>
              <w:t>；Ⅱ类</w:t>
            </w:r>
            <w:r>
              <w:rPr>
                <w:rFonts w:ascii="Times New Roman" w:hAnsi="Times New Roman" w:eastAsia="宋体" w:cs="Times New Roman"/>
                <w:color w:val="000000"/>
                <w:sz w:val="18"/>
                <w:szCs w:val="18"/>
              </w:rPr>
              <w:t>□</w:t>
            </w:r>
            <w:r>
              <w:rPr>
                <w:rFonts w:ascii="Times New Roman" w:hAnsi="Times New Roman" w:eastAsia="宋体" w:cs="Times New Roman"/>
                <w:sz w:val="18"/>
                <w:szCs w:val="18"/>
                <w:vertAlign w:val="baseline"/>
                <w:lang w:val="en-US" w:eastAsia="zh-CN"/>
              </w:rPr>
              <w:t>；Ⅲ类</w:t>
            </w:r>
            <w:r>
              <w:rPr>
                <w:rFonts w:ascii="Wingdings 2" w:hAnsi="Wingdings 2" w:eastAsia="Wingdings 2" w:cs="Wingdings 2"/>
                <w:color w:val="000000"/>
                <w:sz w:val="18"/>
                <w:szCs w:val="18"/>
              </w:rPr>
              <w:t>£</w:t>
            </w:r>
            <w:r>
              <w:rPr>
                <w:rFonts w:ascii="Times New Roman" w:hAnsi="Times New Roman" w:eastAsia="宋体" w:cs="Times New Roman"/>
                <w:sz w:val="18"/>
                <w:szCs w:val="18"/>
                <w:vertAlign w:val="baseline"/>
                <w:lang w:val="en-US" w:eastAsia="zh-CN"/>
              </w:rPr>
              <w:t>；Ⅳ类</w:t>
            </w:r>
            <w:r>
              <w:rPr>
                <w:rFonts w:ascii="Wingdings 2" w:hAnsi="Wingdings 2" w:eastAsia="Wingdings 2" w:cs="Wingdings 2"/>
                <w:color w:val="000000"/>
                <w:sz w:val="18"/>
                <w:szCs w:val="18"/>
              </w:rPr>
              <w:t>£</w:t>
            </w:r>
          </w:p>
        </w:tc>
        <w:tc>
          <w:tcPr>
            <w:tcW w:w="678" w:type="dxa"/>
            <w:noWrap w:val="0"/>
            <w:vAlign w:val="center"/>
          </w:tcPr>
          <w:p w14:paraId="0B1CDC62">
            <w:pPr>
              <w:pStyle w:val="255"/>
              <w:widowControl w:val="0"/>
              <w:jc w:val="center"/>
              <w:rPr>
                <w:sz w:val="18"/>
                <w:szCs w:val="18"/>
                <w:vertAlign w:val="baseline"/>
                <w:lang w:val="en-US" w:eastAsia="zh-CN"/>
              </w:rPr>
            </w:pPr>
          </w:p>
        </w:tc>
      </w:tr>
      <w:tr w14:paraId="34F8C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659DA4EC">
            <w:pPr>
              <w:pStyle w:val="255"/>
              <w:widowControl w:val="0"/>
              <w:jc w:val="center"/>
              <w:rPr>
                <w:sz w:val="18"/>
                <w:szCs w:val="18"/>
                <w:vertAlign w:val="baseline"/>
                <w:lang w:val="en-US" w:eastAsia="zh-CN"/>
              </w:rPr>
            </w:pPr>
          </w:p>
        </w:tc>
        <w:tc>
          <w:tcPr>
            <w:tcW w:w="2175" w:type="dxa"/>
            <w:noWrap w:val="0"/>
            <w:vAlign w:val="center"/>
          </w:tcPr>
          <w:p w14:paraId="6FCBAF5F">
            <w:pPr>
              <w:pStyle w:val="255"/>
              <w:widowControl w:val="0"/>
              <w:jc w:val="center"/>
              <w:rPr>
                <w:sz w:val="18"/>
                <w:szCs w:val="18"/>
                <w:vertAlign w:val="baseline"/>
                <w:lang w:val="en-US" w:eastAsia="zh-CN"/>
              </w:rPr>
            </w:pPr>
            <w:r>
              <w:rPr>
                <w:rFonts w:hint="eastAsia"/>
                <w:sz w:val="18"/>
                <w:szCs w:val="18"/>
                <w:vertAlign w:val="baseline"/>
                <w:lang w:val="en-US" w:eastAsia="zh-CN"/>
              </w:rPr>
              <w:t>敏感程度</w:t>
            </w:r>
          </w:p>
        </w:tc>
        <w:tc>
          <w:tcPr>
            <w:tcW w:w="5190" w:type="dxa"/>
            <w:gridSpan w:val="6"/>
            <w:noWrap w:val="0"/>
            <w:vAlign w:val="center"/>
          </w:tcPr>
          <w:p w14:paraId="18BBFF6E">
            <w:pPr>
              <w:pStyle w:val="255"/>
              <w:widowControl w:val="0"/>
              <w:jc w:val="center"/>
              <w:rPr>
                <w:rFonts w:ascii="Times New Roman" w:hAnsi="Times New Roman" w:eastAsia="宋体" w:cs="Times New Roman"/>
                <w:sz w:val="18"/>
                <w:szCs w:val="18"/>
                <w:vertAlign w:val="baseline"/>
                <w:lang w:val="en-US" w:eastAsia="zh-CN"/>
              </w:rPr>
            </w:pPr>
            <w:r>
              <w:rPr>
                <w:rFonts w:ascii="Times New Roman" w:hAnsi="Times New Roman" w:eastAsia="宋体" w:cs="Times New Roman"/>
                <w:color w:val="000000"/>
                <w:sz w:val="18"/>
                <w:szCs w:val="18"/>
                <w:lang w:val="en-US" w:eastAsia="zh-CN"/>
              </w:rPr>
              <w:t>敏感</w:t>
            </w:r>
            <w:r>
              <w:rPr>
                <w:rFonts w:ascii="Wingdings 2" w:hAnsi="Wingdings 2" w:eastAsia="Wingdings 2" w:cs="Wingdings 2"/>
                <w:color w:val="000000"/>
                <w:sz w:val="18"/>
                <w:szCs w:val="18"/>
              </w:rPr>
              <w:t>R</w:t>
            </w:r>
            <w:r>
              <w:rPr>
                <w:rFonts w:ascii="Times New Roman" w:hAnsi="Times New Roman" w:eastAsia="宋体" w:cs="Times New Roman"/>
                <w:color w:val="000000"/>
                <w:sz w:val="18"/>
                <w:szCs w:val="18"/>
                <w:lang w:eastAsia="zh-CN"/>
              </w:rPr>
              <w:t>；</w:t>
            </w:r>
            <w:r>
              <w:rPr>
                <w:rFonts w:ascii="Times New Roman" w:hAnsi="Times New Roman" w:eastAsia="宋体" w:cs="Times New Roman"/>
                <w:color w:val="000000"/>
                <w:sz w:val="18"/>
                <w:szCs w:val="18"/>
                <w:lang w:val="en-US" w:eastAsia="zh-CN"/>
              </w:rPr>
              <w:t>较敏感</w:t>
            </w:r>
            <w:r>
              <w:rPr>
                <w:rFonts w:ascii="Wingdings 2" w:hAnsi="Wingdings 2" w:eastAsia="Wingdings 2" w:cs="Wingdings 2"/>
                <w:color w:val="000000"/>
                <w:sz w:val="18"/>
                <w:szCs w:val="18"/>
              </w:rPr>
              <w:t>£</w:t>
            </w:r>
            <w:r>
              <w:rPr>
                <w:rFonts w:ascii="Times New Roman" w:hAnsi="Times New Roman" w:eastAsia="宋体" w:cs="Times New Roman"/>
                <w:color w:val="000000"/>
                <w:sz w:val="18"/>
                <w:szCs w:val="18"/>
                <w:lang w:eastAsia="zh-CN"/>
              </w:rPr>
              <w:t>；</w:t>
            </w:r>
            <w:r>
              <w:rPr>
                <w:rFonts w:ascii="Times New Roman" w:hAnsi="Times New Roman" w:eastAsia="宋体" w:cs="Times New Roman"/>
                <w:color w:val="000000"/>
                <w:sz w:val="18"/>
                <w:szCs w:val="18"/>
                <w:lang w:val="en-US" w:eastAsia="zh-CN"/>
              </w:rPr>
              <w:t>敏感</w:t>
            </w:r>
            <w:r>
              <w:rPr>
                <w:rFonts w:ascii="Wingdings 2" w:hAnsi="Wingdings 2" w:eastAsia="Wingdings 2" w:cs="Wingdings 2"/>
                <w:color w:val="000000"/>
                <w:sz w:val="18"/>
                <w:szCs w:val="18"/>
              </w:rPr>
              <w:t>£</w:t>
            </w:r>
          </w:p>
        </w:tc>
        <w:tc>
          <w:tcPr>
            <w:tcW w:w="678" w:type="dxa"/>
            <w:noWrap w:val="0"/>
            <w:vAlign w:val="center"/>
          </w:tcPr>
          <w:p w14:paraId="0C83F96F">
            <w:pPr>
              <w:pStyle w:val="255"/>
              <w:widowControl w:val="0"/>
              <w:jc w:val="center"/>
              <w:rPr>
                <w:sz w:val="18"/>
                <w:szCs w:val="18"/>
                <w:vertAlign w:val="baseline"/>
                <w:lang w:val="en-US" w:eastAsia="zh-CN"/>
              </w:rPr>
            </w:pPr>
          </w:p>
        </w:tc>
      </w:tr>
      <w:tr w14:paraId="506C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88" w:type="dxa"/>
            <w:gridSpan w:val="2"/>
            <w:noWrap w:val="0"/>
            <w:vAlign w:val="center"/>
          </w:tcPr>
          <w:p w14:paraId="5689BA48">
            <w:pPr>
              <w:pStyle w:val="255"/>
              <w:widowControl w:val="0"/>
              <w:jc w:val="center"/>
              <w:rPr>
                <w:sz w:val="18"/>
                <w:szCs w:val="18"/>
                <w:vertAlign w:val="baseline"/>
                <w:lang w:val="en-US" w:eastAsia="zh-CN"/>
              </w:rPr>
            </w:pPr>
            <w:r>
              <w:rPr>
                <w:rFonts w:hint="eastAsia"/>
                <w:sz w:val="18"/>
                <w:szCs w:val="18"/>
                <w:vertAlign w:val="baseline"/>
                <w:lang w:val="en-US" w:eastAsia="zh-CN"/>
              </w:rPr>
              <w:t>评价工程等级</w:t>
            </w:r>
          </w:p>
        </w:tc>
        <w:tc>
          <w:tcPr>
            <w:tcW w:w="5190" w:type="dxa"/>
            <w:gridSpan w:val="6"/>
            <w:noWrap w:val="0"/>
            <w:vAlign w:val="center"/>
          </w:tcPr>
          <w:p w14:paraId="511D4A50">
            <w:pPr>
              <w:pStyle w:val="255"/>
              <w:widowControl w:val="0"/>
              <w:jc w:val="center"/>
              <w:rPr>
                <w:sz w:val="18"/>
                <w:szCs w:val="18"/>
                <w:vertAlign w:val="baseline"/>
                <w:lang w:val="en-US" w:eastAsia="zh-CN"/>
              </w:rPr>
            </w:pPr>
            <w:r>
              <w:rPr>
                <w:rFonts w:ascii="Times New Roman" w:hAnsi="Times New Roman" w:eastAsia="宋体" w:cs="Times New Roman"/>
                <w:sz w:val="18"/>
                <w:szCs w:val="18"/>
                <w:vertAlign w:val="baseline"/>
                <w:lang w:val="en-US" w:eastAsia="zh-CN"/>
              </w:rPr>
              <w:t>一级</w:t>
            </w:r>
            <w:r>
              <w:rPr>
                <w:rFonts w:ascii="Wingdings 2" w:hAnsi="Wingdings 2" w:eastAsia="Wingdings 2" w:cs="Wingdings 2"/>
                <w:color w:val="000000"/>
                <w:sz w:val="18"/>
                <w:szCs w:val="18"/>
              </w:rPr>
              <w:t>R</w:t>
            </w:r>
            <w:r>
              <w:rPr>
                <w:rFonts w:ascii="Times New Roman" w:hAnsi="Times New Roman" w:eastAsia="宋体" w:cs="Times New Roman"/>
                <w:sz w:val="18"/>
                <w:szCs w:val="18"/>
                <w:vertAlign w:val="baseline"/>
                <w:lang w:val="en-US" w:eastAsia="zh-CN"/>
              </w:rPr>
              <w:t>；二级</w:t>
            </w:r>
            <w:r>
              <w:rPr>
                <w:rFonts w:ascii="Wingdings 2" w:hAnsi="Wingdings 2" w:eastAsia="Wingdings 2" w:cs="Wingdings 2"/>
                <w:color w:val="000000"/>
                <w:sz w:val="18"/>
                <w:szCs w:val="18"/>
              </w:rPr>
              <w:t>£</w:t>
            </w:r>
            <w:r>
              <w:rPr>
                <w:rFonts w:ascii="Times New Roman" w:hAnsi="Times New Roman" w:eastAsia="宋体" w:cs="Times New Roman"/>
                <w:sz w:val="18"/>
                <w:szCs w:val="18"/>
                <w:vertAlign w:val="baseline"/>
                <w:lang w:val="en-US" w:eastAsia="zh-CN"/>
              </w:rPr>
              <w:t>；三级</w:t>
            </w:r>
            <w:r>
              <w:rPr>
                <w:rFonts w:ascii="Wingdings 2" w:hAnsi="Wingdings 2" w:eastAsia="Wingdings 2" w:cs="Wingdings 2"/>
                <w:color w:val="000000"/>
                <w:sz w:val="18"/>
                <w:szCs w:val="18"/>
              </w:rPr>
              <w:t>£</w:t>
            </w:r>
          </w:p>
        </w:tc>
        <w:tc>
          <w:tcPr>
            <w:tcW w:w="678" w:type="dxa"/>
            <w:noWrap w:val="0"/>
            <w:vAlign w:val="center"/>
          </w:tcPr>
          <w:p w14:paraId="655ECE5E">
            <w:pPr>
              <w:pStyle w:val="255"/>
              <w:widowControl w:val="0"/>
              <w:jc w:val="center"/>
              <w:rPr>
                <w:sz w:val="18"/>
                <w:szCs w:val="18"/>
                <w:vertAlign w:val="baseline"/>
                <w:lang w:val="en-US" w:eastAsia="zh-CN"/>
              </w:rPr>
            </w:pPr>
          </w:p>
        </w:tc>
      </w:tr>
      <w:tr w14:paraId="18CD5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restart"/>
            <w:noWrap w:val="0"/>
            <w:vAlign w:val="center"/>
          </w:tcPr>
          <w:p w14:paraId="1E282D9F">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现状调查内容</w:t>
            </w:r>
          </w:p>
        </w:tc>
        <w:tc>
          <w:tcPr>
            <w:tcW w:w="2175" w:type="dxa"/>
            <w:noWrap w:val="0"/>
            <w:vAlign w:val="center"/>
          </w:tcPr>
          <w:p w14:paraId="143462E0">
            <w:pPr>
              <w:pStyle w:val="255"/>
              <w:widowControl w:val="0"/>
              <w:jc w:val="center"/>
              <w:rPr>
                <w:sz w:val="18"/>
                <w:szCs w:val="18"/>
                <w:vertAlign w:val="baseline"/>
                <w:lang w:val="en-US" w:eastAsia="zh-CN"/>
              </w:rPr>
            </w:pPr>
            <w:r>
              <w:rPr>
                <w:rFonts w:hint="eastAsia"/>
                <w:sz w:val="18"/>
                <w:szCs w:val="18"/>
                <w:vertAlign w:val="baseline"/>
                <w:lang w:val="en-US" w:eastAsia="zh-CN"/>
              </w:rPr>
              <w:t>资料收集</w:t>
            </w:r>
          </w:p>
        </w:tc>
        <w:tc>
          <w:tcPr>
            <w:tcW w:w="5190" w:type="dxa"/>
            <w:gridSpan w:val="6"/>
            <w:noWrap w:val="0"/>
            <w:vAlign w:val="center"/>
          </w:tcPr>
          <w:p w14:paraId="7E6B4208">
            <w:pPr>
              <w:pStyle w:val="255"/>
              <w:widowControl w:val="0"/>
              <w:numPr>
                <w:ilvl w:val="0"/>
                <w:numId w:val="10"/>
              </w:numPr>
              <w:ind w:left="90" w:firstLine="0"/>
              <w:jc w:val="both"/>
              <w:rPr>
                <w:sz w:val="18"/>
                <w:szCs w:val="18"/>
                <w:vertAlign w:val="baseline"/>
                <w:lang w:val="en-US" w:eastAsia="zh-CN"/>
              </w:rPr>
            </w:pPr>
            <w:r>
              <w:rPr>
                <w:rFonts w:ascii="Wingdings 2" w:hAnsi="Wingdings 2" w:eastAsia="Wingdings 2" w:cs="Wingdings 2"/>
                <w:color w:val="000000"/>
                <w:sz w:val="18"/>
                <w:szCs w:val="18"/>
              </w:rPr>
              <w:t>R</w:t>
            </w:r>
            <w:r>
              <w:rPr>
                <w:rFonts w:hint="eastAsia" w:ascii="Times New Roman" w:hAnsi="Times New Roman" w:eastAsia="宋体" w:cs="Times New Roman"/>
                <w:color w:val="000000"/>
                <w:sz w:val="18"/>
                <w:szCs w:val="18"/>
                <w:lang w:eastAsia="zh-CN"/>
              </w:rPr>
              <w:t>；</w:t>
            </w:r>
            <w:r>
              <w:rPr>
                <w:rFonts w:hint="eastAsia"/>
                <w:sz w:val="18"/>
                <w:szCs w:val="18"/>
                <w:vertAlign w:val="baseline"/>
                <w:lang w:val="en-US" w:eastAsia="zh-CN"/>
              </w:rPr>
              <w:t xml:space="preserve"> b）</w:t>
            </w:r>
            <w:r>
              <w:rPr>
                <w:rFonts w:ascii="Wingdings 2" w:hAnsi="Wingdings 2" w:eastAsia="Wingdings 2" w:cs="Wingdings 2"/>
                <w:color w:val="000000"/>
                <w:sz w:val="18"/>
                <w:szCs w:val="18"/>
              </w:rPr>
              <w:t>£</w:t>
            </w:r>
            <w:r>
              <w:rPr>
                <w:rFonts w:hint="eastAsia" w:ascii="Times New Roman" w:hAnsi="Times New Roman" w:eastAsia="宋体" w:cs="Times New Roman"/>
                <w:color w:val="000000"/>
                <w:sz w:val="18"/>
                <w:szCs w:val="18"/>
                <w:lang w:eastAsia="zh-CN"/>
              </w:rPr>
              <w:t>；</w:t>
            </w:r>
            <w:r>
              <w:rPr>
                <w:rFonts w:hint="eastAsia"/>
                <w:sz w:val="18"/>
                <w:szCs w:val="18"/>
                <w:vertAlign w:val="baseline"/>
                <w:lang w:val="en-US" w:eastAsia="zh-CN"/>
              </w:rPr>
              <w:t>c）</w:t>
            </w:r>
            <w:r>
              <w:rPr>
                <w:rFonts w:ascii="Wingdings 2" w:hAnsi="Wingdings 2" w:eastAsia="Wingdings 2" w:cs="Wingdings 2"/>
                <w:color w:val="000000"/>
                <w:sz w:val="18"/>
                <w:szCs w:val="18"/>
              </w:rPr>
              <w:t>£</w:t>
            </w:r>
            <w:r>
              <w:rPr>
                <w:rFonts w:hint="eastAsia" w:ascii="Times New Roman" w:hAnsi="Times New Roman" w:eastAsia="宋体" w:cs="Times New Roman"/>
                <w:color w:val="000000"/>
                <w:sz w:val="18"/>
                <w:szCs w:val="18"/>
                <w:lang w:eastAsia="zh-CN"/>
              </w:rPr>
              <w:t>；</w:t>
            </w:r>
            <w:r>
              <w:rPr>
                <w:rFonts w:hint="eastAsia"/>
                <w:sz w:val="18"/>
                <w:szCs w:val="18"/>
                <w:vertAlign w:val="baseline"/>
                <w:lang w:val="en-US" w:eastAsia="zh-CN"/>
              </w:rPr>
              <w:t>d)</w:t>
            </w:r>
            <w:r>
              <w:rPr>
                <w:rFonts w:ascii="Wingdings 2" w:hAnsi="Wingdings 2" w:eastAsia="Wingdings 2" w:cs="Wingdings 2"/>
                <w:color w:val="000000"/>
                <w:sz w:val="18"/>
                <w:szCs w:val="18"/>
              </w:rPr>
              <w:t>£</w:t>
            </w:r>
          </w:p>
        </w:tc>
        <w:tc>
          <w:tcPr>
            <w:tcW w:w="678" w:type="dxa"/>
            <w:noWrap w:val="0"/>
            <w:vAlign w:val="center"/>
          </w:tcPr>
          <w:p w14:paraId="315EA301">
            <w:pPr>
              <w:pStyle w:val="255"/>
              <w:widowControl w:val="0"/>
              <w:jc w:val="center"/>
              <w:rPr>
                <w:sz w:val="18"/>
                <w:szCs w:val="18"/>
                <w:vertAlign w:val="baseline"/>
                <w:lang w:val="en-US" w:eastAsia="zh-CN"/>
              </w:rPr>
            </w:pPr>
          </w:p>
        </w:tc>
      </w:tr>
      <w:tr w14:paraId="01080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7A7577F0">
            <w:pPr>
              <w:pStyle w:val="255"/>
              <w:widowControl w:val="0"/>
              <w:jc w:val="center"/>
              <w:rPr>
                <w:sz w:val="18"/>
                <w:szCs w:val="18"/>
                <w:vertAlign w:val="baseline"/>
                <w:lang w:val="en-US" w:eastAsia="zh-CN"/>
              </w:rPr>
            </w:pPr>
          </w:p>
        </w:tc>
        <w:tc>
          <w:tcPr>
            <w:tcW w:w="2175" w:type="dxa"/>
            <w:noWrap w:val="0"/>
            <w:vAlign w:val="center"/>
          </w:tcPr>
          <w:p w14:paraId="658B78AE">
            <w:pPr>
              <w:pStyle w:val="255"/>
              <w:widowControl w:val="0"/>
              <w:jc w:val="center"/>
              <w:rPr>
                <w:sz w:val="18"/>
                <w:szCs w:val="18"/>
                <w:vertAlign w:val="baseline"/>
                <w:lang w:val="en-US" w:eastAsia="zh-CN"/>
              </w:rPr>
            </w:pPr>
            <w:r>
              <w:rPr>
                <w:rFonts w:hint="eastAsia"/>
                <w:sz w:val="18"/>
                <w:szCs w:val="18"/>
                <w:vertAlign w:val="baseline"/>
                <w:lang w:val="en-US" w:eastAsia="zh-CN"/>
              </w:rPr>
              <w:t>理化特性</w:t>
            </w:r>
          </w:p>
        </w:tc>
        <w:tc>
          <w:tcPr>
            <w:tcW w:w="5190" w:type="dxa"/>
            <w:gridSpan w:val="6"/>
            <w:noWrap w:val="0"/>
            <w:vAlign w:val="center"/>
          </w:tcPr>
          <w:p w14:paraId="774D86CD">
            <w:pPr>
              <w:pStyle w:val="255"/>
              <w:widowControl w:val="0"/>
              <w:jc w:val="center"/>
              <w:rPr>
                <w:sz w:val="18"/>
                <w:szCs w:val="18"/>
                <w:vertAlign w:val="baseline"/>
                <w:lang w:val="en-US" w:eastAsia="zh-CN"/>
              </w:rPr>
            </w:pPr>
            <w:r>
              <w:rPr>
                <w:rFonts w:hint="eastAsia"/>
                <w:sz w:val="18"/>
                <w:szCs w:val="18"/>
                <w:vertAlign w:val="baseline"/>
                <w:lang w:val="en-US" w:eastAsia="zh-CN"/>
              </w:rPr>
              <w:t>/</w:t>
            </w:r>
          </w:p>
        </w:tc>
        <w:tc>
          <w:tcPr>
            <w:tcW w:w="678" w:type="dxa"/>
            <w:noWrap w:val="0"/>
            <w:vAlign w:val="center"/>
          </w:tcPr>
          <w:p w14:paraId="7455618C">
            <w:pPr>
              <w:pStyle w:val="255"/>
              <w:widowControl w:val="0"/>
              <w:jc w:val="center"/>
              <w:rPr>
                <w:sz w:val="18"/>
                <w:szCs w:val="18"/>
                <w:vertAlign w:val="baseline"/>
                <w:lang w:val="en-US" w:eastAsia="zh-CN"/>
              </w:rPr>
            </w:pPr>
          </w:p>
        </w:tc>
      </w:tr>
      <w:tr w14:paraId="42093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813" w:type="dxa"/>
            <w:vMerge w:val="continue"/>
            <w:noWrap w:val="0"/>
            <w:vAlign w:val="center"/>
          </w:tcPr>
          <w:p w14:paraId="18A693C7">
            <w:pPr>
              <w:pStyle w:val="255"/>
              <w:widowControl w:val="0"/>
              <w:jc w:val="center"/>
              <w:rPr>
                <w:sz w:val="18"/>
                <w:szCs w:val="18"/>
                <w:vertAlign w:val="baseline"/>
                <w:lang w:val="en-US" w:eastAsia="zh-CN"/>
              </w:rPr>
            </w:pPr>
          </w:p>
        </w:tc>
        <w:tc>
          <w:tcPr>
            <w:tcW w:w="2175" w:type="dxa"/>
            <w:vMerge w:val="restart"/>
            <w:noWrap w:val="0"/>
            <w:vAlign w:val="center"/>
          </w:tcPr>
          <w:p w14:paraId="7D53FF89">
            <w:pPr>
              <w:pStyle w:val="255"/>
              <w:widowControl w:val="0"/>
              <w:jc w:val="center"/>
              <w:rPr>
                <w:sz w:val="18"/>
                <w:szCs w:val="18"/>
                <w:vertAlign w:val="baseline"/>
                <w:lang w:val="en-US" w:eastAsia="zh-CN"/>
              </w:rPr>
            </w:pPr>
            <w:r>
              <w:rPr>
                <w:rFonts w:hint="eastAsia"/>
                <w:sz w:val="18"/>
                <w:szCs w:val="18"/>
                <w:vertAlign w:val="baseline"/>
                <w:lang w:val="en-US" w:eastAsia="zh-CN"/>
              </w:rPr>
              <w:t>现状监测点位</w:t>
            </w:r>
          </w:p>
        </w:tc>
        <w:tc>
          <w:tcPr>
            <w:tcW w:w="1260" w:type="dxa"/>
            <w:gridSpan w:val="2"/>
            <w:noWrap w:val="0"/>
            <w:vAlign w:val="center"/>
          </w:tcPr>
          <w:p w14:paraId="6516A3DE">
            <w:pPr>
              <w:pStyle w:val="255"/>
              <w:widowControl w:val="0"/>
              <w:jc w:val="center"/>
              <w:rPr>
                <w:sz w:val="18"/>
                <w:szCs w:val="18"/>
                <w:vertAlign w:val="baseline"/>
                <w:lang w:val="en-US" w:eastAsia="zh-CN"/>
              </w:rPr>
            </w:pPr>
          </w:p>
        </w:tc>
        <w:tc>
          <w:tcPr>
            <w:tcW w:w="1340" w:type="dxa"/>
            <w:noWrap w:val="0"/>
            <w:vAlign w:val="center"/>
          </w:tcPr>
          <w:p w14:paraId="4CCD4C65">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占地范围内</w:t>
            </w:r>
          </w:p>
        </w:tc>
        <w:tc>
          <w:tcPr>
            <w:tcW w:w="1155" w:type="dxa"/>
            <w:gridSpan w:val="2"/>
            <w:noWrap w:val="0"/>
            <w:vAlign w:val="center"/>
          </w:tcPr>
          <w:p w14:paraId="5F202AC0">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占地范围外</w:t>
            </w:r>
          </w:p>
        </w:tc>
        <w:tc>
          <w:tcPr>
            <w:tcW w:w="1435" w:type="dxa"/>
            <w:noWrap w:val="0"/>
            <w:vAlign w:val="center"/>
          </w:tcPr>
          <w:p w14:paraId="529313EB">
            <w:pPr>
              <w:pStyle w:val="255"/>
              <w:widowControl w:val="0"/>
              <w:jc w:val="center"/>
              <w:rPr>
                <w:sz w:val="18"/>
                <w:szCs w:val="18"/>
                <w:vertAlign w:val="baseline"/>
                <w:lang w:val="en-US" w:eastAsia="zh-CN"/>
              </w:rPr>
            </w:pPr>
            <w:r>
              <w:rPr>
                <w:rFonts w:hint="eastAsia"/>
                <w:sz w:val="18"/>
                <w:szCs w:val="18"/>
                <w:vertAlign w:val="baseline"/>
                <w:lang w:val="en-US" w:eastAsia="zh-CN"/>
              </w:rPr>
              <w:t>深度</w:t>
            </w:r>
          </w:p>
        </w:tc>
        <w:tc>
          <w:tcPr>
            <w:tcW w:w="678" w:type="dxa"/>
            <w:noWrap w:val="0"/>
            <w:vAlign w:val="center"/>
          </w:tcPr>
          <w:p w14:paraId="4D7FD977">
            <w:pPr>
              <w:pStyle w:val="255"/>
              <w:widowControl w:val="0"/>
              <w:jc w:val="center"/>
              <w:rPr>
                <w:sz w:val="18"/>
                <w:szCs w:val="18"/>
                <w:vertAlign w:val="baseline"/>
                <w:lang w:val="en-US" w:eastAsia="zh-CN"/>
              </w:rPr>
            </w:pPr>
          </w:p>
        </w:tc>
      </w:tr>
      <w:tr w14:paraId="6ADC6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7CD11C9E">
            <w:pPr>
              <w:pStyle w:val="255"/>
              <w:widowControl w:val="0"/>
              <w:jc w:val="center"/>
              <w:rPr>
                <w:sz w:val="18"/>
                <w:szCs w:val="18"/>
                <w:vertAlign w:val="baseline"/>
                <w:lang w:val="en-US" w:eastAsia="zh-CN"/>
              </w:rPr>
            </w:pPr>
          </w:p>
        </w:tc>
        <w:tc>
          <w:tcPr>
            <w:tcW w:w="2175" w:type="dxa"/>
            <w:vMerge w:val="continue"/>
            <w:noWrap w:val="0"/>
            <w:vAlign w:val="center"/>
          </w:tcPr>
          <w:p w14:paraId="52C936A3">
            <w:pPr>
              <w:pStyle w:val="255"/>
              <w:widowControl w:val="0"/>
              <w:jc w:val="center"/>
              <w:rPr>
                <w:rFonts w:hint="eastAsia"/>
                <w:sz w:val="18"/>
                <w:szCs w:val="18"/>
                <w:vertAlign w:val="baseline"/>
                <w:lang w:val="en-US" w:eastAsia="zh-CN"/>
              </w:rPr>
            </w:pPr>
          </w:p>
        </w:tc>
        <w:tc>
          <w:tcPr>
            <w:tcW w:w="1260" w:type="dxa"/>
            <w:gridSpan w:val="2"/>
            <w:noWrap w:val="0"/>
            <w:vAlign w:val="center"/>
          </w:tcPr>
          <w:p w14:paraId="41075883">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表层样点数</w:t>
            </w:r>
          </w:p>
        </w:tc>
        <w:tc>
          <w:tcPr>
            <w:tcW w:w="1340" w:type="dxa"/>
            <w:noWrap w:val="0"/>
            <w:vAlign w:val="center"/>
          </w:tcPr>
          <w:p w14:paraId="175F773D">
            <w:pPr>
              <w:pStyle w:val="255"/>
              <w:widowControl w:val="0"/>
              <w:jc w:val="center"/>
              <w:rPr>
                <w:sz w:val="18"/>
                <w:szCs w:val="18"/>
                <w:vertAlign w:val="baseline"/>
                <w:lang w:val="en-US" w:eastAsia="zh-CN"/>
              </w:rPr>
            </w:pPr>
            <w:r>
              <w:rPr>
                <w:rFonts w:hint="eastAsia"/>
                <w:sz w:val="18"/>
                <w:szCs w:val="18"/>
                <w:vertAlign w:val="baseline"/>
                <w:lang w:val="en-US" w:eastAsia="zh-CN"/>
              </w:rPr>
              <w:t>2</w:t>
            </w:r>
          </w:p>
        </w:tc>
        <w:tc>
          <w:tcPr>
            <w:tcW w:w="1155" w:type="dxa"/>
            <w:gridSpan w:val="2"/>
            <w:noWrap w:val="0"/>
            <w:vAlign w:val="center"/>
          </w:tcPr>
          <w:p w14:paraId="4B931342">
            <w:pPr>
              <w:pStyle w:val="255"/>
              <w:widowControl w:val="0"/>
              <w:jc w:val="center"/>
              <w:rPr>
                <w:sz w:val="18"/>
                <w:szCs w:val="18"/>
                <w:vertAlign w:val="baseline"/>
                <w:lang w:val="en-US" w:eastAsia="zh-CN"/>
              </w:rPr>
            </w:pPr>
            <w:r>
              <w:rPr>
                <w:rFonts w:hint="eastAsia"/>
                <w:sz w:val="18"/>
                <w:szCs w:val="18"/>
                <w:vertAlign w:val="baseline"/>
                <w:lang w:val="en-US" w:eastAsia="zh-CN"/>
              </w:rPr>
              <w:t>4</w:t>
            </w:r>
          </w:p>
        </w:tc>
        <w:tc>
          <w:tcPr>
            <w:tcW w:w="1435" w:type="dxa"/>
            <w:noWrap w:val="0"/>
            <w:vAlign w:val="center"/>
          </w:tcPr>
          <w:p w14:paraId="495BD23D">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表层0.15m-0.2m</w:t>
            </w:r>
          </w:p>
        </w:tc>
        <w:tc>
          <w:tcPr>
            <w:tcW w:w="678" w:type="dxa"/>
            <w:noWrap w:val="0"/>
            <w:vAlign w:val="center"/>
          </w:tcPr>
          <w:p w14:paraId="09BF31D0">
            <w:pPr>
              <w:pStyle w:val="255"/>
              <w:widowControl w:val="0"/>
              <w:jc w:val="center"/>
              <w:rPr>
                <w:sz w:val="18"/>
                <w:szCs w:val="18"/>
                <w:vertAlign w:val="baseline"/>
                <w:lang w:val="en-US" w:eastAsia="zh-CN"/>
              </w:rPr>
            </w:pPr>
          </w:p>
        </w:tc>
      </w:tr>
      <w:tr w14:paraId="7B6AF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215DD24E">
            <w:pPr>
              <w:pStyle w:val="255"/>
              <w:widowControl w:val="0"/>
              <w:jc w:val="center"/>
              <w:rPr>
                <w:sz w:val="18"/>
                <w:szCs w:val="18"/>
                <w:vertAlign w:val="baseline"/>
                <w:lang w:val="en-US" w:eastAsia="zh-CN"/>
              </w:rPr>
            </w:pPr>
          </w:p>
        </w:tc>
        <w:tc>
          <w:tcPr>
            <w:tcW w:w="2175" w:type="dxa"/>
            <w:vMerge w:val="continue"/>
            <w:noWrap w:val="0"/>
            <w:vAlign w:val="center"/>
          </w:tcPr>
          <w:p w14:paraId="4B3AAD53">
            <w:pPr>
              <w:pStyle w:val="255"/>
              <w:widowControl w:val="0"/>
              <w:jc w:val="center"/>
              <w:rPr>
                <w:rFonts w:hint="eastAsia"/>
                <w:sz w:val="18"/>
                <w:szCs w:val="18"/>
                <w:vertAlign w:val="baseline"/>
                <w:lang w:val="en-US" w:eastAsia="zh-CN"/>
              </w:rPr>
            </w:pPr>
          </w:p>
        </w:tc>
        <w:tc>
          <w:tcPr>
            <w:tcW w:w="1260" w:type="dxa"/>
            <w:gridSpan w:val="2"/>
            <w:noWrap w:val="0"/>
            <w:vAlign w:val="center"/>
          </w:tcPr>
          <w:p w14:paraId="1C8D46C7">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柱状样点数</w:t>
            </w:r>
          </w:p>
        </w:tc>
        <w:tc>
          <w:tcPr>
            <w:tcW w:w="1340" w:type="dxa"/>
            <w:noWrap w:val="0"/>
            <w:vAlign w:val="center"/>
          </w:tcPr>
          <w:p w14:paraId="33CF5A6B">
            <w:pPr>
              <w:pStyle w:val="255"/>
              <w:widowControl w:val="0"/>
              <w:jc w:val="center"/>
              <w:rPr>
                <w:sz w:val="18"/>
                <w:szCs w:val="18"/>
                <w:vertAlign w:val="baseline"/>
                <w:lang w:val="en-US" w:eastAsia="zh-CN"/>
              </w:rPr>
            </w:pPr>
            <w:r>
              <w:rPr>
                <w:rFonts w:hint="eastAsia"/>
                <w:sz w:val="18"/>
                <w:szCs w:val="18"/>
                <w:vertAlign w:val="baseline"/>
                <w:lang w:val="en-US" w:eastAsia="zh-CN"/>
              </w:rPr>
              <w:t>5</w:t>
            </w:r>
          </w:p>
        </w:tc>
        <w:tc>
          <w:tcPr>
            <w:tcW w:w="1155" w:type="dxa"/>
            <w:gridSpan w:val="2"/>
            <w:noWrap w:val="0"/>
            <w:vAlign w:val="center"/>
          </w:tcPr>
          <w:p w14:paraId="496CC29A">
            <w:pPr>
              <w:pStyle w:val="255"/>
              <w:widowControl w:val="0"/>
              <w:jc w:val="center"/>
              <w:rPr>
                <w:sz w:val="18"/>
                <w:szCs w:val="18"/>
                <w:vertAlign w:val="baseline"/>
                <w:lang w:val="en-US" w:eastAsia="zh-CN"/>
              </w:rPr>
            </w:pPr>
            <w:r>
              <w:rPr>
                <w:rFonts w:hint="eastAsia"/>
                <w:sz w:val="18"/>
                <w:szCs w:val="18"/>
                <w:vertAlign w:val="baseline"/>
                <w:lang w:val="en-US" w:eastAsia="zh-CN"/>
              </w:rPr>
              <w:t>0</w:t>
            </w:r>
          </w:p>
        </w:tc>
        <w:tc>
          <w:tcPr>
            <w:tcW w:w="1435" w:type="dxa"/>
            <w:noWrap w:val="0"/>
            <w:vAlign w:val="center"/>
          </w:tcPr>
          <w:p w14:paraId="5ACCA0F4">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表层0.3m；中层1m；深层2m</w:t>
            </w:r>
          </w:p>
        </w:tc>
        <w:tc>
          <w:tcPr>
            <w:tcW w:w="678" w:type="dxa"/>
            <w:noWrap w:val="0"/>
            <w:vAlign w:val="center"/>
          </w:tcPr>
          <w:p w14:paraId="34FF6D77">
            <w:pPr>
              <w:pStyle w:val="255"/>
              <w:widowControl w:val="0"/>
              <w:jc w:val="center"/>
              <w:rPr>
                <w:sz w:val="18"/>
                <w:szCs w:val="18"/>
                <w:vertAlign w:val="baseline"/>
                <w:lang w:val="en-US" w:eastAsia="zh-CN"/>
              </w:rPr>
            </w:pPr>
          </w:p>
        </w:tc>
      </w:tr>
      <w:tr w14:paraId="546B7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160358D0">
            <w:pPr>
              <w:pStyle w:val="255"/>
              <w:widowControl w:val="0"/>
              <w:jc w:val="center"/>
              <w:rPr>
                <w:sz w:val="18"/>
                <w:szCs w:val="18"/>
                <w:vertAlign w:val="baseline"/>
                <w:lang w:val="en-US" w:eastAsia="zh-CN"/>
              </w:rPr>
            </w:pPr>
          </w:p>
        </w:tc>
        <w:tc>
          <w:tcPr>
            <w:tcW w:w="2175" w:type="dxa"/>
            <w:noWrap w:val="0"/>
            <w:vAlign w:val="center"/>
          </w:tcPr>
          <w:p w14:paraId="6D2190C1">
            <w:pPr>
              <w:pStyle w:val="255"/>
              <w:widowControl w:val="0"/>
              <w:jc w:val="center"/>
              <w:rPr>
                <w:sz w:val="18"/>
                <w:szCs w:val="18"/>
                <w:vertAlign w:val="baseline"/>
                <w:lang w:val="en-US" w:eastAsia="zh-CN"/>
              </w:rPr>
            </w:pPr>
            <w:r>
              <w:rPr>
                <w:rFonts w:hint="eastAsia"/>
                <w:sz w:val="18"/>
                <w:szCs w:val="18"/>
                <w:vertAlign w:val="baseline"/>
                <w:lang w:val="en-US" w:eastAsia="zh-CN"/>
              </w:rPr>
              <w:t>现状监测因子</w:t>
            </w:r>
          </w:p>
        </w:tc>
        <w:tc>
          <w:tcPr>
            <w:tcW w:w="5190" w:type="dxa"/>
            <w:gridSpan w:val="6"/>
            <w:noWrap w:val="0"/>
            <w:vAlign w:val="center"/>
          </w:tcPr>
          <w:p w14:paraId="5372D5A1">
            <w:pPr>
              <w:keepNext w:val="0"/>
              <w:keepLines w:val="0"/>
              <w:widowControl/>
              <w:suppressLineNumbers w:val="0"/>
              <w:ind w:left="0" w:firstLine="0"/>
              <w:jc w:val="both"/>
              <w:rPr>
                <w:sz w:val="18"/>
                <w:szCs w:val="18"/>
                <w:vertAlign w:val="baseline"/>
                <w:lang w:val="en-US" w:eastAsia="zh-CN"/>
              </w:rPr>
            </w:pPr>
            <w:r>
              <w:rPr>
                <w:rFonts w:hint="eastAsia" w:ascii="宋体" w:hAnsi="宋体" w:eastAsia="宋体" w:cs="宋体"/>
                <w:color w:val="000000"/>
                <w:sz w:val="18"/>
                <w:szCs w:val="18"/>
                <w:lang w:val="en-US" w:eastAsia="zh-CN" w:bidi="ar"/>
              </w:rPr>
              <w:t>砷、镉、铬（六价）、铜、铅、汞、镍；四氯化碳、氯仿、氯甲烷、</w:t>
            </w:r>
            <w:r>
              <w:rPr>
                <w:rFonts w:ascii="Times New Roman" w:hAnsi="Times New Roman" w:eastAsia="宋体" w:cs="Times New Roman"/>
                <w:color w:val="000000"/>
                <w:sz w:val="18"/>
                <w:szCs w:val="18"/>
                <w:lang w:val="en-US" w:eastAsia="zh-CN" w:bidi="ar"/>
              </w:rPr>
              <w:t>1,1-</w:t>
            </w:r>
            <w:r>
              <w:rPr>
                <w:rFonts w:hint="eastAsia" w:ascii="宋体" w:hAnsi="宋体" w:eastAsia="宋体" w:cs="宋体"/>
                <w:color w:val="000000"/>
                <w:sz w:val="18"/>
                <w:szCs w:val="18"/>
                <w:lang w:val="en-US" w:eastAsia="zh-CN" w:bidi="ar"/>
              </w:rPr>
              <w:t>二氯乙烷、</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二氯乙烷、</w:t>
            </w:r>
            <w:r>
              <w:rPr>
                <w:rFonts w:ascii="Times New Roman" w:hAnsi="Times New Roman" w:eastAsia="宋体" w:cs="Times New Roman"/>
                <w:color w:val="000000"/>
                <w:sz w:val="18"/>
                <w:szCs w:val="18"/>
                <w:lang w:val="en-US" w:eastAsia="zh-CN" w:bidi="ar"/>
              </w:rPr>
              <w:t>1,1-</w:t>
            </w:r>
            <w:r>
              <w:rPr>
                <w:rFonts w:hint="eastAsia" w:ascii="宋体" w:hAnsi="宋体" w:eastAsia="宋体" w:cs="宋体"/>
                <w:color w:val="000000"/>
                <w:sz w:val="18"/>
                <w:szCs w:val="18"/>
                <w:lang w:val="en-US" w:eastAsia="zh-CN" w:bidi="ar"/>
              </w:rPr>
              <w:t>二氯乙烯、顺</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二氯乙烯、反</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二氯乙烯、二氯甲烷、</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二氯丙烷、</w:t>
            </w:r>
            <w:r>
              <w:rPr>
                <w:rFonts w:ascii="Times New Roman" w:hAnsi="Times New Roman" w:eastAsia="宋体" w:cs="Times New Roman"/>
                <w:color w:val="000000"/>
                <w:sz w:val="18"/>
                <w:szCs w:val="18"/>
                <w:lang w:val="en-US" w:eastAsia="zh-CN" w:bidi="ar"/>
              </w:rPr>
              <w:t>1,1,1,2-</w:t>
            </w:r>
            <w:r>
              <w:rPr>
                <w:rFonts w:hint="eastAsia" w:ascii="宋体" w:hAnsi="宋体" w:eastAsia="宋体" w:cs="宋体"/>
                <w:color w:val="000000"/>
                <w:sz w:val="18"/>
                <w:szCs w:val="18"/>
                <w:lang w:val="en-US" w:eastAsia="zh-CN" w:bidi="ar"/>
              </w:rPr>
              <w:t>四氯乙烷、</w:t>
            </w:r>
            <w:r>
              <w:rPr>
                <w:rFonts w:ascii="Times New Roman" w:hAnsi="Times New Roman" w:eastAsia="宋体" w:cs="Times New Roman"/>
                <w:color w:val="000000"/>
                <w:sz w:val="18"/>
                <w:szCs w:val="18"/>
                <w:lang w:val="en-US" w:eastAsia="zh-CN" w:bidi="ar"/>
              </w:rPr>
              <w:t>1,1,2,2</w:t>
            </w:r>
            <w:r>
              <w:rPr>
                <w:rFonts w:hint="eastAsia" w:ascii="Times New Roman" w:hAnsi="Times New Roman" w:eastAsia="宋体" w:cs="Times New Roman"/>
                <w:color w:val="000000"/>
                <w:sz w:val="18"/>
                <w:szCs w:val="18"/>
                <w:lang w:val="en-US" w:eastAsia="zh-CN" w:bidi="ar"/>
              </w:rPr>
              <w:t>-</w:t>
            </w:r>
            <w:r>
              <w:rPr>
                <w:rFonts w:hint="eastAsia" w:ascii="宋体" w:hAnsi="宋体" w:eastAsia="宋体" w:cs="宋体"/>
                <w:color w:val="000000"/>
                <w:sz w:val="18"/>
                <w:szCs w:val="18"/>
                <w:lang w:val="en-US" w:eastAsia="zh-CN" w:bidi="ar"/>
              </w:rPr>
              <w:t>四氯乙烷、四氯乙烯、</w:t>
            </w:r>
            <w:r>
              <w:rPr>
                <w:rFonts w:ascii="Times New Roman" w:hAnsi="Times New Roman" w:eastAsia="宋体" w:cs="Times New Roman"/>
                <w:color w:val="000000"/>
                <w:sz w:val="18"/>
                <w:szCs w:val="18"/>
                <w:lang w:val="en-US" w:eastAsia="zh-CN" w:bidi="ar"/>
              </w:rPr>
              <w:t>1,1,1-</w:t>
            </w:r>
            <w:r>
              <w:rPr>
                <w:rFonts w:hint="eastAsia" w:ascii="宋体" w:hAnsi="宋体" w:eastAsia="宋体" w:cs="宋体"/>
                <w:color w:val="000000"/>
                <w:sz w:val="18"/>
                <w:szCs w:val="18"/>
                <w:lang w:val="en-US" w:eastAsia="zh-CN" w:bidi="ar"/>
              </w:rPr>
              <w:t>三氯乙烷、</w:t>
            </w:r>
            <w:r>
              <w:rPr>
                <w:rFonts w:ascii="Times New Roman" w:hAnsi="Times New Roman" w:eastAsia="宋体" w:cs="Times New Roman"/>
                <w:color w:val="000000"/>
                <w:sz w:val="18"/>
                <w:szCs w:val="18"/>
                <w:lang w:val="en-US" w:eastAsia="zh-CN" w:bidi="ar"/>
              </w:rPr>
              <w:t>1,1,2-</w:t>
            </w:r>
            <w:r>
              <w:rPr>
                <w:rFonts w:hint="eastAsia" w:ascii="宋体" w:hAnsi="宋体" w:eastAsia="宋体" w:cs="宋体"/>
                <w:color w:val="000000"/>
                <w:sz w:val="18"/>
                <w:szCs w:val="18"/>
                <w:lang w:val="en-US" w:eastAsia="zh-CN" w:bidi="ar"/>
              </w:rPr>
              <w:t>三氯乙烷、三氯乙烯、</w:t>
            </w:r>
            <w:r>
              <w:rPr>
                <w:rFonts w:ascii="Times New Roman" w:hAnsi="Times New Roman" w:eastAsia="宋体" w:cs="Times New Roman"/>
                <w:color w:val="000000"/>
                <w:sz w:val="18"/>
                <w:szCs w:val="18"/>
                <w:lang w:val="en-US" w:eastAsia="zh-CN" w:bidi="ar"/>
              </w:rPr>
              <w:t>1,2,3-</w:t>
            </w:r>
            <w:r>
              <w:rPr>
                <w:rFonts w:hint="eastAsia" w:ascii="宋体" w:hAnsi="宋体" w:eastAsia="宋体" w:cs="宋体"/>
                <w:color w:val="000000"/>
                <w:sz w:val="18"/>
                <w:szCs w:val="18"/>
                <w:lang w:val="en-US" w:eastAsia="zh-CN" w:bidi="ar"/>
              </w:rPr>
              <w:t>三氯丙烷、氯乙烯、苯、氯苯、</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二氯苯、</w:t>
            </w:r>
            <w:r>
              <w:rPr>
                <w:rFonts w:ascii="Times New Roman" w:hAnsi="Times New Roman" w:eastAsia="宋体" w:cs="Times New Roman"/>
                <w:color w:val="000000"/>
                <w:sz w:val="18"/>
                <w:szCs w:val="18"/>
                <w:lang w:val="en-US" w:eastAsia="zh-CN" w:bidi="ar"/>
              </w:rPr>
              <w:t>1,4-</w:t>
            </w:r>
            <w:r>
              <w:rPr>
                <w:rFonts w:hint="eastAsia" w:ascii="宋体" w:hAnsi="宋体" w:eastAsia="宋体" w:cs="宋体"/>
                <w:color w:val="000000"/>
                <w:sz w:val="18"/>
                <w:szCs w:val="18"/>
                <w:lang w:val="en-US" w:eastAsia="zh-CN" w:bidi="ar"/>
              </w:rPr>
              <w:t>二氯苯、乙苯、 苯乙烯、甲苯、间二甲苯</w:t>
            </w:r>
            <w:r>
              <w:rPr>
                <w:rFonts w:ascii="Times New Roman" w:hAnsi="Times New Roman" w:eastAsia="宋体" w:cs="Times New Roman"/>
                <w:color w:val="000000"/>
                <w:sz w:val="18"/>
                <w:szCs w:val="18"/>
                <w:lang w:val="en-US" w:eastAsia="zh-CN" w:bidi="ar"/>
              </w:rPr>
              <w:t>+</w:t>
            </w:r>
            <w:r>
              <w:rPr>
                <w:rFonts w:hint="eastAsia" w:ascii="宋体" w:hAnsi="宋体" w:eastAsia="宋体" w:cs="宋体"/>
                <w:color w:val="000000"/>
                <w:sz w:val="18"/>
                <w:szCs w:val="18"/>
                <w:lang w:val="en-US" w:eastAsia="zh-CN" w:bidi="ar"/>
              </w:rPr>
              <w:t>对二甲苯、邻二甲苯；硝基苯、苯胺、</w:t>
            </w:r>
            <w:r>
              <w:rPr>
                <w:rFonts w:ascii="Times New Roman" w:hAnsi="Times New Roman" w:eastAsia="宋体" w:cs="Times New Roman"/>
                <w:color w:val="000000"/>
                <w:sz w:val="18"/>
                <w:szCs w:val="18"/>
                <w:lang w:val="en-US" w:eastAsia="zh-CN" w:bidi="ar"/>
              </w:rPr>
              <w:t>2-</w:t>
            </w:r>
            <w:r>
              <w:rPr>
                <w:rFonts w:hint="eastAsia" w:ascii="宋体" w:hAnsi="宋体" w:eastAsia="宋体" w:cs="宋体"/>
                <w:color w:val="000000"/>
                <w:sz w:val="18"/>
                <w:szCs w:val="18"/>
                <w:lang w:val="en-US" w:eastAsia="zh-CN" w:bidi="ar"/>
              </w:rPr>
              <w:t>氯酚、苯并</w:t>
            </w:r>
            <w:r>
              <w:rPr>
                <w:rFonts w:ascii="Times New Roman" w:hAnsi="Times New Roman" w:eastAsia="宋体" w:cs="Times New Roman"/>
                <w:color w:val="000000"/>
                <w:sz w:val="18"/>
                <w:szCs w:val="18"/>
                <w:lang w:val="en-US" w:eastAsia="zh-CN" w:bidi="ar"/>
              </w:rPr>
              <w:t>[a]</w:t>
            </w:r>
            <w:r>
              <w:rPr>
                <w:rFonts w:hint="eastAsia" w:ascii="宋体" w:hAnsi="宋体" w:eastAsia="宋体" w:cs="宋体"/>
                <w:color w:val="000000"/>
                <w:sz w:val="18"/>
                <w:szCs w:val="18"/>
                <w:lang w:val="en-US" w:eastAsia="zh-CN" w:bidi="ar"/>
              </w:rPr>
              <w:t>蒽、苯并</w:t>
            </w:r>
            <w:r>
              <w:rPr>
                <w:rFonts w:ascii="Times New Roman" w:hAnsi="Times New Roman" w:eastAsia="宋体" w:cs="Times New Roman"/>
                <w:color w:val="000000"/>
                <w:sz w:val="18"/>
                <w:szCs w:val="18"/>
                <w:lang w:val="en-US" w:eastAsia="zh-CN" w:bidi="ar"/>
              </w:rPr>
              <w:t>[a]</w:t>
            </w:r>
            <w:r>
              <w:rPr>
                <w:rFonts w:hint="eastAsia" w:ascii="宋体" w:hAnsi="宋体" w:eastAsia="宋体" w:cs="宋体"/>
                <w:color w:val="000000"/>
                <w:sz w:val="18"/>
                <w:szCs w:val="18"/>
                <w:lang w:val="en-US" w:eastAsia="zh-CN" w:bidi="ar"/>
              </w:rPr>
              <w:t>芘、苯并</w:t>
            </w:r>
            <w:r>
              <w:rPr>
                <w:rFonts w:ascii="Times New Roman" w:hAnsi="Times New Roman" w:eastAsia="宋体" w:cs="Times New Roman"/>
                <w:color w:val="000000"/>
                <w:sz w:val="18"/>
                <w:szCs w:val="18"/>
                <w:lang w:val="en-US" w:eastAsia="zh-CN" w:bidi="ar"/>
              </w:rPr>
              <w:t>[b]</w:t>
            </w:r>
            <w:r>
              <w:rPr>
                <w:rFonts w:hint="eastAsia" w:ascii="宋体" w:hAnsi="宋体" w:eastAsia="宋体" w:cs="宋体"/>
                <w:color w:val="000000"/>
                <w:sz w:val="18"/>
                <w:szCs w:val="18"/>
                <w:lang w:val="en-US" w:eastAsia="zh-CN" w:bidi="ar"/>
              </w:rPr>
              <w:t>荧蒽、苯并</w:t>
            </w:r>
            <w:r>
              <w:rPr>
                <w:rFonts w:ascii="Times New Roman" w:hAnsi="Times New Roman" w:eastAsia="宋体" w:cs="Times New Roman"/>
                <w:color w:val="000000"/>
                <w:sz w:val="18"/>
                <w:szCs w:val="18"/>
                <w:lang w:val="en-US" w:eastAsia="zh-CN" w:bidi="ar"/>
              </w:rPr>
              <w:t>[k]</w:t>
            </w:r>
            <w:r>
              <w:rPr>
                <w:rFonts w:hint="eastAsia" w:ascii="宋体" w:hAnsi="宋体" w:eastAsia="宋体" w:cs="宋体"/>
                <w:color w:val="000000"/>
                <w:sz w:val="18"/>
                <w:szCs w:val="18"/>
                <w:lang w:val="en-US" w:eastAsia="zh-CN" w:bidi="ar"/>
              </w:rPr>
              <w:t>荧蒽、䓛、二苯并</w:t>
            </w:r>
            <w:r>
              <w:rPr>
                <w:rFonts w:ascii="Times New Roman" w:hAnsi="Times New Roman" w:eastAsia="宋体" w:cs="Times New Roman"/>
                <w:color w:val="000000"/>
                <w:sz w:val="18"/>
                <w:szCs w:val="18"/>
                <w:lang w:val="en-US" w:eastAsia="zh-CN" w:bidi="ar"/>
              </w:rPr>
              <w:t>[a,h]</w:t>
            </w:r>
            <w:r>
              <w:rPr>
                <w:rFonts w:hint="eastAsia" w:ascii="宋体" w:hAnsi="宋体" w:eastAsia="宋体" w:cs="宋体"/>
                <w:color w:val="000000"/>
                <w:sz w:val="18"/>
                <w:szCs w:val="18"/>
                <w:lang w:val="en-US" w:eastAsia="zh-CN" w:bidi="ar"/>
              </w:rPr>
              <w:t>蒽、茚并</w:t>
            </w:r>
            <w:r>
              <w:rPr>
                <w:rFonts w:ascii="Times New Roman" w:hAnsi="Times New Roman" w:eastAsia="宋体" w:cs="Times New Roman"/>
                <w:color w:val="000000"/>
                <w:sz w:val="18"/>
                <w:szCs w:val="18"/>
                <w:lang w:val="en-US" w:eastAsia="zh-CN" w:bidi="ar"/>
              </w:rPr>
              <w:t>[1,2,3-cd]</w:t>
            </w:r>
            <w:r>
              <w:rPr>
                <w:rFonts w:hint="eastAsia" w:ascii="宋体" w:hAnsi="宋体" w:eastAsia="宋体" w:cs="宋体"/>
                <w:color w:val="000000"/>
                <w:sz w:val="18"/>
                <w:szCs w:val="18"/>
                <w:lang w:val="en-US" w:eastAsia="zh-CN" w:bidi="ar"/>
              </w:rPr>
              <w:t>芘、萘、pH</w:t>
            </w:r>
          </w:p>
        </w:tc>
        <w:tc>
          <w:tcPr>
            <w:tcW w:w="678" w:type="dxa"/>
            <w:noWrap w:val="0"/>
            <w:vAlign w:val="center"/>
          </w:tcPr>
          <w:p w14:paraId="1719051D">
            <w:pPr>
              <w:pStyle w:val="255"/>
              <w:widowControl w:val="0"/>
              <w:jc w:val="center"/>
              <w:rPr>
                <w:sz w:val="18"/>
                <w:szCs w:val="18"/>
                <w:vertAlign w:val="baseline"/>
                <w:lang w:val="en-US" w:eastAsia="zh-CN"/>
              </w:rPr>
            </w:pPr>
          </w:p>
        </w:tc>
      </w:tr>
      <w:tr w14:paraId="43D67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restart"/>
            <w:noWrap w:val="0"/>
            <w:vAlign w:val="center"/>
          </w:tcPr>
          <w:p w14:paraId="78962E8D">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现状评价</w:t>
            </w:r>
          </w:p>
        </w:tc>
        <w:tc>
          <w:tcPr>
            <w:tcW w:w="2175" w:type="dxa"/>
            <w:noWrap w:val="0"/>
            <w:vAlign w:val="center"/>
          </w:tcPr>
          <w:p w14:paraId="092FCA8F">
            <w:pPr>
              <w:pStyle w:val="255"/>
              <w:widowControl w:val="0"/>
              <w:jc w:val="center"/>
              <w:rPr>
                <w:sz w:val="18"/>
                <w:szCs w:val="18"/>
                <w:vertAlign w:val="baseline"/>
                <w:lang w:val="en-US" w:eastAsia="zh-CN"/>
              </w:rPr>
            </w:pPr>
            <w:r>
              <w:rPr>
                <w:rFonts w:hint="eastAsia"/>
                <w:sz w:val="18"/>
                <w:szCs w:val="18"/>
                <w:vertAlign w:val="baseline"/>
                <w:lang w:val="en-US" w:eastAsia="zh-CN"/>
              </w:rPr>
              <w:t>评价因子</w:t>
            </w:r>
          </w:p>
        </w:tc>
        <w:tc>
          <w:tcPr>
            <w:tcW w:w="5190" w:type="dxa"/>
            <w:gridSpan w:val="6"/>
            <w:noWrap w:val="0"/>
            <w:vAlign w:val="center"/>
          </w:tcPr>
          <w:p w14:paraId="5742DE7B">
            <w:pPr>
              <w:keepNext w:val="0"/>
              <w:keepLines w:val="0"/>
              <w:widowControl/>
              <w:suppressLineNumbers w:val="0"/>
              <w:ind w:left="0" w:firstLine="0"/>
              <w:jc w:val="both"/>
              <w:rPr>
                <w:sz w:val="18"/>
                <w:szCs w:val="18"/>
                <w:vertAlign w:val="baseline"/>
                <w:lang w:val="en-US" w:eastAsia="zh-CN"/>
              </w:rPr>
            </w:pPr>
            <w:r>
              <w:rPr>
                <w:rFonts w:hint="eastAsia" w:ascii="宋体" w:hAnsi="宋体" w:eastAsia="宋体" w:cs="宋体"/>
                <w:color w:val="000000"/>
                <w:sz w:val="18"/>
                <w:szCs w:val="18"/>
                <w:lang w:val="en-US" w:eastAsia="zh-CN" w:bidi="ar"/>
              </w:rPr>
              <w:t>砷、镉、铬（六价）、铜、铅、汞、镍；四氯化碳、氯仿、氯甲烷、</w:t>
            </w:r>
            <w:r>
              <w:rPr>
                <w:rFonts w:ascii="Times New Roman" w:hAnsi="Times New Roman" w:eastAsia="宋体" w:cs="Times New Roman"/>
                <w:color w:val="000000"/>
                <w:sz w:val="18"/>
                <w:szCs w:val="18"/>
                <w:lang w:val="en-US" w:eastAsia="zh-CN" w:bidi="ar"/>
              </w:rPr>
              <w:t>1,1-</w:t>
            </w:r>
            <w:r>
              <w:rPr>
                <w:rFonts w:hint="eastAsia" w:ascii="宋体" w:hAnsi="宋体" w:eastAsia="宋体" w:cs="宋体"/>
                <w:color w:val="000000"/>
                <w:sz w:val="18"/>
                <w:szCs w:val="18"/>
                <w:lang w:val="en-US" w:eastAsia="zh-CN" w:bidi="ar"/>
              </w:rPr>
              <w:t>二氯乙烷、</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二氯乙烷、</w:t>
            </w:r>
            <w:r>
              <w:rPr>
                <w:rFonts w:ascii="Times New Roman" w:hAnsi="Times New Roman" w:eastAsia="宋体" w:cs="Times New Roman"/>
                <w:color w:val="000000"/>
                <w:sz w:val="18"/>
                <w:szCs w:val="18"/>
                <w:lang w:val="en-US" w:eastAsia="zh-CN" w:bidi="ar"/>
              </w:rPr>
              <w:t>1,1-</w:t>
            </w:r>
            <w:r>
              <w:rPr>
                <w:rFonts w:hint="eastAsia" w:ascii="宋体" w:hAnsi="宋体" w:eastAsia="宋体" w:cs="宋体"/>
                <w:color w:val="000000"/>
                <w:sz w:val="18"/>
                <w:szCs w:val="18"/>
                <w:lang w:val="en-US" w:eastAsia="zh-CN" w:bidi="ar"/>
              </w:rPr>
              <w:t>二氯乙烯、顺</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二氯乙烯、反</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二氯乙烯、二氯甲烷、</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二氯丙烷、</w:t>
            </w:r>
            <w:r>
              <w:rPr>
                <w:rFonts w:ascii="Times New Roman" w:hAnsi="Times New Roman" w:eastAsia="宋体" w:cs="Times New Roman"/>
                <w:color w:val="000000"/>
                <w:sz w:val="18"/>
                <w:szCs w:val="18"/>
                <w:lang w:val="en-US" w:eastAsia="zh-CN" w:bidi="ar"/>
              </w:rPr>
              <w:t>1,1,1,2-</w:t>
            </w:r>
            <w:r>
              <w:rPr>
                <w:rFonts w:hint="eastAsia" w:ascii="宋体" w:hAnsi="宋体" w:eastAsia="宋体" w:cs="宋体"/>
                <w:color w:val="000000"/>
                <w:sz w:val="18"/>
                <w:szCs w:val="18"/>
                <w:lang w:val="en-US" w:eastAsia="zh-CN" w:bidi="ar"/>
              </w:rPr>
              <w:t>四氯乙烷、</w:t>
            </w:r>
            <w:r>
              <w:rPr>
                <w:rFonts w:ascii="Times New Roman" w:hAnsi="Times New Roman" w:eastAsia="宋体" w:cs="Times New Roman"/>
                <w:color w:val="000000"/>
                <w:sz w:val="18"/>
                <w:szCs w:val="18"/>
                <w:lang w:val="en-US" w:eastAsia="zh-CN" w:bidi="ar"/>
              </w:rPr>
              <w:t>1,1,2,2-</w:t>
            </w:r>
            <w:r>
              <w:rPr>
                <w:rFonts w:hint="eastAsia" w:ascii="宋体" w:hAnsi="宋体" w:eastAsia="宋体" w:cs="宋体"/>
                <w:color w:val="000000"/>
                <w:sz w:val="18"/>
                <w:szCs w:val="18"/>
                <w:lang w:val="en-US" w:eastAsia="zh-CN" w:bidi="ar"/>
              </w:rPr>
              <w:t>四氯乙烷、四氯乙烯、</w:t>
            </w:r>
            <w:r>
              <w:rPr>
                <w:rFonts w:ascii="Times New Roman" w:hAnsi="Times New Roman" w:eastAsia="宋体" w:cs="Times New Roman"/>
                <w:color w:val="000000"/>
                <w:sz w:val="18"/>
                <w:szCs w:val="18"/>
                <w:lang w:val="en-US" w:eastAsia="zh-CN" w:bidi="ar"/>
              </w:rPr>
              <w:t>1,1,1-</w:t>
            </w:r>
            <w:r>
              <w:rPr>
                <w:rFonts w:hint="eastAsia" w:ascii="宋体" w:hAnsi="宋体" w:eastAsia="宋体" w:cs="宋体"/>
                <w:color w:val="000000"/>
                <w:sz w:val="18"/>
                <w:szCs w:val="18"/>
                <w:lang w:val="en-US" w:eastAsia="zh-CN" w:bidi="ar"/>
              </w:rPr>
              <w:t>三氯乙烷、</w:t>
            </w:r>
            <w:r>
              <w:rPr>
                <w:rFonts w:ascii="Times New Roman" w:hAnsi="Times New Roman" w:eastAsia="宋体" w:cs="Times New Roman"/>
                <w:color w:val="000000"/>
                <w:sz w:val="18"/>
                <w:szCs w:val="18"/>
                <w:lang w:val="en-US" w:eastAsia="zh-CN" w:bidi="ar"/>
              </w:rPr>
              <w:t>1,1,2-</w:t>
            </w:r>
            <w:r>
              <w:rPr>
                <w:rFonts w:hint="eastAsia" w:ascii="宋体" w:hAnsi="宋体" w:eastAsia="宋体" w:cs="宋体"/>
                <w:color w:val="000000"/>
                <w:sz w:val="18"/>
                <w:szCs w:val="18"/>
                <w:lang w:val="en-US" w:eastAsia="zh-CN" w:bidi="ar"/>
              </w:rPr>
              <w:t>三氯乙烷、三氯乙烯、</w:t>
            </w:r>
            <w:r>
              <w:rPr>
                <w:rFonts w:ascii="Times New Roman" w:hAnsi="Times New Roman" w:eastAsia="宋体" w:cs="Times New Roman"/>
                <w:color w:val="000000"/>
                <w:sz w:val="18"/>
                <w:szCs w:val="18"/>
                <w:lang w:val="en-US" w:eastAsia="zh-CN" w:bidi="ar"/>
              </w:rPr>
              <w:t>1,2,3-</w:t>
            </w:r>
            <w:r>
              <w:rPr>
                <w:rFonts w:hint="eastAsia" w:ascii="宋体" w:hAnsi="宋体" w:eastAsia="宋体" w:cs="宋体"/>
                <w:color w:val="000000"/>
                <w:sz w:val="18"/>
                <w:szCs w:val="18"/>
                <w:lang w:val="en-US" w:eastAsia="zh-CN" w:bidi="ar"/>
              </w:rPr>
              <w:t>三氯丙烷、氯乙烯、苯、氯苯、</w:t>
            </w:r>
            <w:r>
              <w:rPr>
                <w:rFonts w:ascii="Times New Roman" w:hAnsi="Times New Roman" w:eastAsia="宋体" w:cs="Times New Roman"/>
                <w:color w:val="000000"/>
                <w:sz w:val="18"/>
                <w:szCs w:val="18"/>
                <w:lang w:val="en-US" w:eastAsia="zh-CN" w:bidi="ar"/>
              </w:rPr>
              <w:t>1,2-</w:t>
            </w:r>
            <w:r>
              <w:rPr>
                <w:rFonts w:hint="eastAsia" w:ascii="宋体" w:hAnsi="宋体" w:eastAsia="宋体" w:cs="宋体"/>
                <w:color w:val="000000"/>
                <w:sz w:val="18"/>
                <w:szCs w:val="18"/>
                <w:lang w:val="en-US" w:eastAsia="zh-CN" w:bidi="ar"/>
              </w:rPr>
              <w:t>二氯苯、</w:t>
            </w:r>
            <w:r>
              <w:rPr>
                <w:rFonts w:ascii="Times New Roman" w:hAnsi="Times New Roman" w:eastAsia="宋体" w:cs="Times New Roman"/>
                <w:color w:val="000000"/>
                <w:sz w:val="18"/>
                <w:szCs w:val="18"/>
                <w:lang w:val="en-US" w:eastAsia="zh-CN" w:bidi="ar"/>
              </w:rPr>
              <w:t>1,4-</w:t>
            </w:r>
            <w:r>
              <w:rPr>
                <w:rFonts w:hint="eastAsia" w:ascii="宋体" w:hAnsi="宋体" w:eastAsia="宋体" w:cs="宋体"/>
                <w:color w:val="000000"/>
                <w:sz w:val="18"/>
                <w:szCs w:val="18"/>
                <w:lang w:val="en-US" w:eastAsia="zh-CN" w:bidi="ar"/>
              </w:rPr>
              <w:t>二氯苯、乙苯、 苯乙烯、甲苯、间二甲苯</w:t>
            </w:r>
            <w:r>
              <w:rPr>
                <w:rFonts w:ascii="Times New Roman" w:hAnsi="Times New Roman" w:eastAsia="宋体" w:cs="Times New Roman"/>
                <w:color w:val="000000"/>
                <w:sz w:val="18"/>
                <w:szCs w:val="18"/>
                <w:lang w:val="en-US" w:eastAsia="zh-CN" w:bidi="ar"/>
              </w:rPr>
              <w:t>+</w:t>
            </w:r>
            <w:r>
              <w:rPr>
                <w:rFonts w:hint="eastAsia" w:ascii="宋体" w:hAnsi="宋体" w:eastAsia="宋体" w:cs="宋体"/>
                <w:color w:val="000000"/>
                <w:sz w:val="18"/>
                <w:szCs w:val="18"/>
                <w:lang w:val="en-US" w:eastAsia="zh-CN" w:bidi="ar"/>
              </w:rPr>
              <w:t>对二甲苯、邻二甲苯；硝基苯、苯胺、</w:t>
            </w:r>
            <w:r>
              <w:rPr>
                <w:rFonts w:ascii="Times New Roman" w:hAnsi="Times New Roman" w:eastAsia="宋体" w:cs="Times New Roman"/>
                <w:color w:val="000000"/>
                <w:sz w:val="18"/>
                <w:szCs w:val="18"/>
                <w:lang w:val="en-US" w:eastAsia="zh-CN" w:bidi="ar"/>
              </w:rPr>
              <w:t>2-</w:t>
            </w:r>
            <w:r>
              <w:rPr>
                <w:rFonts w:hint="eastAsia" w:ascii="宋体" w:hAnsi="宋体" w:eastAsia="宋体" w:cs="宋体"/>
                <w:color w:val="000000"/>
                <w:sz w:val="18"/>
                <w:szCs w:val="18"/>
                <w:lang w:val="en-US" w:eastAsia="zh-CN" w:bidi="ar"/>
              </w:rPr>
              <w:t>氯酚、苯并</w:t>
            </w:r>
            <w:r>
              <w:rPr>
                <w:rFonts w:ascii="Times New Roman" w:hAnsi="Times New Roman" w:eastAsia="宋体" w:cs="Times New Roman"/>
                <w:color w:val="000000"/>
                <w:sz w:val="18"/>
                <w:szCs w:val="18"/>
                <w:lang w:val="en-US" w:eastAsia="zh-CN" w:bidi="ar"/>
              </w:rPr>
              <w:t>[a]</w:t>
            </w:r>
            <w:r>
              <w:rPr>
                <w:rFonts w:hint="eastAsia" w:ascii="宋体" w:hAnsi="宋体" w:eastAsia="宋体" w:cs="宋体"/>
                <w:color w:val="000000"/>
                <w:sz w:val="18"/>
                <w:szCs w:val="18"/>
                <w:lang w:val="en-US" w:eastAsia="zh-CN" w:bidi="ar"/>
              </w:rPr>
              <w:t>蒽、苯并</w:t>
            </w:r>
            <w:r>
              <w:rPr>
                <w:rFonts w:ascii="Times New Roman" w:hAnsi="Times New Roman" w:eastAsia="宋体" w:cs="Times New Roman"/>
                <w:color w:val="000000"/>
                <w:sz w:val="18"/>
                <w:szCs w:val="18"/>
                <w:lang w:val="en-US" w:eastAsia="zh-CN" w:bidi="ar"/>
              </w:rPr>
              <w:t>[a]</w:t>
            </w:r>
            <w:r>
              <w:rPr>
                <w:rFonts w:hint="eastAsia" w:ascii="宋体" w:hAnsi="宋体" w:eastAsia="宋体" w:cs="宋体"/>
                <w:color w:val="000000"/>
                <w:sz w:val="18"/>
                <w:szCs w:val="18"/>
                <w:lang w:val="en-US" w:eastAsia="zh-CN" w:bidi="ar"/>
              </w:rPr>
              <w:t>芘、苯并</w:t>
            </w:r>
            <w:r>
              <w:rPr>
                <w:rFonts w:ascii="Times New Roman" w:hAnsi="Times New Roman" w:eastAsia="宋体" w:cs="Times New Roman"/>
                <w:color w:val="000000"/>
                <w:sz w:val="18"/>
                <w:szCs w:val="18"/>
                <w:lang w:val="en-US" w:eastAsia="zh-CN" w:bidi="ar"/>
              </w:rPr>
              <w:t>[b]</w:t>
            </w:r>
            <w:r>
              <w:rPr>
                <w:rFonts w:hint="eastAsia" w:ascii="宋体" w:hAnsi="宋体" w:eastAsia="宋体" w:cs="宋体"/>
                <w:color w:val="000000"/>
                <w:sz w:val="18"/>
                <w:szCs w:val="18"/>
                <w:lang w:val="en-US" w:eastAsia="zh-CN" w:bidi="ar"/>
              </w:rPr>
              <w:t>荧蒽、苯并</w:t>
            </w:r>
            <w:r>
              <w:rPr>
                <w:rFonts w:ascii="Times New Roman" w:hAnsi="Times New Roman" w:eastAsia="宋体" w:cs="Times New Roman"/>
                <w:color w:val="000000"/>
                <w:sz w:val="18"/>
                <w:szCs w:val="18"/>
                <w:lang w:val="en-US" w:eastAsia="zh-CN" w:bidi="ar"/>
              </w:rPr>
              <w:t>[k]</w:t>
            </w:r>
            <w:r>
              <w:rPr>
                <w:rFonts w:hint="eastAsia" w:ascii="宋体" w:hAnsi="宋体" w:eastAsia="宋体" w:cs="宋体"/>
                <w:color w:val="000000"/>
                <w:sz w:val="18"/>
                <w:szCs w:val="18"/>
                <w:lang w:val="en-US" w:eastAsia="zh-CN" w:bidi="ar"/>
              </w:rPr>
              <w:t>荧蒽、䓛、二苯并</w:t>
            </w:r>
            <w:r>
              <w:rPr>
                <w:rFonts w:ascii="Times New Roman" w:hAnsi="Times New Roman" w:eastAsia="宋体" w:cs="Times New Roman"/>
                <w:color w:val="000000"/>
                <w:sz w:val="18"/>
                <w:szCs w:val="18"/>
                <w:lang w:val="en-US" w:eastAsia="zh-CN" w:bidi="ar"/>
              </w:rPr>
              <w:t>[a,h]</w:t>
            </w:r>
            <w:r>
              <w:rPr>
                <w:rFonts w:hint="eastAsia" w:ascii="宋体" w:hAnsi="宋体" w:eastAsia="宋体" w:cs="宋体"/>
                <w:color w:val="000000"/>
                <w:sz w:val="18"/>
                <w:szCs w:val="18"/>
                <w:lang w:val="en-US" w:eastAsia="zh-CN" w:bidi="ar"/>
              </w:rPr>
              <w:t>蒽、茚并</w:t>
            </w:r>
            <w:r>
              <w:rPr>
                <w:rFonts w:ascii="Times New Roman" w:hAnsi="Times New Roman" w:eastAsia="宋体" w:cs="Times New Roman"/>
                <w:color w:val="000000"/>
                <w:sz w:val="18"/>
                <w:szCs w:val="18"/>
                <w:lang w:val="en-US" w:eastAsia="zh-CN" w:bidi="ar"/>
              </w:rPr>
              <w:t>[1,2,3-cd]</w:t>
            </w:r>
            <w:r>
              <w:rPr>
                <w:rFonts w:hint="eastAsia" w:ascii="宋体" w:hAnsi="宋体" w:eastAsia="宋体" w:cs="宋体"/>
                <w:color w:val="000000"/>
                <w:sz w:val="18"/>
                <w:szCs w:val="18"/>
                <w:lang w:val="en-US" w:eastAsia="zh-CN" w:bidi="ar"/>
              </w:rPr>
              <w:t>芘、萘、pH</w:t>
            </w:r>
          </w:p>
        </w:tc>
        <w:tc>
          <w:tcPr>
            <w:tcW w:w="678" w:type="dxa"/>
            <w:noWrap w:val="0"/>
            <w:vAlign w:val="center"/>
          </w:tcPr>
          <w:p w14:paraId="14EDCEE6">
            <w:pPr>
              <w:pStyle w:val="255"/>
              <w:widowControl w:val="0"/>
              <w:jc w:val="center"/>
              <w:rPr>
                <w:sz w:val="18"/>
                <w:szCs w:val="18"/>
                <w:vertAlign w:val="baseline"/>
                <w:lang w:val="en-US" w:eastAsia="zh-CN"/>
              </w:rPr>
            </w:pPr>
          </w:p>
        </w:tc>
      </w:tr>
      <w:tr w14:paraId="69AF0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1394F4EE">
            <w:pPr>
              <w:pStyle w:val="255"/>
              <w:widowControl w:val="0"/>
              <w:jc w:val="center"/>
              <w:rPr>
                <w:sz w:val="18"/>
                <w:szCs w:val="18"/>
                <w:vertAlign w:val="baseline"/>
                <w:lang w:val="en-US" w:eastAsia="zh-CN"/>
              </w:rPr>
            </w:pPr>
          </w:p>
        </w:tc>
        <w:tc>
          <w:tcPr>
            <w:tcW w:w="2175" w:type="dxa"/>
            <w:noWrap w:val="0"/>
            <w:vAlign w:val="center"/>
          </w:tcPr>
          <w:p w14:paraId="1AF14C33">
            <w:pPr>
              <w:pStyle w:val="255"/>
              <w:widowControl w:val="0"/>
              <w:jc w:val="center"/>
              <w:rPr>
                <w:sz w:val="18"/>
                <w:szCs w:val="18"/>
                <w:vertAlign w:val="baseline"/>
                <w:lang w:val="en-US" w:eastAsia="zh-CN"/>
              </w:rPr>
            </w:pPr>
            <w:r>
              <w:rPr>
                <w:rFonts w:hint="eastAsia"/>
                <w:sz w:val="18"/>
                <w:szCs w:val="18"/>
                <w:vertAlign w:val="baseline"/>
                <w:lang w:val="en-US" w:eastAsia="zh-CN"/>
              </w:rPr>
              <w:t>评价标准</w:t>
            </w:r>
          </w:p>
        </w:tc>
        <w:tc>
          <w:tcPr>
            <w:tcW w:w="5190" w:type="dxa"/>
            <w:gridSpan w:val="6"/>
            <w:noWrap w:val="0"/>
            <w:vAlign w:val="center"/>
          </w:tcPr>
          <w:p w14:paraId="14DB2556">
            <w:pPr>
              <w:pStyle w:val="255"/>
              <w:widowControl w:val="0"/>
              <w:jc w:val="center"/>
              <w:rPr>
                <w:sz w:val="18"/>
                <w:szCs w:val="18"/>
                <w:vertAlign w:val="baseline"/>
                <w:lang w:val="en-US" w:eastAsia="zh-CN"/>
              </w:rPr>
            </w:pPr>
            <w:r>
              <w:rPr>
                <w:rFonts w:hint="eastAsia"/>
                <w:sz w:val="18"/>
                <w:szCs w:val="18"/>
                <w:vertAlign w:val="baseline"/>
                <w:lang w:val="en-US" w:eastAsia="zh-CN"/>
              </w:rPr>
              <w:t>GB15618</w:t>
            </w:r>
            <w:r>
              <w:rPr>
                <w:rFonts w:ascii="Wingdings 2" w:hAnsi="Wingdings 2" w:eastAsia="Wingdings 2" w:cs="Wingdings 2"/>
                <w:color w:val="000000"/>
                <w:sz w:val="18"/>
                <w:szCs w:val="18"/>
              </w:rPr>
              <w:t>£</w:t>
            </w:r>
            <w:r>
              <w:rPr>
                <w:rFonts w:hint="eastAsia"/>
                <w:sz w:val="18"/>
                <w:szCs w:val="18"/>
                <w:vertAlign w:val="baseline"/>
                <w:lang w:val="en-US" w:eastAsia="zh-CN"/>
              </w:rPr>
              <w:t>；GB36600</w:t>
            </w:r>
            <w:r>
              <w:rPr>
                <w:rFonts w:ascii="Wingdings 2" w:hAnsi="Wingdings 2" w:eastAsia="Wingdings 2" w:cs="Wingdings 2"/>
                <w:color w:val="000000"/>
                <w:sz w:val="18"/>
                <w:szCs w:val="18"/>
              </w:rPr>
              <w:t>R</w:t>
            </w:r>
            <w:r>
              <w:rPr>
                <w:rFonts w:hint="eastAsia"/>
                <w:sz w:val="18"/>
                <w:szCs w:val="18"/>
                <w:vertAlign w:val="baseline"/>
                <w:lang w:val="en-US" w:eastAsia="zh-CN"/>
              </w:rPr>
              <w:t>；表D.1</w:t>
            </w:r>
            <w:r>
              <w:rPr>
                <w:rFonts w:ascii="Wingdings 2" w:hAnsi="Wingdings 2" w:eastAsia="Wingdings 2" w:cs="Wingdings 2"/>
                <w:color w:val="000000"/>
                <w:sz w:val="18"/>
                <w:szCs w:val="18"/>
              </w:rPr>
              <w:t>£</w:t>
            </w:r>
            <w:r>
              <w:rPr>
                <w:rFonts w:hint="eastAsia"/>
                <w:sz w:val="18"/>
                <w:szCs w:val="18"/>
                <w:vertAlign w:val="baseline"/>
                <w:lang w:val="en-US" w:eastAsia="zh-CN"/>
              </w:rPr>
              <w:t>；表D.2</w:t>
            </w:r>
            <w:r>
              <w:rPr>
                <w:rFonts w:ascii="Wingdings 2" w:hAnsi="Wingdings 2" w:eastAsia="Wingdings 2" w:cs="Wingdings 2"/>
                <w:color w:val="000000"/>
                <w:sz w:val="18"/>
                <w:szCs w:val="18"/>
              </w:rPr>
              <w:t>R</w:t>
            </w:r>
            <w:r>
              <w:rPr>
                <w:rFonts w:hint="eastAsia"/>
                <w:sz w:val="18"/>
                <w:szCs w:val="18"/>
                <w:vertAlign w:val="baseline"/>
                <w:lang w:val="en-US" w:eastAsia="zh-CN"/>
              </w:rPr>
              <w:t>；其他（）</w:t>
            </w:r>
          </w:p>
        </w:tc>
        <w:tc>
          <w:tcPr>
            <w:tcW w:w="678" w:type="dxa"/>
            <w:noWrap w:val="0"/>
            <w:vAlign w:val="center"/>
          </w:tcPr>
          <w:p w14:paraId="3EB18B85">
            <w:pPr>
              <w:pStyle w:val="255"/>
              <w:widowControl w:val="0"/>
              <w:jc w:val="center"/>
              <w:rPr>
                <w:sz w:val="18"/>
                <w:szCs w:val="18"/>
                <w:vertAlign w:val="baseline"/>
                <w:lang w:val="en-US" w:eastAsia="zh-CN"/>
              </w:rPr>
            </w:pPr>
          </w:p>
        </w:tc>
      </w:tr>
      <w:tr w14:paraId="6900B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235993B8">
            <w:pPr>
              <w:pStyle w:val="255"/>
              <w:widowControl w:val="0"/>
              <w:jc w:val="center"/>
              <w:rPr>
                <w:sz w:val="18"/>
                <w:szCs w:val="18"/>
                <w:vertAlign w:val="baseline"/>
                <w:lang w:val="en-US" w:eastAsia="zh-CN"/>
              </w:rPr>
            </w:pPr>
          </w:p>
        </w:tc>
        <w:tc>
          <w:tcPr>
            <w:tcW w:w="2175" w:type="dxa"/>
            <w:noWrap w:val="0"/>
            <w:vAlign w:val="center"/>
          </w:tcPr>
          <w:p w14:paraId="1C5986E1">
            <w:pPr>
              <w:pStyle w:val="255"/>
              <w:widowControl w:val="0"/>
              <w:jc w:val="center"/>
              <w:rPr>
                <w:sz w:val="18"/>
                <w:szCs w:val="18"/>
                <w:vertAlign w:val="baseline"/>
                <w:lang w:val="en-US" w:eastAsia="zh-CN"/>
              </w:rPr>
            </w:pPr>
            <w:r>
              <w:rPr>
                <w:rFonts w:hint="eastAsia"/>
                <w:sz w:val="18"/>
                <w:szCs w:val="18"/>
                <w:vertAlign w:val="baseline"/>
                <w:lang w:val="en-US" w:eastAsia="zh-CN"/>
              </w:rPr>
              <w:t>现状评价结论</w:t>
            </w:r>
          </w:p>
        </w:tc>
        <w:tc>
          <w:tcPr>
            <w:tcW w:w="5190" w:type="dxa"/>
            <w:gridSpan w:val="6"/>
            <w:noWrap w:val="0"/>
            <w:vAlign w:val="center"/>
          </w:tcPr>
          <w:p w14:paraId="270F02F8">
            <w:pPr>
              <w:pStyle w:val="255"/>
              <w:widowControl w:val="0"/>
              <w:ind w:left="0" w:firstLine="0"/>
              <w:jc w:val="both"/>
              <w:rPr>
                <w:sz w:val="18"/>
                <w:szCs w:val="18"/>
                <w:vertAlign w:val="baseline"/>
                <w:lang w:val="en-US" w:eastAsia="zh-CN"/>
              </w:rPr>
            </w:pPr>
            <w:r>
              <w:rPr>
                <w:rFonts w:hint="eastAsia" w:ascii="Times New Roman" w:hAnsi="Times New Roman" w:eastAsia="宋体" w:cs="Times New Roman"/>
                <w:color w:val="000000"/>
                <w:sz w:val="18"/>
                <w:szCs w:val="18"/>
                <w:lang w:val="en-US" w:eastAsia="zh-CN" w:bidi="ar"/>
              </w:rPr>
              <w:t>满足</w:t>
            </w:r>
            <w:r>
              <w:rPr>
                <w:rFonts w:ascii="Times New Roman" w:hAnsi="Times New Roman" w:eastAsia="宋体" w:cs="Times New Roman"/>
                <w:color w:val="000000"/>
                <w:sz w:val="18"/>
                <w:szCs w:val="18"/>
                <w:lang w:val="en-US" w:eastAsia="zh-CN" w:bidi="ar"/>
              </w:rPr>
              <w:t>《土壤环境质量 建设用地土壤污染风险管控标准（试行）》GB36600-2018</w:t>
            </w:r>
            <w:r>
              <w:rPr>
                <w:rFonts w:hint="eastAsia" w:ascii="Times New Roman" w:hAnsi="Times New Roman" w:eastAsia="宋体" w:cs="Times New Roman"/>
                <w:color w:val="000000"/>
                <w:sz w:val="18"/>
                <w:szCs w:val="18"/>
                <w:lang w:val="en-US" w:eastAsia="zh-CN" w:bidi="ar"/>
              </w:rPr>
              <w:t>中第二类用地要求。</w:t>
            </w:r>
          </w:p>
        </w:tc>
        <w:tc>
          <w:tcPr>
            <w:tcW w:w="678" w:type="dxa"/>
            <w:noWrap w:val="0"/>
            <w:vAlign w:val="center"/>
          </w:tcPr>
          <w:p w14:paraId="70C6BA61">
            <w:pPr>
              <w:pStyle w:val="255"/>
              <w:widowControl w:val="0"/>
              <w:jc w:val="center"/>
              <w:rPr>
                <w:sz w:val="18"/>
                <w:szCs w:val="18"/>
                <w:vertAlign w:val="baseline"/>
                <w:lang w:val="en-US" w:eastAsia="zh-CN"/>
              </w:rPr>
            </w:pPr>
          </w:p>
        </w:tc>
      </w:tr>
      <w:tr w14:paraId="35BE5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restart"/>
            <w:noWrap w:val="0"/>
            <w:vAlign w:val="center"/>
          </w:tcPr>
          <w:p w14:paraId="5EEE18B3">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影响预测</w:t>
            </w:r>
          </w:p>
        </w:tc>
        <w:tc>
          <w:tcPr>
            <w:tcW w:w="2175" w:type="dxa"/>
            <w:noWrap w:val="0"/>
            <w:vAlign w:val="center"/>
          </w:tcPr>
          <w:p w14:paraId="3AC0DE40">
            <w:pPr>
              <w:pStyle w:val="255"/>
              <w:widowControl w:val="0"/>
              <w:jc w:val="center"/>
              <w:rPr>
                <w:sz w:val="18"/>
                <w:szCs w:val="18"/>
                <w:vertAlign w:val="baseline"/>
                <w:lang w:val="en-US" w:eastAsia="zh-CN"/>
              </w:rPr>
            </w:pPr>
            <w:r>
              <w:rPr>
                <w:rFonts w:hint="eastAsia"/>
                <w:sz w:val="18"/>
                <w:szCs w:val="18"/>
                <w:vertAlign w:val="baseline"/>
                <w:lang w:val="en-US" w:eastAsia="zh-CN"/>
              </w:rPr>
              <w:t>预测因子</w:t>
            </w:r>
          </w:p>
        </w:tc>
        <w:tc>
          <w:tcPr>
            <w:tcW w:w="5190" w:type="dxa"/>
            <w:gridSpan w:val="6"/>
            <w:noWrap w:val="0"/>
            <w:vAlign w:val="center"/>
          </w:tcPr>
          <w:p w14:paraId="0B730295">
            <w:pPr>
              <w:pStyle w:val="255"/>
              <w:widowControl w:val="0"/>
              <w:jc w:val="center"/>
              <w:rPr>
                <w:sz w:val="18"/>
                <w:szCs w:val="18"/>
                <w:vertAlign w:val="baseline"/>
                <w:lang w:val="en-US" w:eastAsia="zh-CN"/>
              </w:rPr>
            </w:pPr>
            <w:r>
              <w:rPr>
                <w:rFonts w:hint="eastAsia"/>
                <w:sz w:val="18"/>
                <w:szCs w:val="18"/>
                <w:vertAlign w:val="baseline"/>
                <w:lang w:val="en-US" w:eastAsia="zh-CN"/>
              </w:rPr>
              <w:t>/</w:t>
            </w:r>
          </w:p>
        </w:tc>
        <w:tc>
          <w:tcPr>
            <w:tcW w:w="678" w:type="dxa"/>
            <w:noWrap w:val="0"/>
            <w:vAlign w:val="center"/>
          </w:tcPr>
          <w:p w14:paraId="2470BF0E">
            <w:pPr>
              <w:pStyle w:val="255"/>
              <w:widowControl w:val="0"/>
              <w:jc w:val="center"/>
              <w:rPr>
                <w:sz w:val="18"/>
                <w:szCs w:val="18"/>
                <w:vertAlign w:val="baseline"/>
                <w:lang w:val="en-US" w:eastAsia="zh-CN"/>
              </w:rPr>
            </w:pPr>
          </w:p>
        </w:tc>
      </w:tr>
      <w:tr w14:paraId="290FF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277C9DF1">
            <w:pPr>
              <w:pStyle w:val="255"/>
              <w:widowControl w:val="0"/>
              <w:jc w:val="center"/>
              <w:rPr>
                <w:sz w:val="18"/>
                <w:szCs w:val="18"/>
                <w:vertAlign w:val="baseline"/>
                <w:lang w:val="en-US" w:eastAsia="zh-CN"/>
              </w:rPr>
            </w:pPr>
          </w:p>
        </w:tc>
        <w:tc>
          <w:tcPr>
            <w:tcW w:w="2175" w:type="dxa"/>
            <w:noWrap w:val="0"/>
            <w:vAlign w:val="center"/>
          </w:tcPr>
          <w:p w14:paraId="2E290822">
            <w:pPr>
              <w:pStyle w:val="255"/>
              <w:widowControl w:val="0"/>
              <w:jc w:val="center"/>
              <w:rPr>
                <w:sz w:val="18"/>
                <w:szCs w:val="18"/>
                <w:vertAlign w:val="baseline"/>
                <w:lang w:val="en-US" w:eastAsia="zh-CN"/>
              </w:rPr>
            </w:pPr>
            <w:r>
              <w:rPr>
                <w:rFonts w:hint="eastAsia"/>
                <w:sz w:val="18"/>
                <w:szCs w:val="18"/>
                <w:vertAlign w:val="baseline"/>
                <w:lang w:val="en-US" w:eastAsia="zh-CN"/>
              </w:rPr>
              <w:t>预测方法</w:t>
            </w:r>
          </w:p>
        </w:tc>
        <w:tc>
          <w:tcPr>
            <w:tcW w:w="5190" w:type="dxa"/>
            <w:gridSpan w:val="6"/>
            <w:noWrap w:val="0"/>
            <w:vAlign w:val="center"/>
          </w:tcPr>
          <w:p w14:paraId="6F530A94">
            <w:pPr>
              <w:pStyle w:val="255"/>
              <w:widowControl w:val="0"/>
              <w:jc w:val="center"/>
              <w:rPr>
                <w:rFonts w:hint="eastAsia" w:eastAsia="Calibri"/>
                <w:sz w:val="18"/>
                <w:szCs w:val="18"/>
                <w:vertAlign w:val="baseline"/>
                <w:lang w:val="en-US" w:eastAsia="zh-CN"/>
              </w:rPr>
            </w:pPr>
            <w:r>
              <w:rPr>
                <w:rFonts w:hint="eastAsia"/>
                <w:sz w:val="18"/>
                <w:szCs w:val="18"/>
                <w:vertAlign w:val="baseline"/>
                <w:lang w:val="en-US" w:eastAsia="zh-CN"/>
              </w:rPr>
              <w:t>附录E</w:t>
            </w:r>
            <w:r>
              <w:rPr>
                <w:rFonts w:ascii="Wingdings 2" w:hAnsi="Wingdings 2" w:eastAsia="Wingdings 2" w:cs="Wingdings 2"/>
                <w:color w:val="000000"/>
                <w:sz w:val="18"/>
                <w:szCs w:val="18"/>
              </w:rPr>
              <w:t>£</w:t>
            </w:r>
            <w:r>
              <w:rPr>
                <w:rFonts w:hint="eastAsia"/>
                <w:sz w:val="18"/>
                <w:szCs w:val="18"/>
                <w:vertAlign w:val="baseline"/>
                <w:lang w:val="en-US" w:eastAsia="zh-CN"/>
              </w:rPr>
              <w:t>；附录F</w:t>
            </w:r>
            <w:r>
              <w:rPr>
                <w:rFonts w:ascii="Wingdings 2" w:hAnsi="Wingdings 2" w:eastAsia="Wingdings 2" w:cs="Wingdings 2"/>
                <w:color w:val="000000"/>
                <w:sz w:val="18"/>
                <w:szCs w:val="18"/>
              </w:rPr>
              <w:t>£</w:t>
            </w:r>
            <w:r>
              <w:rPr>
                <w:rFonts w:hint="eastAsia"/>
                <w:sz w:val="18"/>
                <w:szCs w:val="18"/>
                <w:vertAlign w:val="baseline"/>
                <w:lang w:val="en-US" w:eastAsia="zh-CN"/>
              </w:rPr>
              <w:t>；其他</w:t>
            </w:r>
            <w:r>
              <w:rPr>
                <w:rFonts w:hint="eastAsia" w:ascii="Times New Roman" w:hAnsi="Times New Roman" w:eastAsia="宋体" w:cs="Times New Roman"/>
                <w:color w:val="000000"/>
                <w:sz w:val="18"/>
                <w:szCs w:val="18"/>
                <w:lang w:eastAsia="zh-CN"/>
              </w:rPr>
              <w:t>（）</w:t>
            </w:r>
          </w:p>
        </w:tc>
        <w:tc>
          <w:tcPr>
            <w:tcW w:w="678" w:type="dxa"/>
            <w:noWrap w:val="0"/>
            <w:vAlign w:val="center"/>
          </w:tcPr>
          <w:p w14:paraId="3DF350CC">
            <w:pPr>
              <w:pStyle w:val="255"/>
              <w:widowControl w:val="0"/>
              <w:jc w:val="center"/>
              <w:rPr>
                <w:sz w:val="18"/>
                <w:szCs w:val="18"/>
                <w:vertAlign w:val="baseline"/>
                <w:lang w:val="en-US" w:eastAsia="zh-CN"/>
              </w:rPr>
            </w:pPr>
          </w:p>
        </w:tc>
      </w:tr>
      <w:tr w14:paraId="6EF16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360E268E">
            <w:pPr>
              <w:pStyle w:val="255"/>
              <w:widowControl w:val="0"/>
              <w:jc w:val="center"/>
              <w:rPr>
                <w:sz w:val="18"/>
                <w:szCs w:val="18"/>
                <w:vertAlign w:val="baseline"/>
                <w:lang w:val="en-US" w:eastAsia="zh-CN"/>
              </w:rPr>
            </w:pPr>
          </w:p>
        </w:tc>
        <w:tc>
          <w:tcPr>
            <w:tcW w:w="2175" w:type="dxa"/>
            <w:noWrap w:val="0"/>
            <w:vAlign w:val="center"/>
          </w:tcPr>
          <w:p w14:paraId="481E9A3B">
            <w:pPr>
              <w:pStyle w:val="255"/>
              <w:widowControl w:val="0"/>
              <w:jc w:val="center"/>
              <w:rPr>
                <w:sz w:val="18"/>
                <w:szCs w:val="18"/>
                <w:vertAlign w:val="baseline"/>
                <w:lang w:val="en-US" w:eastAsia="zh-CN"/>
              </w:rPr>
            </w:pPr>
            <w:r>
              <w:rPr>
                <w:rFonts w:hint="eastAsia"/>
                <w:sz w:val="18"/>
                <w:szCs w:val="18"/>
                <w:vertAlign w:val="baseline"/>
                <w:lang w:val="en-US" w:eastAsia="zh-CN"/>
              </w:rPr>
              <w:t>预测分析内容</w:t>
            </w:r>
          </w:p>
        </w:tc>
        <w:tc>
          <w:tcPr>
            <w:tcW w:w="5190" w:type="dxa"/>
            <w:gridSpan w:val="6"/>
            <w:noWrap w:val="0"/>
            <w:vAlign w:val="center"/>
          </w:tcPr>
          <w:p w14:paraId="21DB584A">
            <w:pPr>
              <w:pStyle w:val="255"/>
              <w:widowControl w:val="0"/>
              <w:jc w:val="center"/>
              <w:rPr>
                <w:sz w:val="18"/>
                <w:szCs w:val="18"/>
                <w:vertAlign w:val="baseline"/>
                <w:lang w:val="en-US" w:eastAsia="zh-CN"/>
              </w:rPr>
            </w:pPr>
            <w:r>
              <w:rPr>
                <w:rFonts w:hint="eastAsia"/>
                <w:sz w:val="18"/>
                <w:szCs w:val="18"/>
                <w:vertAlign w:val="baseline"/>
                <w:lang w:val="en-US" w:eastAsia="zh-CN"/>
              </w:rPr>
              <w:t>影响范围（）影响程度（）</w:t>
            </w:r>
          </w:p>
        </w:tc>
        <w:tc>
          <w:tcPr>
            <w:tcW w:w="678" w:type="dxa"/>
            <w:noWrap w:val="0"/>
            <w:vAlign w:val="center"/>
          </w:tcPr>
          <w:p w14:paraId="63A02C85">
            <w:pPr>
              <w:pStyle w:val="255"/>
              <w:widowControl w:val="0"/>
              <w:jc w:val="center"/>
              <w:rPr>
                <w:sz w:val="18"/>
                <w:szCs w:val="18"/>
                <w:vertAlign w:val="baseline"/>
                <w:lang w:val="en-US" w:eastAsia="zh-CN"/>
              </w:rPr>
            </w:pPr>
          </w:p>
        </w:tc>
      </w:tr>
      <w:tr w14:paraId="78186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0EB38068">
            <w:pPr>
              <w:pStyle w:val="255"/>
              <w:widowControl w:val="0"/>
              <w:jc w:val="center"/>
              <w:rPr>
                <w:sz w:val="18"/>
                <w:szCs w:val="18"/>
                <w:vertAlign w:val="baseline"/>
                <w:lang w:val="en-US" w:eastAsia="zh-CN"/>
              </w:rPr>
            </w:pPr>
          </w:p>
        </w:tc>
        <w:tc>
          <w:tcPr>
            <w:tcW w:w="2175" w:type="dxa"/>
            <w:noWrap w:val="0"/>
            <w:vAlign w:val="center"/>
          </w:tcPr>
          <w:p w14:paraId="35FADC0C">
            <w:pPr>
              <w:pStyle w:val="255"/>
              <w:widowControl w:val="0"/>
              <w:jc w:val="center"/>
              <w:rPr>
                <w:sz w:val="18"/>
                <w:szCs w:val="18"/>
                <w:vertAlign w:val="baseline"/>
                <w:lang w:val="en-US" w:eastAsia="zh-CN"/>
              </w:rPr>
            </w:pPr>
            <w:r>
              <w:rPr>
                <w:rFonts w:hint="eastAsia"/>
                <w:sz w:val="18"/>
                <w:szCs w:val="18"/>
                <w:vertAlign w:val="baseline"/>
                <w:lang w:val="en-US" w:eastAsia="zh-CN"/>
              </w:rPr>
              <w:t>预测结论</w:t>
            </w:r>
          </w:p>
        </w:tc>
        <w:tc>
          <w:tcPr>
            <w:tcW w:w="5190" w:type="dxa"/>
            <w:gridSpan w:val="6"/>
            <w:noWrap w:val="0"/>
            <w:vAlign w:val="center"/>
          </w:tcPr>
          <w:p w14:paraId="1A7AAC5D">
            <w:pPr>
              <w:pStyle w:val="255"/>
              <w:widowControl w:val="0"/>
              <w:jc w:val="center"/>
              <w:rPr>
                <w:rFonts w:ascii="Times New Roman" w:hAnsi="Times New Roman" w:eastAsia="宋体" w:cs="Times New Roman"/>
                <w:color w:val="000000"/>
                <w:sz w:val="18"/>
                <w:szCs w:val="18"/>
              </w:rPr>
            </w:pPr>
            <w:r>
              <w:rPr>
                <w:rFonts w:hint="eastAsia"/>
                <w:sz w:val="18"/>
                <w:szCs w:val="18"/>
                <w:vertAlign w:val="baseline"/>
                <w:lang w:val="en-US" w:eastAsia="zh-CN"/>
              </w:rPr>
              <w:t>达标结论：a）</w:t>
            </w:r>
            <w:r>
              <w:rPr>
                <w:rFonts w:ascii="Wingdings 2" w:hAnsi="Wingdings 2" w:eastAsia="Wingdings 2" w:cs="Wingdings 2"/>
                <w:color w:val="000000"/>
                <w:sz w:val="18"/>
                <w:szCs w:val="18"/>
              </w:rPr>
              <w:t>R</w:t>
            </w:r>
            <w:r>
              <w:rPr>
                <w:rFonts w:hint="eastAsia" w:ascii="Times New Roman" w:hAnsi="Times New Roman" w:eastAsia="宋体" w:cs="Times New Roman"/>
                <w:color w:val="000000"/>
                <w:sz w:val="18"/>
                <w:szCs w:val="18"/>
                <w:lang w:eastAsia="zh-CN"/>
              </w:rPr>
              <w:t>；</w:t>
            </w:r>
            <w:r>
              <w:rPr>
                <w:rFonts w:hint="eastAsia"/>
                <w:sz w:val="18"/>
                <w:szCs w:val="18"/>
                <w:vertAlign w:val="baseline"/>
                <w:lang w:val="en-US" w:eastAsia="zh-CN"/>
              </w:rPr>
              <w:t xml:space="preserve"> b）</w:t>
            </w:r>
            <w:r>
              <w:rPr>
                <w:rFonts w:ascii="Wingdings 2" w:hAnsi="Wingdings 2" w:eastAsia="Wingdings 2" w:cs="Wingdings 2"/>
                <w:color w:val="000000"/>
                <w:sz w:val="18"/>
                <w:szCs w:val="18"/>
              </w:rPr>
              <w:t>£</w:t>
            </w:r>
            <w:r>
              <w:rPr>
                <w:rFonts w:hint="eastAsia" w:ascii="Times New Roman" w:hAnsi="Times New Roman" w:eastAsia="宋体" w:cs="Times New Roman"/>
                <w:color w:val="000000"/>
                <w:sz w:val="18"/>
                <w:szCs w:val="18"/>
                <w:lang w:eastAsia="zh-CN"/>
              </w:rPr>
              <w:t>；</w:t>
            </w:r>
            <w:r>
              <w:rPr>
                <w:rFonts w:hint="eastAsia"/>
                <w:sz w:val="18"/>
                <w:szCs w:val="18"/>
                <w:vertAlign w:val="baseline"/>
                <w:lang w:val="en-US" w:eastAsia="zh-CN"/>
              </w:rPr>
              <w:t>c）</w:t>
            </w:r>
            <w:r>
              <w:rPr>
                <w:rFonts w:ascii="Wingdings 2" w:hAnsi="Wingdings 2" w:eastAsia="Wingdings 2" w:cs="Wingdings 2"/>
                <w:color w:val="000000"/>
                <w:sz w:val="18"/>
                <w:szCs w:val="18"/>
              </w:rPr>
              <w:t>£</w:t>
            </w:r>
          </w:p>
          <w:p w14:paraId="7A522326">
            <w:pPr>
              <w:pStyle w:val="255"/>
              <w:widowControl w:val="0"/>
              <w:jc w:val="center"/>
              <w:rPr>
                <w:rFonts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不达标结论：</w:t>
            </w:r>
            <w:r>
              <w:rPr>
                <w:rFonts w:hint="eastAsia"/>
                <w:sz w:val="18"/>
                <w:szCs w:val="18"/>
                <w:vertAlign w:val="baseline"/>
                <w:lang w:val="en-US" w:eastAsia="zh-CN"/>
              </w:rPr>
              <w:t>a）</w:t>
            </w:r>
            <w:r>
              <w:rPr>
                <w:rFonts w:ascii="Wingdings 2" w:hAnsi="Wingdings 2" w:eastAsia="Wingdings 2" w:cs="Wingdings 2"/>
                <w:color w:val="000000"/>
                <w:sz w:val="18"/>
                <w:szCs w:val="18"/>
              </w:rPr>
              <w:t>£</w:t>
            </w:r>
            <w:r>
              <w:rPr>
                <w:rFonts w:hint="eastAsia" w:ascii="Times New Roman" w:hAnsi="Times New Roman" w:eastAsia="宋体" w:cs="Times New Roman"/>
                <w:color w:val="000000"/>
                <w:sz w:val="18"/>
                <w:szCs w:val="18"/>
                <w:lang w:eastAsia="zh-CN"/>
              </w:rPr>
              <w:t>；</w:t>
            </w:r>
            <w:r>
              <w:rPr>
                <w:rFonts w:hint="eastAsia"/>
                <w:sz w:val="18"/>
                <w:szCs w:val="18"/>
                <w:vertAlign w:val="baseline"/>
                <w:lang w:val="en-US" w:eastAsia="zh-CN"/>
              </w:rPr>
              <w:t xml:space="preserve"> b）</w:t>
            </w:r>
            <w:r>
              <w:rPr>
                <w:rFonts w:ascii="Wingdings 2" w:hAnsi="Wingdings 2" w:eastAsia="Wingdings 2" w:cs="Wingdings 2"/>
                <w:color w:val="000000"/>
                <w:sz w:val="18"/>
                <w:szCs w:val="18"/>
              </w:rPr>
              <w:t>£</w:t>
            </w:r>
          </w:p>
        </w:tc>
        <w:tc>
          <w:tcPr>
            <w:tcW w:w="678" w:type="dxa"/>
            <w:noWrap w:val="0"/>
            <w:vAlign w:val="center"/>
          </w:tcPr>
          <w:p w14:paraId="488A3215">
            <w:pPr>
              <w:pStyle w:val="255"/>
              <w:widowControl w:val="0"/>
              <w:jc w:val="center"/>
              <w:rPr>
                <w:sz w:val="18"/>
                <w:szCs w:val="18"/>
                <w:vertAlign w:val="baseline"/>
                <w:lang w:val="en-US" w:eastAsia="zh-CN"/>
              </w:rPr>
            </w:pPr>
          </w:p>
        </w:tc>
      </w:tr>
      <w:tr w14:paraId="2C8F7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restart"/>
            <w:noWrap w:val="0"/>
            <w:vAlign w:val="center"/>
          </w:tcPr>
          <w:p w14:paraId="67CECD58">
            <w:pPr>
              <w:pStyle w:val="255"/>
              <w:widowControl w:val="0"/>
              <w:ind w:left="0" w:firstLine="0"/>
              <w:jc w:val="center"/>
              <w:rPr>
                <w:sz w:val="18"/>
                <w:szCs w:val="18"/>
                <w:vertAlign w:val="baseline"/>
                <w:lang w:val="en-US" w:eastAsia="zh-CN"/>
              </w:rPr>
            </w:pPr>
            <w:r>
              <w:rPr>
                <w:rFonts w:hint="eastAsia"/>
                <w:sz w:val="18"/>
                <w:szCs w:val="18"/>
                <w:vertAlign w:val="baseline"/>
                <w:lang w:val="en-US" w:eastAsia="zh-CN"/>
              </w:rPr>
              <w:t>防治措施</w:t>
            </w:r>
          </w:p>
        </w:tc>
        <w:tc>
          <w:tcPr>
            <w:tcW w:w="2175" w:type="dxa"/>
            <w:noWrap w:val="0"/>
            <w:vAlign w:val="center"/>
          </w:tcPr>
          <w:p w14:paraId="36A632CF">
            <w:pPr>
              <w:pStyle w:val="255"/>
              <w:widowControl w:val="0"/>
              <w:jc w:val="center"/>
              <w:rPr>
                <w:sz w:val="18"/>
                <w:szCs w:val="18"/>
                <w:vertAlign w:val="baseline"/>
                <w:lang w:val="en-US" w:eastAsia="zh-CN"/>
              </w:rPr>
            </w:pPr>
            <w:r>
              <w:rPr>
                <w:rFonts w:hint="eastAsia"/>
                <w:sz w:val="18"/>
                <w:szCs w:val="18"/>
                <w:vertAlign w:val="baseline"/>
                <w:lang w:val="en-US" w:eastAsia="zh-CN"/>
              </w:rPr>
              <w:t>预防措施</w:t>
            </w:r>
          </w:p>
        </w:tc>
        <w:tc>
          <w:tcPr>
            <w:tcW w:w="5190" w:type="dxa"/>
            <w:gridSpan w:val="6"/>
            <w:noWrap w:val="0"/>
            <w:vAlign w:val="center"/>
          </w:tcPr>
          <w:p w14:paraId="14D94860">
            <w:pPr>
              <w:pStyle w:val="255"/>
              <w:widowControl w:val="0"/>
              <w:jc w:val="center"/>
              <w:rPr>
                <w:sz w:val="18"/>
                <w:szCs w:val="18"/>
                <w:vertAlign w:val="baseline"/>
                <w:lang w:val="en-US" w:eastAsia="zh-CN"/>
              </w:rPr>
            </w:pPr>
            <w:r>
              <w:rPr>
                <w:rFonts w:hint="eastAsia"/>
                <w:sz w:val="18"/>
                <w:szCs w:val="18"/>
                <w:vertAlign w:val="baseline"/>
                <w:lang w:val="en-US" w:eastAsia="zh-CN"/>
              </w:rPr>
              <w:t>土壤环境质量现状保障</w:t>
            </w:r>
            <w:r>
              <w:rPr>
                <w:rFonts w:ascii="Wingdings 2" w:hAnsi="Wingdings 2" w:eastAsia="Wingdings 2" w:cs="Wingdings 2"/>
                <w:color w:val="000000"/>
                <w:sz w:val="18"/>
                <w:szCs w:val="18"/>
              </w:rPr>
              <w:t>R</w:t>
            </w:r>
            <w:r>
              <w:rPr>
                <w:rFonts w:hint="eastAsia"/>
                <w:sz w:val="18"/>
                <w:szCs w:val="18"/>
                <w:vertAlign w:val="baseline"/>
                <w:lang w:val="en-US" w:eastAsia="zh-CN"/>
              </w:rPr>
              <w:t>；源头控制</w:t>
            </w:r>
            <w:r>
              <w:rPr>
                <w:rFonts w:ascii="Wingdings 2" w:hAnsi="Wingdings 2" w:eastAsia="Wingdings 2" w:cs="Wingdings 2"/>
                <w:color w:val="000000"/>
                <w:sz w:val="18"/>
                <w:szCs w:val="18"/>
              </w:rPr>
              <w:t>R</w:t>
            </w:r>
            <w:r>
              <w:rPr>
                <w:rFonts w:hint="eastAsia"/>
                <w:sz w:val="18"/>
                <w:szCs w:val="18"/>
                <w:vertAlign w:val="baseline"/>
                <w:lang w:val="en-US" w:eastAsia="zh-CN"/>
              </w:rPr>
              <w:t>；过程防控</w:t>
            </w:r>
            <w:r>
              <w:rPr>
                <w:rFonts w:ascii="Wingdings 2" w:hAnsi="Wingdings 2" w:eastAsia="Wingdings 2" w:cs="Wingdings 2"/>
                <w:color w:val="000000"/>
                <w:sz w:val="18"/>
                <w:szCs w:val="18"/>
              </w:rPr>
              <w:t>R</w:t>
            </w:r>
            <w:r>
              <w:rPr>
                <w:rFonts w:hint="eastAsia"/>
                <w:sz w:val="18"/>
                <w:szCs w:val="18"/>
                <w:vertAlign w:val="baseline"/>
                <w:lang w:val="en-US" w:eastAsia="zh-CN"/>
              </w:rPr>
              <w:t>；其他（）</w:t>
            </w:r>
          </w:p>
        </w:tc>
        <w:tc>
          <w:tcPr>
            <w:tcW w:w="678" w:type="dxa"/>
            <w:noWrap w:val="0"/>
            <w:vAlign w:val="center"/>
          </w:tcPr>
          <w:p w14:paraId="09D238B2">
            <w:pPr>
              <w:pStyle w:val="255"/>
              <w:widowControl w:val="0"/>
              <w:jc w:val="center"/>
              <w:rPr>
                <w:sz w:val="18"/>
                <w:szCs w:val="18"/>
                <w:vertAlign w:val="baseline"/>
                <w:lang w:val="en-US" w:eastAsia="zh-CN"/>
              </w:rPr>
            </w:pPr>
          </w:p>
        </w:tc>
      </w:tr>
      <w:tr w14:paraId="58A45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813" w:type="dxa"/>
            <w:vMerge w:val="continue"/>
            <w:noWrap w:val="0"/>
            <w:vAlign w:val="center"/>
          </w:tcPr>
          <w:p w14:paraId="05F72F2D">
            <w:pPr>
              <w:pStyle w:val="255"/>
              <w:widowControl w:val="0"/>
              <w:jc w:val="center"/>
              <w:rPr>
                <w:sz w:val="18"/>
                <w:szCs w:val="18"/>
                <w:vertAlign w:val="baseline"/>
                <w:lang w:val="en-US" w:eastAsia="zh-CN"/>
              </w:rPr>
            </w:pPr>
          </w:p>
        </w:tc>
        <w:tc>
          <w:tcPr>
            <w:tcW w:w="2175" w:type="dxa"/>
            <w:vMerge w:val="restart"/>
            <w:noWrap w:val="0"/>
            <w:vAlign w:val="center"/>
          </w:tcPr>
          <w:p w14:paraId="04E66BAE">
            <w:pPr>
              <w:pStyle w:val="255"/>
              <w:widowControl w:val="0"/>
              <w:jc w:val="center"/>
              <w:rPr>
                <w:sz w:val="18"/>
                <w:szCs w:val="18"/>
                <w:vertAlign w:val="baseline"/>
                <w:lang w:val="en-US" w:eastAsia="zh-CN"/>
              </w:rPr>
            </w:pPr>
            <w:r>
              <w:rPr>
                <w:rFonts w:hint="eastAsia"/>
                <w:sz w:val="18"/>
                <w:szCs w:val="18"/>
                <w:vertAlign w:val="baseline"/>
                <w:lang w:val="en-US" w:eastAsia="zh-CN"/>
              </w:rPr>
              <w:t>跟踪监测</w:t>
            </w:r>
          </w:p>
        </w:tc>
        <w:tc>
          <w:tcPr>
            <w:tcW w:w="1190" w:type="dxa"/>
            <w:noWrap w:val="0"/>
            <w:vAlign w:val="center"/>
          </w:tcPr>
          <w:p w14:paraId="11A03F15">
            <w:pPr>
              <w:pStyle w:val="255"/>
              <w:widowControl w:val="0"/>
              <w:jc w:val="center"/>
              <w:rPr>
                <w:sz w:val="18"/>
                <w:szCs w:val="18"/>
                <w:vertAlign w:val="baseline"/>
                <w:lang w:val="en-US" w:eastAsia="zh-CN"/>
              </w:rPr>
            </w:pPr>
            <w:r>
              <w:rPr>
                <w:rFonts w:hint="eastAsia"/>
                <w:sz w:val="18"/>
                <w:szCs w:val="18"/>
                <w:vertAlign w:val="baseline"/>
                <w:lang w:val="en-US" w:eastAsia="zh-CN"/>
              </w:rPr>
              <w:t>监测点数</w:t>
            </w:r>
          </w:p>
        </w:tc>
        <w:tc>
          <w:tcPr>
            <w:tcW w:w="1830" w:type="dxa"/>
            <w:gridSpan w:val="3"/>
            <w:noWrap w:val="0"/>
            <w:vAlign w:val="center"/>
          </w:tcPr>
          <w:p w14:paraId="5A5AA10B">
            <w:pPr>
              <w:pStyle w:val="255"/>
              <w:widowControl w:val="0"/>
              <w:jc w:val="center"/>
              <w:rPr>
                <w:sz w:val="18"/>
                <w:szCs w:val="18"/>
                <w:vertAlign w:val="baseline"/>
                <w:lang w:val="en-US" w:eastAsia="zh-CN"/>
              </w:rPr>
            </w:pPr>
            <w:r>
              <w:rPr>
                <w:rFonts w:hint="eastAsia"/>
                <w:sz w:val="18"/>
                <w:szCs w:val="18"/>
                <w:vertAlign w:val="baseline"/>
                <w:lang w:val="en-US" w:eastAsia="zh-CN"/>
              </w:rPr>
              <w:t>监测指标</w:t>
            </w:r>
          </w:p>
        </w:tc>
        <w:tc>
          <w:tcPr>
            <w:tcW w:w="2170" w:type="dxa"/>
            <w:gridSpan w:val="2"/>
            <w:noWrap w:val="0"/>
            <w:vAlign w:val="center"/>
          </w:tcPr>
          <w:p w14:paraId="4CADB382">
            <w:pPr>
              <w:pStyle w:val="255"/>
              <w:widowControl w:val="0"/>
              <w:jc w:val="center"/>
              <w:rPr>
                <w:sz w:val="18"/>
                <w:szCs w:val="18"/>
                <w:vertAlign w:val="baseline"/>
                <w:lang w:val="en-US" w:eastAsia="zh-CN"/>
              </w:rPr>
            </w:pPr>
            <w:r>
              <w:rPr>
                <w:rFonts w:hint="eastAsia"/>
                <w:sz w:val="18"/>
                <w:szCs w:val="18"/>
                <w:vertAlign w:val="baseline"/>
                <w:lang w:val="en-US" w:eastAsia="zh-CN"/>
              </w:rPr>
              <w:t>监测频次</w:t>
            </w:r>
          </w:p>
        </w:tc>
        <w:tc>
          <w:tcPr>
            <w:tcW w:w="678" w:type="dxa"/>
            <w:noWrap w:val="0"/>
            <w:vAlign w:val="center"/>
          </w:tcPr>
          <w:p w14:paraId="134278C7">
            <w:pPr>
              <w:pStyle w:val="255"/>
              <w:widowControl w:val="0"/>
              <w:jc w:val="center"/>
              <w:rPr>
                <w:sz w:val="18"/>
                <w:szCs w:val="18"/>
                <w:vertAlign w:val="baseline"/>
                <w:lang w:val="en-US" w:eastAsia="zh-CN"/>
              </w:rPr>
            </w:pPr>
          </w:p>
        </w:tc>
      </w:tr>
      <w:tr w14:paraId="27103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53B1CD9E">
            <w:pPr>
              <w:pStyle w:val="255"/>
              <w:widowControl w:val="0"/>
              <w:jc w:val="center"/>
              <w:rPr>
                <w:sz w:val="18"/>
                <w:szCs w:val="18"/>
                <w:vertAlign w:val="baseline"/>
                <w:lang w:val="en-US" w:eastAsia="zh-CN"/>
              </w:rPr>
            </w:pPr>
          </w:p>
        </w:tc>
        <w:tc>
          <w:tcPr>
            <w:tcW w:w="2175" w:type="dxa"/>
            <w:vMerge w:val="continue"/>
            <w:noWrap w:val="0"/>
            <w:vAlign w:val="center"/>
          </w:tcPr>
          <w:p w14:paraId="7913E6C9">
            <w:pPr>
              <w:pStyle w:val="255"/>
              <w:widowControl w:val="0"/>
              <w:jc w:val="center"/>
              <w:rPr>
                <w:rFonts w:hint="eastAsia"/>
                <w:sz w:val="18"/>
                <w:szCs w:val="18"/>
                <w:vertAlign w:val="baseline"/>
                <w:lang w:val="en-US" w:eastAsia="zh-CN"/>
              </w:rPr>
            </w:pPr>
          </w:p>
        </w:tc>
        <w:tc>
          <w:tcPr>
            <w:tcW w:w="1190" w:type="dxa"/>
            <w:noWrap w:val="0"/>
            <w:vAlign w:val="center"/>
          </w:tcPr>
          <w:p w14:paraId="5F18D642">
            <w:pPr>
              <w:pStyle w:val="255"/>
              <w:widowControl w:val="0"/>
              <w:jc w:val="center"/>
              <w:rPr>
                <w:sz w:val="18"/>
                <w:szCs w:val="18"/>
                <w:vertAlign w:val="baseline"/>
                <w:lang w:val="en-US" w:eastAsia="zh-CN"/>
              </w:rPr>
            </w:pPr>
            <w:r>
              <w:rPr>
                <w:rFonts w:hint="eastAsia"/>
                <w:sz w:val="18"/>
                <w:szCs w:val="18"/>
                <w:vertAlign w:val="baseline"/>
                <w:lang w:val="en-US" w:eastAsia="zh-CN"/>
              </w:rPr>
              <w:t>/</w:t>
            </w:r>
          </w:p>
        </w:tc>
        <w:tc>
          <w:tcPr>
            <w:tcW w:w="1830" w:type="dxa"/>
            <w:gridSpan w:val="3"/>
            <w:noWrap w:val="0"/>
            <w:vAlign w:val="center"/>
          </w:tcPr>
          <w:p w14:paraId="1C2123E5">
            <w:pPr>
              <w:pStyle w:val="255"/>
              <w:widowControl w:val="0"/>
              <w:jc w:val="center"/>
              <w:rPr>
                <w:sz w:val="18"/>
                <w:szCs w:val="18"/>
                <w:vertAlign w:val="baseline"/>
                <w:lang w:val="en-US" w:eastAsia="zh-CN"/>
              </w:rPr>
            </w:pPr>
            <w:r>
              <w:rPr>
                <w:rFonts w:hint="eastAsia"/>
                <w:sz w:val="18"/>
                <w:szCs w:val="18"/>
                <w:vertAlign w:val="baseline"/>
                <w:lang w:val="en-US" w:eastAsia="zh-CN"/>
              </w:rPr>
              <w:t>/</w:t>
            </w:r>
          </w:p>
        </w:tc>
        <w:tc>
          <w:tcPr>
            <w:tcW w:w="2170" w:type="dxa"/>
            <w:gridSpan w:val="2"/>
            <w:noWrap w:val="0"/>
            <w:vAlign w:val="center"/>
          </w:tcPr>
          <w:p w14:paraId="3566A1E5">
            <w:pPr>
              <w:pStyle w:val="255"/>
              <w:widowControl w:val="0"/>
              <w:jc w:val="center"/>
              <w:rPr>
                <w:sz w:val="18"/>
                <w:szCs w:val="18"/>
                <w:vertAlign w:val="baseline"/>
                <w:lang w:val="en-US" w:eastAsia="zh-CN"/>
              </w:rPr>
            </w:pPr>
            <w:r>
              <w:rPr>
                <w:rFonts w:hint="eastAsia"/>
                <w:sz w:val="18"/>
                <w:szCs w:val="18"/>
                <w:vertAlign w:val="baseline"/>
                <w:lang w:val="en-US" w:eastAsia="zh-CN"/>
              </w:rPr>
              <w:t>/</w:t>
            </w:r>
          </w:p>
        </w:tc>
        <w:tc>
          <w:tcPr>
            <w:tcW w:w="678" w:type="dxa"/>
            <w:noWrap w:val="0"/>
            <w:vAlign w:val="center"/>
          </w:tcPr>
          <w:p w14:paraId="55B9F52C">
            <w:pPr>
              <w:pStyle w:val="255"/>
              <w:widowControl w:val="0"/>
              <w:jc w:val="center"/>
              <w:rPr>
                <w:sz w:val="18"/>
                <w:szCs w:val="18"/>
                <w:vertAlign w:val="baseline"/>
                <w:lang w:val="en-US" w:eastAsia="zh-CN"/>
              </w:rPr>
            </w:pPr>
          </w:p>
        </w:tc>
      </w:tr>
      <w:tr w14:paraId="3DB36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3" w:type="dxa"/>
            <w:vMerge w:val="continue"/>
            <w:noWrap w:val="0"/>
            <w:vAlign w:val="center"/>
          </w:tcPr>
          <w:p w14:paraId="1D6CFDA3">
            <w:pPr>
              <w:pStyle w:val="255"/>
              <w:widowControl w:val="0"/>
              <w:jc w:val="center"/>
              <w:rPr>
                <w:sz w:val="18"/>
                <w:szCs w:val="18"/>
                <w:vertAlign w:val="baseline"/>
                <w:lang w:val="en-US" w:eastAsia="zh-CN"/>
              </w:rPr>
            </w:pPr>
          </w:p>
        </w:tc>
        <w:tc>
          <w:tcPr>
            <w:tcW w:w="2175" w:type="dxa"/>
            <w:noWrap w:val="0"/>
            <w:vAlign w:val="center"/>
          </w:tcPr>
          <w:p w14:paraId="06FF4324">
            <w:pPr>
              <w:pStyle w:val="255"/>
              <w:widowControl w:val="0"/>
              <w:jc w:val="center"/>
              <w:rPr>
                <w:sz w:val="18"/>
                <w:szCs w:val="18"/>
                <w:vertAlign w:val="baseline"/>
                <w:lang w:val="en-US" w:eastAsia="zh-CN"/>
              </w:rPr>
            </w:pPr>
            <w:r>
              <w:rPr>
                <w:rFonts w:hint="eastAsia"/>
                <w:sz w:val="18"/>
                <w:szCs w:val="18"/>
                <w:vertAlign w:val="baseline"/>
                <w:lang w:val="en-US" w:eastAsia="zh-CN"/>
              </w:rPr>
              <w:t>信息公开指标</w:t>
            </w:r>
          </w:p>
        </w:tc>
        <w:tc>
          <w:tcPr>
            <w:tcW w:w="5190" w:type="dxa"/>
            <w:gridSpan w:val="6"/>
            <w:noWrap w:val="0"/>
            <w:vAlign w:val="center"/>
          </w:tcPr>
          <w:p w14:paraId="36D0CABD">
            <w:pPr>
              <w:pStyle w:val="255"/>
              <w:widowControl w:val="0"/>
              <w:jc w:val="center"/>
              <w:rPr>
                <w:sz w:val="18"/>
                <w:szCs w:val="18"/>
                <w:vertAlign w:val="baseline"/>
                <w:lang w:val="en-US" w:eastAsia="zh-CN"/>
              </w:rPr>
            </w:pPr>
            <w:r>
              <w:rPr>
                <w:rFonts w:hint="eastAsia"/>
                <w:sz w:val="18"/>
                <w:szCs w:val="18"/>
                <w:vertAlign w:val="baseline"/>
                <w:lang w:val="en-US" w:eastAsia="zh-CN"/>
              </w:rPr>
              <w:t>/</w:t>
            </w:r>
          </w:p>
        </w:tc>
        <w:tc>
          <w:tcPr>
            <w:tcW w:w="678" w:type="dxa"/>
            <w:noWrap w:val="0"/>
            <w:vAlign w:val="center"/>
          </w:tcPr>
          <w:p w14:paraId="79161BEE">
            <w:pPr>
              <w:pStyle w:val="255"/>
              <w:widowControl w:val="0"/>
              <w:jc w:val="center"/>
              <w:rPr>
                <w:sz w:val="18"/>
                <w:szCs w:val="18"/>
                <w:vertAlign w:val="baseline"/>
                <w:lang w:val="en-US" w:eastAsia="zh-CN"/>
              </w:rPr>
            </w:pPr>
          </w:p>
        </w:tc>
      </w:tr>
      <w:tr w14:paraId="6CECC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88" w:type="dxa"/>
            <w:gridSpan w:val="2"/>
            <w:noWrap w:val="0"/>
            <w:vAlign w:val="center"/>
          </w:tcPr>
          <w:p w14:paraId="78F64D98">
            <w:pPr>
              <w:pStyle w:val="255"/>
              <w:widowControl w:val="0"/>
              <w:jc w:val="center"/>
              <w:rPr>
                <w:sz w:val="18"/>
                <w:szCs w:val="18"/>
                <w:vertAlign w:val="baseline"/>
                <w:lang w:val="en-US" w:eastAsia="zh-CN"/>
              </w:rPr>
            </w:pPr>
            <w:r>
              <w:rPr>
                <w:rFonts w:hint="eastAsia"/>
                <w:sz w:val="18"/>
                <w:szCs w:val="18"/>
                <w:vertAlign w:val="baseline"/>
                <w:lang w:val="en-US" w:eastAsia="zh-CN"/>
              </w:rPr>
              <w:t>评价结论</w:t>
            </w:r>
          </w:p>
        </w:tc>
        <w:tc>
          <w:tcPr>
            <w:tcW w:w="5190" w:type="dxa"/>
            <w:gridSpan w:val="6"/>
            <w:noWrap w:val="0"/>
            <w:vAlign w:val="center"/>
          </w:tcPr>
          <w:p w14:paraId="09235ADC">
            <w:pPr>
              <w:pStyle w:val="255"/>
              <w:widowControl w:val="0"/>
              <w:jc w:val="both"/>
              <w:rPr>
                <w:sz w:val="18"/>
                <w:szCs w:val="18"/>
                <w:vertAlign w:val="baseline"/>
                <w:lang w:val="en-US" w:eastAsia="zh-CN"/>
              </w:rPr>
            </w:pPr>
            <w:r>
              <w:rPr>
                <w:rFonts w:hint="eastAsia" w:ascii="Times New Roman" w:hAnsi="Times New Roman" w:eastAsia="宋体" w:cs="Times New Roman"/>
                <w:color w:val="000000"/>
                <w:sz w:val="18"/>
                <w:szCs w:val="18"/>
                <w:lang w:val="en-US" w:eastAsia="zh-CN" w:bidi="ar"/>
              </w:rPr>
              <w:t>项目区域土壤满足</w:t>
            </w:r>
            <w:r>
              <w:rPr>
                <w:rFonts w:ascii="Times New Roman" w:hAnsi="Times New Roman" w:eastAsia="宋体" w:cs="Times New Roman"/>
                <w:color w:val="000000"/>
                <w:sz w:val="18"/>
                <w:szCs w:val="18"/>
                <w:lang w:val="en-US" w:eastAsia="zh-CN" w:bidi="ar"/>
              </w:rPr>
              <w:t>《土壤环境质量 建设用地土壤污染风险管控标准（试行）》GB36600-2018</w:t>
            </w:r>
            <w:r>
              <w:rPr>
                <w:rFonts w:hint="eastAsia" w:ascii="Times New Roman" w:hAnsi="Times New Roman" w:eastAsia="宋体" w:cs="Times New Roman"/>
                <w:color w:val="000000"/>
                <w:sz w:val="18"/>
                <w:szCs w:val="18"/>
                <w:lang w:val="en-US" w:eastAsia="zh-CN" w:bidi="ar"/>
              </w:rPr>
              <w:t>中第二类用地要求。正常情况下不会对土壤造成污染；事故状态下污染物会通过大气沉降、垂直入渗进入土壤；但不含有</w:t>
            </w:r>
            <w:r>
              <w:rPr>
                <w:rFonts w:ascii="Times New Roman" w:hAnsi="Times New Roman" w:eastAsia="宋体" w:cs="Times New Roman"/>
                <w:color w:val="000000"/>
                <w:sz w:val="18"/>
                <w:szCs w:val="18"/>
                <w:lang w:val="en-US" w:eastAsia="zh-CN" w:bidi="ar"/>
              </w:rPr>
              <w:t>GB36600-2018</w:t>
            </w:r>
            <w:r>
              <w:rPr>
                <w:rFonts w:hint="eastAsia" w:ascii="Times New Roman" w:hAnsi="Times New Roman" w:eastAsia="宋体" w:cs="Times New Roman"/>
                <w:color w:val="000000"/>
                <w:sz w:val="18"/>
                <w:szCs w:val="18"/>
                <w:lang w:val="en-US" w:eastAsia="zh-CN" w:bidi="ar"/>
              </w:rPr>
              <w:t>中规定的基本项目及其他项目。因此，从土壤环境影响角度，本项目是可行的。</w:t>
            </w:r>
          </w:p>
        </w:tc>
        <w:tc>
          <w:tcPr>
            <w:tcW w:w="678" w:type="dxa"/>
            <w:noWrap w:val="0"/>
            <w:vAlign w:val="center"/>
          </w:tcPr>
          <w:p w14:paraId="63CD4760">
            <w:pPr>
              <w:pStyle w:val="255"/>
              <w:widowControl w:val="0"/>
              <w:jc w:val="center"/>
              <w:rPr>
                <w:sz w:val="18"/>
                <w:szCs w:val="18"/>
                <w:vertAlign w:val="baseline"/>
                <w:lang w:val="en-US" w:eastAsia="zh-CN"/>
              </w:rPr>
            </w:pPr>
          </w:p>
        </w:tc>
      </w:tr>
    </w:tbl>
    <w:p w14:paraId="3EE6F948">
      <w:pPr>
        <w:pStyle w:val="255"/>
        <w:rPr>
          <w:lang w:val="en-US" w:eastAsia="zh-CN"/>
        </w:rPr>
      </w:pPr>
    </w:p>
    <w:p w14:paraId="176BCB47">
      <w:pPr>
        <w:pStyle w:val="255"/>
        <w:rPr>
          <w:lang w:val="en-US" w:eastAsia="zh-CN"/>
        </w:rPr>
      </w:pPr>
    </w:p>
    <w:p w14:paraId="4395CF94">
      <w:pPr>
        <w:pStyle w:val="255"/>
        <w:rPr>
          <w:lang w:val="en-US" w:eastAsia="zh-CN"/>
        </w:rPr>
      </w:pPr>
    </w:p>
    <w:p w14:paraId="45713657">
      <w:pPr>
        <w:pStyle w:val="255"/>
        <w:rPr>
          <w:lang w:val="en-US" w:eastAsia="zh-CN"/>
        </w:rPr>
      </w:pPr>
    </w:p>
    <w:p w14:paraId="1612F228">
      <w:pPr>
        <w:pStyle w:val="255"/>
        <w:rPr>
          <w:lang w:val="en-US" w:eastAsia="zh-CN"/>
        </w:rPr>
      </w:pPr>
    </w:p>
    <w:p w14:paraId="62276F8E">
      <w:pPr>
        <w:pStyle w:val="255"/>
        <w:rPr>
          <w:lang w:val="en-US" w:eastAsia="zh-CN"/>
        </w:rPr>
      </w:pPr>
    </w:p>
    <w:p w14:paraId="01A0D3CD">
      <w:pPr>
        <w:pStyle w:val="255"/>
        <w:rPr>
          <w:lang w:val="en-US" w:eastAsia="zh-CN"/>
        </w:rPr>
      </w:pPr>
    </w:p>
    <w:p w14:paraId="0E20DF47">
      <w:pPr>
        <w:pStyle w:val="255"/>
        <w:rPr>
          <w:lang w:val="en-US" w:eastAsia="zh-CN"/>
        </w:rPr>
      </w:pPr>
    </w:p>
    <w:p w14:paraId="4A6EF2AF">
      <w:pPr>
        <w:pStyle w:val="255"/>
        <w:rPr>
          <w:lang w:val="en-US" w:eastAsia="zh-CN"/>
        </w:rPr>
      </w:pPr>
    </w:p>
    <w:p w14:paraId="2EC2FE5A">
      <w:pPr>
        <w:pStyle w:val="255"/>
        <w:rPr>
          <w:lang w:val="en-US" w:eastAsia="zh-CN"/>
        </w:rPr>
      </w:pPr>
    </w:p>
    <w:p w14:paraId="5F5F84F8">
      <w:pPr>
        <w:pStyle w:val="255"/>
        <w:rPr>
          <w:lang w:val="en-US" w:eastAsia="zh-CN"/>
        </w:rPr>
      </w:pPr>
    </w:p>
    <w:p w14:paraId="4DABA95A">
      <w:pPr>
        <w:pStyle w:val="255"/>
        <w:rPr>
          <w:lang w:val="en-US" w:eastAsia="zh-CN"/>
        </w:rPr>
      </w:pPr>
    </w:p>
    <w:p w14:paraId="369D2551">
      <w:pPr>
        <w:pStyle w:val="255"/>
        <w:rPr>
          <w:lang w:val="en-US" w:eastAsia="zh-CN"/>
        </w:rPr>
      </w:pPr>
    </w:p>
    <w:p w14:paraId="35668F6F">
      <w:pPr>
        <w:pStyle w:val="255"/>
        <w:rPr>
          <w:lang w:val="en-US" w:eastAsia="zh-CN"/>
        </w:rPr>
      </w:pPr>
    </w:p>
    <w:p w14:paraId="0672EEE8">
      <w:pPr>
        <w:pStyle w:val="255"/>
        <w:rPr>
          <w:lang w:val="en-US" w:eastAsia="zh-CN"/>
        </w:rPr>
      </w:pPr>
    </w:p>
    <w:p w14:paraId="1D69B025">
      <w:pPr>
        <w:pStyle w:val="186"/>
        <w:ind w:firstLine="640"/>
        <w:rPr>
          <w:color w:val="000000"/>
        </w:rPr>
      </w:pPr>
      <w:bookmarkStart w:id="187" w:name="_Toc27193"/>
      <w:bookmarkStart w:id="188" w:name="_Toc23305"/>
      <w:bookmarkStart w:id="189" w:name="_Toc16413"/>
      <w:r>
        <w:rPr>
          <w:color w:val="000000"/>
        </w:rPr>
        <w:t>第</w:t>
      </w:r>
      <w:r>
        <w:rPr>
          <w:rFonts w:hint="eastAsia"/>
          <w:color w:val="000000"/>
          <w:lang w:val="en-US" w:eastAsia="zh-CN"/>
        </w:rPr>
        <w:t>七</w:t>
      </w:r>
      <w:r>
        <w:rPr>
          <w:color w:val="000000"/>
        </w:rPr>
        <w:t>章  环境风险评价</w:t>
      </w:r>
      <w:bookmarkEnd w:id="187"/>
      <w:bookmarkEnd w:id="188"/>
      <w:bookmarkEnd w:id="189"/>
    </w:p>
    <w:p w14:paraId="4B164817">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 xml:space="preserve">根据 </w:t>
      </w:r>
      <w:r>
        <w:rPr>
          <w:rFonts w:hint="eastAsia" w:ascii="Times New Roman" w:hAnsi="Times New Roman" w:cs="Times New Roman"/>
          <w:color w:val="000000"/>
          <w:sz w:val="24"/>
          <w:szCs w:val="24"/>
        </w:rPr>
        <w:t>HJ169-2018</w:t>
      </w:r>
      <w:r>
        <w:rPr>
          <w:rFonts w:ascii="Times New Roman" w:hAnsi="Times New Roman" w:cs="Times New Roman"/>
          <w:color w:val="000000"/>
          <w:sz w:val="24"/>
          <w:szCs w:val="24"/>
        </w:rPr>
        <w:t>《建设项目环境风险评价技术导则》、《关于进一步加强环境影响评价管理防范措施的通知》（环发【2012】77 号）和《关于切实加强风险防范严格环境影响评价管理的通知》（环发【2012】98 号）的要求，结合项目的生产工艺、污染物特性和所在地环境特点，通过分析工程主要物料的危险性和毒性，并识别主要危险单元，分析风险事故原因及环境影响，从而提出合理可行的防范、应急与减缓措施，以达到降低风险性、降低危害程度的目的。</w:t>
      </w:r>
    </w:p>
    <w:p w14:paraId="5E6548ED">
      <w:pPr>
        <w:pStyle w:val="187"/>
        <w:rPr>
          <w:rFonts w:hint="eastAsia" w:ascii="Times New Roman" w:hAnsi="Times New Roman"/>
          <w:bCs/>
          <w:color w:val="000000"/>
          <w:lang w:val="en-US" w:eastAsia="zh-CN"/>
        </w:rPr>
      </w:pPr>
      <w:bookmarkStart w:id="190" w:name="_Toc23373"/>
      <w:bookmarkStart w:id="191" w:name="_Toc9410"/>
      <w:r>
        <w:rPr>
          <w:rFonts w:hint="eastAsia" w:ascii="Times New Roman" w:hAnsi="Times New Roman"/>
          <w:bCs/>
          <w:color w:val="000000"/>
          <w:lang w:val="en-US" w:eastAsia="zh-CN"/>
        </w:rPr>
        <w:t>7.1环境风险潜势初判</w:t>
      </w:r>
      <w:bookmarkEnd w:id="190"/>
    </w:p>
    <w:p w14:paraId="5B87EB81">
      <w:pPr>
        <w:pStyle w:val="2"/>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 xml:space="preserve"> </w:t>
      </w:r>
      <w:r>
        <w:rPr>
          <w:rFonts w:ascii="Times New Roman" w:hAnsi="Times New Roman" w:cs="Times New Roman"/>
          <w:color w:val="000000"/>
          <w:sz w:val="24"/>
          <w:szCs w:val="24"/>
        </w:rPr>
        <w:t>按照《建设项目环境风险评价技术导则》（HJ 169-2018）要求，根据建设项目涉及的物质及工艺系统危险性和所在地的环境敏感性确定评价等级。</w:t>
      </w:r>
    </w:p>
    <w:p w14:paraId="3D7E011A">
      <w:pPr>
        <w:widowControl w:val="0"/>
        <w:tabs>
          <w:tab w:val="left" w:pos="1079"/>
        </w:tabs>
        <w:spacing w:before="0" w:after="0" w:line="240" w:lineRule="auto"/>
        <w:ind w:left="40" w:right="0"/>
        <w:jc w:val="center"/>
        <w:rPr>
          <w:rFonts w:hint="eastAsia"/>
          <w:b/>
          <w:color w:val="000000"/>
          <w:sz w:val="24"/>
          <w:szCs w:val="22"/>
          <w:lang w:val="zh-CN" w:eastAsia="zh-CN" w:bidi="ar-SA"/>
        </w:rPr>
      </w:pPr>
      <w:r>
        <w:rPr>
          <w:rFonts w:hint="eastAsia"/>
          <w:b/>
          <w:color w:val="000000"/>
          <w:sz w:val="24"/>
          <w:szCs w:val="22"/>
          <w:lang w:val="zh-CN" w:eastAsia="zh-CN" w:bidi="ar-SA"/>
        </w:rPr>
        <w:t>表</w:t>
      </w:r>
      <w:r>
        <w:rPr>
          <w:rFonts w:hint="eastAsia"/>
          <w:b/>
          <w:color w:val="000000"/>
          <w:sz w:val="24"/>
          <w:szCs w:val="22"/>
          <w:lang w:val="en-US" w:eastAsia="zh-CN" w:bidi="ar-SA"/>
        </w:rPr>
        <w:t>7.1</w:t>
      </w:r>
      <w:r>
        <w:rPr>
          <w:b/>
          <w:color w:val="000000"/>
          <w:sz w:val="24"/>
          <w:szCs w:val="22"/>
          <w:lang w:val="zh-CN" w:eastAsia="zh-CN" w:bidi="ar-SA"/>
        </w:rPr>
        <w:t>-</w:t>
      </w:r>
      <w:r>
        <w:rPr>
          <w:rFonts w:hint="eastAsia"/>
          <w:b/>
          <w:color w:val="000000"/>
          <w:sz w:val="24"/>
          <w:szCs w:val="22"/>
          <w:lang w:val="en-US" w:eastAsia="zh-CN" w:bidi="ar-SA"/>
        </w:rPr>
        <w:t>1</w:t>
      </w:r>
      <w:r>
        <w:rPr>
          <w:b/>
          <w:color w:val="000000"/>
          <w:sz w:val="24"/>
          <w:szCs w:val="22"/>
          <w:lang w:val="zh-CN" w:eastAsia="zh-CN" w:bidi="ar-SA"/>
        </w:rPr>
        <w:t xml:space="preserve"> </w:t>
      </w:r>
      <w:r>
        <w:rPr>
          <w:rFonts w:hint="eastAsia"/>
          <w:b/>
          <w:color w:val="000000"/>
          <w:sz w:val="24"/>
          <w:szCs w:val="22"/>
          <w:lang w:val="zh-CN" w:eastAsia="zh-CN" w:bidi="ar-SA"/>
        </w:rPr>
        <w:t>建设项目环境风险潜势划分</w:t>
      </w:r>
    </w:p>
    <w:tbl>
      <w:tblPr>
        <w:tblStyle w:val="32"/>
        <w:tblW w:w="811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88"/>
        <w:gridCol w:w="1481"/>
        <w:gridCol w:w="1522"/>
        <w:gridCol w:w="1478"/>
        <w:gridCol w:w="1550"/>
      </w:tblGrid>
      <w:tr w14:paraId="4C6C3D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jc w:val="center"/>
        </w:trPr>
        <w:tc>
          <w:tcPr>
            <w:tcW w:w="2088" w:type="dxa"/>
            <w:vMerge w:val="restart"/>
            <w:noWrap w:val="0"/>
            <w:vAlign w:val="center"/>
          </w:tcPr>
          <w:p w14:paraId="18A7184D">
            <w:pPr>
              <w:pStyle w:val="363"/>
              <w:jc w:val="center"/>
              <w:rPr>
                <w:b/>
                <w:bCs/>
                <w:szCs w:val="21"/>
                <w:lang w:val="zh-CN" w:eastAsia="zh-CN"/>
              </w:rPr>
            </w:pPr>
            <w:r>
              <w:rPr>
                <w:b/>
                <w:bCs/>
                <w:szCs w:val="21"/>
                <w:lang w:val="zh-CN" w:eastAsia="zh-CN"/>
              </w:rPr>
              <w:t>环境敏感程度（E）</w:t>
            </w:r>
          </w:p>
        </w:tc>
        <w:tc>
          <w:tcPr>
            <w:tcW w:w="6031" w:type="dxa"/>
            <w:gridSpan w:val="4"/>
            <w:noWrap w:val="0"/>
            <w:vAlign w:val="top"/>
          </w:tcPr>
          <w:p w14:paraId="2D2C812A">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危险物质及工艺系统危害性（P）</w:t>
            </w:r>
          </w:p>
        </w:tc>
      </w:tr>
      <w:tr w14:paraId="175C58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2088" w:type="dxa"/>
            <w:vMerge w:val="continue"/>
            <w:noWrap w:val="0"/>
            <w:vAlign w:val="center"/>
          </w:tcPr>
          <w:p w14:paraId="51E6E33B">
            <w:pPr>
              <w:pStyle w:val="363"/>
              <w:jc w:val="center"/>
              <w:rPr>
                <w:b/>
                <w:bCs/>
                <w:szCs w:val="21"/>
                <w:lang w:val="zh-CN" w:eastAsia="zh-CN"/>
              </w:rPr>
            </w:pPr>
          </w:p>
        </w:tc>
        <w:tc>
          <w:tcPr>
            <w:tcW w:w="1481" w:type="dxa"/>
            <w:noWrap w:val="0"/>
            <w:vAlign w:val="top"/>
          </w:tcPr>
          <w:p w14:paraId="56D874D1">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极高危害（P1）</w:t>
            </w:r>
          </w:p>
        </w:tc>
        <w:tc>
          <w:tcPr>
            <w:tcW w:w="1522" w:type="dxa"/>
            <w:noWrap w:val="0"/>
            <w:vAlign w:val="top"/>
          </w:tcPr>
          <w:p w14:paraId="613FE619">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高度危害（P2）</w:t>
            </w:r>
          </w:p>
        </w:tc>
        <w:tc>
          <w:tcPr>
            <w:tcW w:w="1478" w:type="dxa"/>
            <w:noWrap w:val="0"/>
            <w:vAlign w:val="top"/>
          </w:tcPr>
          <w:p w14:paraId="107FD8F0">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中度危害（P3）</w:t>
            </w:r>
          </w:p>
        </w:tc>
        <w:tc>
          <w:tcPr>
            <w:tcW w:w="1550" w:type="dxa"/>
            <w:noWrap w:val="0"/>
            <w:vAlign w:val="top"/>
          </w:tcPr>
          <w:p w14:paraId="1E067785">
            <w:pPr>
              <w:pStyle w:val="363"/>
              <w:jc w:val="center"/>
              <w:rPr>
                <w:rFonts w:ascii="Times New Roman" w:hAnsi="Times New Roman" w:eastAsia="宋体" w:cs="Times New Roman"/>
                <w:b/>
                <w:bCs/>
                <w:szCs w:val="21"/>
                <w:lang w:val="zh-CN" w:eastAsia="zh-CN"/>
              </w:rPr>
            </w:pPr>
            <w:r>
              <w:rPr>
                <w:rFonts w:ascii="Times New Roman" w:hAnsi="Times New Roman" w:eastAsia="宋体" w:cs="Times New Roman"/>
                <w:b/>
                <w:bCs/>
                <w:szCs w:val="21"/>
                <w:lang w:val="zh-CN" w:eastAsia="zh-CN"/>
              </w:rPr>
              <w:t>轻度危害（P4）</w:t>
            </w:r>
          </w:p>
        </w:tc>
      </w:tr>
      <w:tr w14:paraId="0A26B9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9" w:hRule="atLeast"/>
          <w:jc w:val="center"/>
        </w:trPr>
        <w:tc>
          <w:tcPr>
            <w:tcW w:w="2088" w:type="dxa"/>
            <w:noWrap w:val="0"/>
            <w:vAlign w:val="center"/>
          </w:tcPr>
          <w:p w14:paraId="6A8A573D">
            <w:pPr>
              <w:pStyle w:val="363"/>
              <w:jc w:val="center"/>
              <w:rPr>
                <w:b w:val="0"/>
                <w:bCs w:val="0"/>
                <w:szCs w:val="21"/>
                <w:lang w:val="zh-CN" w:eastAsia="zh-CN"/>
              </w:rPr>
            </w:pPr>
            <w:r>
              <w:rPr>
                <w:b w:val="0"/>
                <w:bCs w:val="0"/>
                <w:szCs w:val="21"/>
                <w:lang w:val="zh-CN" w:eastAsia="zh-CN"/>
              </w:rPr>
              <w:t>环境高度敏感区（E1）</w:t>
            </w:r>
          </w:p>
        </w:tc>
        <w:tc>
          <w:tcPr>
            <w:tcW w:w="1481" w:type="dxa"/>
            <w:noWrap w:val="0"/>
            <w:vAlign w:val="top"/>
          </w:tcPr>
          <w:p w14:paraId="6FC5D8CB">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Ⅳ</w:t>
            </w:r>
            <w:r>
              <w:rPr>
                <w:rFonts w:ascii="Times New Roman" w:hAnsi="Times New Roman" w:eastAsia="宋体" w:cs="Times New Roman"/>
                <w:b w:val="0"/>
                <w:bCs w:val="0"/>
                <w:szCs w:val="21"/>
                <w:vertAlign w:val="superscript"/>
                <w:lang w:val="zh-CN" w:eastAsia="zh-CN"/>
              </w:rPr>
              <w:t>+</w:t>
            </w:r>
          </w:p>
        </w:tc>
        <w:tc>
          <w:tcPr>
            <w:tcW w:w="1522" w:type="dxa"/>
            <w:noWrap w:val="0"/>
            <w:vAlign w:val="top"/>
          </w:tcPr>
          <w:p w14:paraId="4188A5D3">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Ⅳ</w:t>
            </w:r>
          </w:p>
        </w:tc>
        <w:tc>
          <w:tcPr>
            <w:tcW w:w="1478" w:type="dxa"/>
            <w:noWrap w:val="0"/>
            <w:vAlign w:val="top"/>
          </w:tcPr>
          <w:p w14:paraId="4E9D9B7F">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550" w:type="dxa"/>
            <w:noWrap w:val="0"/>
            <w:vAlign w:val="top"/>
          </w:tcPr>
          <w:p w14:paraId="4C83520A">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r>
      <w:tr w14:paraId="1F445A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2088" w:type="dxa"/>
            <w:noWrap w:val="0"/>
            <w:vAlign w:val="center"/>
          </w:tcPr>
          <w:p w14:paraId="411D2FA1">
            <w:pPr>
              <w:pStyle w:val="363"/>
              <w:jc w:val="center"/>
              <w:rPr>
                <w:b w:val="0"/>
                <w:bCs w:val="0"/>
                <w:szCs w:val="21"/>
                <w:lang w:val="zh-CN" w:eastAsia="zh-CN"/>
              </w:rPr>
            </w:pPr>
            <w:r>
              <w:rPr>
                <w:b w:val="0"/>
                <w:bCs w:val="0"/>
                <w:szCs w:val="21"/>
                <w:lang w:val="zh-CN" w:eastAsia="zh-CN"/>
              </w:rPr>
              <w:t>环境中度敏感区（E2）</w:t>
            </w:r>
          </w:p>
        </w:tc>
        <w:tc>
          <w:tcPr>
            <w:tcW w:w="1481" w:type="dxa"/>
            <w:noWrap w:val="0"/>
            <w:vAlign w:val="top"/>
          </w:tcPr>
          <w:p w14:paraId="37A92ECA">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Ⅳ</w:t>
            </w:r>
          </w:p>
        </w:tc>
        <w:tc>
          <w:tcPr>
            <w:tcW w:w="1522" w:type="dxa"/>
            <w:noWrap w:val="0"/>
            <w:vAlign w:val="top"/>
          </w:tcPr>
          <w:p w14:paraId="37D5D603">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478" w:type="dxa"/>
            <w:noWrap w:val="0"/>
            <w:vAlign w:val="top"/>
          </w:tcPr>
          <w:p w14:paraId="7386D771">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550" w:type="dxa"/>
            <w:noWrap w:val="0"/>
            <w:vAlign w:val="top"/>
          </w:tcPr>
          <w:p w14:paraId="6DBF18C7">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Ⅱ</w:t>
            </w:r>
          </w:p>
        </w:tc>
      </w:tr>
      <w:tr w14:paraId="13F4CF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jc w:val="center"/>
        </w:trPr>
        <w:tc>
          <w:tcPr>
            <w:tcW w:w="2088" w:type="dxa"/>
            <w:noWrap w:val="0"/>
            <w:vAlign w:val="center"/>
          </w:tcPr>
          <w:p w14:paraId="189472B9">
            <w:pPr>
              <w:pStyle w:val="363"/>
              <w:jc w:val="center"/>
              <w:rPr>
                <w:b w:val="0"/>
                <w:bCs w:val="0"/>
                <w:szCs w:val="21"/>
                <w:lang w:val="zh-CN" w:eastAsia="zh-CN"/>
              </w:rPr>
            </w:pPr>
            <w:r>
              <w:rPr>
                <w:b w:val="0"/>
                <w:bCs w:val="0"/>
                <w:szCs w:val="21"/>
                <w:lang w:val="zh-CN" w:eastAsia="zh-CN"/>
              </w:rPr>
              <w:t>环境低度敏感区（E3）</w:t>
            </w:r>
          </w:p>
        </w:tc>
        <w:tc>
          <w:tcPr>
            <w:tcW w:w="1481" w:type="dxa"/>
            <w:noWrap w:val="0"/>
            <w:vAlign w:val="top"/>
          </w:tcPr>
          <w:p w14:paraId="7028D470">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522" w:type="dxa"/>
            <w:noWrap w:val="0"/>
            <w:vAlign w:val="top"/>
          </w:tcPr>
          <w:p w14:paraId="4C1204DC">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Ⅲ</w:t>
            </w:r>
          </w:p>
        </w:tc>
        <w:tc>
          <w:tcPr>
            <w:tcW w:w="1478" w:type="dxa"/>
            <w:noWrap w:val="0"/>
            <w:vAlign w:val="top"/>
          </w:tcPr>
          <w:p w14:paraId="11B58E59">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Ⅱ</w:t>
            </w:r>
          </w:p>
        </w:tc>
        <w:tc>
          <w:tcPr>
            <w:tcW w:w="1550" w:type="dxa"/>
            <w:noWrap w:val="0"/>
            <w:vAlign w:val="top"/>
          </w:tcPr>
          <w:p w14:paraId="49E6C626">
            <w:pPr>
              <w:pStyle w:val="363"/>
              <w:jc w:val="center"/>
              <w:rPr>
                <w:rFonts w:ascii="Times New Roman" w:hAnsi="Times New Roman" w:eastAsia="宋体" w:cs="Times New Roman"/>
                <w:b w:val="0"/>
                <w:bCs w:val="0"/>
                <w:szCs w:val="21"/>
                <w:lang w:val="zh-CN" w:eastAsia="zh-CN"/>
              </w:rPr>
            </w:pPr>
            <w:r>
              <w:rPr>
                <w:rFonts w:ascii="Times New Roman" w:hAnsi="Times New Roman" w:eastAsia="宋体" w:cs="Times New Roman"/>
                <w:b w:val="0"/>
                <w:bCs w:val="0"/>
                <w:szCs w:val="21"/>
                <w:lang w:val="zh-CN" w:eastAsia="zh-CN"/>
              </w:rPr>
              <w:t>Ⅰ</w:t>
            </w:r>
          </w:p>
        </w:tc>
      </w:tr>
    </w:tbl>
    <w:p w14:paraId="3DBAE2B5">
      <w:pPr>
        <w:widowControl w:val="0"/>
        <w:tabs>
          <w:tab w:val="left" w:pos="1079"/>
        </w:tabs>
        <w:spacing w:before="0" w:after="0" w:line="240" w:lineRule="auto"/>
        <w:ind w:left="40" w:right="0"/>
        <w:jc w:val="center"/>
        <w:rPr>
          <w:rFonts w:hint="eastAsia"/>
          <w:b/>
          <w:color w:val="000000"/>
          <w:sz w:val="24"/>
          <w:szCs w:val="22"/>
          <w:lang w:val="zh-CN" w:eastAsia="zh-CN" w:bidi="ar-SA"/>
        </w:rPr>
      </w:pPr>
      <w:r>
        <w:rPr>
          <w:rFonts w:hint="eastAsia"/>
          <w:b/>
          <w:color w:val="000000"/>
          <w:sz w:val="24"/>
          <w:szCs w:val="22"/>
          <w:lang w:val="zh-CN" w:eastAsia="zh-CN" w:bidi="ar-SA"/>
        </w:rPr>
        <w:t>表</w:t>
      </w:r>
      <w:r>
        <w:rPr>
          <w:rFonts w:hint="eastAsia"/>
          <w:b/>
          <w:color w:val="000000"/>
          <w:sz w:val="24"/>
          <w:szCs w:val="22"/>
          <w:lang w:val="en-US" w:eastAsia="zh-CN" w:bidi="ar-SA"/>
        </w:rPr>
        <w:t>7.1-2</w:t>
      </w:r>
      <w:r>
        <w:rPr>
          <w:rFonts w:hint="eastAsia"/>
          <w:b/>
          <w:color w:val="000000"/>
          <w:sz w:val="24"/>
          <w:szCs w:val="22"/>
          <w:lang w:val="zh-CN" w:eastAsia="zh-CN" w:bidi="ar-SA"/>
        </w:rPr>
        <w:t xml:space="preserve">  环境风险评价工作等级划分</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5"/>
        <w:gridCol w:w="1705"/>
        <w:gridCol w:w="1706"/>
        <w:gridCol w:w="1706"/>
        <w:gridCol w:w="1706"/>
      </w:tblGrid>
      <w:tr w14:paraId="0E946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noWrap w:val="0"/>
            <w:vAlign w:val="top"/>
          </w:tcPr>
          <w:p w14:paraId="2B5249B5">
            <w:pPr>
              <w:widowControl w:val="0"/>
              <w:spacing w:before="23" w:after="0" w:line="240" w:lineRule="auto"/>
              <w:ind w:left="0" w:righ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环境风险潜势</w:t>
            </w:r>
          </w:p>
        </w:tc>
        <w:tc>
          <w:tcPr>
            <w:tcW w:w="1705" w:type="dxa"/>
            <w:noWrap w:val="0"/>
            <w:vAlign w:val="top"/>
          </w:tcPr>
          <w:p w14:paraId="435856FF">
            <w:pPr>
              <w:widowControl w:val="0"/>
              <w:spacing w:before="23" w:after="0" w:line="240" w:lineRule="auto"/>
              <w:ind w:left="0" w:righ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Ⅳ、Ⅳ+</w:t>
            </w:r>
          </w:p>
        </w:tc>
        <w:tc>
          <w:tcPr>
            <w:tcW w:w="1706" w:type="dxa"/>
            <w:noWrap w:val="0"/>
            <w:vAlign w:val="top"/>
          </w:tcPr>
          <w:p w14:paraId="14C8D435">
            <w:pPr>
              <w:widowControl w:val="0"/>
              <w:spacing w:before="23" w:after="0" w:line="240" w:lineRule="auto"/>
              <w:ind w:left="0" w:righ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Ⅲ</w:t>
            </w:r>
          </w:p>
        </w:tc>
        <w:tc>
          <w:tcPr>
            <w:tcW w:w="1706" w:type="dxa"/>
            <w:noWrap w:val="0"/>
            <w:vAlign w:val="top"/>
          </w:tcPr>
          <w:p w14:paraId="561546CB">
            <w:pPr>
              <w:widowControl w:val="0"/>
              <w:spacing w:before="23" w:after="0" w:line="240" w:lineRule="auto"/>
              <w:ind w:left="0" w:righ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Ⅱ</w:t>
            </w:r>
          </w:p>
        </w:tc>
        <w:tc>
          <w:tcPr>
            <w:tcW w:w="1706" w:type="dxa"/>
            <w:noWrap w:val="0"/>
            <w:vAlign w:val="center"/>
          </w:tcPr>
          <w:p w14:paraId="72CD2CA2">
            <w:pPr>
              <w:widowControl w:val="0"/>
              <w:spacing w:before="23" w:after="0" w:line="240" w:lineRule="auto"/>
              <w:ind w:left="0" w:righ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Ⅰ</w:t>
            </w:r>
          </w:p>
        </w:tc>
      </w:tr>
      <w:tr w14:paraId="6E0D8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5" w:type="dxa"/>
            <w:noWrap w:val="0"/>
            <w:vAlign w:val="top"/>
          </w:tcPr>
          <w:p w14:paraId="6A3C1C9C">
            <w:pPr>
              <w:widowControl w:val="0"/>
              <w:spacing w:before="23" w:after="0" w:line="240" w:lineRule="auto"/>
              <w:ind w:left="0" w:righ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评价工作等级</w:t>
            </w:r>
          </w:p>
        </w:tc>
        <w:tc>
          <w:tcPr>
            <w:tcW w:w="1705" w:type="dxa"/>
            <w:noWrap w:val="0"/>
            <w:vAlign w:val="top"/>
          </w:tcPr>
          <w:p w14:paraId="16C8B6A1">
            <w:pPr>
              <w:widowControl w:val="0"/>
              <w:spacing w:before="23" w:after="0" w:line="240" w:lineRule="auto"/>
              <w:ind w:left="0" w:righ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一</w:t>
            </w:r>
          </w:p>
        </w:tc>
        <w:tc>
          <w:tcPr>
            <w:tcW w:w="1706" w:type="dxa"/>
            <w:noWrap w:val="0"/>
            <w:vAlign w:val="top"/>
          </w:tcPr>
          <w:p w14:paraId="59D1FFD5">
            <w:pPr>
              <w:widowControl w:val="0"/>
              <w:spacing w:before="23" w:after="0" w:line="240" w:lineRule="auto"/>
              <w:ind w:left="0" w:righ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二</w:t>
            </w:r>
          </w:p>
        </w:tc>
        <w:tc>
          <w:tcPr>
            <w:tcW w:w="1706" w:type="dxa"/>
            <w:noWrap w:val="0"/>
            <w:vAlign w:val="top"/>
          </w:tcPr>
          <w:p w14:paraId="3246A765">
            <w:pPr>
              <w:widowControl w:val="0"/>
              <w:spacing w:before="23" w:after="0" w:line="240" w:lineRule="auto"/>
              <w:ind w:left="0" w:righ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三</w:t>
            </w:r>
          </w:p>
        </w:tc>
        <w:tc>
          <w:tcPr>
            <w:tcW w:w="1706" w:type="dxa"/>
            <w:noWrap w:val="0"/>
            <w:vAlign w:val="center"/>
          </w:tcPr>
          <w:p w14:paraId="12687640">
            <w:pPr>
              <w:widowControl w:val="0"/>
              <w:spacing w:before="22" w:after="0" w:line="240" w:lineRule="auto"/>
              <w:ind w:left="0" w:right="79"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简单分析 a</w:t>
            </w:r>
          </w:p>
        </w:tc>
      </w:tr>
      <w:tr w14:paraId="2F165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8" w:type="dxa"/>
            <w:gridSpan w:val="5"/>
            <w:noWrap w:val="0"/>
            <w:vAlign w:val="top"/>
          </w:tcPr>
          <w:p w14:paraId="272003C6">
            <w:pPr>
              <w:widowControl w:val="0"/>
              <w:spacing w:before="24" w:after="0" w:line="283" w:lineRule="auto"/>
              <w:ind w:left="0" w:right="381"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a 是相对于详细评价工作内容而言，在描述危险物质、环境影响途径、环境危害后果、风险防范措施等方面给出定性的说明。见附录 A。</w:t>
            </w:r>
          </w:p>
        </w:tc>
      </w:tr>
    </w:tbl>
    <w:p w14:paraId="71D1AE59">
      <w:pPr>
        <w:pStyle w:val="219"/>
        <w:keepNext w:val="0"/>
        <w:keepLines w:val="0"/>
        <w:pageBreakBefore w:val="0"/>
        <w:widowControl/>
        <w:spacing w:after="0"/>
        <w:ind w:left="0" w:firstLine="480"/>
        <w:rPr>
          <w:rFonts w:ascii="Times New Roman" w:hAnsi="Times New Roman" w:cs="Times New Roman"/>
          <w:color w:val="000000"/>
          <w:sz w:val="24"/>
          <w:szCs w:val="24"/>
          <w:lang w:val="en-US" w:eastAsia="zh-CN" w:bidi="ar-SA"/>
        </w:rPr>
      </w:pPr>
      <w:r>
        <w:rPr>
          <w:rFonts w:ascii="Times New Roman" w:hAnsi="Times New Roman" w:cs="Times New Roman"/>
          <w:color w:val="000000"/>
          <w:sz w:val="24"/>
          <w:szCs w:val="24"/>
          <w:lang w:val="en-US" w:eastAsia="zh-CN" w:bidi="ar-SA"/>
        </w:rPr>
        <w:t>1、危险物质及工艺系统危险性（P）的分级确定</w:t>
      </w:r>
    </w:p>
    <w:p w14:paraId="6C06AA89">
      <w:pPr>
        <w:pStyle w:val="219"/>
        <w:keepNext w:val="0"/>
        <w:keepLines w:val="0"/>
        <w:pageBreakBefore w:val="0"/>
        <w:widowControl/>
        <w:spacing w:after="0"/>
        <w:ind w:left="0" w:firstLine="480"/>
        <w:rPr>
          <w:rFonts w:ascii="Times New Roman" w:hAnsi="Times New Roman" w:cs="Times New Roman"/>
          <w:color w:val="000000"/>
          <w:sz w:val="24"/>
          <w:szCs w:val="24"/>
          <w:lang w:val="en-US" w:eastAsia="zh-CN" w:bidi="ar-SA"/>
        </w:rPr>
      </w:pPr>
      <w:r>
        <w:rPr>
          <w:rFonts w:ascii="Times New Roman" w:hAnsi="Times New Roman" w:cs="Times New Roman"/>
          <w:color w:val="000000"/>
          <w:sz w:val="24"/>
          <w:szCs w:val="24"/>
          <w:lang w:val="en-US" w:eastAsia="zh-CN" w:bidi="ar-SA"/>
        </w:rPr>
        <w:t>①危险物质数量与临界量比值（Q）</w:t>
      </w:r>
    </w:p>
    <w:p w14:paraId="06E99E38">
      <w:pPr>
        <w:pStyle w:val="219"/>
        <w:keepNext w:val="0"/>
        <w:keepLines w:val="0"/>
        <w:pageBreakBefore w:val="0"/>
        <w:widowControl/>
        <w:spacing w:after="0"/>
        <w:ind w:left="0" w:firstLine="480"/>
        <w:rPr>
          <w:rFonts w:ascii="Times New Roman" w:hAnsi="Times New Roman" w:cs="Times New Roman"/>
          <w:color w:val="000000"/>
          <w:sz w:val="24"/>
          <w:szCs w:val="24"/>
          <w:lang w:val="en-US" w:eastAsia="zh-CN" w:bidi="ar-SA"/>
        </w:rPr>
      </w:pPr>
      <w:r>
        <w:rPr>
          <w:rFonts w:ascii="Times New Roman" w:hAnsi="Times New Roman" w:cs="Times New Roman"/>
          <w:color w:val="000000"/>
          <w:sz w:val="24"/>
          <w:szCs w:val="24"/>
          <w:lang w:val="en-US" w:eastAsia="zh-CN" w:bidi="ar-SA"/>
        </w:rPr>
        <w:t>项目生产及贮运过程涉及的主要化学品有尿素、三聚氰胺、甲醛、苯酚、聚乙烯醇、氢氧化钠、甲酸等。项目涉及的化学品中，甲醛、苯酚、甲酸属《建设项目环境风险评价技术导则》（HJ169-2018）附录 B 重点关注的危险物质，尿素、三聚氰胺、聚乙烯醇、氢氧化钠不属于附录 B 重点关注的危险物质，因此项目所涉危险物质 Q 见下表。</w:t>
      </w:r>
    </w:p>
    <w:bookmarkEnd w:id="191"/>
    <w:p w14:paraId="49F46971">
      <w:pPr>
        <w:widowControl w:val="0"/>
        <w:spacing w:before="4" w:after="0" w:line="240" w:lineRule="auto"/>
        <w:ind w:left="0" w:right="0"/>
        <w:jc w:val="center"/>
        <w:rPr>
          <w:rFonts w:hint="eastAsia" w:ascii="Times New Roman" w:hAnsi="Times New Roman" w:eastAsia="宋体" w:cs="Times New Roman"/>
          <w:b/>
          <w:bCs/>
          <w:sz w:val="24"/>
          <w:szCs w:val="24"/>
          <w:lang w:val="en-US" w:eastAsia="zh-CN" w:bidi="zh-CN"/>
        </w:rPr>
      </w:pPr>
      <w:bookmarkStart w:id="192" w:name="4.2.7.环境风险评价"/>
      <w:r>
        <w:rPr>
          <w:rFonts w:hint="eastAsia" w:ascii="Times New Roman" w:hAnsi="Times New Roman" w:eastAsia="宋体" w:cs="Times New Roman"/>
          <w:b/>
          <w:bCs/>
          <w:sz w:val="24"/>
          <w:szCs w:val="24"/>
          <w:lang w:val="en-US" w:eastAsia="zh-CN" w:bidi="zh-CN"/>
        </w:rPr>
        <w:t>表7.1-3 项目危险物质数量与临界量的比值（Q）</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5"/>
        <w:gridCol w:w="1885"/>
        <w:gridCol w:w="1728"/>
        <w:gridCol w:w="1351"/>
        <w:gridCol w:w="1069"/>
        <w:gridCol w:w="1662"/>
      </w:tblGrid>
      <w:tr w14:paraId="22CCB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5" w:type="dxa"/>
            <w:noWrap w:val="0"/>
            <w:vAlign w:val="center"/>
          </w:tcPr>
          <w:p w14:paraId="3BECB150">
            <w:pPr>
              <w:pStyle w:val="363"/>
              <w:widowControl w:val="0"/>
              <w:jc w:val="center"/>
              <w:rPr>
                <w:b/>
                <w:bCs/>
                <w:szCs w:val="21"/>
                <w:lang w:val="en-US" w:eastAsia="zh-CN"/>
              </w:rPr>
            </w:pPr>
            <w:r>
              <w:rPr>
                <w:b/>
                <w:bCs/>
                <w:szCs w:val="21"/>
                <w:lang w:val="zh-CN" w:eastAsia="zh-CN"/>
              </w:rPr>
              <w:t>序号</w:t>
            </w:r>
          </w:p>
        </w:tc>
        <w:tc>
          <w:tcPr>
            <w:tcW w:w="1885" w:type="dxa"/>
            <w:noWrap w:val="0"/>
            <w:vAlign w:val="center"/>
          </w:tcPr>
          <w:p w14:paraId="1D0516B7">
            <w:pPr>
              <w:pStyle w:val="363"/>
              <w:widowControl w:val="0"/>
              <w:jc w:val="center"/>
              <w:rPr>
                <w:b/>
                <w:bCs/>
                <w:color w:val="000000"/>
                <w:szCs w:val="21"/>
                <w:lang w:val="en-US" w:eastAsia="zh-CN"/>
              </w:rPr>
            </w:pPr>
            <w:r>
              <w:rPr>
                <w:b/>
                <w:bCs/>
                <w:color w:val="000000"/>
                <w:szCs w:val="21"/>
                <w:lang w:val="zh-CN" w:eastAsia="zh-CN"/>
              </w:rPr>
              <w:t>危险物质名称</w:t>
            </w:r>
          </w:p>
        </w:tc>
        <w:tc>
          <w:tcPr>
            <w:tcW w:w="1728" w:type="dxa"/>
            <w:noWrap w:val="0"/>
            <w:vAlign w:val="center"/>
          </w:tcPr>
          <w:p w14:paraId="1A95B1A6">
            <w:pPr>
              <w:pStyle w:val="363"/>
              <w:widowControl w:val="0"/>
              <w:jc w:val="center"/>
              <w:rPr>
                <w:b/>
                <w:bCs/>
                <w:color w:val="000000"/>
                <w:szCs w:val="21"/>
                <w:lang w:val="en-US" w:eastAsia="zh-CN"/>
              </w:rPr>
            </w:pPr>
            <w:r>
              <w:rPr>
                <w:b/>
                <w:bCs/>
                <w:color w:val="000000"/>
                <w:szCs w:val="21"/>
                <w:lang w:val="zh-CN" w:eastAsia="zh-CN"/>
              </w:rPr>
              <w:t>CAS 号</w:t>
            </w:r>
          </w:p>
        </w:tc>
        <w:tc>
          <w:tcPr>
            <w:tcW w:w="1351" w:type="dxa"/>
            <w:noWrap w:val="0"/>
            <w:vAlign w:val="center"/>
          </w:tcPr>
          <w:p w14:paraId="07A603BA">
            <w:pPr>
              <w:pStyle w:val="363"/>
              <w:widowControl w:val="0"/>
              <w:jc w:val="center"/>
              <w:rPr>
                <w:b/>
                <w:bCs/>
                <w:color w:val="000000"/>
                <w:szCs w:val="21"/>
                <w:lang w:val="en-US" w:eastAsia="zh-CN"/>
              </w:rPr>
            </w:pPr>
            <w:r>
              <w:rPr>
                <w:b/>
                <w:bCs/>
                <w:color w:val="000000"/>
                <w:szCs w:val="21"/>
                <w:lang w:val="zh-CN" w:eastAsia="zh-CN"/>
              </w:rPr>
              <w:t>最大存在总量 q</w:t>
            </w:r>
            <w:r>
              <w:rPr>
                <w:b/>
                <w:bCs/>
                <w:color w:val="000000"/>
                <w:szCs w:val="21"/>
                <w:vertAlign w:val="subscript"/>
                <w:lang w:val="zh-CN" w:eastAsia="zh-CN"/>
              </w:rPr>
              <w:t>n</w:t>
            </w:r>
            <w:r>
              <w:rPr>
                <w:b/>
                <w:bCs/>
                <w:color w:val="000000"/>
                <w:szCs w:val="21"/>
                <w:lang w:val="zh-CN" w:eastAsia="zh-CN"/>
              </w:rPr>
              <w:t>/t</w:t>
            </w:r>
          </w:p>
        </w:tc>
        <w:tc>
          <w:tcPr>
            <w:tcW w:w="1069" w:type="dxa"/>
            <w:noWrap w:val="0"/>
            <w:vAlign w:val="center"/>
          </w:tcPr>
          <w:p w14:paraId="1643659E">
            <w:pPr>
              <w:pStyle w:val="363"/>
              <w:widowControl w:val="0"/>
              <w:jc w:val="center"/>
              <w:rPr>
                <w:b/>
                <w:bCs/>
                <w:color w:val="000000"/>
                <w:szCs w:val="21"/>
                <w:lang w:val="en-US" w:eastAsia="zh-CN"/>
              </w:rPr>
            </w:pPr>
            <w:r>
              <w:rPr>
                <w:b/>
                <w:bCs/>
                <w:color w:val="000000"/>
                <w:szCs w:val="21"/>
                <w:lang w:val="zh-CN" w:eastAsia="zh-CN"/>
              </w:rPr>
              <w:t>临界量 Q</w:t>
            </w:r>
            <w:r>
              <w:rPr>
                <w:b/>
                <w:bCs/>
                <w:color w:val="000000"/>
                <w:szCs w:val="21"/>
                <w:vertAlign w:val="subscript"/>
                <w:lang w:val="zh-CN" w:eastAsia="zh-CN"/>
              </w:rPr>
              <w:t>n</w:t>
            </w:r>
            <w:r>
              <w:rPr>
                <w:b/>
                <w:bCs/>
                <w:color w:val="000000"/>
                <w:szCs w:val="21"/>
                <w:lang w:val="zh-CN" w:eastAsia="zh-CN"/>
              </w:rPr>
              <w:t>/t</w:t>
            </w:r>
          </w:p>
        </w:tc>
        <w:tc>
          <w:tcPr>
            <w:tcW w:w="1662" w:type="dxa"/>
            <w:noWrap w:val="0"/>
            <w:vAlign w:val="center"/>
          </w:tcPr>
          <w:p w14:paraId="779A67F7">
            <w:pPr>
              <w:pStyle w:val="363"/>
              <w:widowControl w:val="0"/>
              <w:jc w:val="center"/>
              <w:rPr>
                <w:b/>
                <w:bCs/>
                <w:color w:val="000000"/>
                <w:szCs w:val="21"/>
                <w:lang w:val="en-US" w:eastAsia="zh-CN"/>
              </w:rPr>
            </w:pPr>
            <w:r>
              <w:rPr>
                <w:b/>
                <w:bCs/>
                <w:color w:val="000000"/>
                <w:szCs w:val="21"/>
                <w:lang w:val="zh-CN" w:eastAsia="zh-CN"/>
              </w:rPr>
              <w:t>该种危险物质Q 值</w:t>
            </w:r>
          </w:p>
        </w:tc>
      </w:tr>
      <w:tr w14:paraId="59AC3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5" w:type="dxa"/>
            <w:noWrap w:val="0"/>
            <w:vAlign w:val="center"/>
          </w:tcPr>
          <w:p w14:paraId="572450D5">
            <w:pPr>
              <w:pStyle w:val="363"/>
              <w:widowControl w:val="0"/>
              <w:jc w:val="center"/>
              <w:rPr>
                <w:b w:val="0"/>
                <w:bCs w:val="0"/>
                <w:szCs w:val="21"/>
                <w:lang w:val="en-US" w:eastAsia="zh-CN"/>
              </w:rPr>
            </w:pPr>
            <w:r>
              <w:rPr>
                <w:b w:val="0"/>
                <w:bCs w:val="0"/>
                <w:szCs w:val="21"/>
                <w:lang w:val="zh-CN" w:eastAsia="zh-CN"/>
              </w:rPr>
              <w:t>1</w:t>
            </w:r>
          </w:p>
        </w:tc>
        <w:tc>
          <w:tcPr>
            <w:tcW w:w="1885" w:type="dxa"/>
            <w:noWrap w:val="0"/>
            <w:vAlign w:val="center"/>
          </w:tcPr>
          <w:p w14:paraId="2CE45534">
            <w:pPr>
              <w:pStyle w:val="363"/>
              <w:widowControl w:val="0"/>
              <w:jc w:val="center"/>
              <w:rPr>
                <w:b w:val="0"/>
                <w:bCs w:val="0"/>
                <w:color w:val="000000"/>
                <w:szCs w:val="21"/>
                <w:lang w:val="en-US" w:eastAsia="zh-CN"/>
              </w:rPr>
            </w:pPr>
            <w:r>
              <w:rPr>
                <w:b w:val="0"/>
                <w:bCs w:val="0"/>
                <w:color w:val="000000"/>
                <w:szCs w:val="21"/>
                <w:lang w:val="zh-CN" w:eastAsia="zh-CN"/>
              </w:rPr>
              <w:t>甲醛溶液（37%）</w:t>
            </w:r>
          </w:p>
        </w:tc>
        <w:tc>
          <w:tcPr>
            <w:tcW w:w="1728" w:type="dxa"/>
            <w:noWrap w:val="0"/>
            <w:vAlign w:val="center"/>
          </w:tcPr>
          <w:p w14:paraId="44E2492B">
            <w:pPr>
              <w:pStyle w:val="363"/>
              <w:widowControl w:val="0"/>
              <w:jc w:val="center"/>
              <w:rPr>
                <w:b w:val="0"/>
                <w:bCs w:val="0"/>
                <w:color w:val="000000"/>
                <w:szCs w:val="21"/>
                <w:lang w:val="en-US" w:eastAsia="zh-CN"/>
              </w:rPr>
            </w:pPr>
            <w:r>
              <w:rPr>
                <w:b w:val="0"/>
                <w:bCs w:val="0"/>
                <w:color w:val="000000"/>
                <w:szCs w:val="21"/>
                <w:lang w:val="zh-CN" w:eastAsia="zh-CN"/>
              </w:rPr>
              <w:t>50-00-0</w:t>
            </w:r>
          </w:p>
        </w:tc>
        <w:tc>
          <w:tcPr>
            <w:tcW w:w="1351" w:type="dxa"/>
            <w:noWrap w:val="0"/>
            <w:vAlign w:val="center"/>
          </w:tcPr>
          <w:p w14:paraId="251653D3">
            <w:pPr>
              <w:pStyle w:val="363"/>
              <w:widowControl w:val="0"/>
              <w:jc w:val="center"/>
              <w:rPr>
                <w:b w:val="0"/>
                <w:bCs w:val="0"/>
                <w:color w:val="000000"/>
                <w:szCs w:val="21"/>
                <w:lang w:val="en-US" w:eastAsia="zh-CN"/>
              </w:rPr>
            </w:pPr>
            <w:r>
              <w:rPr>
                <w:rFonts w:hint="eastAsia"/>
                <w:b w:val="0"/>
                <w:bCs w:val="0"/>
                <w:color w:val="000000"/>
                <w:szCs w:val="21"/>
                <w:lang w:val="en-US" w:eastAsia="zh-CN"/>
              </w:rPr>
              <w:t>50</w:t>
            </w:r>
            <w:r>
              <w:rPr>
                <w:b w:val="0"/>
                <w:bCs w:val="0"/>
                <w:color w:val="000000"/>
                <w:szCs w:val="21"/>
                <w:lang w:val="zh-CN" w:eastAsia="zh-CN"/>
              </w:rPr>
              <w:t xml:space="preserve">（甲醛含量 </w:t>
            </w:r>
            <w:r>
              <w:rPr>
                <w:rFonts w:hint="eastAsia"/>
                <w:b w:val="0"/>
                <w:bCs w:val="0"/>
                <w:color w:val="000000"/>
                <w:szCs w:val="21"/>
                <w:lang w:val="en-US" w:eastAsia="zh-CN"/>
              </w:rPr>
              <w:t>18.5</w:t>
            </w:r>
            <w:r>
              <w:rPr>
                <w:b w:val="0"/>
                <w:bCs w:val="0"/>
                <w:color w:val="000000"/>
                <w:szCs w:val="21"/>
                <w:lang w:val="zh-CN" w:eastAsia="zh-CN"/>
              </w:rPr>
              <w:t>）</w:t>
            </w:r>
          </w:p>
        </w:tc>
        <w:tc>
          <w:tcPr>
            <w:tcW w:w="1069" w:type="dxa"/>
            <w:noWrap w:val="0"/>
            <w:vAlign w:val="center"/>
          </w:tcPr>
          <w:p w14:paraId="7DDDF0E0">
            <w:pPr>
              <w:pStyle w:val="363"/>
              <w:widowControl w:val="0"/>
              <w:jc w:val="center"/>
              <w:rPr>
                <w:b w:val="0"/>
                <w:bCs w:val="0"/>
                <w:color w:val="000000"/>
                <w:szCs w:val="21"/>
                <w:lang w:val="en-US" w:eastAsia="zh-CN"/>
              </w:rPr>
            </w:pPr>
            <w:r>
              <w:rPr>
                <w:rFonts w:hint="eastAsia"/>
                <w:b w:val="0"/>
                <w:bCs w:val="0"/>
                <w:color w:val="000000"/>
                <w:szCs w:val="21"/>
                <w:lang w:val="en-US" w:eastAsia="zh-CN"/>
              </w:rPr>
              <w:t>0.5</w:t>
            </w:r>
          </w:p>
        </w:tc>
        <w:tc>
          <w:tcPr>
            <w:tcW w:w="1662" w:type="dxa"/>
            <w:noWrap w:val="0"/>
            <w:vAlign w:val="center"/>
          </w:tcPr>
          <w:p w14:paraId="138B2FBC">
            <w:pPr>
              <w:pStyle w:val="363"/>
              <w:widowControl w:val="0"/>
              <w:jc w:val="center"/>
              <w:rPr>
                <w:b w:val="0"/>
                <w:bCs w:val="0"/>
                <w:color w:val="000000"/>
                <w:szCs w:val="21"/>
                <w:lang w:val="en-US" w:eastAsia="zh-CN"/>
              </w:rPr>
            </w:pPr>
            <w:r>
              <w:rPr>
                <w:rFonts w:hint="eastAsia"/>
                <w:b w:val="0"/>
                <w:bCs w:val="0"/>
                <w:color w:val="000000"/>
                <w:szCs w:val="21"/>
                <w:lang w:val="en-US" w:eastAsia="zh-CN"/>
              </w:rPr>
              <w:t>37</w:t>
            </w:r>
          </w:p>
        </w:tc>
      </w:tr>
      <w:tr w14:paraId="586B7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5" w:type="dxa"/>
            <w:noWrap w:val="0"/>
            <w:vAlign w:val="center"/>
          </w:tcPr>
          <w:p w14:paraId="67C81FF4">
            <w:pPr>
              <w:pStyle w:val="363"/>
              <w:widowControl w:val="0"/>
              <w:jc w:val="center"/>
              <w:rPr>
                <w:b w:val="0"/>
                <w:bCs w:val="0"/>
                <w:szCs w:val="21"/>
                <w:lang w:val="en-US" w:eastAsia="zh-CN"/>
              </w:rPr>
            </w:pPr>
            <w:r>
              <w:rPr>
                <w:b w:val="0"/>
                <w:bCs w:val="0"/>
                <w:szCs w:val="21"/>
                <w:lang w:val="zh-CN" w:eastAsia="zh-CN"/>
              </w:rPr>
              <w:t>2</w:t>
            </w:r>
          </w:p>
        </w:tc>
        <w:tc>
          <w:tcPr>
            <w:tcW w:w="1885" w:type="dxa"/>
            <w:noWrap w:val="0"/>
            <w:vAlign w:val="center"/>
          </w:tcPr>
          <w:p w14:paraId="3F6C0636">
            <w:pPr>
              <w:pStyle w:val="363"/>
              <w:widowControl w:val="0"/>
              <w:jc w:val="center"/>
              <w:rPr>
                <w:b w:val="0"/>
                <w:bCs w:val="0"/>
                <w:color w:val="000000"/>
                <w:szCs w:val="21"/>
                <w:lang w:val="en-US" w:eastAsia="zh-CN"/>
              </w:rPr>
            </w:pPr>
            <w:r>
              <w:rPr>
                <w:b w:val="0"/>
                <w:bCs w:val="0"/>
                <w:color w:val="000000"/>
                <w:szCs w:val="21"/>
                <w:lang w:val="zh-CN" w:eastAsia="zh-CN"/>
              </w:rPr>
              <w:t>甲酸溶液</w:t>
            </w:r>
          </w:p>
        </w:tc>
        <w:tc>
          <w:tcPr>
            <w:tcW w:w="1728" w:type="dxa"/>
            <w:noWrap w:val="0"/>
            <w:vAlign w:val="center"/>
          </w:tcPr>
          <w:p w14:paraId="51B65C0A">
            <w:pPr>
              <w:pStyle w:val="363"/>
              <w:widowControl w:val="0"/>
              <w:jc w:val="center"/>
              <w:rPr>
                <w:b w:val="0"/>
                <w:bCs w:val="0"/>
                <w:color w:val="000000"/>
                <w:szCs w:val="21"/>
                <w:lang w:val="en-US" w:eastAsia="zh-CN"/>
              </w:rPr>
            </w:pPr>
            <w:r>
              <w:rPr>
                <w:b w:val="0"/>
                <w:bCs w:val="0"/>
                <w:color w:val="000000"/>
                <w:szCs w:val="21"/>
                <w:lang w:val="zh-CN" w:eastAsia="zh-CN"/>
              </w:rPr>
              <w:t>64-18-6</w:t>
            </w:r>
          </w:p>
        </w:tc>
        <w:tc>
          <w:tcPr>
            <w:tcW w:w="1351" w:type="dxa"/>
            <w:noWrap w:val="0"/>
            <w:vAlign w:val="center"/>
          </w:tcPr>
          <w:p w14:paraId="046D2745">
            <w:pPr>
              <w:pStyle w:val="363"/>
              <w:widowControl w:val="0"/>
              <w:jc w:val="center"/>
              <w:rPr>
                <w:b w:val="0"/>
                <w:bCs w:val="0"/>
                <w:color w:val="000000"/>
                <w:szCs w:val="21"/>
                <w:lang w:val="en-US" w:eastAsia="zh-CN"/>
              </w:rPr>
            </w:pPr>
            <w:r>
              <w:rPr>
                <w:rFonts w:hint="eastAsia"/>
                <w:b w:val="0"/>
                <w:bCs w:val="0"/>
                <w:color w:val="000000"/>
                <w:szCs w:val="21"/>
                <w:lang w:val="en-US" w:eastAsia="zh-CN"/>
              </w:rPr>
              <w:t>0.05</w:t>
            </w:r>
          </w:p>
        </w:tc>
        <w:tc>
          <w:tcPr>
            <w:tcW w:w="1069" w:type="dxa"/>
            <w:noWrap w:val="0"/>
            <w:vAlign w:val="center"/>
          </w:tcPr>
          <w:p w14:paraId="216B1AC3">
            <w:pPr>
              <w:pStyle w:val="363"/>
              <w:widowControl w:val="0"/>
              <w:jc w:val="center"/>
              <w:rPr>
                <w:b w:val="0"/>
                <w:bCs w:val="0"/>
                <w:color w:val="000000"/>
                <w:szCs w:val="21"/>
                <w:lang w:val="en-US" w:eastAsia="zh-CN"/>
              </w:rPr>
            </w:pPr>
            <w:r>
              <w:rPr>
                <w:rFonts w:hint="eastAsia"/>
                <w:b w:val="0"/>
                <w:bCs w:val="0"/>
                <w:color w:val="000000"/>
                <w:szCs w:val="21"/>
                <w:lang w:val="en-US" w:eastAsia="zh-CN"/>
              </w:rPr>
              <w:t>10</w:t>
            </w:r>
          </w:p>
        </w:tc>
        <w:tc>
          <w:tcPr>
            <w:tcW w:w="1662" w:type="dxa"/>
            <w:noWrap w:val="0"/>
            <w:vAlign w:val="center"/>
          </w:tcPr>
          <w:p w14:paraId="4B3D7C83">
            <w:pPr>
              <w:pStyle w:val="363"/>
              <w:widowControl w:val="0"/>
              <w:jc w:val="center"/>
              <w:rPr>
                <w:b w:val="0"/>
                <w:bCs w:val="0"/>
                <w:color w:val="000000"/>
                <w:szCs w:val="21"/>
                <w:lang w:val="en-US" w:eastAsia="zh-CN"/>
              </w:rPr>
            </w:pPr>
            <w:r>
              <w:rPr>
                <w:rFonts w:hint="eastAsia"/>
                <w:b w:val="0"/>
                <w:bCs w:val="0"/>
                <w:color w:val="000000"/>
                <w:szCs w:val="21"/>
                <w:lang w:val="en-US" w:eastAsia="zh-CN"/>
              </w:rPr>
              <w:t>0.005</w:t>
            </w:r>
          </w:p>
        </w:tc>
      </w:tr>
      <w:tr w14:paraId="4980F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5" w:type="dxa"/>
            <w:noWrap w:val="0"/>
            <w:vAlign w:val="center"/>
          </w:tcPr>
          <w:p w14:paraId="12F10F86">
            <w:pPr>
              <w:pStyle w:val="363"/>
              <w:widowControl w:val="0"/>
              <w:jc w:val="center"/>
              <w:rPr>
                <w:b w:val="0"/>
                <w:bCs w:val="0"/>
                <w:szCs w:val="21"/>
                <w:lang w:val="en-US" w:eastAsia="zh-CN"/>
              </w:rPr>
            </w:pPr>
            <w:r>
              <w:rPr>
                <w:b w:val="0"/>
                <w:bCs w:val="0"/>
                <w:szCs w:val="21"/>
                <w:lang w:val="zh-CN" w:eastAsia="zh-CN"/>
              </w:rPr>
              <w:t>3</w:t>
            </w:r>
          </w:p>
        </w:tc>
        <w:tc>
          <w:tcPr>
            <w:tcW w:w="1885" w:type="dxa"/>
            <w:noWrap w:val="0"/>
            <w:vAlign w:val="center"/>
          </w:tcPr>
          <w:p w14:paraId="1D233564">
            <w:pPr>
              <w:pStyle w:val="363"/>
              <w:widowControl w:val="0"/>
              <w:jc w:val="center"/>
              <w:rPr>
                <w:b w:val="0"/>
                <w:bCs w:val="0"/>
                <w:color w:val="000000"/>
                <w:szCs w:val="21"/>
                <w:lang w:val="en-US" w:eastAsia="zh-CN"/>
              </w:rPr>
            </w:pPr>
            <w:r>
              <w:rPr>
                <w:b w:val="0"/>
                <w:bCs w:val="0"/>
                <w:color w:val="000000"/>
                <w:szCs w:val="21"/>
                <w:lang w:val="zh-CN" w:eastAsia="zh-CN"/>
              </w:rPr>
              <w:t>苯酚</w:t>
            </w:r>
          </w:p>
        </w:tc>
        <w:tc>
          <w:tcPr>
            <w:tcW w:w="1728" w:type="dxa"/>
            <w:noWrap w:val="0"/>
            <w:vAlign w:val="center"/>
          </w:tcPr>
          <w:p w14:paraId="3A701B3D">
            <w:pPr>
              <w:pStyle w:val="363"/>
              <w:widowControl w:val="0"/>
              <w:jc w:val="center"/>
              <w:rPr>
                <w:b w:val="0"/>
                <w:bCs w:val="0"/>
                <w:color w:val="000000"/>
                <w:szCs w:val="21"/>
                <w:lang w:val="en-US" w:eastAsia="zh-CN"/>
              </w:rPr>
            </w:pPr>
            <w:r>
              <w:rPr>
                <w:b w:val="0"/>
                <w:bCs w:val="0"/>
                <w:color w:val="000000"/>
                <w:szCs w:val="21"/>
                <w:lang w:val="zh-CN" w:eastAsia="zh-CN"/>
              </w:rPr>
              <w:t>108-95-2</w:t>
            </w:r>
          </w:p>
        </w:tc>
        <w:tc>
          <w:tcPr>
            <w:tcW w:w="1351" w:type="dxa"/>
            <w:noWrap w:val="0"/>
            <w:vAlign w:val="center"/>
          </w:tcPr>
          <w:p w14:paraId="31FF2225">
            <w:pPr>
              <w:pStyle w:val="363"/>
              <w:widowControl w:val="0"/>
              <w:jc w:val="center"/>
              <w:rPr>
                <w:b w:val="0"/>
                <w:bCs w:val="0"/>
                <w:color w:val="000000"/>
                <w:szCs w:val="21"/>
                <w:lang w:val="en-US" w:eastAsia="zh-CN"/>
              </w:rPr>
            </w:pPr>
            <w:r>
              <w:rPr>
                <w:rFonts w:hint="eastAsia"/>
                <w:b w:val="0"/>
                <w:bCs w:val="0"/>
                <w:color w:val="000000"/>
                <w:szCs w:val="21"/>
                <w:lang w:val="en-US" w:eastAsia="zh-CN"/>
              </w:rPr>
              <w:t>30</w:t>
            </w:r>
          </w:p>
        </w:tc>
        <w:tc>
          <w:tcPr>
            <w:tcW w:w="1069" w:type="dxa"/>
            <w:noWrap w:val="0"/>
            <w:vAlign w:val="center"/>
          </w:tcPr>
          <w:p w14:paraId="632F33EC">
            <w:pPr>
              <w:pStyle w:val="363"/>
              <w:widowControl w:val="0"/>
              <w:jc w:val="center"/>
              <w:rPr>
                <w:b w:val="0"/>
                <w:bCs w:val="0"/>
                <w:color w:val="000000"/>
                <w:szCs w:val="21"/>
                <w:lang w:val="en-US" w:eastAsia="zh-CN"/>
              </w:rPr>
            </w:pPr>
            <w:r>
              <w:rPr>
                <w:b w:val="0"/>
                <w:bCs w:val="0"/>
                <w:color w:val="000000"/>
                <w:szCs w:val="21"/>
                <w:lang w:val="zh-CN" w:eastAsia="zh-CN"/>
              </w:rPr>
              <w:t>5</w:t>
            </w:r>
          </w:p>
        </w:tc>
        <w:tc>
          <w:tcPr>
            <w:tcW w:w="1662" w:type="dxa"/>
            <w:noWrap w:val="0"/>
            <w:vAlign w:val="center"/>
          </w:tcPr>
          <w:p w14:paraId="52A39096">
            <w:pPr>
              <w:pStyle w:val="363"/>
              <w:widowControl w:val="0"/>
              <w:jc w:val="center"/>
              <w:rPr>
                <w:b w:val="0"/>
                <w:bCs w:val="0"/>
                <w:color w:val="000000"/>
                <w:szCs w:val="21"/>
                <w:lang w:val="en-US" w:eastAsia="zh-CN"/>
              </w:rPr>
            </w:pPr>
            <w:r>
              <w:rPr>
                <w:rFonts w:hint="eastAsia"/>
                <w:b w:val="0"/>
                <w:bCs w:val="0"/>
                <w:color w:val="000000"/>
                <w:szCs w:val="21"/>
                <w:lang w:val="en-US" w:eastAsia="zh-CN"/>
              </w:rPr>
              <w:t>6</w:t>
            </w:r>
          </w:p>
        </w:tc>
      </w:tr>
      <w:tr w14:paraId="3C668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58" w:type="dxa"/>
            <w:gridSpan w:val="5"/>
            <w:noWrap w:val="0"/>
            <w:vAlign w:val="center"/>
          </w:tcPr>
          <w:p w14:paraId="13873974">
            <w:pPr>
              <w:pStyle w:val="363"/>
              <w:widowControl w:val="0"/>
              <w:jc w:val="center"/>
              <w:rPr>
                <w:b w:val="0"/>
                <w:bCs w:val="0"/>
                <w:color w:val="000000"/>
                <w:szCs w:val="21"/>
                <w:lang w:val="en-US" w:eastAsia="zh-CN"/>
              </w:rPr>
            </w:pPr>
            <w:r>
              <w:rPr>
                <w:b w:val="0"/>
                <w:bCs w:val="0"/>
                <w:color w:val="000000"/>
                <w:szCs w:val="21"/>
                <w:lang w:val="zh-CN" w:eastAsia="zh-CN"/>
              </w:rPr>
              <w:t>项目 Q 值∑</w:t>
            </w:r>
          </w:p>
        </w:tc>
        <w:tc>
          <w:tcPr>
            <w:tcW w:w="1662" w:type="dxa"/>
            <w:noWrap w:val="0"/>
            <w:vAlign w:val="center"/>
          </w:tcPr>
          <w:p w14:paraId="22E784B1">
            <w:pPr>
              <w:pStyle w:val="363"/>
              <w:widowControl w:val="0"/>
              <w:jc w:val="center"/>
              <w:rPr>
                <w:b w:val="0"/>
                <w:bCs w:val="0"/>
                <w:color w:val="000000"/>
                <w:szCs w:val="21"/>
                <w:lang w:val="en-US" w:eastAsia="zh-CN"/>
              </w:rPr>
            </w:pPr>
            <w:r>
              <w:rPr>
                <w:rFonts w:hint="eastAsia"/>
                <w:b w:val="0"/>
                <w:bCs w:val="0"/>
                <w:color w:val="000000"/>
                <w:szCs w:val="21"/>
                <w:lang w:val="en-US" w:eastAsia="zh-CN"/>
              </w:rPr>
              <w:t>43.005</w:t>
            </w:r>
          </w:p>
        </w:tc>
      </w:tr>
    </w:tbl>
    <w:p w14:paraId="3873600A">
      <w:pPr>
        <w:widowControl w:val="0"/>
        <w:spacing w:before="4" w:after="0" w:line="240" w:lineRule="auto"/>
        <w:ind w:left="0" w:right="0"/>
        <w:jc w:val="center"/>
        <w:rPr>
          <w:rFonts w:ascii="Times New Roman" w:hAnsi="Times New Roman" w:eastAsia="宋体" w:cs="Times New Roman"/>
          <w:b/>
          <w:bCs/>
          <w:sz w:val="24"/>
          <w:szCs w:val="24"/>
          <w:lang w:val="en-US" w:eastAsia="zh-CN" w:bidi="zh-CN"/>
        </w:rPr>
      </w:pPr>
    </w:p>
    <w:p w14:paraId="7E078838">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②行业及生产工艺（M）</w:t>
      </w:r>
    </w:p>
    <w:p w14:paraId="3C0606F9">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根据项目所属行业及生产工艺特点，按照下表评估项目生产工艺情况。具有多套工艺单元的项目，对每套生产工艺分别评分并求和。将 M 划分为（1）M＞20；（2） 10＜M≤20；（3）5＜M≤10；（4）M=5，分别以 M1、M2、M3 和 M4 表示。</w:t>
      </w:r>
    </w:p>
    <w:p w14:paraId="3B7FE1AC">
      <w:pPr>
        <w:widowControl w:val="0"/>
        <w:spacing w:before="25" w:after="3" w:line="240" w:lineRule="auto"/>
        <w:ind w:left="281"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hint="eastAsia" w:ascii="Times New Roman" w:hAnsi="Times New Roman" w:eastAsia="宋体" w:cs="Times New Roman"/>
          <w:b/>
          <w:bCs/>
          <w:sz w:val="24"/>
          <w:szCs w:val="24"/>
          <w:lang w:val="en-US" w:eastAsia="zh-CN" w:bidi="zh-CN"/>
        </w:rPr>
        <w:t>7.1</w:t>
      </w:r>
      <w:r>
        <w:rPr>
          <w:rFonts w:ascii="Times New Roman" w:hAnsi="Times New Roman" w:eastAsia="宋体" w:cs="Times New Roman"/>
          <w:b/>
          <w:bCs/>
          <w:sz w:val="24"/>
          <w:szCs w:val="24"/>
          <w:lang w:val="zh-CN" w:eastAsia="zh-CN" w:bidi="zh-CN"/>
        </w:rPr>
        <w:t>-4  行业及生产工艺（M）</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3126"/>
        <w:gridCol w:w="1125"/>
        <w:gridCol w:w="861"/>
        <w:gridCol w:w="1704"/>
      </w:tblGrid>
      <w:tr w14:paraId="0389D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top"/>
          </w:tcPr>
          <w:p w14:paraId="268FE357">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行业</w:t>
            </w:r>
          </w:p>
        </w:tc>
        <w:tc>
          <w:tcPr>
            <w:tcW w:w="3126" w:type="dxa"/>
            <w:noWrap w:val="0"/>
            <w:vAlign w:val="top"/>
          </w:tcPr>
          <w:p w14:paraId="66726B7A">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评估依据</w:t>
            </w:r>
          </w:p>
        </w:tc>
        <w:tc>
          <w:tcPr>
            <w:tcW w:w="1125" w:type="dxa"/>
            <w:noWrap w:val="0"/>
            <w:vAlign w:val="top"/>
          </w:tcPr>
          <w:p w14:paraId="33B11B05">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分值</w:t>
            </w:r>
          </w:p>
        </w:tc>
        <w:tc>
          <w:tcPr>
            <w:tcW w:w="861" w:type="dxa"/>
            <w:noWrap w:val="0"/>
            <w:vAlign w:val="top"/>
          </w:tcPr>
          <w:p w14:paraId="5ADBE952">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得分</w:t>
            </w:r>
          </w:p>
        </w:tc>
        <w:tc>
          <w:tcPr>
            <w:tcW w:w="1704" w:type="dxa"/>
            <w:noWrap w:val="0"/>
            <w:vAlign w:val="top"/>
          </w:tcPr>
          <w:p w14:paraId="4646316D">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说明</w:t>
            </w:r>
          </w:p>
        </w:tc>
      </w:tr>
      <w:tr w14:paraId="47AED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Merge w:val="restart"/>
            <w:noWrap w:val="0"/>
            <w:vAlign w:val="center"/>
          </w:tcPr>
          <w:p w14:paraId="377E590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4A4CBD3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374627C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石化、化工、医药、轻工、化纤、有色冶炼等。</w:t>
            </w:r>
          </w:p>
        </w:tc>
        <w:tc>
          <w:tcPr>
            <w:tcW w:w="3126" w:type="dxa"/>
            <w:noWrap w:val="0"/>
            <w:vAlign w:val="center"/>
          </w:tcPr>
          <w:p w14:paraId="6C1E48C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涉及光气及光气化工艺、电解工艺（氯碱）、氯化工 艺、硝化工艺、合成氨工艺、裂解（裂化）工艺、氟 化工艺、加氢工艺、重氮化工艺、氧化工艺、过氧化 工艺、胺基化工艺、磺化工艺、聚合工艺、烷基化工艺、新型煤化工工艺、电石生产工艺、偶氮化工艺</w:t>
            </w:r>
          </w:p>
        </w:tc>
        <w:tc>
          <w:tcPr>
            <w:tcW w:w="1125" w:type="dxa"/>
            <w:noWrap w:val="0"/>
            <w:vAlign w:val="center"/>
          </w:tcPr>
          <w:p w14:paraId="5245A7E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60C26DD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3AD5279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10/每套</w:t>
            </w:r>
          </w:p>
        </w:tc>
        <w:tc>
          <w:tcPr>
            <w:tcW w:w="861" w:type="dxa"/>
            <w:noWrap w:val="0"/>
            <w:vAlign w:val="center"/>
          </w:tcPr>
          <w:p w14:paraId="232FEFA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2C82252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2E5108B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en-US" w:eastAsia="zh-CN" w:bidi="ar-SA"/>
              </w:rPr>
            </w:pPr>
            <w:r>
              <w:rPr>
                <w:rFonts w:ascii="Times New Roman" w:hAnsi="Times New Roman" w:cs="Times New Roman"/>
                <w:b w:val="0"/>
                <w:bCs w:val="0"/>
                <w:sz w:val="21"/>
                <w:szCs w:val="21"/>
                <w:vertAlign w:val="baseline"/>
                <w:lang w:val="en-US" w:eastAsia="zh-CN" w:bidi="ar-SA"/>
              </w:rPr>
              <w:t>20</w:t>
            </w:r>
          </w:p>
        </w:tc>
        <w:tc>
          <w:tcPr>
            <w:tcW w:w="1704" w:type="dxa"/>
            <w:noWrap w:val="0"/>
            <w:vAlign w:val="center"/>
          </w:tcPr>
          <w:p w14:paraId="69B950C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08F6400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 条脲醛树脂胶生产线；1 条酚醛树脂胶生产线，均属于聚合工艺</w:t>
            </w:r>
          </w:p>
        </w:tc>
      </w:tr>
      <w:tr w14:paraId="4348B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Merge w:val="continue"/>
            <w:noWrap w:val="0"/>
            <w:vAlign w:val="center"/>
          </w:tcPr>
          <w:p w14:paraId="161D239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c>
          <w:tcPr>
            <w:tcW w:w="3126" w:type="dxa"/>
            <w:noWrap w:val="0"/>
            <w:vAlign w:val="center"/>
          </w:tcPr>
          <w:p w14:paraId="3CBDAA8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无机酸制酸工艺、焦化工艺</w:t>
            </w:r>
          </w:p>
        </w:tc>
        <w:tc>
          <w:tcPr>
            <w:tcW w:w="1125" w:type="dxa"/>
            <w:noWrap w:val="0"/>
            <w:vAlign w:val="center"/>
          </w:tcPr>
          <w:p w14:paraId="061AA64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5/每套</w:t>
            </w:r>
          </w:p>
        </w:tc>
        <w:tc>
          <w:tcPr>
            <w:tcW w:w="861" w:type="dxa"/>
            <w:noWrap w:val="0"/>
            <w:vAlign w:val="center"/>
          </w:tcPr>
          <w:p w14:paraId="43A023A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0</w:t>
            </w:r>
          </w:p>
        </w:tc>
        <w:tc>
          <w:tcPr>
            <w:tcW w:w="1704" w:type="dxa"/>
            <w:noWrap w:val="0"/>
            <w:vAlign w:val="center"/>
          </w:tcPr>
          <w:p w14:paraId="162753A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r>
      <w:tr w14:paraId="4CE06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Merge w:val="continue"/>
            <w:noWrap w:val="0"/>
            <w:vAlign w:val="center"/>
          </w:tcPr>
          <w:p w14:paraId="514D55D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c>
          <w:tcPr>
            <w:tcW w:w="3126" w:type="dxa"/>
            <w:noWrap w:val="0"/>
            <w:vAlign w:val="center"/>
          </w:tcPr>
          <w:p w14:paraId="40672ED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其他高温或高压，且涉及危险物质的工艺过程 a、危险物质贮存罐区</w:t>
            </w:r>
          </w:p>
        </w:tc>
        <w:tc>
          <w:tcPr>
            <w:tcW w:w="1125" w:type="dxa"/>
            <w:noWrap w:val="0"/>
            <w:vAlign w:val="center"/>
          </w:tcPr>
          <w:p w14:paraId="5667D22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5/每套（罐区）</w:t>
            </w:r>
          </w:p>
        </w:tc>
        <w:tc>
          <w:tcPr>
            <w:tcW w:w="861" w:type="dxa"/>
            <w:noWrap w:val="0"/>
            <w:vAlign w:val="center"/>
          </w:tcPr>
          <w:p w14:paraId="2DEAE58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5</w:t>
            </w:r>
          </w:p>
        </w:tc>
        <w:tc>
          <w:tcPr>
            <w:tcW w:w="1704" w:type="dxa"/>
            <w:noWrap w:val="0"/>
            <w:vAlign w:val="center"/>
          </w:tcPr>
          <w:p w14:paraId="186DF5A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 个危险物质储罐区</w:t>
            </w:r>
          </w:p>
        </w:tc>
      </w:tr>
      <w:tr w14:paraId="62BF4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698502F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管道、港口/码头等</w:t>
            </w:r>
          </w:p>
        </w:tc>
        <w:tc>
          <w:tcPr>
            <w:tcW w:w="3126" w:type="dxa"/>
            <w:noWrap w:val="0"/>
            <w:vAlign w:val="center"/>
          </w:tcPr>
          <w:p w14:paraId="4B4FCF9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涉及危险物质管道运输项目、港口/码头等</w:t>
            </w:r>
          </w:p>
        </w:tc>
        <w:tc>
          <w:tcPr>
            <w:tcW w:w="1125" w:type="dxa"/>
            <w:noWrap w:val="0"/>
            <w:vAlign w:val="center"/>
          </w:tcPr>
          <w:p w14:paraId="2642C14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w:t>
            </w:r>
          </w:p>
        </w:tc>
        <w:tc>
          <w:tcPr>
            <w:tcW w:w="861" w:type="dxa"/>
            <w:noWrap w:val="0"/>
            <w:vAlign w:val="center"/>
          </w:tcPr>
          <w:p w14:paraId="61A12E1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0</w:t>
            </w:r>
          </w:p>
        </w:tc>
        <w:tc>
          <w:tcPr>
            <w:tcW w:w="1704" w:type="dxa"/>
            <w:noWrap w:val="0"/>
            <w:vAlign w:val="center"/>
          </w:tcPr>
          <w:p w14:paraId="18CCC85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r>
      <w:tr w14:paraId="669E3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14:paraId="44D98F7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5EC6A42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石油天然气</w:t>
            </w:r>
          </w:p>
        </w:tc>
        <w:tc>
          <w:tcPr>
            <w:tcW w:w="3126" w:type="dxa"/>
            <w:noWrap w:val="0"/>
            <w:vAlign w:val="center"/>
          </w:tcPr>
          <w:p w14:paraId="19E2D0E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石油、天然气、页岩气开采（含净化），气库（不含</w:t>
            </w:r>
          </w:p>
          <w:p w14:paraId="3EC281C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加气站的气库），油库（不含加气站的油库）、油气 管线 b（不含城镇燃气管线）</w:t>
            </w:r>
          </w:p>
        </w:tc>
        <w:tc>
          <w:tcPr>
            <w:tcW w:w="1125" w:type="dxa"/>
            <w:noWrap w:val="0"/>
            <w:vAlign w:val="center"/>
          </w:tcPr>
          <w:p w14:paraId="4819C25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w:t>
            </w:r>
          </w:p>
        </w:tc>
        <w:tc>
          <w:tcPr>
            <w:tcW w:w="861" w:type="dxa"/>
            <w:noWrap w:val="0"/>
            <w:vAlign w:val="center"/>
          </w:tcPr>
          <w:p w14:paraId="3D12364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1376BA8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0</w:t>
            </w:r>
          </w:p>
        </w:tc>
        <w:tc>
          <w:tcPr>
            <w:tcW w:w="1704" w:type="dxa"/>
            <w:noWrap w:val="0"/>
            <w:vAlign w:val="center"/>
          </w:tcPr>
          <w:p w14:paraId="0F703BD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r>
      <w:tr w14:paraId="64865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top"/>
          </w:tcPr>
          <w:p w14:paraId="7748094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其他</w:t>
            </w:r>
          </w:p>
        </w:tc>
        <w:tc>
          <w:tcPr>
            <w:tcW w:w="3126" w:type="dxa"/>
            <w:noWrap w:val="0"/>
            <w:vAlign w:val="top"/>
          </w:tcPr>
          <w:p w14:paraId="50A2CB5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涉及危险物质使用、贮存的项目</w:t>
            </w:r>
          </w:p>
        </w:tc>
        <w:tc>
          <w:tcPr>
            <w:tcW w:w="1125" w:type="dxa"/>
            <w:noWrap w:val="0"/>
            <w:vAlign w:val="center"/>
          </w:tcPr>
          <w:p w14:paraId="187077B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en-US" w:eastAsia="zh-CN" w:bidi="ar-SA"/>
              </w:rPr>
              <w:t>5</w:t>
            </w:r>
          </w:p>
        </w:tc>
        <w:tc>
          <w:tcPr>
            <w:tcW w:w="861" w:type="dxa"/>
            <w:noWrap w:val="0"/>
            <w:vAlign w:val="center"/>
          </w:tcPr>
          <w:p w14:paraId="241F014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en-US" w:eastAsia="zh-CN" w:bidi="ar-SA"/>
              </w:rPr>
            </w:pPr>
            <w:r>
              <w:rPr>
                <w:rFonts w:ascii="Times New Roman" w:hAnsi="Times New Roman" w:cs="Times New Roman"/>
                <w:b w:val="0"/>
                <w:bCs w:val="0"/>
                <w:sz w:val="21"/>
                <w:szCs w:val="21"/>
                <w:vertAlign w:val="baseline"/>
                <w:lang w:val="en-US" w:eastAsia="zh-CN" w:bidi="ar-SA"/>
              </w:rPr>
              <w:t>0</w:t>
            </w:r>
          </w:p>
        </w:tc>
        <w:tc>
          <w:tcPr>
            <w:tcW w:w="1704" w:type="dxa"/>
            <w:noWrap w:val="0"/>
            <w:vAlign w:val="center"/>
          </w:tcPr>
          <w:p w14:paraId="69E726D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r>
      <w:tr w14:paraId="1CCA0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30" w:type="dxa"/>
            <w:gridSpan w:val="2"/>
            <w:noWrap w:val="0"/>
            <w:vAlign w:val="top"/>
          </w:tcPr>
          <w:p w14:paraId="3B39B9C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a：高温指工艺温度≥300℃，高压指压力容器的设计压力（p）≥10.0MPa；b：长输管道运输项目应按站场、管线分段进行评价。</w:t>
            </w:r>
          </w:p>
        </w:tc>
        <w:tc>
          <w:tcPr>
            <w:tcW w:w="1125" w:type="dxa"/>
            <w:noWrap w:val="0"/>
            <w:vAlign w:val="top"/>
          </w:tcPr>
          <w:p w14:paraId="6F6099B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en-US" w:eastAsia="zh-CN" w:bidi="ar-SA"/>
              </w:rPr>
            </w:pPr>
            <w:r>
              <w:rPr>
                <w:rFonts w:ascii="Times New Roman" w:hAnsi="Times New Roman" w:cs="Times New Roman"/>
                <w:b w:val="0"/>
                <w:bCs w:val="0"/>
                <w:sz w:val="21"/>
                <w:szCs w:val="21"/>
                <w:vertAlign w:val="baseline"/>
                <w:lang w:val="en-US" w:eastAsia="zh-CN" w:bidi="ar-SA"/>
              </w:rPr>
              <w:t>合计</w:t>
            </w:r>
          </w:p>
        </w:tc>
        <w:tc>
          <w:tcPr>
            <w:tcW w:w="861" w:type="dxa"/>
            <w:noWrap w:val="0"/>
            <w:vAlign w:val="center"/>
          </w:tcPr>
          <w:p w14:paraId="19F9847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en-US" w:eastAsia="zh-CN" w:bidi="ar-SA"/>
              </w:rPr>
            </w:pPr>
            <w:r>
              <w:rPr>
                <w:rFonts w:ascii="Times New Roman" w:hAnsi="Times New Roman" w:cs="Times New Roman"/>
                <w:b w:val="0"/>
                <w:bCs w:val="0"/>
                <w:sz w:val="21"/>
                <w:szCs w:val="21"/>
                <w:vertAlign w:val="baseline"/>
                <w:lang w:val="en-US" w:eastAsia="zh-CN" w:bidi="ar-SA"/>
              </w:rPr>
              <w:t>25</w:t>
            </w:r>
          </w:p>
        </w:tc>
        <w:tc>
          <w:tcPr>
            <w:tcW w:w="1704" w:type="dxa"/>
            <w:noWrap w:val="0"/>
            <w:vAlign w:val="center"/>
          </w:tcPr>
          <w:p w14:paraId="3D5A3D5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r>
    </w:tbl>
    <w:p w14:paraId="713BD5EA">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根据上表可知本项目 M=</w:t>
      </w:r>
      <w:r>
        <w:rPr>
          <w:rFonts w:hint="eastAsia" w:ascii="Times New Roman" w:hAnsi="Times New Roman" w:cs="Times New Roman"/>
          <w:color w:val="000000"/>
          <w:sz w:val="24"/>
          <w:szCs w:val="24"/>
          <w:lang w:val="en-US" w:eastAsia="zh-CN" w:bidi="ar-SA"/>
        </w:rPr>
        <w:t>25</w:t>
      </w:r>
      <w:r>
        <w:rPr>
          <w:rFonts w:ascii="Times New Roman" w:hAnsi="Times New Roman" w:cs="Times New Roman"/>
          <w:color w:val="000000"/>
          <w:sz w:val="24"/>
          <w:szCs w:val="24"/>
          <w:lang w:val="zh-CN" w:eastAsia="zh-CN" w:bidi="ar-SA"/>
        </w:rPr>
        <w:t>，以 M1 表示。</w:t>
      </w:r>
    </w:p>
    <w:p w14:paraId="671DA186">
      <w:pPr>
        <w:pStyle w:val="219"/>
        <w:keepNext w:val="0"/>
        <w:keepLines w:val="0"/>
        <w:pageBreakBefore w:val="0"/>
        <w:widowControl/>
        <w:spacing w:after="0"/>
        <w:ind w:left="0" w:firstLine="480"/>
        <w:rPr>
          <w:rFonts w:ascii="Times New Roman" w:hAnsi="Times New Roman" w:eastAsia="宋体" w:cs="Times New Roman"/>
          <w:color w:val="000000"/>
          <w:sz w:val="24"/>
          <w:szCs w:val="24"/>
          <w:lang w:val="zh-CN" w:eastAsia="zh-CN" w:bidi="ar-SA"/>
        </w:rPr>
      </w:pPr>
      <w:r>
        <w:rPr>
          <w:rFonts w:ascii="Times New Roman" w:hAnsi="Times New Roman" w:eastAsia="宋体" w:cs="Times New Roman"/>
          <w:color w:val="000000"/>
          <w:sz w:val="24"/>
          <w:szCs w:val="24"/>
          <w:lang w:val="zh-CN" w:eastAsia="zh-CN" w:bidi="ar-SA"/>
        </w:rPr>
        <w:t>③危险物质及工艺系统危险性（P）分级</w:t>
      </w:r>
    </w:p>
    <w:p w14:paraId="11793582">
      <w:pPr>
        <w:pStyle w:val="219"/>
        <w:keepNext w:val="0"/>
        <w:keepLines w:val="0"/>
        <w:pageBreakBefore w:val="0"/>
        <w:widowControl/>
        <w:spacing w:after="0"/>
        <w:ind w:left="0" w:firstLine="480"/>
        <w:rPr>
          <w:rFonts w:ascii="Times New Roman" w:hAnsi="Times New Roman" w:eastAsia="宋体" w:cs="Times New Roman"/>
          <w:color w:val="000000"/>
          <w:sz w:val="24"/>
          <w:szCs w:val="24"/>
          <w:lang w:val="zh-CN" w:eastAsia="zh-CN" w:bidi="ar-SA"/>
        </w:rPr>
      </w:pPr>
      <w:r>
        <w:rPr>
          <w:rFonts w:ascii="Times New Roman" w:hAnsi="Times New Roman" w:eastAsia="宋体" w:cs="Times New Roman"/>
          <w:color w:val="000000"/>
          <w:sz w:val="24"/>
          <w:szCs w:val="24"/>
          <w:lang w:val="zh-CN" w:eastAsia="zh-CN" w:bidi="ar-SA"/>
        </w:rPr>
        <w:t>根据危险物质数量与临界量比值（Q）和行业及生产工艺（M），按照表确定危险物质及工艺系统危险性（P）分级。</w:t>
      </w:r>
    </w:p>
    <w:p w14:paraId="20B59ACA">
      <w:pPr>
        <w:widowControl w:val="0"/>
        <w:spacing w:before="74" w:after="3"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hint="eastAsia" w:ascii="Times New Roman" w:hAnsi="Times New Roman" w:eastAsia="宋体" w:cs="Times New Roman"/>
          <w:b/>
          <w:bCs/>
          <w:sz w:val="24"/>
          <w:szCs w:val="24"/>
          <w:lang w:val="en-US" w:eastAsia="zh-CN" w:bidi="zh-CN"/>
        </w:rPr>
        <w:t>7.1-</w:t>
      </w:r>
      <w:r>
        <w:rPr>
          <w:rFonts w:ascii="Times New Roman" w:hAnsi="Times New Roman" w:eastAsia="宋体" w:cs="Times New Roman"/>
          <w:b/>
          <w:bCs/>
          <w:sz w:val="24"/>
          <w:szCs w:val="24"/>
          <w:lang w:val="zh-CN" w:eastAsia="zh-CN" w:bidi="zh-CN"/>
        </w:rPr>
        <w:t>4  危险物质及工艺系统危险性等级判断（P）</w:t>
      </w:r>
    </w:p>
    <w:tbl>
      <w:tblPr>
        <w:tblStyle w:val="32"/>
        <w:tblW w:w="806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69"/>
        <w:gridCol w:w="1196"/>
        <w:gridCol w:w="1515"/>
        <w:gridCol w:w="1485"/>
        <w:gridCol w:w="1695"/>
      </w:tblGrid>
      <w:tr w14:paraId="75CDB1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jc w:val="center"/>
        </w:trPr>
        <w:tc>
          <w:tcPr>
            <w:tcW w:w="2169" w:type="dxa"/>
            <w:vMerge w:val="restart"/>
            <w:noWrap w:val="0"/>
            <w:vAlign w:val="center"/>
          </w:tcPr>
          <w:p w14:paraId="6E791597">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危险物质数量与临界量比值（Q）</w:t>
            </w:r>
          </w:p>
        </w:tc>
        <w:tc>
          <w:tcPr>
            <w:tcW w:w="5891" w:type="dxa"/>
            <w:gridSpan w:val="4"/>
            <w:noWrap w:val="0"/>
            <w:vAlign w:val="center"/>
          </w:tcPr>
          <w:p w14:paraId="0FFC352C">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行业及生产工艺（M）</w:t>
            </w:r>
          </w:p>
        </w:tc>
      </w:tr>
      <w:tr w14:paraId="6143C9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jc w:val="center"/>
        </w:trPr>
        <w:tc>
          <w:tcPr>
            <w:tcW w:w="2169" w:type="dxa"/>
            <w:vMerge w:val="continue"/>
            <w:noWrap w:val="0"/>
            <w:vAlign w:val="center"/>
          </w:tcPr>
          <w:p w14:paraId="0EC4ED77">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p>
        </w:tc>
        <w:tc>
          <w:tcPr>
            <w:tcW w:w="1196" w:type="dxa"/>
            <w:noWrap w:val="0"/>
            <w:vAlign w:val="center"/>
          </w:tcPr>
          <w:p w14:paraId="4E38AEC0">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M1</w:t>
            </w:r>
          </w:p>
        </w:tc>
        <w:tc>
          <w:tcPr>
            <w:tcW w:w="1515" w:type="dxa"/>
            <w:noWrap w:val="0"/>
            <w:vAlign w:val="center"/>
          </w:tcPr>
          <w:p w14:paraId="26215BEA">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M2</w:t>
            </w:r>
          </w:p>
        </w:tc>
        <w:tc>
          <w:tcPr>
            <w:tcW w:w="1485" w:type="dxa"/>
            <w:noWrap w:val="0"/>
            <w:vAlign w:val="center"/>
          </w:tcPr>
          <w:p w14:paraId="79B4DB20">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M3</w:t>
            </w:r>
          </w:p>
        </w:tc>
        <w:tc>
          <w:tcPr>
            <w:tcW w:w="1695" w:type="dxa"/>
            <w:noWrap w:val="0"/>
            <w:vAlign w:val="center"/>
          </w:tcPr>
          <w:p w14:paraId="6304C17D">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M4</w:t>
            </w:r>
          </w:p>
        </w:tc>
      </w:tr>
      <w:tr w14:paraId="3DEC96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jc w:val="center"/>
        </w:trPr>
        <w:tc>
          <w:tcPr>
            <w:tcW w:w="2169" w:type="dxa"/>
            <w:noWrap w:val="0"/>
            <w:vAlign w:val="center"/>
          </w:tcPr>
          <w:p w14:paraId="204B2B2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Q≥100</w:t>
            </w:r>
          </w:p>
        </w:tc>
        <w:tc>
          <w:tcPr>
            <w:tcW w:w="1196" w:type="dxa"/>
            <w:noWrap w:val="0"/>
            <w:vAlign w:val="center"/>
          </w:tcPr>
          <w:p w14:paraId="76EAB69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P1</w:t>
            </w:r>
          </w:p>
        </w:tc>
        <w:tc>
          <w:tcPr>
            <w:tcW w:w="1515" w:type="dxa"/>
            <w:noWrap w:val="0"/>
            <w:vAlign w:val="center"/>
          </w:tcPr>
          <w:p w14:paraId="7761777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P1</w:t>
            </w:r>
          </w:p>
        </w:tc>
        <w:tc>
          <w:tcPr>
            <w:tcW w:w="1485" w:type="dxa"/>
            <w:noWrap w:val="0"/>
            <w:vAlign w:val="center"/>
          </w:tcPr>
          <w:p w14:paraId="6DBAAF7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P2</w:t>
            </w:r>
          </w:p>
        </w:tc>
        <w:tc>
          <w:tcPr>
            <w:tcW w:w="1695" w:type="dxa"/>
            <w:noWrap w:val="0"/>
            <w:vAlign w:val="center"/>
          </w:tcPr>
          <w:p w14:paraId="0ECB5DE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P3</w:t>
            </w:r>
          </w:p>
        </w:tc>
      </w:tr>
      <w:tr w14:paraId="5ED8FD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jc w:val="center"/>
        </w:trPr>
        <w:tc>
          <w:tcPr>
            <w:tcW w:w="2169" w:type="dxa"/>
            <w:noWrap w:val="0"/>
            <w:vAlign w:val="center"/>
          </w:tcPr>
          <w:p w14:paraId="3E07652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10≤Q＜100</w:t>
            </w:r>
          </w:p>
        </w:tc>
        <w:tc>
          <w:tcPr>
            <w:tcW w:w="1196" w:type="dxa"/>
            <w:noWrap w:val="0"/>
            <w:vAlign w:val="center"/>
          </w:tcPr>
          <w:p w14:paraId="21E62F2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P1</w:t>
            </w:r>
          </w:p>
        </w:tc>
        <w:tc>
          <w:tcPr>
            <w:tcW w:w="1515" w:type="dxa"/>
            <w:noWrap w:val="0"/>
            <w:vAlign w:val="center"/>
          </w:tcPr>
          <w:p w14:paraId="38875AD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P2</w:t>
            </w:r>
          </w:p>
        </w:tc>
        <w:tc>
          <w:tcPr>
            <w:tcW w:w="1485" w:type="dxa"/>
            <w:noWrap w:val="0"/>
            <w:vAlign w:val="center"/>
          </w:tcPr>
          <w:p w14:paraId="5D776DC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P3</w:t>
            </w:r>
          </w:p>
        </w:tc>
        <w:tc>
          <w:tcPr>
            <w:tcW w:w="1695" w:type="dxa"/>
            <w:noWrap w:val="0"/>
            <w:vAlign w:val="center"/>
          </w:tcPr>
          <w:p w14:paraId="4E49EA3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P4</w:t>
            </w:r>
          </w:p>
        </w:tc>
      </w:tr>
      <w:tr w14:paraId="1A7ACB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9" w:hRule="atLeast"/>
          <w:jc w:val="center"/>
        </w:trPr>
        <w:tc>
          <w:tcPr>
            <w:tcW w:w="2169" w:type="dxa"/>
            <w:noWrap w:val="0"/>
            <w:vAlign w:val="center"/>
          </w:tcPr>
          <w:p w14:paraId="3B00634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1≤Q＜10</w:t>
            </w:r>
          </w:p>
        </w:tc>
        <w:tc>
          <w:tcPr>
            <w:tcW w:w="1196" w:type="dxa"/>
            <w:noWrap w:val="0"/>
            <w:vAlign w:val="center"/>
          </w:tcPr>
          <w:p w14:paraId="0A1E4C3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P2</w:t>
            </w:r>
          </w:p>
        </w:tc>
        <w:tc>
          <w:tcPr>
            <w:tcW w:w="1515" w:type="dxa"/>
            <w:noWrap w:val="0"/>
            <w:vAlign w:val="center"/>
          </w:tcPr>
          <w:p w14:paraId="6ADD1C7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P3</w:t>
            </w:r>
          </w:p>
        </w:tc>
        <w:tc>
          <w:tcPr>
            <w:tcW w:w="1485" w:type="dxa"/>
            <w:noWrap w:val="0"/>
            <w:vAlign w:val="center"/>
          </w:tcPr>
          <w:p w14:paraId="642A12B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P4</w:t>
            </w:r>
          </w:p>
        </w:tc>
        <w:tc>
          <w:tcPr>
            <w:tcW w:w="1695" w:type="dxa"/>
            <w:noWrap w:val="0"/>
            <w:vAlign w:val="center"/>
          </w:tcPr>
          <w:p w14:paraId="4979AF6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P4</w:t>
            </w:r>
          </w:p>
        </w:tc>
      </w:tr>
    </w:tbl>
    <w:p w14:paraId="5B9DFD7C">
      <w:pPr>
        <w:pStyle w:val="219"/>
        <w:keepNext w:val="0"/>
        <w:keepLines w:val="0"/>
        <w:pageBreakBefore w:val="0"/>
        <w:widowControl/>
        <w:spacing w:after="0"/>
        <w:ind w:left="0" w:firstLine="480"/>
        <w:rPr>
          <w:rFonts w:ascii="Times New Roman" w:hAnsi="Times New Roman" w:eastAsia="宋体" w:cs="Times New Roman"/>
          <w:color w:val="000000"/>
          <w:sz w:val="24"/>
          <w:szCs w:val="24"/>
          <w:lang w:val="zh-CN" w:eastAsia="zh-CN" w:bidi="ar-SA"/>
        </w:rPr>
      </w:pPr>
      <w:r>
        <w:rPr>
          <w:rFonts w:ascii="Times New Roman" w:hAnsi="Times New Roman" w:eastAsia="宋体" w:cs="Times New Roman"/>
          <w:color w:val="000000"/>
          <w:sz w:val="24"/>
          <w:szCs w:val="24"/>
          <w:lang w:val="zh-CN" w:eastAsia="zh-CN" w:bidi="ar-SA"/>
        </w:rPr>
        <w:t>根据以上计算结果结合上表得出，本项目危险物质及工艺系统危险性等级为 P1。</w:t>
      </w:r>
    </w:p>
    <w:p w14:paraId="3D0D7DA6">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2、环境敏感程度（E）分级</w:t>
      </w:r>
    </w:p>
    <w:p w14:paraId="2AD63C5B">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①大气环境</w:t>
      </w:r>
    </w:p>
    <w:p w14:paraId="7127889C">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依据环境敏感目标环境敏感性及人口密度划分环境风险受体的敏感性，共分为三种类型，见下表：</w:t>
      </w:r>
    </w:p>
    <w:p w14:paraId="52FC410B">
      <w:pPr>
        <w:widowControl w:val="0"/>
        <w:spacing w:before="27" w:after="0"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7.1</w:t>
      </w:r>
      <w:r>
        <w:rPr>
          <w:rFonts w:ascii="Times New Roman" w:hAnsi="Times New Roman" w:eastAsia="宋体" w:cs="Times New Roman"/>
          <w:b/>
          <w:bCs/>
          <w:sz w:val="24"/>
          <w:szCs w:val="24"/>
          <w:lang w:val="zh-CN" w:eastAsia="zh-CN" w:bidi="zh-CN"/>
        </w:rPr>
        <w:t>-5  大气环境敏感程度分级</w:t>
      </w:r>
    </w:p>
    <w:tbl>
      <w:tblPr>
        <w:tblStyle w:val="258"/>
        <w:tblW w:w="87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15"/>
        <w:gridCol w:w="6297"/>
      </w:tblGrid>
      <w:tr w14:paraId="470E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5" w:type="dxa"/>
            <w:noWrap w:val="0"/>
            <w:vAlign w:val="center"/>
          </w:tcPr>
          <w:p w14:paraId="0EDE10C5">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分级</w:t>
            </w:r>
          </w:p>
        </w:tc>
        <w:tc>
          <w:tcPr>
            <w:tcW w:w="6297" w:type="dxa"/>
            <w:noWrap w:val="0"/>
            <w:vAlign w:val="center"/>
          </w:tcPr>
          <w:p w14:paraId="468A5F0E">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环境风险受体情况</w:t>
            </w:r>
          </w:p>
        </w:tc>
      </w:tr>
      <w:tr w14:paraId="04D3F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5" w:type="dxa"/>
            <w:noWrap w:val="0"/>
            <w:vAlign w:val="center"/>
          </w:tcPr>
          <w:p w14:paraId="2A5497F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E1（环境高度敏感区）</w:t>
            </w:r>
          </w:p>
        </w:tc>
        <w:tc>
          <w:tcPr>
            <w:tcW w:w="6297" w:type="dxa"/>
            <w:noWrap w:val="0"/>
            <w:vAlign w:val="center"/>
          </w:tcPr>
          <w:p w14:paraId="35053876">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周边5km范围内居住区、医疗卫生、文化教育、科研、行政办公等机构人口总数大于5万人，或其他需要特殊保护区域；或周边500m范围内人口总数大于1000人；油气、化学品  输送管线管段周边200m范围内，每千米管段人口数大于200人。</w:t>
            </w:r>
          </w:p>
        </w:tc>
      </w:tr>
      <w:tr w14:paraId="3C0A7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5" w:type="dxa"/>
            <w:noWrap w:val="0"/>
            <w:vAlign w:val="center"/>
          </w:tcPr>
          <w:p w14:paraId="44BE04D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E2（环境中度敏感区）</w:t>
            </w:r>
          </w:p>
        </w:tc>
        <w:tc>
          <w:tcPr>
            <w:tcW w:w="6297" w:type="dxa"/>
            <w:noWrap w:val="0"/>
            <w:vAlign w:val="center"/>
          </w:tcPr>
          <w:p w14:paraId="6CC9B413">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周边5km范围内居住区、医疗卫生、文化教育、科研、行政办公等机构人口总数大于1万人，小于5万人；或周边500m范围内人口总数大于500人，小于1000人；油气、化学品输  送管线管段周边200m范围内，每千米管段人口数大于100人，小于200人。</w:t>
            </w:r>
          </w:p>
        </w:tc>
      </w:tr>
      <w:tr w14:paraId="1CAD4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5" w:type="dxa"/>
            <w:noWrap w:val="0"/>
            <w:vAlign w:val="center"/>
          </w:tcPr>
          <w:p w14:paraId="708C83D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E3（环境低度敏感区）</w:t>
            </w:r>
          </w:p>
        </w:tc>
        <w:tc>
          <w:tcPr>
            <w:tcW w:w="6297" w:type="dxa"/>
            <w:noWrap w:val="0"/>
            <w:vAlign w:val="center"/>
          </w:tcPr>
          <w:p w14:paraId="3C52459E">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周边5km范围内居住区、医疗卫生、文化教育、科研、行政办公等机构人口总数小于1万人，或周边500m范围内人口总数小于500人；油气、化学品输送管线管段周边200m范围内，每千米管段人口数小于100人。</w:t>
            </w:r>
          </w:p>
        </w:tc>
      </w:tr>
    </w:tbl>
    <w:p w14:paraId="6EAE4049">
      <w:pPr>
        <w:widowControl w:val="0"/>
        <w:spacing w:before="27" w:after="0" w:line="240" w:lineRule="auto"/>
        <w:ind w:left="283" w:right="0"/>
        <w:jc w:val="center"/>
        <w:rPr>
          <w:rFonts w:ascii="Times New Roman" w:hAnsi="Times New Roman" w:eastAsia="宋体" w:cs="Times New Roman"/>
          <w:sz w:val="24"/>
          <w:szCs w:val="24"/>
          <w:lang w:val="zh-CN" w:eastAsia="zh-CN" w:bidi="zh-CN"/>
        </w:rPr>
      </w:pPr>
    </w:p>
    <w:p w14:paraId="45E79417">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本项目周边 5km 范围内居住区、医疗卫生、文化教育、科研、行政办公等机构人口总数约 6.5 万人，大于 5 万人，大气环境敏感性为 E1 环境敏感高度敏感区。</w:t>
      </w:r>
    </w:p>
    <w:p w14:paraId="1504441D">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②地表水环境</w:t>
      </w:r>
    </w:p>
    <w:p w14:paraId="284099D6">
      <w:pPr>
        <w:pStyle w:val="219"/>
        <w:keepNext w:val="0"/>
        <w:keepLines w:val="0"/>
        <w:pageBreakBefore w:val="0"/>
        <w:widowControl/>
        <w:spacing w:after="0" w:line="360" w:lineRule="auto"/>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地表水功能敏感性分区和环境敏感目标分级见下表。</w:t>
      </w:r>
    </w:p>
    <w:p w14:paraId="748CC785">
      <w:pPr>
        <w:keepNext w:val="0"/>
        <w:keepLines w:val="0"/>
        <w:pageBreakBefore w:val="0"/>
        <w:widowControl w:val="0"/>
        <w:spacing w:before="0" w:after="0" w:line="360" w:lineRule="auto"/>
        <w:ind w:left="0" w:right="0" w:firstLine="482"/>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 </w:t>
      </w:r>
      <w:r>
        <w:rPr>
          <w:rFonts w:hint="eastAsia" w:ascii="Times New Roman" w:hAnsi="Times New Roman" w:eastAsia="宋体" w:cs="Times New Roman"/>
          <w:b/>
          <w:bCs/>
          <w:sz w:val="24"/>
          <w:szCs w:val="24"/>
          <w:lang w:val="en-US" w:eastAsia="zh-CN" w:bidi="zh-CN"/>
        </w:rPr>
        <w:t>表7.1</w:t>
      </w:r>
      <w:r>
        <w:rPr>
          <w:rFonts w:ascii="Times New Roman" w:hAnsi="Times New Roman" w:eastAsia="宋体" w:cs="Times New Roman"/>
          <w:b/>
          <w:bCs/>
          <w:sz w:val="24"/>
          <w:szCs w:val="24"/>
          <w:lang w:val="zh-CN" w:eastAsia="zh-CN" w:bidi="zh-CN"/>
        </w:rPr>
        <w:t>-6  地表水环境敏感程度分级</w:t>
      </w:r>
    </w:p>
    <w:tbl>
      <w:tblPr>
        <w:tblStyle w:val="32"/>
        <w:tblW w:w="82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687"/>
        <w:gridCol w:w="2225"/>
        <w:gridCol w:w="1977"/>
        <w:gridCol w:w="2321"/>
      </w:tblGrid>
      <w:tr w14:paraId="27834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2" w:hRule="atLeast"/>
          <w:jc w:val="center"/>
        </w:trPr>
        <w:tc>
          <w:tcPr>
            <w:tcW w:w="1687" w:type="dxa"/>
            <w:vMerge w:val="restart"/>
            <w:noWrap w:val="0"/>
            <w:vAlign w:val="center"/>
          </w:tcPr>
          <w:p w14:paraId="4D59274B">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环境敏感目标</w:t>
            </w:r>
          </w:p>
        </w:tc>
        <w:tc>
          <w:tcPr>
            <w:tcW w:w="6523" w:type="dxa"/>
            <w:gridSpan w:val="3"/>
            <w:noWrap w:val="0"/>
            <w:vAlign w:val="center"/>
          </w:tcPr>
          <w:p w14:paraId="2F1B53E1">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地表水环境敏感特征</w:t>
            </w:r>
          </w:p>
        </w:tc>
      </w:tr>
      <w:tr w14:paraId="4FD5C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43" w:hRule="atLeast"/>
          <w:jc w:val="center"/>
        </w:trPr>
        <w:tc>
          <w:tcPr>
            <w:tcW w:w="1687" w:type="dxa"/>
            <w:vMerge w:val="continue"/>
            <w:noWrap w:val="0"/>
            <w:vAlign w:val="center"/>
          </w:tcPr>
          <w:p w14:paraId="2188C20A">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p>
        </w:tc>
        <w:tc>
          <w:tcPr>
            <w:tcW w:w="2225" w:type="dxa"/>
            <w:noWrap w:val="0"/>
            <w:vAlign w:val="center"/>
          </w:tcPr>
          <w:p w14:paraId="4631DBBF">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F1</w:t>
            </w:r>
          </w:p>
        </w:tc>
        <w:tc>
          <w:tcPr>
            <w:tcW w:w="1977" w:type="dxa"/>
            <w:noWrap w:val="0"/>
            <w:vAlign w:val="center"/>
          </w:tcPr>
          <w:p w14:paraId="549EA4C0">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F2</w:t>
            </w:r>
          </w:p>
        </w:tc>
        <w:tc>
          <w:tcPr>
            <w:tcW w:w="2321" w:type="dxa"/>
            <w:noWrap w:val="0"/>
            <w:vAlign w:val="center"/>
          </w:tcPr>
          <w:p w14:paraId="07548D7A">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F3</w:t>
            </w:r>
          </w:p>
        </w:tc>
      </w:tr>
      <w:tr w14:paraId="3D3DC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43" w:hRule="atLeast"/>
          <w:jc w:val="center"/>
        </w:trPr>
        <w:tc>
          <w:tcPr>
            <w:tcW w:w="1687" w:type="dxa"/>
            <w:noWrap w:val="0"/>
            <w:vAlign w:val="center"/>
          </w:tcPr>
          <w:p w14:paraId="4258162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S1</w:t>
            </w:r>
          </w:p>
        </w:tc>
        <w:tc>
          <w:tcPr>
            <w:tcW w:w="2225" w:type="dxa"/>
            <w:noWrap w:val="0"/>
            <w:vAlign w:val="center"/>
          </w:tcPr>
          <w:p w14:paraId="48AF9EF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w:t>
            </w:r>
          </w:p>
        </w:tc>
        <w:tc>
          <w:tcPr>
            <w:tcW w:w="1977" w:type="dxa"/>
            <w:noWrap w:val="0"/>
            <w:vAlign w:val="center"/>
          </w:tcPr>
          <w:p w14:paraId="07A9D82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w:t>
            </w:r>
          </w:p>
        </w:tc>
        <w:tc>
          <w:tcPr>
            <w:tcW w:w="2321" w:type="dxa"/>
            <w:noWrap w:val="0"/>
            <w:vAlign w:val="center"/>
          </w:tcPr>
          <w:p w14:paraId="03E3965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E2</w:t>
            </w:r>
          </w:p>
        </w:tc>
      </w:tr>
      <w:tr w14:paraId="13E62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44" w:hRule="atLeast"/>
          <w:jc w:val="center"/>
        </w:trPr>
        <w:tc>
          <w:tcPr>
            <w:tcW w:w="1687" w:type="dxa"/>
            <w:noWrap w:val="0"/>
            <w:vAlign w:val="center"/>
          </w:tcPr>
          <w:p w14:paraId="6654D0A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S2</w:t>
            </w:r>
          </w:p>
        </w:tc>
        <w:tc>
          <w:tcPr>
            <w:tcW w:w="2225" w:type="dxa"/>
            <w:noWrap w:val="0"/>
            <w:vAlign w:val="center"/>
          </w:tcPr>
          <w:p w14:paraId="35E3978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w:t>
            </w:r>
          </w:p>
        </w:tc>
        <w:tc>
          <w:tcPr>
            <w:tcW w:w="1977" w:type="dxa"/>
            <w:noWrap w:val="0"/>
            <w:vAlign w:val="center"/>
          </w:tcPr>
          <w:p w14:paraId="53BC9F4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E2</w:t>
            </w:r>
          </w:p>
        </w:tc>
        <w:tc>
          <w:tcPr>
            <w:tcW w:w="2321" w:type="dxa"/>
            <w:noWrap w:val="0"/>
            <w:vAlign w:val="center"/>
          </w:tcPr>
          <w:p w14:paraId="4456AF2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E3</w:t>
            </w:r>
          </w:p>
        </w:tc>
      </w:tr>
      <w:tr w14:paraId="3527C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71" w:hRule="atLeast"/>
          <w:jc w:val="center"/>
        </w:trPr>
        <w:tc>
          <w:tcPr>
            <w:tcW w:w="1687" w:type="dxa"/>
            <w:noWrap w:val="0"/>
            <w:vAlign w:val="center"/>
          </w:tcPr>
          <w:p w14:paraId="5D67B12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S3</w:t>
            </w:r>
          </w:p>
        </w:tc>
        <w:tc>
          <w:tcPr>
            <w:tcW w:w="2225" w:type="dxa"/>
            <w:noWrap w:val="0"/>
            <w:vAlign w:val="center"/>
          </w:tcPr>
          <w:p w14:paraId="081729E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w:t>
            </w:r>
          </w:p>
        </w:tc>
        <w:tc>
          <w:tcPr>
            <w:tcW w:w="1977" w:type="dxa"/>
            <w:noWrap w:val="0"/>
            <w:vAlign w:val="center"/>
          </w:tcPr>
          <w:p w14:paraId="25AC551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E2</w:t>
            </w:r>
          </w:p>
        </w:tc>
        <w:tc>
          <w:tcPr>
            <w:tcW w:w="2321" w:type="dxa"/>
            <w:noWrap w:val="0"/>
            <w:vAlign w:val="center"/>
          </w:tcPr>
          <w:p w14:paraId="2AACE54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E3</w:t>
            </w:r>
          </w:p>
        </w:tc>
      </w:tr>
    </w:tbl>
    <w:p w14:paraId="5D8F629A">
      <w:pPr>
        <w:widowControl w:val="0"/>
        <w:spacing w:before="173" w:after="0"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hint="eastAsia" w:ascii="Times New Roman" w:hAnsi="Times New Roman" w:eastAsia="宋体" w:cs="Times New Roman"/>
          <w:b/>
          <w:bCs/>
          <w:sz w:val="24"/>
          <w:szCs w:val="24"/>
          <w:lang w:val="en-US" w:eastAsia="zh-CN" w:bidi="zh-CN"/>
        </w:rPr>
        <w:t>7.1</w:t>
      </w:r>
      <w:r>
        <w:rPr>
          <w:rFonts w:ascii="Times New Roman" w:hAnsi="Times New Roman" w:eastAsia="宋体" w:cs="Times New Roman"/>
          <w:b/>
          <w:bCs/>
          <w:sz w:val="24"/>
          <w:szCs w:val="24"/>
          <w:lang w:val="zh-CN" w:eastAsia="zh-CN" w:bidi="zh-CN"/>
        </w:rPr>
        <w:t>-7  地表水功能敏感性分区</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05"/>
        <w:gridCol w:w="6315"/>
      </w:tblGrid>
      <w:tr w14:paraId="7ECCE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05" w:type="dxa"/>
            <w:noWrap w:val="0"/>
            <w:vAlign w:val="center"/>
          </w:tcPr>
          <w:p w14:paraId="3EE47187">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分级</w:t>
            </w:r>
          </w:p>
        </w:tc>
        <w:tc>
          <w:tcPr>
            <w:tcW w:w="6315" w:type="dxa"/>
            <w:noWrap w:val="0"/>
            <w:vAlign w:val="center"/>
          </w:tcPr>
          <w:p w14:paraId="6EC73342">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地表水环境敏感性分区</w:t>
            </w:r>
          </w:p>
        </w:tc>
      </w:tr>
      <w:tr w14:paraId="7B3B6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05" w:type="dxa"/>
            <w:noWrap w:val="0"/>
            <w:vAlign w:val="center"/>
          </w:tcPr>
          <w:p w14:paraId="54FF1D3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4AFED0B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敏感F1</w:t>
            </w:r>
          </w:p>
        </w:tc>
        <w:tc>
          <w:tcPr>
            <w:tcW w:w="6315" w:type="dxa"/>
            <w:noWrap w:val="0"/>
            <w:vAlign w:val="center"/>
          </w:tcPr>
          <w:p w14:paraId="370C7133">
            <w:pPr>
              <w:pStyle w:val="219"/>
              <w:keepNext w:val="0"/>
              <w:keepLines w:val="0"/>
              <w:pageBreakBefore w:val="0"/>
              <w:widowControl/>
              <w:spacing w:after="0"/>
              <w:ind w:left="0" w:firstLine="0"/>
              <w:jc w:val="both"/>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排放点进入地表水水域环境功能为Ⅱ类及以上，或海水水质分类第一类；或以发生事故时，危险物质泄漏到水体的排放点算起，排放进入受纳河流最大流速时，24h 流经范围涉跨国界的。</w:t>
            </w:r>
          </w:p>
        </w:tc>
      </w:tr>
      <w:tr w14:paraId="6D73D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05" w:type="dxa"/>
            <w:noWrap w:val="0"/>
            <w:vAlign w:val="center"/>
          </w:tcPr>
          <w:p w14:paraId="5CB9763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较敏感F2</w:t>
            </w:r>
          </w:p>
        </w:tc>
        <w:tc>
          <w:tcPr>
            <w:tcW w:w="6315" w:type="dxa"/>
            <w:noWrap w:val="0"/>
            <w:vAlign w:val="center"/>
          </w:tcPr>
          <w:p w14:paraId="05527328">
            <w:pPr>
              <w:pStyle w:val="219"/>
              <w:keepNext w:val="0"/>
              <w:keepLines w:val="0"/>
              <w:pageBreakBefore w:val="0"/>
              <w:widowControl/>
              <w:spacing w:after="0"/>
              <w:ind w:left="0" w:firstLine="0"/>
              <w:jc w:val="both"/>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排放点进入地表水水域环境功能为Ⅲ类，或海水还是水质分类第二类；或以发生事故时，危险物质泄漏到水体的排放点算起，排放进入受纳河流最大流速时，24h 流经范围涉跨省界的。</w:t>
            </w:r>
          </w:p>
        </w:tc>
      </w:tr>
      <w:tr w14:paraId="60D79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05" w:type="dxa"/>
            <w:noWrap w:val="0"/>
            <w:vAlign w:val="center"/>
          </w:tcPr>
          <w:p w14:paraId="1070EF3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低敏感F3</w:t>
            </w:r>
          </w:p>
        </w:tc>
        <w:tc>
          <w:tcPr>
            <w:tcW w:w="6315" w:type="dxa"/>
            <w:noWrap w:val="0"/>
            <w:vAlign w:val="center"/>
          </w:tcPr>
          <w:p w14:paraId="67674637">
            <w:pPr>
              <w:pStyle w:val="219"/>
              <w:keepNext w:val="0"/>
              <w:keepLines w:val="0"/>
              <w:pageBreakBefore w:val="0"/>
              <w:widowControl/>
              <w:spacing w:after="0"/>
              <w:ind w:left="0" w:firstLine="0"/>
              <w:jc w:val="both"/>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上述地区之外的其他地区</w:t>
            </w:r>
            <w:r>
              <w:rPr>
                <w:rFonts w:hint="eastAsia" w:ascii="Times New Roman" w:hAnsi="Times New Roman" w:cs="Times New Roman"/>
                <w:b w:val="0"/>
                <w:bCs w:val="0"/>
                <w:sz w:val="21"/>
                <w:szCs w:val="21"/>
                <w:vertAlign w:val="baseline"/>
                <w:lang w:val="zh-CN" w:eastAsia="zh-CN" w:bidi="ar-SA"/>
              </w:rPr>
              <w:t>。</w:t>
            </w:r>
          </w:p>
        </w:tc>
      </w:tr>
    </w:tbl>
    <w:p w14:paraId="229C6F92">
      <w:pPr>
        <w:widowControl w:val="0"/>
        <w:spacing w:before="74" w:after="3" w:line="240" w:lineRule="auto"/>
        <w:ind w:left="283" w:right="0" w:firstLine="2409"/>
        <w:jc w:val="both"/>
        <w:rPr>
          <w:rFonts w:ascii="Times New Roman" w:hAnsi="Times New Roman" w:eastAsia="宋体" w:cs="Times New Roman"/>
          <w:sz w:val="21"/>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7.1</w:t>
      </w:r>
      <w:r>
        <w:rPr>
          <w:rFonts w:ascii="Times New Roman" w:hAnsi="Times New Roman" w:eastAsia="宋体" w:cs="Times New Roman"/>
          <w:b/>
          <w:bCs/>
          <w:sz w:val="24"/>
          <w:szCs w:val="24"/>
          <w:lang w:val="zh-CN" w:eastAsia="zh-CN" w:bidi="zh-CN"/>
        </w:rPr>
        <w:t>-8  环境敏感目标分级</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0"/>
        <w:gridCol w:w="6540"/>
      </w:tblGrid>
      <w:tr w14:paraId="18A8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noWrap w:val="0"/>
            <w:vAlign w:val="top"/>
          </w:tcPr>
          <w:p w14:paraId="04DA5597">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分级</w:t>
            </w:r>
          </w:p>
        </w:tc>
        <w:tc>
          <w:tcPr>
            <w:tcW w:w="6540" w:type="dxa"/>
            <w:noWrap w:val="0"/>
            <w:vAlign w:val="top"/>
          </w:tcPr>
          <w:p w14:paraId="11E571FC">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环境敏感目标</w:t>
            </w:r>
          </w:p>
        </w:tc>
      </w:tr>
      <w:tr w14:paraId="59A2E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noWrap w:val="0"/>
            <w:vAlign w:val="center"/>
          </w:tcPr>
          <w:p w14:paraId="3F1F781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5E3DCF9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0767290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061B3AD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57B6680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S1</w:t>
            </w:r>
          </w:p>
        </w:tc>
        <w:tc>
          <w:tcPr>
            <w:tcW w:w="6540" w:type="dxa"/>
            <w:noWrap w:val="0"/>
            <w:vAlign w:val="top"/>
          </w:tcPr>
          <w:p w14:paraId="09E6FC69">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发生事故时，危险物质泄漏到内陆水体的排放点下游（顺水流向）10km范围内、近岸  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r>
              <w:rPr>
                <w:rFonts w:hint="eastAsia" w:ascii="Times New Roman" w:hAnsi="Times New Roman" w:cs="Times New Roman"/>
                <w:b w:val="0"/>
                <w:bCs w:val="0"/>
                <w:sz w:val="21"/>
                <w:szCs w:val="21"/>
                <w:vertAlign w:val="baseline"/>
                <w:lang w:val="zh-CN" w:eastAsia="zh-CN" w:bidi="ar-SA"/>
              </w:rPr>
              <w:t>。</w:t>
            </w:r>
          </w:p>
        </w:tc>
      </w:tr>
      <w:tr w14:paraId="42D24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noWrap w:val="0"/>
            <w:vAlign w:val="center"/>
          </w:tcPr>
          <w:p w14:paraId="62ED90B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6B5F3B1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38DB746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S2</w:t>
            </w:r>
          </w:p>
        </w:tc>
        <w:tc>
          <w:tcPr>
            <w:tcW w:w="6540" w:type="dxa"/>
            <w:noWrap w:val="0"/>
            <w:vAlign w:val="top"/>
          </w:tcPr>
          <w:p w14:paraId="226E0F9A">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滨海风景游览区；具</w:t>
            </w:r>
          </w:p>
          <w:p w14:paraId="1CCF7ED7">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有重要经济价值的海洋生物生存区域</w:t>
            </w:r>
            <w:r>
              <w:rPr>
                <w:rFonts w:hint="eastAsia" w:ascii="Times New Roman" w:hAnsi="Times New Roman" w:cs="Times New Roman"/>
                <w:b w:val="0"/>
                <w:bCs w:val="0"/>
                <w:sz w:val="21"/>
                <w:szCs w:val="21"/>
                <w:vertAlign w:val="baseline"/>
                <w:lang w:val="zh-CN" w:eastAsia="zh-CN" w:bidi="ar-SA"/>
              </w:rPr>
              <w:t>。</w:t>
            </w:r>
          </w:p>
        </w:tc>
      </w:tr>
      <w:tr w14:paraId="36944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noWrap w:val="0"/>
            <w:vAlign w:val="center"/>
          </w:tcPr>
          <w:p w14:paraId="406926B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S3</w:t>
            </w:r>
          </w:p>
        </w:tc>
        <w:tc>
          <w:tcPr>
            <w:tcW w:w="6540" w:type="dxa"/>
            <w:noWrap w:val="0"/>
            <w:vAlign w:val="top"/>
          </w:tcPr>
          <w:p w14:paraId="7658EF25">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排放点下游（顺水流向）10km范围、近岸海域一个潮周期水质点可能达到的最大水平距离的两倍范围内无上述类型1和类型2包括的敏感保护目标</w:t>
            </w:r>
            <w:r>
              <w:rPr>
                <w:rFonts w:hint="eastAsia" w:ascii="Times New Roman" w:hAnsi="Times New Roman" w:cs="Times New Roman"/>
                <w:b w:val="0"/>
                <w:bCs w:val="0"/>
                <w:sz w:val="21"/>
                <w:szCs w:val="21"/>
                <w:vertAlign w:val="baseline"/>
                <w:lang w:val="zh-CN" w:eastAsia="zh-CN" w:bidi="ar-SA"/>
              </w:rPr>
              <w:t>。</w:t>
            </w:r>
          </w:p>
        </w:tc>
      </w:tr>
    </w:tbl>
    <w:p w14:paraId="25C6B5BC">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当项目原料储罐发生泄漏时，可通过罐区四周设置的围堰进行收集，再通过罐区设置的泵抽至罐区</w:t>
      </w:r>
      <w:r>
        <w:rPr>
          <w:rFonts w:hint="eastAsia" w:ascii="Times New Roman" w:hAnsi="Times New Roman" w:cs="Times New Roman"/>
          <w:color w:val="000000"/>
          <w:sz w:val="24"/>
          <w:szCs w:val="24"/>
          <w:lang w:val="en-US" w:eastAsia="zh-CN" w:bidi="ar-SA"/>
        </w:rPr>
        <w:t>备用空置</w:t>
      </w:r>
      <w:r>
        <w:rPr>
          <w:rFonts w:ascii="Times New Roman" w:hAnsi="Times New Roman" w:cs="Times New Roman"/>
          <w:color w:val="000000"/>
          <w:sz w:val="24"/>
          <w:szCs w:val="24"/>
          <w:lang w:val="zh-CN" w:eastAsia="zh-CN" w:bidi="ar-SA"/>
        </w:rPr>
        <w:t>的储罐中。泄漏液不直接排入地表水环境。因此，项目所设地表水功能敏感性分区为低敏感F3，环境敏感目标分级为S3，因此项目地表水环境敏感程度分级为E3。</w:t>
      </w:r>
    </w:p>
    <w:p w14:paraId="59DC0799">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③地下水环境</w:t>
      </w:r>
    </w:p>
    <w:p w14:paraId="64D7FB1E">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依据地下水功能敏感性与包气带防污性能，对照表确定地下水环境敏感程度。当同一建设项目涉及两个 G 分区或 D 分级及以上时，取相对高值。</w:t>
      </w:r>
    </w:p>
    <w:p w14:paraId="4D44C42A">
      <w:pPr>
        <w:widowControl w:val="0"/>
        <w:spacing w:before="25" w:after="5"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hint="eastAsia" w:ascii="Times New Roman" w:hAnsi="Times New Roman" w:eastAsia="宋体" w:cs="Times New Roman"/>
          <w:b/>
          <w:bCs/>
          <w:sz w:val="24"/>
          <w:szCs w:val="24"/>
          <w:lang w:val="en-US" w:eastAsia="zh-CN" w:bidi="zh-CN"/>
        </w:rPr>
        <w:t>7.1</w:t>
      </w:r>
      <w:r>
        <w:rPr>
          <w:rFonts w:ascii="Times New Roman" w:hAnsi="Times New Roman" w:eastAsia="宋体" w:cs="Times New Roman"/>
          <w:b/>
          <w:bCs/>
          <w:sz w:val="24"/>
          <w:szCs w:val="24"/>
          <w:lang w:val="zh-CN" w:eastAsia="zh-CN" w:bidi="zh-CN"/>
        </w:rPr>
        <w:t>-9  地下水环境敏感程度分级</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0"/>
        <w:gridCol w:w="1996"/>
        <w:gridCol w:w="1773"/>
        <w:gridCol w:w="1911"/>
      </w:tblGrid>
      <w:tr w14:paraId="4DB09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vMerge w:val="restart"/>
            <w:noWrap w:val="0"/>
            <w:vAlign w:val="center"/>
          </w:tcPr>
          <w:p w14:paraId="4DE083E0">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环境敏感目标</w:t>
            </w:r>
          </w:p>
        </w:tc>
        <w:tc>
          <w:tcPr>
            <w:tcW w:w="5680" w:type="dxa"/>
            <w:gridSpan w:val="3"/>
            <w:noWrap w:val="0"/>
            <w:vAlign w:val="center"/>
          </w:tcPr>
          <w:p w14:paraId="74EBD342">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地下水环境敏感特征</w:t>
            </w:r>
          </w:p>
        </w:tc>
      </w:tr>
      <w:tr w14:paraId="612D5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vMerge w:val="continue"/>
            <w:noWrap w:val="0"/>
            <w:vAlign w:val="center"/>
          </w:tcPr>
          <w:p w14:paraId="0A830F4C">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p>
        </w:tc>
        <w:tc>
          <w:tcPr>
            <w:tcW w:w="1996" w:type="dxa"/>
            <w:noWrap w:val="0"/>
            <w:vAlign w:val="center"/>
          </w:tcPr>
          <w:p w14:paraId="5E85DAD1">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G1</w:t>
            </w:r>
          </w:p>
        </w:tc>
        <w:tc>
          <w:tcPr>
            <w:tcW w:w="1773" w:type="dxa"/>
            <w:noWrap w:val="0"/>
            <w:vAlign w:val="center"/>
          </w:tcPr>
          <w:p w14:paraId="343D8F06">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G2</w:t>
            </w:r>
          </w:p>
        </w:tc>
        <w:tc>
          <w:tcPr>
            <w:tcW w:w="1911" w:type="dxa"/>
            <w:noWrap w:val="0"/>
            <w:vAlign w:val="center"/>
          </w:tcPr>
          <w:p w14:paraId="26215F47">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G3</w:t>
            </w:r>
          </w:p>
        </w:tc>
      </w:tr>
      <w:tr w14:paraId="07659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center"/>
          </w:tcPr>
          <w:p w14:paraId="300F50C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D1</w:t>
            </w:r>
          </w:p>
        </w:tc>
        <w:tc>
          <w:tcPr>
            <w:tcW w:w="1996" w:type="dxa"/>
            <w:noWrap w:val="0"/>
            <w:vAlign w:val="center"/>
          </w:tcPr>
          <w:p w14:paraId="15E5CEA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w:t>
            </w:r>
          </w:p>
        </w:tc>
        <w:tc>
          <w:tcPr>
            <w:tcW w:w="1773" w:type="dxa"/>
            <w:noWrap w:val="0"/>
            <w:vAlign w:val="center"/>
          </w:tcPr>
          <w:p w14:paraId="4C5751F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w:t>
            </w:r>
          </w:p>
        </w:tc>
        <w:tc>
          <w:tcPr>
            <w:tcW w:w="1911" w:type="dxa"/>
            <w:noWrap w:val="0"/>
            <w:vAlign w:val="center"/>
          </w:tcPr>
          <w:p w14:paraId="70186A4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E2</w:t>
            </w:r>
          </w:p>
        </w:tc>
      </w:tr>
      <w:tr w14:paraId="11D4A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center"/>
          </w:tcPr>
          <w:p w14:paraId="119C968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D2</w:t>
            </w:r>
          </w:p>
        </w:tc>
        <w:tc>
          <w:tcPr>
            <w:tcW w:w="1996" w:type="dxa"/>
            <w:noWrap w:val="0"/>
            <w:vAlign w:val="center"/>
          </w:tcPr>
          <w:p w14:paraId="0A3392D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E1</w:t>
            </w:r>
          </w:p>
        </w:tc>
        <w:tc>
          <w:tcPr>
            <w:tcW w:w="1773" w:type="dxa"/>
            <w:noWrap w:val="0"/>
            <w:vAlign w:val="center"/>
          </w:tcPr>
          <w:p w14:paraId="70EAC83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E2</w:t>
            </w:r>
          </w:p>
        </w:tc>
        <w:tc>
          <w:tcPr>
            <w:tcW w:w="1911" w:type="dxa"/>
            <w:noWrap w:val="0"/>
            <w:vAlign w:val="center"/>
          </w:tcPr>
          <w:p w14:paraId="5BEC190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E3</w:t>
            </w:r>
          </w:p>
        </w:tc>
      </w:tr>
      <w:tr w14:paraId="012C4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center"/>
          </w:tcPr>
          <w:p w14:paraId="750DD8F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D3</w:t>
            </w:r>
          </w:p>
        </w:tc>
        <w:tc>
          <w:tcPr>
            <w:tcW w:w="1996" w:type="dxa"/>
            <w:noWrap w:val="0"/>
            <w:vAlign w:val="center"/>
          </w:tcPr>
          <w:p w14:paraId="39FE7F2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E2</w:t>
            </w:r>
          </w:p>
        </w:tc>
        <w:tc>
          <w:tcPr>
            <w:tcW w:w="1773" w:type="dxa"/>
            <w:noWrap w:val="0"/>
            <w:vAlign w:val="center"/>
          </w:tcPr>
          <w:p w14:paraId="607F9BC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E3</w:t>
            </w:r>
          </w:p>
        </w:tc>
        <w:tc>
          <w:tcPr>
            <w:tcW w:w="1911" w:type="dxa"/>
            <w:noWrap w:val="0"/>
            <w:vAlign w:val="center"/>
          </w:tcPr>
          <w:p w14:paraId="2FCC402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E3</w:t>
            </w:r>
          </w:p>
        </w:tc>
      </w:tr>
    </w:tbl>
    <w:p w14:paraId="2BFAC758">
      <w:pPr>
        <w:widowControl w:val="0"/>
        <w:spacing w:before="172" w:after="3" w:line="240" w:lineRule="auto"/>
        <w:ind w:left="283" w:right="0"/>
        <w:jc w:val="center"/>
        <w:rPr>
          <w:rFonts w:ascii="Times New Roman" w:hAnsi="Times New Roman" w:eastAsia="宋体" w:cs="Times New Roman"/>
          <w:b/>
          <w:bCs/>
          <w:sz w:val="24"/>
          <w:szCs w:val="24"/>
          <w:lang w:val="zh-CN" w:eastAsia="zh-CN" w:bidi="zh-CN"/>
        </w:rPr>
      </w:pPr>
      <w:r>
        <w:rPr>
          <w:rFonts w:hint="eastAsia" w:ascii="Times New Roman" w:hAnsi="Times New Roman" w:eastAsia="宋体" w:cs="Times New Roman"/>
          <w:b/>
          <w:bCs/>
          <w:sz w:val="24"/>
          <w:szCs w:val="24"/>
          <w:lang w:val="en-US" w:eastAsia="zh-CN" w:bidi="zh-CN"/>
        </w:rPr>
        <w:t>表7.1</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10</w:t>
      </w:r>
      <w:r>
        <w:rPr>
          <w:rFonts w:ascii="Times New Roman" w:hAnsi="Times New Roman" w:eastAsia="宋体" w:cs="Times New Roman"/>
          <w:b/>
          <w:bCs/>
          <w:sz w:val="24"/>
          <w:szCs w:val="24"/>
          <w:lang w:val="zh-CN" w:eastAsia="zh-CN" w:bidi="zh-CN"/>
        </w:rPr>
        <w:t xml:space="preserve"> 地下水功能敏感性分区</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30"/>
        <w:gridCol w:w="5898"/>
      </w:tblGrid>
      <w:tr w14:paraId="350C4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64" w:type="dxa"/>
            <w:noWrap w:val="0"/>
            <w:vAlign w:val="top"/>
          </w:tcPr>
          <w:p w14:paraId="5C7CE999">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敏感性</w:t>
            </w:r>
          </w:p>
        </w:tc>
        <w:tc>
          <w:tcPr>
            <w:tcW w:w="6714" w:type="dxa"/>
            <w:noWrap w:val="0"/>
            <w:vAlign w:val="top"/>
          </w:tcPr>
          <w:p w14:paraId="14673171">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地下水环境敏感特征</w:t>
            </w:r>
          </w:p>
        </w:tc>
      </w:tr>
      <w:tr w14:paraId="23360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64" w:type="dxa"/>
            <w:noWrap w:val="0"/>
            <w:vAlign w:val="top"/>
          </w:tcPr>
          <w:p w14:paraId="7B1B665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39F6195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敏感G1</w:t>
            </w:r>
          </w:p>
        </w:tc>
        <w:tc>
          <w:tcPr>
            <w:tcW w:w="6714" w:type="dxa"/>
            <w:noWrap w:val="0"/>
            <w:vAlign w:val="top"/>
          </w:tcPr>
          <w:p w14:paraId="35733E4A">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集中式饮用水水源（包括已建成的在用、备用、应急水源，在建和规划的饮用水  水源）准保护区；除集中式饮用水水源以外的国家或地方政府设定的与地下水环境的其他保护区，如热水、矿泉水、温泉等特殊地下水资源保护区</w:t>
            </w:r>
          </w:p>
        </w:tc>
      </w:tr>
      <w:tr w14:paraId="13272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64" w:type="dxa"/>
            <w:noWrap w:val="0"/>
            <w:vAlign w:val="top"/>
          </w:tcPr>
          <w:p w14:paraId="1A1AE73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p w14:paraId="72B5DF5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较敏感G2</w:t>
            </w:r>
          </w:p>
        </w:tc>
        <w:tc>
          <w:tcPr>
            <w:tcW w:w="6714" w:type="dxa"/>
            <w:noWrap w:val="0"/>
            <w:vAlign w:val="top"/>
          </w:tcPr>
          <w:p w14:paraId="11E9647E">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集中式饮用水水源（包括已建成的在用、备用、应急水源，在建和规划的饮用水  水源）准保护区以外的补给径流区；未划定准保护区的集中式饮用水水源，其保  护区以外的补给径流区；分散式饮用水水源地；特殊地下水资源（如热水、矿泉水、温泉等）保护区以外的分布区等其他未列入上述敏感分级的环境敏感区a</w:t>
            </w:r>
          </w:p>
        </w:tc>
      </w:tr>
      <w:tr w14:paraId="42275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64" w:type="dxa"/>
            <w:noWrap w:val="0"/>
            <w:vAlign w:val="top"/>
          </w:tcPr>
          <w:p w14:paraId="355A7E0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不敏感G3</w:t>
            </w:r>
          </w:p>
        </w:tc>
        <w:tc>
          <w:tcPr>
            <w:tcW w:w="6714" w:type="dxa"/>
            <w:noWrap w:val="0"/>
            <w:vAlign w:val="top"/>
          </w:tcPr>
          <w:p w14:paraId="007C1A54">
            <w:pPr>
              <w:pStyle w:val="219"/>
              <w:keepNext w:val="0"/>
              <w:keepLines w:val="0"/>
              <w:pageBreakBefore w:val="0"/>
              <w:widowControl/>
              <w:spacing w:after="0"/>
              <w:ind w:left="0" w:firstLine="0"/>
              <w:jc w:val="left"/>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上述地区之外的其他地区</w:t>
            </w:r>
          </w:p>
        </w:tc>
      </w:tr>
      <w:tr w14:paraId="77F66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78" w:type="dxa"/>
            <w:gridSpan w:val="2"/>
            <w:noWrap w:val="0"/>
            <w:vAlign w:val="top"/>
          </w:tcPr>
          <w:p w14:paraId="65C95711">
            <w:pPr>
              <w:pStyle w:val="219"/>
              <w:keepNext w:val="0"/>
              <w:keepLines w:val="0"/>
              <w:pageBreakBefore w:val="0"/>
              <w:widowControl/>
              <w:spacing w:after="0"/>
              <w:ind w:left="0" w:firstLine="0"/>
              <w:jc w:val="left"/>
              <w:rPr>
                <w:rFonts w:ascii="Times New Roman" w:hAnsi="Times New Roman" w:cs="Times New Roman"/>
                <w:b/>
                <w:bCs/>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a“环境敏感区”是指《建设项目环境影响评价分类管理名录》中所界定的涉及地下水的环境敏感区</w:t>
            </w:r>
          </w:p>
        </w:tc>
      </w:tr>
    </w:tbl>
    <w:p w14:paraId="6E4F2305">
      <w:pPr>
        <w:widowControl w:val="0"/>
        <w:spacing w:before="172" w:after="0" w:line="240" w:lineRule="auto"/>
        <w:ind w:left="283" w:right="0"/>
        <w:jc w:val="center"/>
        <w:rPr>
          <w:rFonts w:ascii="Times New Roman" w:hAnsi="Times New Roman" w:eastAsia="宋体" w:cs="Times New Roman"/>
          <w:b/>
          <w:bCs/>
          <w:sz w:val="24"/>
          <w:szCs w:val="24"/>
          <w:lang w:val="en-US" w:eastAsia="zh-CN" w:bidi="zh-CN"/>
        </w:rPr>
      </w:pPr>
      <w:r>
        <w:rPr>
          <w:rFonts w:hint="eastAsia" w:ascii="Times New Roman" w:hAnsi="Times New Roman" w:eastAsia="宋体" w:cs="Times New Roman"/>
          <w:b/>
          <w:bCs/>
          <w:sz w:val="24"/>
          <w:szCs w:val="24"/>
          <w:lang w:val="en-US" w:eastAsia="zh-CN" w:bidi="zh-CN"/>
        </w:rPr>
        <w:t>表7.1-11 包气带防污性能分级</w:t>
      </w:r>
    </w:p>
    <w:tbl>
      <w:tblPr>
        <w:tblStyle w:val="25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58"/>
        <w:gridCol w:w="6476"/>
      </w:tblGrid>
      <w:tr w14:paraId="16F12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58" w:type="dxa"/>
            <w:noWrap w:val="0"/>
            <w:vAlign w:val="center"/>
          </w:tcPr>
          <w:p w14:paraId="5B895E06">
            <w:pPr>
              <w:widowControl w:val="0"/>
              <w:spacing w:before="172" w:after="0" w:line="240" w:lineRule="auto"/>
              <w:ind w:right="0"/>
              <w:jc w:val="center"/>
              <w:rPr>
                <w:rFonts w:ascii="Times New Roman" w:hAnsi="Times New Roman" w:eastAsia="宋体" w:cs="Times New Roman"/>
                <w:sz w:val="21"/>
                <w:szCs w:val="21"/>
                <w:vertAlign w:val="baseline"/>
                <w:lang w:val="en-US" w:eastAsia="zh-CN" w:bidi="zh-CN"/>
              </w:rPr>
            </w:pPr>
            <w:r>
              <w:rPr>
                <w:rFonts w:hint="eastAsia" w:ascii="Times New Roman" w:hAnsi="Times New Roman" w:eastAsia="宋体" w:cs="Times New Roman"/>
                <w:b/>
                <w:bCs/>
                <w:sz w:val="21"/>
                <w:szCs w:val="21"/>
                <w:vertAlign w:val="baseline"/>
                <w:lang w:val="en-US" w:eastAsia="zh-CN" w:bidi="zh-CN"/>
              </w:rPr>
              <w:t>分级</w:t>
            </w:r>
          </w:p>
        </w:tc>
        <w:tc>
          <w:tcPr>
            <w:tcW w:w="6476" w:type="dxa"/>
            <w:noWrap w:val="0"/>
            <w:vAlign w:val="center"/>
          </w:tcPr>
          <w:p w14:paraId="55830528">
            <w:pPr>
              <w:widowControl w:val="0"/>
              <w:spacing w:before="172" w:after="0" w:line="240" w:lineRule="auto"/>
              <w:ind w:right="0"/>
              <w:jc w:val="center"/>
              <w:rPr>
                <w:rFonts w:ascii="Times New Roman" w:hAnsi="Times New Roman" w:eastAsia="宋体" w:cs="Times New Roman"/>
                <w:sz w:val="21"/>
                <w:szCs w:val="21"/>
                <w:vertAlign w:val="baseline"/>
                <w:lang w:val="zh-CN" w:eastAsia="zh-CN" w:bidi="zh-CN"/>
              </w:rPr>
            </w:pPr>
            <w:r>
              <w:rPr>
                <w:rFonts w:ascii="Times New Roman" w:hAnsi="Times New Roman" w:eastAsia="宋体" w:cs="Times New Roman"/>
                <w:b/>
                <w:sz w:val="21"/>
                <w:szCs w:val="21"/>
                <w:lang w:val="zh-CN" w:eastAsia="zh-CN" w:bidi="zh-CN"/>
              </w:rPr>
              <w:t>包气带岩土的渗透性能</w:t>
            </w:r>
          </w:p>
        </w:tc>
      </w:tr>
      <w:tr w14:paraId="2C5B6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58" w:type="dxa"/>
            <w:noWrap w:val="0"/>
            <w:vAlign w:val="center"/>
          </w:tcPr>
          <w:p w14:paraId="308ECB7C">
            <w:pPr>
              <w:widowControl w:val="0"/>
              <w:spacing w:before="172" w:after="0" w:line="240" w:lineRule="auto"/>
              <w:ind w:right="0"/>
              <w:jc w:val="center"/>
              <w:rPr>
                <w:rFonts w:ascii="Times New Roman" w:hAnsi="Times New Roman" w:eastAsia="宋体" w:cs="Times New Roman"/>
                <w:sz w:val="21"/>
                <w:szCs w:val="21"/>
                <w:vertAlign w:val="baseline"/>
                <w:lang w:val="en-US" w:eastAsia="zh-CN" w:bidi="zh-CN"/>
              </w:rPr>
            </w:pPr>
            <w:r>
              <w:rPr>
                <w:rFonts w:hint="eastAsia" w:ascii="Times New Roman" w:hAnsi="Times New Roman" w:eastAsia="宋体" w:cs="Times New Roman"/>
                <w:sz w:val="21"/>
                <w:szCs w:val="21"/>
                <w:vertAlign w:val="baseline"/>
                <w:lang w:val="en-US" w:eastAsia="zh-CN" w:bidi="zh-CN"/>
              </w:rPr>
              <w:t>D3</w:t>
            </w:r>
          </w:p>
        </w:tc>
        <w:tc>
          <w:tcPr>
            <w:tcW w:w="6476" w:type="dxa"/>
            <w:noWrap w:val="0"/>
            <w:vAlign w:val="center"/>
          </w:tcPr>
          <w:p w14:paraId="0D06BDE9">
            <w:pPr>
              <w:widowControl w:val="0"/>
              <w:spacing w:before="172" w:after="0" w:line="240" w:lineRule="auto"/>
              <w:ind w:left="0" w:right="0" w:firstLine="0"/>
              <w:jc w:val="left"/>
              <w:rPr>
                <w:rFonts w:ascii="Times New Roman" w:hAnsi="Times New Roman" w:eastAsia="宋体" w:cs="Times New Roman"/>
                <w:sz w:val="21"/>
                <w:szCs w:val="21"/>
                <w:vertAlign w:val="baseline"/>
                <w:lang w:val="zh-CN" w:eastAsia="zh-CN" w:bidi="zh-CN"/>
              </w:rPr>
            </w:pPr>
            <w:r>
              <w:rPr>
                <w:rFonts w:ascii="Times New Roman" w:hAnsi="Times New Roman" w:eastAsia="宋体" w:cs="Times New Roman"/>
                <w:sz w:val="21"/>
                <w:szCs w:val="21"/>
                <w:lang w:val="zh-CN" w:eastAsia="zh-CN" w:bidi="zh-CN"/>
              </w:rPr>
              <w:t>Mb≥1.0m，</w:t>
            </w:r>
            <w:r>
              <w:rPr>
                <w:rFonts w:ascii="Times New Roman" w:hAnsi="Times New Roman" w:eastAsia="宋体" w:cs="Times New Roman"/>
                <w:i/>
                <w:sz w:val="21"/>
                <w:szCs w:val="21"/>
                <w:lang w:val="zh-CN" w:eastAsia="zh-CN" w:bidi="zh-CN"/>
              </w:rPr>
              <w:t>K</w:t>
            </w:r>
            <w:r>
              <w:rPr>
                <w:rFonts w:ascii="Times New Roman" w:hAnsi="Times New Roman" w:eastAsia="宋体" w:cs="Times New Roman"/>
                <w:sz w:val="21"/>
                <w:szCs w:val="21"/>
                <w:lang w:val="zh-CN" w:eastAsia="zh-CN" w:bidi="zh-CN"/>
              </w:rPr>
              <w:t>≤1.0×10</w:t>
            </w:r>
            <w:r>
              <w:rPr>
                <w:rFonts w:ascii="Times New Roman" w:hAnsi="Times New Roman" w:eastAsia="宋体" w:cs="Times New Roman"/>
                <w:position w:val="7"/>
                <w:sz w:val="21"/>
                <w:szCs w:val="21"/>
                <w:lang w:val="zh-CN" w:eastAsia="zh-CN" w:bidi="zh-CN"/>
              </w:rPr>
              <w:t>-6</w:t>
            </w:r>
            <w:r>
              <w:rPr>
                <w:rFonts w:ascii="Times New Roman" w:hAnsi="Times New Roman" w:eastAsia="宋体" w:cs="Times New Roman"/>
                <w:sz w:val="21"/>
                <w:szCs w:val="21"/>
                <w:lang w:val="zh-CN" w:eastAsia="zh-CN" w:bidi="zh-CN"/>
              </w:rPr>
              <w:t>cm/s，且分布连续、稳定</w:t>
            </w:r>
          </w:p>
        </w:tc>
      </w:tr>
      <w:tr w14:paraId="7D4DC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58" w:type="dxa"/>
            <w:noWrap w:val="0"/>
            <w:vAlign w:val="center"/>
          </w:tcPr>
          <w:p w14:paraId="4BF96C80">
            <w:pPr>
              <w:widowControl w:val="0"/>
              <w:spacing w:before="172" w:after="0" w:line="240" w:lineRule="auto"/>
              <w:ind w:right="0"/>
              <w:jc w:val="center"/>
              <w:rPr>
                <w:rFonts w:ascii="Times New Roman" w:hAnsi="Times New Roman" w:eastAsia="宋体" w:cs="Times New Roman"/>
                <w:sz w:val="21"/>
                <w:szCs w:val="21"/>
                <w:vertAlign w:val="baseline"/>
                <w:lang w:val="en-US" w:eastAsia="zh-CN" w:bidi="zh-CN"/>
              </w:rPr>
            </w:pPr>
            <w:r>
              <w:rPr>
                <w:rFonts w:hint="eastAsia" w:ascii="Times New Roman" w:hAnsi="Times New Roman" w:eastAsia="宋体" w:cs="Times New Roman"/>
                <w:sz w:val="21"/>
                <w:szCs w:val="21"/>
                <w:vertAlign w:val="baseline"/>
                <w:lang w:val="en-US" w:eastAsia="zh-CN" w:bidi="zh-CN"/>
              </w:rPr>
              <w:t>D2</w:t>
            </w:r>
          </w:p>
        </w:tc>
        <w:tc>
          <w:tcPr>
            <w:tcW w:w="6476" w:type="dxa"/>
            <w:noWrap w:val="0"/>
            <w:vAlign w:val="center"/>
          </w:tcPr>
          <w:p w14:paraId="2F640F21">
            <w:pPr>
              <w:widowControl w:val="0"/>
              <w:spacing w:before="0" w:after="0" w:line="240" w:lineRule="auto"/>
              <w:ind w:left="0" w:right="1070" w:firstLine="0"/>
              <w:jc w:val="left"/>
              <w:rPr>
                <w:rFonts w:ascii="Times New Roman" w:hAnsi="Times New Roman" w:eastAsia="宋体" w:cs="Times New Roman"/>
                <w:sz w:val="21"/>
                <w:szCs w:val="21"/>
                <w:vertAlign w:val="baseline"/>
                <w:lang w:val="zh-CN" w:eastAsia="zh-CN" w:bidi="zh-CN"/>
              </w:rPr>
            </w:pPr>
            <w:r>
              <w:rPr>
                <w:rFonts w:ascii="Times New Roman" w:hAnsi="Times New Roman" w:eastAsia="宋体" w:cs="Times New Roman"/>
                <w:sz w:val="21"/>
                <w:szCs w:val="21"/>
                <w:lang w:val="zh-CN" w:eastAsia="zh-CN" w:bidi="zh-CN"/>
              </w:rPr>
              <w:t>0.5m≤Mb＜1.0m，</w:t>
            </w:r>
            <w:r>
              <w:rPr>
                <w:rFonts w:ascii="Times New Roman" w:hAnsi="Times New Roman" w:eastAsia="宋体" w:cs="Times New Roman"/>
                <w:i/>
                <w:sz w:val="21"/>
                <w:szCs w:val="21"/>
                <w:lang w:val="zh-CN" w:eastAsia="zh-CN" w:bidi="zh-CN"/>
              </w:rPr>
              <w:t>K</w:t>
            </w:r>
            <w:r>
              <w:rPr>
                <w:rFonts w:ascii="Times New Roman" w:hAnsi="Times New Roman" w:eastAsia="宋体" w:cs="Times New Roman"/>
                <w:sz w:val="21"/>
                <w:szCs w:val="21"/>
                <w:lang w:val="zh-CN" w:eastAsia="zh-CN" w:bidi="zh-CN"/>
              </w:rPr>
              <w:t>≤1.0×10</w:t>
            </w:r>
            <w:r>
              <w:rPr>
                <w:rFonts w:ascii="Times New Roman" w:hAnsi="Times New Roman" w:eastAsia="宋体" w:cs="Times New Roman"/>
                <w:position w:val="7"/>
                <w:sz w:val="21"/>
                <w:szCs w:val="21"/>
                <w:lang w:val="zh-CN" w:eastAsia="zh-CN" w:bidi="zh-CN"/>
              </w:rPr>
              <w:t>-6</w:t>
            </w:r>
            <w:r>
              <w:rPr>
                <w:rFonts w:ascii="Times New Roman" w:hAnsi="Times New Roman" w:eastAsia="宋体" w:cs="Times New Roman"/>
                <w:sz w:val="21"/>
                <w:szCs w:val="21"/>
                <w:lang w:val="zh-CN" w:eastAsia="zh-CN" w:bidi="zh-CN"/>
              </w:rPr>
              <w:t>cm/s，且分布连续、稳定Mb≥1.0m，1.0×10</w:t>
            </w:r>
            <w:r>
              <w:rPr>
                <w:rFonts w:ascii="Times New Roman" w:hAnsi="Times New Roman" w:eastAsia="宋体" w:cs="Times New Roman"/>
                <w:position w:val="7"/>
                <w:sz w:val="21"/>
                <w:szCs w:val="21"/>
                <w:lang w:val="zh-CN" w:eastAsia="zh-CN" w:bidi="zh-CN"/>
              </w:rPr>
              <w:t>-6</w:t>
            </w:r>
            <w:r>
              <w:rPr>
                <w:rFonts w:ascii="Times New Roman" w:hAnsi="Times New Roman" w:eastAsia="宋体" w:cs="Times New Roman"/>
                <w:sz w:val="21"/>
                <w:szCs w:val="21"/>
                <w:lang w:val="zh-CN" w:eastAsia="zh-CN" w:bidi="zh-CN"/>
              </w:rPr>
              <w:t>cm/s＜</w:t>
            </w:r>
            <w:r>
              <w:rPr>
                <w:rFonts w:ascii="Times New Roman" w:hAnsi="Times New Roman" w:eastAsia="宋体" w:cs="Times New Roman"/>
                <w:i/>
                <w:sz w:val="21"/>
                <w:szCs w:val="21"/>
                <w:lang w:val="zh-CN" w:eastAsia="zh-CN" w:bidi="zh-CN"/>
              </w:rPr>
              <w:t>K</w:t>
            </w:r>
            <w:r>
              <w:rPr>
                <w:rFonts w:ascii="Times New Roman" w:hAnsi="Times New Roman" w:eastAsia="宋体" w:cs="Times New Roman"/>
                <w:sz w:val="21"/>
                <w:szCs w:val="21"/>
                <w:lang w:val="zh-CN" w:eastAsia="zh-CN" w:bidi="zh-CN"/>
              </w:rPr>
              <w:t>≤1.0×10</w:t>
            </w:r>
            <w:r>
              <w:rPr>
                <w:rFonts w:ascii="Times New Roman" w:hAnsi="Times New Roman" w:eastAsia="宋体" w:cs="Times New Roman"/>
                <w:position w:val="7"/>
                <w:sz w:val="21"/>
                <w:szCs w:val="21"/>
                <w:lang w:val="zh-CN" w:eastAsia="zh-CN" w:bidi="zh-CN"/>
              </w:rPr>
              <w:t>-4</w:t>
            </w:r>
            <w:r>
              <w:rPr>
                <w:rFonts w:ascii="Times New Roman" w:hAnsi="Times New Roman" w:eastAsia="宋体" w:cs="Times New Roman"/>
                <w:sz w:val="21"/>
                <w:szCs w:val="21"/>
                <w:lang w:val="zh-CN" w:eastAsia="zh-CN" w:bidi="zh-CN"/>
              </w:rPr>
              <w:t>cm/s，且分布连续、稳定</w:t>
            </w:r>
          </w:p>
        </w:tc>
      </w:tr>
      <w:tr w14:paraId="5AF34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58" w:type="dxa"/>
            <w:noWrap w:val="0"/>
            <w:vAlign w:val="center"/>
          </w:tcPr>
          <w:p w14:paraId="0359CDDE">
            <w:pPr>
              <w:widowControl w:val="0"/>
              <w:spacing w:before="172" w:after="0" w:line="240" w:lineRule="auto"/>
              <w:ind w:right="0"/>
              <w:jc w:val="center"/>
              <w:rPr>
                <w:rFonts w:ascii="Times New Roman" w:hAnsi="Times New Roman" w:eastAsia="宋体" w:cs="Times New Roman"/>
                <w:sz w:val="21"/>
                <w:szCs w:val="21"/>
                <w:vertAlign w:val="baseline"/>
                <w:lang w:val="en-US" w:eastAsia="zh-CN" w:bidi="zh-CN"/>
              </w:rPr>
            </w:pPr>
            <w:r>
              <w:rPr>
                <w:rFonts w:hint="eastAsia" w:ascii="Times New Roman" w:hAnsi="Times New Roman" w:eastAsia="宋体" w:cs="Times New Roman"/>
                <w:sz w:val="21"/>
                <w:szCs w:val="21"/>
                <w:vertAlign w:val="baseline"/>
                <w:lang w:val="en-US" w:eastAsia="zh-CN" w:bidi="zh-CN"/>
              </w:rPr>
              <w:t>D1</w:t>
            </w:r>
          </w:p>
        </w:tc>
        <w:tc>
          <w:tcPr>
            <w:tcW w:w="6476" w:type="dxa"/>
            <w:noWrap w:val="0"/>
            <w:vAlign w:val="center"/>
          </w:tcPr>
          <w:p w14:paraId="0CCE85BC">
            <w:pPr>
              <w:widowControl w:val="0"/>
              <w:spacing w:before="172" w:after="0" w:line="240" w:lineRule="auto"/>
              <w:ind w:left="0" w:right="0" w:firstLine="0"/>
              <w:jc w:val="both"/>
              <w:rPr>
                <w:rFonts w:ascii="Times New Roman" w:hAnsi="Times New Roman" w:eastAsia="宋体" w:cs="Times New Roman"/>
                <w:sz w:val="21"/>
                <w:szCs w:val="21"/>
                <w:vertAlign w:val="baseline"/>
                <w:lang w:val="zh-CN" w:eastAsia="zh-CN" w:bidi="zh-CN"/>
              </w:rPr>
            </w:pPr>
            <w:r>
              <w:rPr>
                <w:rFonts w:ascii="Times New Roman" w:hAnsi="Times New Roman" w:eastAsia="宋体" w:cs="Times New Roman"/>
                <w:sz w:val="21"/>
                <w:szCs w:val="21"/>
                <w:lang w:val="zh-CN" w:eastAsia="zh-CN" w:bidi="zh-CN"/>
              </w:rPr>
              <w:t>岩（土）层不满足上述“D2”和“D3”条件</w:t>
            </w:r>
          </w:p>
        </w:tc>
      </w:tr>
      <w:tr w14:paraId="414FA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34" w:type="dxa"/>
            <w:gridSpan w:val="2"/>
            <w:noWrap w:val="0"/>
            <w:vAlign w:val="center"/>
          </w:tcPr>
          <w:p w14:paraId="0FB910C1">
            <w:pPr>
              <w:widowControl w:val="0"/>
              <w:spacing w:before="0" w:after="4" w:line="240" w:lineRule="auto"/>
              <w:ind w:left="0" w:right="0" w:firstLine="0"/>
              <w:jc w:val="both"/>
              <w:rPr>
                <w:rFonts w:ascii="Times New Roman" w:hAnsi="Times New Roman" w:eastAsia="宋体" w:cs="Times New Roman"/>
                <w:sz w:val="21"/>
                <w:szCs w:val="21"/>
                <w:vertAlign w:val="baseline"/>
                <w:lang w:val="zh-CN" w:eastAsia="zh-CN" w:bidi="zh-CN"/>
              </w:rPr>
            </w:pPr>
            <w:r>
              <w:rPr>
                <w:rFonts w:ascii="Times New Roman" w:hAnsi="Times New Roman" w:eastAsia="宋体" w:cs="Times New Roman"/>
                <w:sz w:val="21"/>
                <w:szCs w:val="21"/>
                <w:lang w:val="zh-CN" w:bidi="zh-CN"/>
              </w:rPr>
              <w:t xml:space="preserve">Mb：岩土层单层厚度。 </w:t>
            </w:r>
            <w:r>
              <w:rPr>
                <w:rFonts w:ascii="Times New Roman" w:hAnsi="Times New Roman" w:eastAsia="宋体" w:cs="Times New Roman"/>
                <w:i/>
                <w:sz w:val="21"/>
                <w:szCs w:val="21"/>
                <w:lang w:val="zh-CN" w:bidi="zh-CN"/>
              </w:rPr>
              <w:t>K</w:t>
            </w:r>
            <w:r>
              <w:rPr>
                <w:rFonts w:ascii="Times New Roman" w:hAnsi="Times New Roman" w:eastAsia="宋体" w:cs="Times New Roman"/>
                <w:sz w:val="21"/>
                <w:szCs w:val="21"/>
                <w:lang w:val="zh-CN" w:bidi="zh-CN"/>
              </w:rPr>
              <w:t>：渗透系数。</w:t>
            </w:r>
          </w:p>
        </w:tc>
      </w:tr>
    </w:tbl>
    <w:p w14:paraId="134AD00A">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结合项目情况，根据实地调查场地下游评价范围内无分散式饮用水水源地，不涉及集中式或分散式地下水水源，不涉及集中式水源准保护区以外的径流补给区，亦不属于热水、矿泉水、温泉等特殊地下水资源保护区、国家或地方政府设定的与地下水环境相关的其他保护区，因此确定建设项目场地的地下水环境敏感程度属不敏感（G3）；项目所在区域属覆第四系粘土层厚一般介于 5-8.0m 之间，渗透系数为5.40×10</w:t>
      </w:r>
      <w:r>
        <w:rPr>
          <w:rFonts w:ascii="Times New Roman" w:hAnsi="Times New Roman" w:cs="Times New Roman"/>
          <w:color w:val="000000"/>
          <w:sz w:val="24"/>
          <w:szCs w:val="24"/>
          <w:vertAlign w:val="superscript"/>
          <w:lang w:val="zh-CN" w:eastAsia="zh-CN" w:bidi="ar-SA"/>
        </w:rPr>
        <w:t>-5</w:t>
      </w:r>
      <w:r>
        <w:rPr>
          <w:rFonts w:ascii="Times New Roman" w:hAnsi="Times New Roman" w:cs="Times New Roman"/>
          <w:color w:val="000000"/>
          <w:sz w:val="24"/>
          <w:szCs w:val="24"/>
          <w:lang w:val="zh-CN" w:eastAsia="zh-CN" w:bidi="ar-SA"/>
        </w:rPr>
        <w:t>cm/s，包气带的防污性能中等（D2）。因此，项目地下水环境敏感程度分级为 E3。</w:t>
      </w:r>
    </w:p>
    <w:p w14:paraId="1DCE3F27">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3、项目环境风险潜势判断</w:t>
      </w:r>
    </w:p>
    <w:p w14:paraId="6D2363D4">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项目危险物质及工艺系统危险性 P 为 P1，大气环境敏感程度E值为E1，地表水环境敏感程度E值为 E3，地下水环境敏感程度E值为 E3，各要素对应的环境风险潜势划分结果如下：大气环境风险潜势为Ⅳ+，地表水</w:t>
      </w:r>
      <w:r>
        <w:rPr>
          <w:rFonts w:hint="eastAsia" w:ascii="Times New Roman" w:hAnsi="Times New Roman" w:cs="Times New Roman"/>
          <w:color w:val="000000"/>
          <w:sz w:val="24"/>
          <w:szCs w:val="24"/>
          <w:lang w:val="zh-CN" w:eastAsia="zh-CN" w:bidi="ar-SA"/>
        </w:rPr>
        <w:t>环境</w:t>
      </w:r>
      <w:r>
        <w:rPr>
          <w:rFonts w:ascii="Times New Roman" w:hAnsi="Times New Roman" w:cs="Times New Roman"/>
          <w:color w:val="000000"/>
          <w:sz w:val="24"/>
          <w:szCs w:val="24"/>
          <w:lang w:val="zh-CN" w:eastAsia="zh-CN" w:bidi="ar-SA"/>
        </w:rPr>
        <w:t>风险潜势为Ⅲ，地下水</w:t>
      </w:r>
      <w:r>
        <w:rPr>
          <w:rFonts w:hint="eastAsia" w:ascii="Times New Roman" w:hAnsi="Times New Roman" w:cs="Times New Roman"/>
          <w:color w:val="000000"/>
          <w:sz w:val="24"/>
          <w:szCs w:val="24"/>
          <w:lang w:val="zh-CN" w:eastAsia="zh-CN" w:bidi="ar-SA"/>
        </w:rPr>
        <w:t>环境</w:t>
      </w:r>
      <w:r>
        <w:rPr>
          <w:rFonts w:ascii="Times New Roman" w:hAnsi="Times New Roman" w:cs="Times New Roman"/>
          <w:color w:val="000000"/>
          <w:sz w:val="24"/>
          <w:szCs w:val="24"/>
          <w:lang w:val="zh-CN" w:eastAsia="zh-CN" w:bidi="ar-SA"/>
        </w:rPr>
        <w:t>风险潜势为Ⅲ，各要素对应的环境风险等级如下：大气环境风险等级为一级，地表水</w:t>
      </w:r>
      <w:r>
        <w:rPr>
          <w:rFonts w:hint="eastAsia" w:ascii="Times New Roman" w:hAnsi="Times New Roman" w:cs="Times New Roman"/>
          <w:color w:val="000000"/>
          <w:sz w:val="24"/>
          <w:szCs w:val="24"/>
          <w:lang w:val="zh-CN" w:eastAsia="zh-CN" w:bidi="ar-SA"/>
        </w:rPr>
        <w:t>环境</w:t>
      </w:r>
      <w:r>
        <w:rPr>
          <w:rFonts w:ascii="Times New Roman" w:hAnsi="Times New Roman" w:cs="Times New Roman"/>
          <w:color w:val="000000"/>
          <w:sz w:val="24"/>
          <w:szCs w:val="24"/>
          <w:lang w:val="zh-CN" w:eastAsia="zh-CN" w:bidi="ar-SA"/>
        </w:rPr>
        <w:t>风险等级为二级，地下水</w:t>
      </w:r>
      <w:r>
        <w:rPr>
          <w:rFonts w:hint="eastAsia" w:ascii="Times New Roman" w:hAnsi="Times New Roman" w:cs="Times New Roman"/>
          <w:color w:val="000000"/>
          <w:sz w:val="24"/>
          <w:szCs w:val="24"/>
          <w:lang w:val="zh-CN" w:eastAsia="zh-CN" w:bidi="ar-SA"/>
        </w:rPr>
        <w:t>环境</w:t>
      </w:r>
      <w:r>
        <w:rPr>
          <w:rFonts w:ascii="Times New Roman" w:hAnsi="Times New Roman" w:cs="Times New Roman"/>
          <w:color w:val="000000"/>
          <w:sz w:val="24"/>
          <w:szCs w:val="24"/>
          <w:lang w:val="zh-CN" w:eastAsia="zh-CN" w:bidi="ar-SA"/>
        </w:rPr>
        <w:t>风险等级为二级。根据《建设项目环境风险评价技术导则》（HJ 169-2018）节 6.4：建设项目环境风险潜势综合取各要素等级的相对高值，因此项目环境风险等级最终定位为一级。</w:t>
      </w:r>
    </w:p>
    <w:bookmarkEnd w:id="192"/>
    <w:p w14:paraId="3EE47735">
      <w:pPr>
        <w:pStyle w:val="187"/>
        <w:keepNext/>
        <w:keepLines/>
        <w:pageBreakBefore w:val="0"/>
        <w:widowControl/>
        <w:rPr>
          <w:rFonts w:ascii="Times New Roman" w:hAnsi="Times New Roman"/>
          <w:bCs/>
          <w:color w:val="000000"/>
          <w:lang w:val="zh-CN" w:eastAsia="zh-CN"/>
        </w:rPr>
      </w:pPr>
      <w:bookmarkStart w:id="193" w:name="4.2.7.2.风险识别"/>
      <w:bookmarkStart w:id="194" w:name="_Toc16585"/>
      <w:r>
        <w:rPr>
          <w:rFonts w:hint="eastAsia" w:ascii="Times New Roman" w:hAnsi="Times New Roman"/>
          <w:bCs/>
          <w:color w:val="000000"/>
          <w:lang w:val="en-US" w:eastAsia="zh-CN"/>
        </w:rPr>
        <w:t>7.2</w:t>
      </w:r>
      <w:r>
        <w:rPr>
          <w:rFonts w:ascii="Times New Roman" w:hAnsi="Times New Roman"/>
          <w:bCs/>
          <w:color w:val="000000"/>
          <w:lang w:val="zh-CN" w:eastAsia="zh-CN"/>
        </w:rPr>
        <w:t>风险识别</w:t>
      </w:r>
      <w:bookmarkEnd w:id="193"/>
    </w:p>
    <w:p w14:paraId="65F5BEC3">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hint="eastAsia"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1</w:t>
      </w:r>
      <w:r>
        <w:rPr>
          <w:rFonts w:hint="eastAsia" w:ascii="Times New Roman" w:hAnsi="Times New Roman" w:cs="Times New Roman"/>
          <w:color w:val="000000"/>
          <w:sz w:val="24"/>
          <w:szCs w:val="24"/>
          <w:lang w:val="zh-CN" w:eastAsia="zh-CN" w:bidi="ar-SA"/>
        </w:rPr>
        <w:t>）</w:t>
      </w:r>
      <w:r>
        <w:rPr>
          <w:rFonts w:ascii="Times New Roman" w:hAnsi="Times New Roman" w:cs="Times New Roman"/>
          <w:color w:val="000000"/>
          <w:sz w:val="24"/>
          <w:szCs w:val="24"/>
          <w:lang w:val="zh-CN" w:eastAsia="zh-CN" w:bidi="ar-SA"/>
        </w:rPr>
        <w:t>数据统计与事故案例</w:t>
      </w:r>
    </w:p>
    <w:p w14:paraId="1A924BB7">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①国外化学品事故情况统计</w:t>
      </w:r>
    </w:p>
    <w:p w14:paraId="08B3E1F6">
      <w:pPr>
        <w:pStyle w:val="219"/>
        <w:keepNext w:val="0"/>
        <w:keepLines w:val="0"/>
        <w:pageBreakBefore w:val="0"/>
        <w:widowControl/>
        <w:spacing w:after="0"/>
        <w:ind w:left="0" w:firstLine="480"/>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参考国外化学品事故情况统计数据，在95个国家登记的化学品所发生突发性化学事故分类见表</w:t>
      </w:r>
      <w:r>
        <w:rPr>
          <w:rFonts w:hint="eastAsia" w:ascii="Times New Roman" w:hAnsi="Times New Roman" w:cs="Times New Roman"/>
          <w:color w:val="000000"/>
          <w:sz w:val="24"/>
          <w:szCs w:val="24"/>
          <w:lang w:val="en-US" w:eastAsia="zh-CN" w:bidi="ar-SA"/>
        </w:rPr>
        <w:t>7.2</w:t>
      </w:r>
      <w:r>
        <w:rPr>
          <w:rFonts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1</w:t>
      </w:r>
      <w:r>
        <w:rPr>
          <w:rFonts w:ascii="Times New Roman" w:hAnsi="Times New Roman" w:cs="Times New Roman"/>
          <w:color w:val="000000"/>
          <w:sz w:val="24"/>
          <w:szCs w:val="24"/>
          <w:lang w:val="zh-CN" w:eastAsia="zh-CN" w:bidi="ar-SA"/>
        </w:rPr>
        <w:t>，典型化工事故原因频率分布见表</w:t>
      </w:r>
      <w:r>
        <w:rPr>
          <w:rFonts w:hint="eastAsia" w:ascii="Times New Roman" w:hAnsi="Times New Roman" w:cs="Times New Roman"/>
          <w:color w:val="000000"/>
          <w:sz w:val="24"/>
          <w:szCs w:val="24"/>
          <w:lang w:val="en-US" w:eastAsia="zh-CN" w:bidi="ar-SA"/>
        </w:rPr>
        <w:t>7.2</w:t>
      </w:r>
      <w:r>
        <w:rPr>
          <w:rFonts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2</w:t>
      </w:r>
      <w:r>
        <w:rPr>
          <w:rFonts w:ascii="Times New Roman" w:hAnsi="Times New Roman" w:cs="Times New Roman"/>
          <w:color w:val="000000"/>
          <w:sz w:val="24"/>
          <w:szCs w:val="24"/>
          <w:lang w:val="zh-CN" w:eastAsia="zh-CN" w:bidi="ar-SA"/>
        </w:rPr>
        <w:t>。由表</w:t>
      </w:r>
      <w:r>
        <w:rPr>
          <w:rFonts w:hint="eastAsia" w:ascii="Times New Roman" w:hAnsi="Times New Roman" w:cs="Times New Roman"/>
          <w:color w:val="000000"/>
          <w:sz w:val="24"/>
          <w:szCs w:val="24"/>
          <w:lang w:val="en-US" w:eastAsia="zh-CN" w:bidi="ar-SA"/>
        </w:rPr>
        <w:t>7.</w:t>
      </w:r>
      <w:r>
        <w:rPr>
          <w:rFonts w:ascii="Times New Roman" w:hAnsi="Times New Roman" w:cs="Times New Roman"/>
          <w:color w:val="000000"/>
          <w:sz w:val="24"/>
          <w:szCs w:val="24"/>
          <w:lang w:val="zh-CN" w:eastAsia="zh-CN" w:bidi="ar-SA"/>
        </w:rPr>
        <w:t>2-</w:t>
      </w:r>
      <w:r>
        <w:rPr>
          <w:rFonts w:hint="eastAsia" w:ascii="Times New Roman" w:hAnsi="Times New Roman" w:cs="Times New Roman"/>
          <w:color w:val="000000"/>
          <w:sz w:val="24"/>
          <w:szCs w:val="24"/>
          <w:lang w:val="en-US" w:eastAsia="zh-CN" w:bidi="ar-SA"/>
        </w:rPr>
        <w:t>1</w:t>
      </w:r>
      <w:r>
        <w:rPr>
          <w:rFonts w:ascii="Times New Roman" w:hAnsi="Times New Roman" w:cs="Times New Roman"/>
          <w:color w:val="000000"/>
          <w:sz w:val="24"/>
          <w:szCs w:val="24"/>
          <w:lang w:val="zh-CN" w:eastAsia="zh-CN" w:bidi="ar-SA"/>
        </w:rPr>
        <w:t>、表</w:t>
      </w:r>
      <w:r>
        <w:rPr>
          <w:rFonts w:hint="eastAsia" w:ascii="Times New Roman" w:hAnsi="Times New Roman" w:cs="Times New Roman"/>
          <w:color w:val="000000"/>
          <w:sz w:val="24"/>
          <w:szCs w:val="24"/>
          <w:lang w:val="en-US" w:eastAsia="zh-CN" w:bidi="ar-SA"/>
        </w:rPr>
        <w:t>7</w:t>
      </w:r>
      <w:r>
        <w:rPr>
          <w:rFonts w:ascii="Times New Roman" w:hAnsi="Times New Roman" w:cs="Times New Roman"/>
          <w:color w:val="000000"/>
          <w:sz w:val="24"/>
          <w:szCs w:val="24"/>
          <w:lang w:val="zh-CN" w:eastAsia="zh-CN" w:bidi="ar-SA"/>
        </w:rPr>
        <w:t>.2-</w:t>
      </w:r>
      <w:r>
        <w:rPr>
          <w:rFonts w:hint="eastAsia" w:ascii="Times New Roman" w:hAnsi="Times New Roman" w:cs="Times New Roman"/>
          <w:color w:val="000000"/>
          <w:sz w:val="24"/>
          <w:szCs w:val="24"/>
          <w:lang w:val="en-US" w:eastAsia="zh-CN" w:bidi="ar-SA"/>
        </w:rPr>
        <w:t>2</w:t>
      </w:r>
      <w:r>
        <w:rPr>
          <w:rFonts w:ascii="Times New Roman" w:hAnsi="Times New Roman" w:cs="Times New Roman"/>
          <w:color w:val="000000"/>
          <w:sz w:val="24"/>
          <w:szCs w:val="24"/>
          <w:lang w:val="zh-CN" w:eastAsia="zh-CN" w:bidi="ar-SA"/>
        </w:rPr>
        <w:t>可知，液体事故率占 47.8%</w:t>
      </w:r>
      <w:r>
        <w:rPr>
          <w:rFonts w:hint="eastAsia" w:ascii="Times New Roman" w:hAnsi="Times New Roman" w:cs="Times New Roman"/>
          <w:color w:val="000000"/>
          <w:sz w:val="24"/>
          <w:szCs w:val="24"/>
          <w:lang w:val="zh-CN" w:eastAsia="zh-CN" w:bidi="ar-SA"/>
        </w:rPr>
        <w:t>，</w:t>
      </w:r>
      <w:r>
        <w:rPr>
          <w:rFonts w:ascii="Times New Roman" w:hAnsi="Times New Roman" w:cs="Times New Roman"/>
          <w:color w:val="000000"/>
          <w:sz w:val="24"/>
          <w:szCs w:val="24"/>
          <w:lang w:val="zh-CN" w:eastAsia="zh-CN" w:bidi="ar-SA"/>
        </w:rPr>
        <w:t>事故来源中贮存和运输事故率占57.4%。阀门、管线泄漏是主要事故原因(占 35.1%)，其次是设备故障和操作失误。</w:t>
      </w:r>
    </w:p>
    <w:p w14:paraId="53E8E751">
      <w:pPr>
        <w:pStyle w:val="219"/>
        <w:keepNext w:val="0"/>
        <w:keepLines w:val="0"/>
        <w:pageBreakBefore w:val="0"/>
        <w:widowControl/>
        <w:spacing w:after="0"/>
        <w:ind w:firstLine="2409"/>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7.2-1</w:t>
      </w:r>
      <w:r>
        <w:rPr>
          <w:rFonts w:ascii="Times New Roman" w:hAnsi="Times New Roman" w:eastAsia="宋体" w:cs="Times New Roman"/>
          <w:b/>
          <w:bCs/>
          <w:sz w:val="24"/>
          <w:szCs w:val="24"/>
          <w:lang w:val="zh-CN" w:eastAsia="zh-CN" w:bidi="zh-CN"/>
        </w:rPr>
        <w:tab/>
      </w:r>
      <w:r>
        <w:rPr>
          <w:rFonts w:ascii="Times New Roman" w:hAnsi="Times New Roman" w:eastAsia="宋体" w:cs="Times New Roman"/>
          <w:b/>
          <w:bCs/>
          <w:sz w:val="24"/>
          <w:szCs w:val="24"/>
          <w:lang w:val="zh-CN" w:eastAsia="zh-CN" w:bidi="zh-CN"/>
        </w:rPr>
        <w:t>国外化学品事故分类情况</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Layout w:type="fixed"/>
        <w:tblCellMar>
          <w:top w:w="0" w:type="dxa"/>
          <w:left w:w="0" w:type="dxa"/>
          <w:bottom w:w="0" w:type="dxa"/>
          <w:right w:w="0" w:type="dxa"/>
        </w:tblCellMar>
      </w:tblPr>
      <w:tblGrid>
        <w:gridCol w:w="2979"/>
        <w:gridCol w:w="2980"/>
        <w:gridCol w:w="2987"/>
      </w:tblGrid>
      <w:tr w14:paraId="1608E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17" w:hRule="atLeast"/>
          <w:jc w:val="center"/>
        </w:trPr>
        <w:tc>
          <w:tcPr>
            <w:tcW w:w="2979" w:type="dxa"/>
            <w:noWrap w:val="0"/>
            <w:vAlign w:val="center"/>
          </w:tcPr>
          <w:p w14:paraId="6F100711">
            <w:pPr>
              <w:widowControl w:val="0"/>
              <w:spacing w:before="56" w:after="0" w:line="241" w:lineRule="exact"/>
              <w:ind w:left="0" w:right="1029" w:firstLine="0"/>
              <w:jc w:val="center"/>
              <w:rPr>
                <w:rFonts w:ascii="Times New Roman" w:hAnsi="Times New Roman" w:eastAsia="宋体" w:cs="Times New Roman"/>
                <w:b/>
                <w:sz w:val="21"/>
                <w:szCs w:val="22"/>
                <w:lang w:val="zh-CN" w:eastAsia="zh-CN" w:bidi="zh-CN"/>
              </w:rPr>
            </w:pPr>
            <w:r>
              <w:rPr>
                <w:rFonts w:hint="eastAsia" w:ascii="Times New Roman" w:hAnsi="Times New Roman" w:eastAsia="宋体" w:cs="Times New Roman"/>
                <w:b/>
                <w:sz w:val="21"/>
                <w:szCs w:val="22"/>
                <w:lang w:val="en-US" w:eastAsia="zh-CN" w:bidi="zh-CN"/>
              </w:rPr>
              <w:t xml:space="preserve">      </w:t>
            </w:r>
            <w:r>
              <w:rPr>
                <w:rFonts w:ascii="Times New Roman" w:hAnsi="Times New Roman" w:eastAsia="宋体" w:cs="Times New Roman"/>
                <w:b/>
                <w:sz w:val="21"/>
                <w:szCs w:val="22"/>
                <w:lang w:val="zh-CN" w:eastAsia="zh-CN" w:bidi="zh-CN"/>
              </w:rPr>
              <w:t>类别</w:t>
            </w:r>
          </w:p>
        </w:tc>
        <w:tc>
          <w:tcPr>
            <w:tcW w:w="2980" w:type="dxa"/>
            <w:noWrap w:val="0"/>
            <w:vAlign w:val="center"/>
          </w:tcPr>
          <w:p w14:paraId="32024A23">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名称</w:t>
            </w:r>
          </w:p>
        </w:tc>
        <w:tc>
          <w:tcPr>
            <w:tcW w:w="2987" w:type="dxa"/>
            <w:noWrap w:val="0"/>
            <w:vAlign w:val="top"/>
          </w:tcPr>
          <w:p w14:paraId="1EB0BF8D">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比例(%)</w:t>
            </w:r>
          </w:p>
        </w:tc>
      </w:tr>
      <w:tr w14:paraId="40A92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06" w:hRule="atLeast"/>
          <w:jc w:val="center"/>
        </w:trPr>
        <w:tc>
          <w:tcPr>
            <w:tcW w:w="2979" w:type="dxa"/>
            <w:vMerge w:val="restart"/>
            <w:noWrap w:val="0"/>
            <w:vAlign w:val="center"/>
          </w:tcPr>
          <w:p w14:paraId="2CFC6124">
            <w:pPr>
              <w:widowControl w:val="0"/>
              <w:spacing w:before="1" w:after="0" w:line="240" w:lineRule="auto"/>
              <w:ind w:left="0" w:right="0" w:firstLine="630"/>
              <w:jc w:val="both"/>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化学品物质形态</w:t>
            </w:r>
          </w:p>
        </w:tc>
        <w:tc>
          <w:tcPr>
            <w:tcW w:w="2980" w:type="dxa"/>
            <w:noWrap w:val="0"/>
            <w:vAlign w:val="center"/>
          </w:tcPr>
          <w:p w14:paraId="6CFA34D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液体</w:t>
            </w:r>
          </w:p>
        </w:tc>
        <w:tc>
          <w:tcPr>
            <w:tcW w:w="2987" w:type="dxa"/>
            <w:noWrap w:val="0"/>
            <w:vAlign w:val="top"/>
          </w:tcPr>
          <w:p w14:paraId="17F43A0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47.8</w:t>
            </w:r>
          </w:p>
        </w:tc>
      </w:tr>
      <w:tr w14:paraId="267F8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07" w:hRule="atLeast"/>
          <w:jc w:val="center"/>
        </w:trPr>
        <w:tc>
          <w:tcPr>
            <w:tcW w:w="2979" w:type="dxa"/>
            <w:vMerge w:val="continue"/>
            <w:noWrap w:val="0"/>
            <w:vAlign w:val="center"/>
          </w:tcPr>
          <w:p w14:paraId="07151B49">
            <w:pPr>
              <w:widowControl w:val="0"/>
              <w:spacing w:before="0" w:after="0" w:line="240" w:lineRule="auto"/>
              <w:ind w:left="0" w:right="0" w:firstLine="0"/>
              <w:jc w:val="center"/>
              <w:rPr>
                <w:rFonts w:ascii="Times New Roman" w:hAnsi="Times New Roman" w:eastAsia="宋体" w:cs="Times New Roman"/>
                <w:sz w:val="2"/>
                <w:szCs w:val="2"/>
                <w:lang w:val="zh-CN" w:bidi="zh-CN"/>
              </w:rPr>
            </w:pPr>
          </w:p>
        </w:tc>
        <w:tc>
          <w:tcPr>
            <w:tcW w:w="2980" w:type="dxa"/>
            <w:noWrap w:val="0"/>
            <w:vAlign w:val="center"/>
          </w:tcPr>
          <w:p w14:paraId="50E060D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液化气</w:t>
            </w:r>
          </w:p>
        </w:tc>
        <w:tc>
          <w:tcPr>
            <w:tcW w:w="2987" w:type="dxa"/>
            <w:noWrap w:val="0"/>
            <w:vAlign w:val="top"/>
          </w:tcPr>
          <w:p w14:paraId="3680539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26.5</w:t>
            </w:r>
          </w:p>
        </w:tc>
      </w:tr>
      <w:tr w14:paraId="6EA47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07" w:hRule="atLeast"/>
          <w:jc w:val="center"/>
        </w:trPr>
        <w:tc>
          <w:tcPr>
            <w:tcW w:w="2979" w:type="dxa"/>
            <w:vMerge w:val="continue"/>
            <w:noWrap w:val="0"/>
            <w:vAlign w:val="center"/>
          </w:tcPr>
          <w:p w14:paraId="7EE4DB06">
            <w:pPr>
              <w:widowControl w:val="0"/>
              <w:spacing w:before="0" w:after="0" w:line="240" w:lineRule="auto"/>
              <w:ind w:left="0" w:right="0" w:firstLine="0"/>
              <w:jc w:val="center"/>
              <w:rPr>
                <w:rFonts w:ascii="Times New Roman" w:hAnsi="Times New Roman" w:eastAsia="宋体" w:cs="Times New Roman"/>
                <w:sz w:val="2"/>
                <w:szCs w:val="2"/>
                <w:lang w:val="zh-CN" w:bidi="zh-CN"/>
              </w:rPr>
            </w:pPr>
          </w:p>
        </w:tc>
        <w:tc>
          <w:tcPr>
            <w:tcW w:w="2980" w:type="dxa"/>
            <w:noWrap w:val="0"/>
            <w:vAlign w:val="top"/>
          </w:tcPr>
          <w:p w14:paraId="4996607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气体</w:t>
            </w:r>
          </w:p>
        </w:tc>
        <w:tc>
          <w:tcPr>
            <w:tcW w:w="2987" w:type="dxa"/>
            <w:noWrap w:val="0"/>
            <w:vAlign w:val="top"/>
          </w:tcPr>
          <w:p w14:paraId="476CF26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17.6</w:t>
            </w:r>
          </w:p>
        </w:tc>
      </w:tr>
      <w:tr w14:paraId="38BB8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307" w:hRule="atLeast"/>
          <w:jc w:val="center"/>
        </w:trPr>
        <w:tc>
          <w:tcPr>
            <w:tcW w:w="2979" w:type="dxa"/>
            <w:vMerge w:val="continue"/>
            <w:noWrap w:val="0"/>
            <w:vAlign w:val="center"/>
          </w:tcPr>
          <w:p w14:paraId="2F103408">
            <w:pPr>
              <w:widowControl w:val="0"/>
              <w:spacing w:before="0" w:after="0" w:line="240" w:lineRule="auto"/>
              <w:ind w:left="0" w:right="0" w:firstLine="0"/>
              <w:jc w:val="center"/>
              <w:rPr>
                <w:rFonts w:ascii="Times New Roman" w:hAnsi="Times New Roman" w:eastAsia="宋体" w:cs="Times New Roman"/>
                <w:sz w:val="2"/>
                <w:szCs w:val="2"/>
                <w:lang w:val="zh-CN" w:bidi="zh-CN"/>
              </w:rPr>
            </w:pPr>
          </w:p>
        </w:tc>
        <w:tc>
          <w:tcPr>
            <w:tcW w:w="2980" w:type="dxa"/>
            <w:noWrap w:val="0"/>
            <w:vAlign w:val="top"/>
          </w:tcPr>
          <w:p w14:paraId="66C468D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固体</w:t>
            </w:r>
          </w:p>
        </w:tc>
        <w:tc>
          <w:tcPr>
            <w:tcW w:w="2987" w:type="dxa"/>
            <w:noWrap w:val="0"/>
            <w:vAlign w:val="top"/>
          </w:tcPr>
          <w:p w14:paraId="748E825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8.1</w:t>
            </w:r>
          </w:p>
        </w:tc>
      </w:tr>
      <w:tr w14:paraId="39279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94" w:hRule="atLeast"/>
          <w:jc w:val="center"/>
        </w:trPr>
        <w:tc>
          <w:tcPr>
            <w:tcW w:w="2979" w:type="dxa"/>
            <w:vMerge w:val="restart"/>
            <w:noWrap w:val="0"/>
            <w:vAlign w:val="center"/>
          </w:tcPr>
          <w:p w14:paraId="5B592977">
            <w:pPr>
              <w:widowControl w:val="0"/>
              <w:spacing w:before="1" w:after="0" w:line="240" w:lineRule="auto"/>
              <w:ind w:left="0" w:right="1034" w:firstLine="0"/>
              <w:jc w:val="center"/>
              <w:rPr>
                <w:rFonts w:ascii="Times New Roman" w:hAnsi="Times New Roman" w:eastAsia="宋体" w:cs="Times New Roman"/>
                <w:sz w:val="21"/>
                <w:szCs w:val="22"/>
                <w:lang w:val="zh-CN" w:eastAsia="zh-CN" w:bidi="zh-CN"/>
              </w:rPr>
            </w:pPr>
            <w:r>
              <w:rPr>
                <w:rFonts w:hint="eastAsia" w:ascii="Times New Roman" w:hAnsi="Times New Roman" w:eastAsia="宋体" w:cs="Times New Roman"/>
                <w:sz w:val="21"/>
                <w:szCs w:val="22"/>
                <w:lang w:val="en-US" w:eastAsia="zh-CN" w:bidi="zh-CN"/>
              </w:rPr>
              <w:t xml:space="preserve">       </w:t>
            </w:r>
            <w:r>
              <w:rPr>
                <w:rFonts w:ascii="Times New Roman" w:hAnsi="Times New Roman" w:eastAsia="宋体" w:cs="Times New Roman"/>
                <w:sz w:val="21"/>
                <w:szCs w:val="22"/>
                <w:lang w:val="zh-CN" w:eastAsia="zh-CN" w:bidi="zh-CN"/>
              </w:rPr>
              <w:t>事故来源</w:t>
            </w:r>
          </w:p>
        </w:tc>
        <w:tc>
          <w:tcPr>
            <w:tcW w:w="2980" w:type="dxa"/>
            <w:noWrap w:val="0"/>
            <w:vAlign w:val="top"/>
          </w:tcPr>
          <w:p w14:paraId="70B94B8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运输</w:t>
            </w:r>
          </w:p>
        </w:tc>
        <w:tc>
          <w:tcPr>
            <w:tcW w:w="2987" w:type="dxa"/>
            <w:noWrap w:val="0"/>
            <w:vAlign w:val="top"/>
          </w:tcPr>
          <w:p w14:paraId="2F3E3EC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34.2</w:t>
            </w:r>
          </w:p>
        </w:tc>
      </w:tr>
      <w:tr w14:paraId="08844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81" w:hRule="atLeast"/>
          <w:jc w:val="center"/>
        </w:trPr>
        <w:tc>
          <w:tcPr>
            <w:tcW w:w="2979" w:type="dxa"/>
            <w:vMerge w:val="continue"/>
            <w:noWrap w:val="0"/>
            <w:vAlign w:val="top"/>
          </w:tcPr>
          <w:p w14:paraId="63C0F38D">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980" w:type="dxa"/>
            <w:noWrap w:val="0"/>
            <w:vAlign w:val="top"/>
          </w:tcPr>
          <w:p w14:paraId="0D9A10C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工艺过程</w:t>
            </w:r>
          </w:p>
        </w:tc>
        <w:tc>
          <w:tcPr>
            <w:tcW w:w="2987" w:type="dxa"/>
            <w:noWrap w:val="0"/>
            <w:vAlign w:val="top"/>
          </w:tcPr>
          <w:p w14:paraId="365E087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33.0</w:t>
            </w:r>
          </w:p>
        </w:tc>
      </w:tr>
      <w:tr w14:paraId="28A22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82" w:hRule="atLeast"/>
          <w:jc w:val="center"/>
        </w:trPr>
        <w:tc>
          <w:tcPr>
            <w:tcW w:w="2979" w:type="dxa"/>
            <w:vMerge w:val="continue"/>
            <w:noWrap w:val="0"/>
            <w:vAlign w:val="top"/>
          </w:tcPr>
          <w:p w14:paraId="6404DF3D">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980" w:type="dxa"/>
            <w:noWrap w:val="0"/>
            <w:vAlign w:val="top"/>
          </w:tcPr>
          <w:p w14:paraId="72DC67A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贮存</w:t>
            </w:r>
          </w:p>
        </w:tc>
        <w:tc>
          <w:tcPr>
            <w:tcW w:w="2987" w:type="dxa"/>
            <w:noWrap w:val="0"/>
            <w:vAlign w:val="top"/>
          </w:tcPr>
          <w:p w14:paraId="6E0D2F6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23.2</w:t>
            </w:r>
          </w:p>
        </w:tc>
      </w:tr>
      <w:tr w14:paraId="075CF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94" w:hRule="atLeast"/>
          <w:jc w:val="center"/>
        </w:trPr>
        <w:tc>
          <w:tcPr>
            <w:tcW w:w="2979" w:type="dxa"/>
            <w:vMerge w:val="continue"/>
            <w:noWrap w:val="0"/>
            <w:vAlign w:val="top"/>
          </w:tcPr>
          <w:p w14:paraId="3E4B57C5">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980" w:type="dxa"/>
            <w:noWrap w:val="0"/>
            <w:vAlign w:val="top"/>
          </w:tcPr>
          <w:p w14:paraId="14A4D00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搬运</w:t>
            </w:r>
          </w:p>
        </w:tc>
        <w:tc>
          <w:tcPr>
            <w:tcW w:w="2987" w:type="dxa"/>
            <w:noWrap w:val="0"/>
            <w:vAlign w:val="top"/>
          </w:tcPr>
          <w:p w14:paraId="0512A42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9.6</w:t>
            </w:r>
          </w:p>
        </w:tc>
      </w:tr>
    </w:tbl>
    <w:p w14:paraId="056B242F">
      <w:pPr>
        <w:widowControl w:val="0"/>
        <w:tabs>
          <w:tab w:val="left" w:pos="1442"/>
        </w:tabs>
        <w:spacing w:before="92" w:after="0"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ascii="Times New Roman" w:hAnsi="Times New Roman" w:eastAsia="宋体" w:cs="Times New Roman"/>
          <w:b/>
          <w:bCs/>
          <w:spacing w:val="-61"/>
          <w:sz w:val="24"/>
          <w:szCs w:val="24"/>
          <w:lang w:val="zh-CN" w:eastAsia="zh-CN" w:bidi="zh-CN"/>
        </w:rPr>
        <w:t xml:space="preserve"> </w:t>
      </w:r>
      <w:r>
        <w:rPr>
          <w:rFonts w:hint="eastAsia" w:ascii="Times New Roman" w:hAnsi="Times New Roman" w:eastAsia="宋体" w:cs="Times New Roman"/>
          <w:b/>
          <w:bCs/>
          <w:sz w:val="24"/>
          <w:szCs w:val="24"/>
          <w:lang w:val="en-US" w:eastAsia="zh-CN" w:bidi="zh-CN"/>
        </w:rPr>
        <w:t>7.2</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2</w:t>
      </w:r>
      <w:r>
        <w:rPr>
          <w:rFonts w:ascii="Times New Roman" w:hAnsi="Times New Roman" w:eastAsia="宋体" w:cs="Times New Roman"/>
          <w:b/>
          <w:bCs/>
          <w:sz w:val="24"/>
          <w:szCs w:val="24"/>
          <w:lang w:val="zh-CN" w:eastAsia="zh-CN" w:bidi="zh-CN"/>
        </w:rPr>
        <w:tab/>
      </w:r>
      <w:r>
        <w:rPr>
          <w:rFonts w:ascii="Times New Roman" w:hAnsi="Times New Roman" w:eastAsia="宋体" w:cs="Times New Roman"/>
          <w:b/>
          <w:bCs/>
          <w:sz w:val="24"/>
          <w:szCs w:val="24"/>
          <w:lang w:val="zh-CN" w:eastAsia="zh-CN" w:bidi="zh-CN"/>
        </w:rPr>
        <w:t>事故原因频率分布表</w:t>
      </w:r>
    </w:p>
    <w:tbl>
      <w:tblPr>
        <w:tblStyle w:val="32"/>
        <w:tblW w:w="8946" w:type="dxa"/>
        <w:jc w:val="center"/>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Layout w:type="fixed"/>
        <w:tblCellMar>
          <w:top w:w="0" w:type="dxa"/>
          <w:left w:w="0" w:type="dxa"/>
          <w:bottom w:w="0" w:type="dxa"/>
          <w:right w:w="0" w:type="dxa"/>
        </w:tblCellMar>
      </w:tblPr>
      <w:tblGrid>
        <w:gridCol w:w="963"/>
        <w:gridCol w:w="2923"/>
        <w:gridCol w:w="2016"/>
        <w:gridCol w:w="1832"/>
        <w:gridCol w:w="1212"/>
      </w:tblGrid>
      <w:tr w14:paraId="4BF85D50">
        <w:tblPrEx>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63" w:type="dxa"/>
            <w:noWrap w:val="0"/>
            <w:vAlign w:val="top"/>
          </w:tcPr>
          <w:p w14:paraId="13F0F100">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序号</w:t>
            </w:r>
          </w:p>
        </w:tc>
        <w:tc>
          <w:tcPr>
            <w:tcW w:w="2923" w:type="dxa"/>
            <w:noWrap w:val="0"/>
            <w:vAlign w:val="top"/>
          </w:tcPr>
          <w:p w14:paraId="7A6A4DEC">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事故原因</w:t>
            </w:r>
          </w:p>
        </w:tc>
        <w:tc>
          <w:tcPr>
            <w:tcW w:w="2016" w:type="dxa"/>
            <w:noWrap w:val="0"/>
            <w:vAlign w:val="top"/>
          </w:tcPr>
          <w:p w14:paraId="426E4753">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事故次数(件)</w:t>
            </w:r>
          </w:p>
        </w:tc>
        <w:tc>
          <w:tcPr>
            <w:tcW w:w="1832" w:type="dxa"/>
            <w:noWrap w:val="0"/>
            <w:vAlign w:val="top"/>
          </w:tcPr>
          <w:p w14:paraId="174F47EB">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事故频率(%)</w:t>
            </w:r>
          </w:p>
        </w:tc>
        <w:tc>
          <w:tcPr>
            <w:tcW w:w="1212" w:type="dxa"/>
            <w:noWrap w:val="0"/>
            <w:vAlign w:val="top"/>
          </w:tcPr>
          <w:p w14:paraId="182F7392">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顺序</w:t>
            </w:r>
          </w:p>
        </w:tc>
      </w:tr>
      <w:tr w14:paraId="4B2AF7B7">
        <w:tblPrEx>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63" w:type="dxa"/>
            <w:noWrap w:val="0"/>
            <w:vAlign w:val="top"/>
          </w:tcPr>
          <w:p w14:paraId="1CC0FED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w:t>
            </w:r>
          </w:p>
        </w:tc>
        <w:tc>
          <w:tcPr>
            <w:tcW w:w="2923" w:type="dxa"/>
            <w:noWrap w:val="0"/>
            <w:vAlign w:val="top"/>
          </w:tcPr>
          <w:p w14:paraId="78ECDB0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阀门管线泄漏</w:t>
            </w:r>
          </w:p>
        </w:tc>
        <w:tc>
          <w:tcPr>
            <w:tcW w:w="2016" w:type="dxa"/>
            <w:noWrap w:val="0"/>
            <w:vAlign w:val="top"/>
          </w:tcPr>
          <w:p w14:paraId="0D77B66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34</w:t>
            </w:r>
          </w:p>
        </w:tc>
        <w:tc>
          <w:tcPr>
            <w:tcW w:w="1832" w:type="dxa"/>
            <w:noWrap w:val="0"/>
            <w:vAlign w:val="top"/>
          </w:tcPr>
          <w:p w14:paraId="6D1072A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35.1</w:t>
            </w:r>
          </w:p>
        </w:tc>
        <w:tc>
          <w:tcPr>
            <w:tcW w:w="1212" w:type="dxa"/>
            <w:noWrap w:val="0"/>
            <w:vAlign w:val="top"/>
          </w:tcPr>
          <w:p w14:paraId="73C8F42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w:t>
            </w:r>
          </w:p>
        </w:tc>
      </w:tr>
      <w:tr w14:paraId="1DFCCDF3">
        <w:tblPrEx>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63" w:type="dxa"/>
            <w:noWrap w:val="0"/>
            <w:vAlign w:val="top"/>
          </w:tcPr>
          <w:p w14:paraId="6A99A38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w:t>
            </w:r>
          </w:p>
        </w:tc>
        <w:tc>
          <w:tcPr>
            <w:tcW w:w="2923" w:type="dxa"/>
            <w:noWrap w:val="0"/>
            <w:vAlign w:val="top"/>
          </w:tcPr>
          <w:p w14:paraId="6457DF6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泵设备故障</w:t>
            </w:r>
          </w:p>
        </w:tc>
        <w:tc>
          <w:tcPr>
            <w:tcW w:w="2016" w:type="dxa"/>
            <w:noWrap w:val="0"/>
            <w:vAlign w:val="top"/>
          </w:tcPr>
          <w:p w14:paraId="206377D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18</w:t>
            </w:r>
          </w:p>
        </w:tc>
        <w:tc>
          <w:tcPr>
            <w:tcW w:w="1832" w:type="dxa"/>
            <w:noWrap w:val="0"/>
            <w:vAlign w:val="top"/>
          </w:tcPr>
          <w:p w14:paraId="4F36762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18.2</w:t>
            </w:r>
          </w:p>
        </w:tc>
        <w:tc>
          <w:tcPr>
            <w:tcW w:w="1212" w:type="dxa"/>
            <w:noWrap w:val="0"/>
            <w:vAlign w:val="top"/>
          </w:tcPr>
          <w:p w14:paraId="21BFC97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w:t>
            </w:r>
          </w:p>
        </w:tc>
      </w:tr>
      <w:tr w14:paraId="1E440E49">
        <w:tblPrEx>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63" w:type="dxa"/>
            <w:noWrap w:val="0"/>
            <w:vAlign w:val="top"/>
          </w:tcPr>
          <w:p w14:paraId="7F011F5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w:t>
            </w:r>
          </w:p>
        </w:tc>
        <w:tc>
          <w:tcPr>
            <w:tcW w:w="2923" w:type="dxa"/>
            <w:noWrap w:val="0"/>
            <w:vAlign w:val="top"/>
          </w:tcPr>
          <w:p w14:paraId="09A22BC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操作失误</w:t>
            </w:r>
          </w:p>
        </w:tc>
        <w:tc>
          <w:tcPr>
            <w:tcW w:w="2016" w:type="dxa"/>
            <w:noWrap w:val="0"/>
            <w:vAlign w:val="top"/>
          </w:tcPr>
          <w:p w14:paraId="2D8A470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15</w:t>
            </w:r>
          </w:p>
        </w:tc>
        <w:tc>
          <w:tcPr>
            <w:tcW w:w="1832" w:type="dxa"/>
            <w:noWrap w:val="0"/>
            <w:vAlign w:val="top"/>
          </w:tcPr>
          <w:p w14:paraId="7A8B1CE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15.6</w:t>
            </w:r>
          </w:p>
        </w:tc>
        <w:tc>
          <w:tcPr>
            <w:tcW w:w="1212" w:type="dxa"/>
            <w:noWrap w:val="0"/>
            <w:vAlign w:val="top"/>
          </w:tcPr>
          <w:p w14:paraId="0B3AB59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w:t>
            </w:r>
          </w:p>
        </w:tc>
      </w:tr>
      <w:tr w14:paraId="1DF19559">
        <w:tblPrEx>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63" w:type="dxa"/>
            <w:noWrap w:val="0"/>
            <w:vAlign w:val="top"/>
          </w:tcPr>
          <w:p w14:paraId="53D231E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4</w:t>
            </w:r>
          </w:p>
        </w:tc>
        <w:tc>
          <w:tcPr>
            <w:tcW w:w="2923" w:type="dxa"/>
            <w:noWrap w:val="0"/>
            <w:vAlign w:val="top"/>
          </w:tcPr>
          <w:p w14:paraId="05F6322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仪表电气失灵</w:t>
            </w:r>
          </w:p>
        </w:tc>
        <w:tc>
          <w:tcPr>
            <w:tcW w:w="2016" w:type="dxa"/>
            <w:noWrap w:val="0"/>
            <w:vAlign w:val="top"/>
          </w:tcPr>
          <w:p w14:paraId="5304F71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12</w:t>
            </w:r>
          </w:p>
        </w:tc>
        <w:tc>
          <w:tcPr>
            <w:tcW w:w="1832" w:type="dxa"/>
            <w:noWrap w:val="0"/>
            <w:vAlign w:val="top"/>
          </w:tcPr>
          <w:p w14:paraId="495C977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12.4</w:t>
            </w:r>
          </w:p>
        </w:tc>
        <w:tc>
          <w:tcPr>
            <w:tcW w:w="1212" w:type="dxa"/>
            <w:noWrap w:val="0"/>
            <w:vAlign w:val="top"/>
          </w:tcPr>
          <w:p w14:paraId="633DFB5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4</w:t>
            </w:r>
          </w:p>
        </w:tc>
      </w:tr>
      <w:tr w14:paraId="3AA2FCDA">
        <w:tblPrEx>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63" w:type="dxa"/>
            <w:noWrap w:val="0"/>
            <w:vAlign w:val="top"/>
          </w:tcPr>
          <w:p w14:paraId="42FC995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5</w:t>
            </w:r>
          </w:p>
        </w:tc>
        <w:tc>
          <w:tcPr>
            <w:tcW w:w="2923" w:type="dxa"/>
            <w:noWrap w:val="0"/>
            <w:vAlign w:val="top"/>
          </w:tcPr>
          <w:p w14:paraId="1C513F4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反应失控</w:t>
            </w:r>
          </w:p>
        </w:tc>
        <w:tc>
          <w:tcPr>
            <w:tcW w:w="2016" w:type="dxa"/>
            <w:noWrap w:val="0"/>
            <w:vAlign w:val="top"/>
          </w:tcPr>
          <w:p w14:paraId="7794E39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w:t>
            </w:r>
          </w:p>
        </w:tc>
        <w:tc>
          <w:tcPr>
            <w:tcW w:w="1832" w:type="dxa"/>
            <w:noWrap w:val="0"/>
            <w:vAlign w:val="top"/>
          </w:tcPr>
          <w:p w14:paraId="7531279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10.4</w:t>
            </w:r>
          </w:p>
        </w:tc>
        <w:tc>
          <w:tcPr>
            <w:tcW w:w="1212" w:type="dxa"/>
            <w:noWrap w:val="0"/>
            <w:vAlign w:val="top"/>
          </w:tcPr>
          <w:p w14:paraId="4E43C50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5</w:t>
            </w:r>
          </w:p>
        </w:tc>
      </w:tr>
      <w:tr w14:paraId="44EFB514">
        <w:tblPrEx>
          <w:tblBorders>
            <w:top w:val="single" w:color="000000" w:sz="6" w:space="0"/>
            <w:left w:val="single" w:color="000000" w:sz="6" w:space="0"/>
            <w:bottom w:val="single" w:color="000000" w:sz="6"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63" w:type="dxa"/>
            <w:noWrap w:val="0"/>
            <w:vAlign w:val="top"/>
          </w:tcPr>
          <w:p w14:paraId="407E5A1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6</w:t>
            </w:r>
          </w:p>
        </w:tc>
        <w:tc>
          <w:tcPr>
            <w:tcW w:w="2923" w:type="dxa"/>
            <w:noWrap w:val="0"/>
            <w:vAlign w:val="top"/>
          </w:tcPr>
          <w:p w14:paraId="698BBD5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雷击自然灾害</w:t>
            </w:r>
          </w:p>
        </w:tc>
        <w:tc>
          <w:tcPr>
            <w:tcW w:w="2016" w:type="dxa"/>
            <w:noWrap w:val="0"/>
            <w:vAlign w:val="top"/>
          </w:tcPr>
          <w:p w14:paraId="781E5CD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8</w:t>
            </w:r>
          </w:p>
        </w:tc>
        <w:tc>
          <w:tcPr>
            <w:tcW w:w="1832" w:type="dxa"/>
            <w:noWrap w:val="0"/>
            <w:vAlign w:val="top"/>
          </w:tcPr>
          <w:p w14:paraId="426AEF5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8.3</w:t>
            </w:r>
          </w:p>
        </w:tc>
        <w:tc>
          <w:tcPr>
            <w:tcW w:w="1212" w:type="dxa"/>
            <w:noWrap w:val="0"/>
            <w:vAlign w:val="top"/>
          </w:tcPr>
          <w:p w14:paraId="4225543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6</w:t>
            </w:r>
          </w:p>
        </w:tc>
      </w:tr>
    </w:tbl>
    <w:p w14:paraId="31AB192E">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②近年国内事故情况统计</w:t>
      </w:r>
    </w:p>
    <w:p w14:paraId="7D37A7E4">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甲醛事故案例</w:t>
      </w:r>
    </w:p>
    <w:p w14:paraId="37BFD7C1">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2007年9月14日，位于南宁市西乡塘区安吉大道西津村西津小学附近的一家工厂发生甲醛罐体裂开引起泄漏。南宁市指挥中心接到投诉后立即调集南宁消防特勤大队赶赴现场处置，同时立即启动化学灾害事故紧急处置预案，调集相关部门赶赴现场。特勤大队立即按照化学危险品处置战斗编程出动防化洗消消防车、抢险救援消防车、18 吨水罐消防车、后援保障车和35名官兵赶赴现场处置。消防废水进入心圩江，事故发生后，相关部门紧急组织人员在心圩江段江汉桥下游筑坝将污染带截住，随后通过上游补水稀释，并采用投放过氧化氢等手段，将甲醛浓度降低后，再作无害化处理。环保有关人员对心圩江水质进行 24 小时全程监测，污染水未流入邕江，没有对邕江饮用水取水点造成影响，事故没有造成人员死亡。</w:t>
      </w:r>
    </w:p>
    <w:p w14:paraId="20D84244">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2010 年4月6日，赤峰一化工厂甲醛储罐起火，起火部位是一个储量约6 吨的甲醛废液储罐，大火已经从灌顶喷出，形成敞开式燃烧。据厂方负责人介绍这个罐已经是一个不用于储存和生产的废弃罐，起火罐内部储液储量很少且甲醛浓度也不是很高，工人在对相邻罐体进行保温处理时发现起火，消防队用一支直流水枪首先对起火罐体周围钢架结构进行冷却降温，用一支开花水枪对相邻罐体进行冷却保护。经过近30分钟的奋力扑救，大火终于被扑灭。本事故无人员伤亡。</w:t>
      </w:r>
    </w:p>
    <w:p w14:paraId="323873B4">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苯酚事故案例</w:t>
      </w:r>
    </w:p>
    <w:p w14:paraId="2D736806">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2004 年3月5日14:00时，重庆长风化工厂四车间缩聚工段岗位职工在拆换苯酚受槽 B槽底部阀门时，与之相连的A槽底部阀门被达开，苯酚从拆开的阀门处溢出，溅在职工面部，导致中毒，经抢救无效死亡。事故原因有章不循、违章作业、管理不善造成。</w:t>
      </w:r>
    </w:p>
    <w:p w14:paraId="2A7CDCEB">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2017年6月10日凌晨4时4分，一辆载有30吨苯酚的槽车由浙江宁波开往三明沙县时在途经20</w:t>
      </w:r>
      <w:r>
        <w:rPr>
          <w:rFonts w:hint="eastAsia" w:ascii="Times New Roman" w:hAnsi="Times New Roman" w:cs="Times New Roman"/>
          <w:color w:val="000000"/>
          <w:sz w:val="24"/>
          <w:szCs w:val="24"/>
          <w:lang w:val="en-US" w:eastAsia="zh-CN" w:bidi="ar-SA"/>
        </w:rPr>
        <w:t>5</w:t>
      </w:r>
      <w:r>
        <w:rPr>
          <w:rFonts w:ascii="Times New Roman" w:hAnsi="Times New Roman" w:cs="Times New Roman"/>
          <w:color w:val="000000"/>
          <w:sz w:val="24"/>
          <w:szCs w:val="24"/>
          <w:lang w:val="zh-CN" w:eastAsia="zh-CN" w:bidi="ar-SA"/>
        </w:rPr>
        <w:t xml:space="preserve"> 国道1979公里+500米，福建浦城境内路段时侧翻泄漏，经消防等部门13个小时连续奋战，险情于当晚7点被排除，泄漏没有对下游水源造成污染。本事故无人员伤亡。</w:t>
      </w:r>
    </w:p>
    <w:p w14:paraId="5BDED727">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③事故资料统计分析</w:t>
      </w:r>
    </w:p>
    <w:p w14:paraId="3F5705DA">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 xml:space="preserve">国家安监局编著《危险化学品安全评价》一书中火灾、爆炸、泄漏中毒等化学品事故统计资料见表 </w:t>
      </w:r>
      <w:r>
        <w:rPr>
          <w:rFonts w:hint="eastAsia" w:ascii="Times New Roman" w:hAnsi="Times New Roman" w:cs="Times New Roman"/>
          <w:color w:val="000000"/>
          <w:sz w:val="24"/>
          <w:szCs w:val="24"/>
          <w:lang w:val="en-US" w:eastAsia="zh-CN" w:bidi="ar-SA"/>
        </w:rPr>
        <w:t>7.2-3</w:t>
      </w:r>
      <w:r>
        <w:rPr>
          <w:rFonts w:ascii="Times New Roman" w:hAnsi="Times New Roman" w:cs="Times New Roman"/>
          <w:color w:val="000000"/>
          <w:sz w:val="24"/>
          <w:szCs w:val="24"/>
          <w:lang w:val="zh-CN" w:eastAsia="zh-CN" w:bidi="ar-SA"/>
        </w:rPr>
        <w:t>。</w:t>
      </w:r>
    </w:p>
    <w:p w14:paraId="529A0C9B">
      <w:pPr>
        <w:widowControl w:val="0"/>
        <w:tabs>
          <w:tab w:val="left" w:pos="1442"/>
        </w:tabs>
        <w:spacing w:before="0" w:after="2"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 xml:space="preserve">7.2-3 </w:t>
      </w:r>
      <w:r>
        <w:rPr>
          <w:rFonts w:ascii="Times New Roman" w:hAnsi="Times New Roman" w:eastAsia="宋体" w:cs="Times New Roman"/>
          <w:b/>
          <w:bCs/>
          <w:sz w:val="24"/>
          <w:szCs w:val="24"/>
          <w:lang w:val="zh-CN" w:eastAsia="zh-CN" w:bidi="zh-CN"/>
        </w:rPr>
        <w:t>化学工业事故统计表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2534"/>
        <w:gridCol w:w="1944"/>
        <w:gridCol w:w="1685"/>
        <w:gridCol w:w="2783"/>
      </w:tblGrid>
      <w:tr w14:paraId="1420D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80" w:hRule="atLeast"/>
          <w:jc w:val="center"/>
        </w:trPr>
        <w:tc>
          <w:tcPr>
            <w:tcW w:w="2534" w:type="dxa"/>
            <w:vMerge w:val="restart"/>
            <w:noWrap w:val="0"/>
            <w:vAlign w:val="top"/>
          </w:tcPr>
          <w:p w14:paraId="60CD22E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造成死亡人数最多的(死</w:t>
            </w:r>
          </w:p>
          <w:p w14:paraId="3DEBA53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亡 678 人)</w:t>
            </w:r>
          </w:p>
        </w:tc>
        <w:tc>
          <w:tcPr>
            <w:tcW w:w="1944" w:type="dxa"/>
            <w:noWrap w:val="0"/>
            <w:vAlign w:val="top"/>
          </w:tcPr>
          <w:p w14:paraId="62BCB2F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化学爆炸事故</w:t>
            </w:r>
          </w:p>
        </w:tc>
        <w:tc>
          <w:tcPr>
            <w:tcW w:w="1685" w:type="dxa"/>
            <w:noWrap w:val="0"/>
            <w:vAlign w:val="top"/>
          </w:tcPr>
          <w:p w14:paraId="5192805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死亡 168 人</w:t>
            </w:r>
          </w:p>
        </w:tc>
        <w:tc>
          <w:tcPr>
            <w:tcW w:w="2783" w:type="dxa"/>
            <w:noWrap w:val="0"/>
            <w:vAlign w:val="top"/>
          </w:tcPr>
          <w:p w14:paraId="4DB8033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占死亡总数的 24.77%</w:t>
            </w:r>
          </w:p>
        </w:tc>
      </w:tr>
      <w:tr w14:paraId="5EA3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81" w:hRule="atLeast"/>
          <w:jc w:val="center"/>
        </w:trPr>
        <w:tc>
          <w:tcPr>
            <w:tcW w:w="2534" w:type="dxa"/>
            <w:vMerge w:val="continue"/>
            <w:noWrap w:val="0"/>
            <w:vAlign w:val="top"/>
          </w:tcPr>
          <w:p w14:paraId="5D869DA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c>
          <w:tcPr>
            <w:tcW w:w="1944" w:type="dxa"/>
            <w:noWrap w:val="0"/>
            <w:vAlign w:val="top"/>
          </w:tcPr>
          <w:p w14:paraId="2814C7A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中毒窒息事故</w:t>
            </w:r>
          </w:p>
        </w:tc>
        <w:tc>
          <w:tcPr>
            <w:tcW w:w="1685" w:type="dxa"/>
            <w:noWrap w:val="0"/>
            <w:vAlign w:val="top"/>
          </w:tcPr>
          <w:p w14:paraId="7A41A64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死亡 99 人</w:t>
            </w:r>
          </w:p>
        </w:tc>
        <w:tc>
          <w:tcPr>
            <w:tcW w:w="2783" w:type="dxa"/>
            <w:noWrap w:val="0"/>
            <w:vAlign w:val="top"/>
          </w:tcPr>
          <w:p w14:paraId="78993D8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占死亡总数的 14.60%</w:t>
            </w:r>
          </w:p>
        </w:tc>
      </w:tr>
      <w:tr w14:paraId="38C59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80" w:hRule="atLeast"/>
          <w:jc w:val="center"/>
        </w:trPr>
        <w:tc>
          <w:tcPr>
            <w:tcW w:w="2534" w:type="dxa"/>
            <w:vMerge w:val="restart"/>
            <w:noWrap w:val="0"/>
            <w:vAlign w:val="top"/>
          </w:tcPr>
          <w:p w14:paraId="08BC785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造成重伤人数最多的(重</w:t>
            </w:r>
          </w:p>
          <w:p w14:paraId="5ED0F3A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伤 646 人)</w:t>
            </w:r>
          </w:p>
        </w:tc>
        <w:tc>
          <w:tcPr>
            <w:tcW w:w="1944" w:type="dxa"/>
            <w:noWrap w:val="0"/>
            <w:vAlign w:val="top"/>
          </w:tcPr>
          <w:p w14:paraId="483EB00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机械伤害事故</w:t>
            </w:r>
          </w:p>
        </w:tc>
        <w:tc>
          <w:tcPr>
            <w:tcW w:w="1685" w:type="dxa"/>
            <w:noWrap w:val="0"/>
            <w:vAlign w:val="top"/>
          </w:tcPr>
          <w:p w14:paraId="0FCA189E">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重伤 202 人</w:t>
            </w:r>
          </w:p>
        </w:tc>
        <w:tc>
          <w:tcPr>
            <w:tcW w:w="2783" w:type="dxa"/>
            <w:noWrap w:val="0"/>
            <w:vAlign w:val="top"/>
          </w:tcPr>
          <w:p w14:paraId="13B9790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占重伤总数的 31.2%</w:t>
            </w:r>
          </w:p>
        </w:tc>
      </w:tr>
      <w:tr w14:paraId="3A151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80" w:hRule="atLeast"/>
          <w:jc w:val="center"/>
        </w:trPr>
        <w:tc>
          <w:tcPr>
            <w:tcW w:w="2534" w:type="dxa"/>
            <w:vMerge w:val="continue"/>
            <w:noWrap w:val="0"/>
            <w:vAlign w:val="top"/>
          </w:tcPr>
          <w:p w14:paraId="726E752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c>
          <w:tcPr>
            <w:tcW w:w="1944" w:type="dxa"/>
            <w:noWrap w:val="0"/>
            <w:vAlign w:val="top"/>
          </w:tcPr>
          <w:p w14:paraId="30D81EB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高处坠落事故</w:t>
            </w:r>
          </w:p>
        </w:tc>
        <w:tc>
          <w:tcPr>
            <w:tcW w:w="1685" w:type="dxa"/>
            <w:noWrap w:val="0"/>
            <w:vAlign w:val="top"/>
          </w:tcPr>
          <w:p w14:paraId="07DE3AD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重伤 101 人</w:t>
            </w:r>
          </w:p>
        </w:tc>
        <w:tc>
          <w:tcPr>
            <w:tcW w:w="2783" w:type="dxa"/>
            <w:noWrap w:val="0"/>
            <w:vAlign w:val="top"/>
          </w:tcPr>
          <w:p w14:paraId="1BD846A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占重伤总数的 15.36%</w:t>
            </w:r>
          </w:p>
        </w:tc>
      </w:tr>
      <w:tr w14:paraId="53051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72" w:hRule="atLeast"/>
          <w:jc w:val="center"/>
        </w:trPr>
        <w:tc>
          <w:tcPr>
            <w:tcW w:w="2534" w:type="dxa"/>
            <w:vMerge w:val="restart"/>
            <w:noWrap w:val="0"/>
            <w:vAlign w:val="top"/>
          </w:tcPr>
          <w:p w14:paraId="29DCAE8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发生事故起数最多的(伤</w:t>
            </w:r>
          </w:p>
          <w:p w14:paraId="2ECAEA93">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亡事故 1060 起)</w:t>
            </w:r>
          </w:p>
        </w:tc>
        <w:tc>
          <w:tcPr>
            <w:tcW w:w="1944" w:type="dxa"/>
            <w:noWrap w:val="0"/>
            <w:vAlign w:val="top"/>
          </w:tcPr>
          <w:p w14:paraId="1D7812A8">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机械伤害事故</w:t>
            </w:r>
          </w:p>
        </w:tc>
        <w:tc>
          <w:tcPr>
            <w:tcW w:w="1685" w:type="dxa"/>
            <w:noWrap w:val="0"/>
            <w:vAlign w:val="top"/>
          </w:tcPr>
          <w:p w14:paraId="135E40B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252 起</w:t>
            </w:r>
          </w:p>
        </w:tc>
        <w:tc>
          <w:tcPr>
            <w:tcW w:w="2783" w:type="dxa"/>
            <w:noWrap w:val="0"/>
            <w:vAlign w:val="top"/>
          </w:tcPr>
          <w:p w14:paraId="726FE42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占事故总数的 23.7%</w:t>
            </w:r>
          </w:p>
        </w:tc>
      </w:tr>
      <w:tr w14:paraId="2724B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72" w:hRule="atLeast"/>
          <w:jc w:val="center"/>
        </w:trPr>
        <w:tc>
          <w:tcPr>
            <w:tcW w:w="2534" w:type="dxa"/>
            <w:vMerge w:val="continue"/>
            <w:noWrap w:val="0"/>
            <w:vAlign w:val="top"/>
          </w:tcPr>
          <w:p w14:paraId="1567586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p>
        </w:tc>
        <w:tc>
          <w:tcPr>
            <w:tcW w:w="1944" w:type="dxa"/>
            <w:noWrap w:val="0"/>
            <w:vAlign w:val="top"/>
          </w:tcPr>
          <w:p w14:paraId="17E7B18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高处坠落事故</w:t>
            </w:r>
          </w:p>
        </w:tc>
        <w:tc>
          <w:tcPr>
            <w:tcW w:w="1685" w:type="dxa"/>
            <w:noWrap w:val="0"/>
            <w:vAlign w:val="top"/>
          </w:tcPr>
          <w:p w14:paraId="1A494E4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171 起</w:t>
            </w:r>
          </w:p>
        </w:tc>
        <w:tc>
          <w:tcPr>
            <w:tcW w:w="2783" w:type="dxa"/>
            <w:noWrap w:val="0"/>
            <w:vAlign w:val="top"/>
          </w:tcPr>
          <w:p w14:paraId="516F775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占事故总数的 16.13%</w:t>
            </w:r>
          </w:p>
        </w:tc>
      </w:tr>
    </w:tbl>
    <w:p w14:paraId="6791CAEB">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根据有关资料统计，按有毒有害化学品生产使用、储存、运输和弃置四种方式进行分类，污染事故接触方式情况见表</w:t>
      </w:r>
      <w:r>
        <w:rPr>
          <w:rFonts w:hint="eastAsia" w:ascii="Times New Roman" w:hAnsi="Times New Roman" w:cs="Times New Roman"/>
          <w:color w:val="000000"/>
          <w:sz w:val="24"/>
          <w:szCs w:val="24"/>
          <w:lang w:val="en-US" w:eastAsia="zh-CN" w:bidi="ar-SA"/>
        </w:rPr>
        <w:t>7.2</w:t>
      </w:r>
      <w:r>
        <w:rPr>
          <w:rFonts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4</w:t>
      </w:r>
      <w:r>
        <w:rPr>
          <w:rFonts w:ascii="Times New Roman" w:hAnsi="Times New Roman" w:cs="Times New Roman"/>
          <w:color w:val="000000"/>
          <w:sz w:val="24"/>
          <w:szCs w:val="24"/>
          <w:lang w:val="zh-CN" w:eastAsia="zh-CN" w:bidi="ar-SA"/>
        </w:rPr>
        <w:t>。从表中可知，污染事故主要是发生在运输和储存过程中，前者占所统计事故的 28.1%，后者占 31.3%，两者合计占统计污染事故的 59.4%。</w:t>
      </w:r>
    </w:p>
    <w:p w14:paraId="5057E004">
      <w:pPr>
        <w:widowControl w:val="0"/>
        <w:tabs>
          <w:tab w:val="left" w:pos="1442"/>
        </w:tabs>
        <w:spacing w:before="2" w:after="0"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ascii="Times New Roman" w:hAnsi="Times New Roman" w:eastAsia="宋体" w:cs="Times New Roman"/>
          <w:b/>
          <w:bCs/>
          <w:spacing w:val="-61"/>
          <w:sz w:val="24"/>
          <w:szCs w:val="24"/>
          <w:lang w:val="zh-CN" w:eastAsia="zh-CN" w:bidi="zh-CN"/>
        </w:rPr>
        <w:t xml:space="preserve"> </w:t>
      </w:r>
      <w:r>
        <w:rPr>
          <w:rFonts w:hint="eastAsia" w:ascii="Times New Roman" w:hAnsi="Times New Roman" w:eastAsia="宋体" w:cs="Times New Roman"/>
          <w:b/>
          <w:bCs/>
          <w:sz w:val="24"/>
          <w:szCs w:val="24"/>
          <w:lang w:val="en-US" w:eastAsia="zh-CN" w:bidi="zh-CN"/>
        </w:rPr>
        <w:t>7.2</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4</w:t>
      </w:r>
      <w:r>
        <w:rPr>
          <w:rFonts w:ascii="Times New Roman" w:hAnsi="Times New Roman" w:eastAsia="宋体" w:cs="Times New Roman"/>
          <w:b/>
          <w:bCs/>
          <w:sz w:val="24"/>
          <w:szCs w:val="24"/>
          <w:lang w:val="zh-CN" w:eastAsia="zh-CN" w:bidi="zh-CN"/>
        </w:rPr>
        <w:tab/>
      </w:r>
      <w:r>
        <w:rPr>
          <w:rFonts w:ascii="Times New Roman" w:hAnsi="Times New Roman" w:eastAsia="宋体" w:cs="Times New Roman"/>
          <w:b/>
          <w:bCs/>
          <w:sz w:val="24"/>
          <w:szCs w:val="24"/>
          <w:lang w:val="zh-CN" w:eastAsia="zh-CN" w:bidi="zh-CN"/>
        </w:rPr>
        <w:t>污染事故接触方式情况</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2122"/>
        <w:gridCol w:w="1365"/>
        <w:gridCol w:w="1366"/>
        <w:gridCol w:w="1365"/>
        <w:gridCol w:w="1366"/>
        <w:gridCol w:w="1362"/>
      </w:tblGrid>
      <w:tr w14:paraId="3BF6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PrEx>
        <w:trPr>
          <w:trHeight w:val="545" w:hRule="atLeast"/>
          <w:jc w:val="center"/>
        </w:trPr>
        <w:tc>
          <w:tcPr>
            <w:tcW w:w="2122" w:type="dxa"/>
            <w:noWrap w:val="0"/>
            <w:vAlign w:val="center"/>
          </w:tcPr>
          <w:p w14:paraId="12B8A724">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mc:AlternateContent>
                <mc:Choice Requires="wps">
                  <w:drawing>
                    <wp:anchor distT="0" distB="0" distL="114300" distR="114300" simplePos="0" relativeHeight="251659264" behindDoc="1" locked="0" layoutInCell="1" allowOverlap="1">
                      <wp:simplePos x="0" y="0"/>
                      <wp:positionH relativeFrom="page">
                        <wp:posOffset>13335</wp:posOffset>
                      </wp:positionH>
                      <wp:positionV relativeFrom="paragraph">
                        <wp:posOffset>12065</wp:posOffset>
                      </wp:positionV>
                      <wp:extent cx="1344930" cy="350520"/>
                      <wp:effectExtent l="0" t="0" r="0" b="0"/>
                      <wp:wrapNone/>
                      <wp:docPr id="53" name="_x0000_s2150"/>
                      <wp:cNvGraphicFramePr/>
                      <a:graphic xmlns:a="http://schemas.openxmlformats.org/drawingml/2006/main">
                        <a:graphicData uri="http://schemas.microsoft.com/office/word/2010/wordprocessingShape">
                          <wps:wsp>
                            <wps:cNvSpPr/>
                            <wps:spPr bwMode="auto">
                              <a:xfrm>
                                <a:off x="0" y="0"/>
                                <a:ext cx="1344930" cy="350520"/>
                              </a:xfrm>
                              <a:custGeom>
                                <a:avLst/>
                                <a:gdLst>
                                  <a:gd name="gd0" fmla="val 65536"/>
                                  <a:gd name="gd1" fmla="val 2115"/>
                                  <a:gd name="gd2" fmla="val 551"/>
                                  <a:gd name="gd3" fmla="val 0"/>
                                  <a:gd name="gd4" fmla="val 11"/>
                                  <a:gd name="gd5" fmla="val 2"/>
                                  <a:gd name="gd6" fmla="val 0"/>
                                  <a:gd name="gd7" fmla="val 2117"/>
                                  <a:gd name="gd8" fmla="val 540"/>
                                  <a:gd name="gd9" fmla="val 2115"/>
                                  <a:gd name="gd10" fmla="val 551"/>
                                </a:gdLst>
                                <a:ahLst/>
                                <a:cxnLst/>
                                <a:rect l="0" t="0" r="r" b="b"/>
                                <a:pathLst>
                                  <a:path w="2118" h="552" extrusionOk="0">
                                    <a:moveTo>
                                      <a:pt x="gd1" y="gd2"/>
                                    </a:moveTo>
                                    <a:lnTo>
                                      <a:pt x="gd3" y="gd4"/>
                                    </a:lnTo>
                                    <a:lnTo>
                                      <a:pt x="gd5" y="gd6"/>
                                    </a:lnTo>
                                    <a:lnTo>
                                      <a:pt x="gd7" y="gd8"/>
                                    </a:lnTo>
                                    <a:lnTo>
                                      <a:pt x="gd9" y="gd10"/>
                                    </a:lnTo>
                                    <a:close/>
                                  </a:path>
                                </a:pathLst>
                              </a:custGeom>
                              <a:solidFill>
                                <a:srgbClr val="000001"/>
                              </a:solidFill>
                              <a:ln>
                                <a:noFill/>
                              </a:ln>
                            </wps:spPr>
                            <wps:bodyPr rot="0">
                              <a:noAutofit/>
                            </wps:bodyPr>
                          </wps:wsp>
                        </a:graphicData>
                      </a:graphic>
                    </wp:anchor>
                  </w:drawing>
                </mc:Choice>
                <mc:Fallback>
                  <w:pict>
                    <v:shape id="_x0000_s2150" o:spid="_x0000_s1026" o:spt="100" style="position:absolute;left:0pt;margin-left:1.05pt;margin-top:0.95pt;height:27.6pt;width:105.9pt;mso-position-horizontal-relative:page;z-index:-251657216;mso-width-relative:page;mso-height-relative:page;" fillcolor="#000001" filled="t" stroked="f" coordsize="2118,552" o:gfxdata="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qVPkvWAAAA&#10;BgEAAA8AAAAAAAAAAQAgAAAAIgAAAGRycy9kb3ducmV2LnhtbFBLAQIUABQAAAAIAIdO4kBPqsuC&#10;kQIAAE8GAAAOAAAAAAAAAAEAIAAAACUBAABkcnMvZTJvRG9jLnhtbFBLBQYAAAAABgAGAFkBAAAo&#10;BgAAAAA=&#10;" path="m2115,551l0,11,2,0,2117,540,2115,551xe">
                      <v:fill on="t" focussize="0,0"/>
                      <v:stroke on="f"/>
                      <v:imagedata o:title=""/>
                      <o:lock v:ext="edit" aspectratio="f"/>
                    </v:shape>
                  </w:pict>
                </mc:Fallback>
              </mc:AlternateContent>
            </w:r>
            <w:r>
              <w:rPr>
                <w:rFonts w:ascii="Times New Roman" w:hAnsi="Times New Roman" w:cs="Times New Roman"/>
                <w:b/>
                <w:bCs/>
                <w:sz w:val="21"/>
                <w:szCs w:val="21"/>
                <w:vertAlign w:val="baseline"/>
                <w:lang w:val="zh-CN" w:eastAsia="zh-CN" w:bidi="ar-SA"/>
              </w:rPr>
              <w:t>接触过程</w:t>
            </w:r>
          </w:p>
          <w:p w14:paraId="03CA1BEF">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类别</w:t>
            </w:r>
          </w:p>
        </w:tc>
        <w:tc>
          <w:tcPr>
            <w:tcW w:w="1365" w:type="dxa"/>
            <w:noWrap w:val="0"/>
            <w:vAlign w:val="center"/>
          </w:tcPr>
          <w:p w14:paraId="3BC73885">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生产使用</w:t>
            </w:r>
          </w:p>
        </w:tc>
        <w:tc>
          <w:tcPr>
            <w:tcW w:w="1366" w:type="dxa"/>
            <w:noWrap w:val="0"/>
            <w:vAlign w:val="center"/>
          </w:tcPr>
          <w:p w14:paraId="2622328F">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储存</w:t>
            </w:r>
          </w:p>
        </w:tc>
        <w:tc>
          <w:tcPr>
            <w:tcW w:w="1365" w:type="dxa"/>
            <w:noWrap w:val="0"/>
            <w:vAlign w:val="center"/>
          </w:tcPr>
          <w:p w14:paraId="29F7BCE5">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运输</w:t>
            </w:r>
          </w:p>
        </w:tc>
        <w:tc>
          <w:tcPr>
            <w:tcW w:w="1366" w:type="dxa"/>
            <w:noWrap w:val="0"/>
            <w:vAlign w:val="center"/>
          </w:tcPr>
          <w:p w14:paraId="722EA194">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弃置</w:t>
            </w:r>
          </w:p>
        </w:tc>
        <w:tc>
          <w:tcPr>
            <w:tcW w:w="1362" w:type="dxa"/>
            <w:noWrap w:val="0"/>
            <w:vAlign w:val="center"/>
          </w:tcPr>
          <w:p w14:paraId="4F0C0D3F">
            <w:pPr>
              <w:pStyle w:val="219"/>
              <w:keepNext w:val="0"/>
              <w:keepLines w:val="0"/>
              <w:pageBreakBefore w:val="0"/>
              <w:widowControl/>
              <w:spacing w:after="0"/>
              <w:ind w:left="0" w:firstLine="0"/>
              <w:jc w:val="center"/>
              <w:rPr>
                <w:rFonts w:ascii="Times New Roman" w:hAnsi="Times New Roman" w:cs="Times New Roman"/>
                <w:b/>
                <w:bCs/>
                <w:sz w:val="21"/>
                <w:szCs w:val="21"/>
                <w:vertAlign w:val="baseline"/>
                <w:lang w:val="zh-CN" w:eastAsia="zh-CN" w:bidi="ar-SA"/>
              </w:rPr>
            </w:pPr>
            <w:r>
              <w:rPr>
                <w:rFonts w:ascii="Times New Roman" w:hAnsi="Times New Roman" w:cs="Times New Roman"/>
                <w:b/>
                <w:bCs/>
                <w:sz w:val="21"/>
                <w:szCs w:val="21"/>
                <w:vertAlign w:val="baseline"/>
                <w:lang w:val="zh-CN" w:eastAsia="zh-CN" w:bidi="ar-SA"/>
              </w:rPr>
              <w:t>合计</w:t>
            </w:r>
          </w:p>
        </w:tc>
      </w:tr>
      <w:tr w14:paraId="1770F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30" w:hRule="atLeast"/>
          <w:jc w:val="center"/>
        </w:trPr>
        <w:tc>
          <w:tcPr>
            <w:tcW w:w="2122" w:type="dxa"/>
            <w:noWrap w:val="0"/>
            <w:vAlign w:val="top"/>
          </w:tcPr>
          <w:p w14:paraId="0004B3E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事故次数</w:t>
            </w:r>
          </w:p>
        </w:tc>
        <w:tc>
          <w:tcPr>
            <w:tcW w:w="1365" w:type="dxa"/>
            <w:noWrap w:val="0"/>
            <w:vAlign w:val="top"/>
          </w:tcPr>
          <w:p w14:paraId="26641B3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6</w:t>
            </w:r>
          </w:p>
        </w:tc>
        <w:tc>
          <w:tcPr>
            <w:tcW w:w="1366" w:type="dxa"/>
            <w:noWrap w:val="0"/>
            <w:vAlign w:val="top"/>
          </w:tcPr>
          <w:p w14:paraId="1011EC0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w:t>
            </w:r>
          </w:p>
        </w:tc>
        <w:tc>
          <w:tcPr>
            <w:tcW w:w="1365" w:type="dxa"/>
            <w:noWrap w:val="0"/>
            <w:vAlign w:val="top"/>
          </w:tcPr>
          <w:p w14:paraId="4A97D289">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9</w:t>
            </w:r>
          </w:p>
        </w:tc>
        <w:tc>
          <w:tcPr>
            <w:tcW w:w="1366" w:type="dxa"/>
            <w:noWrap w:val="0"/>
            <w:vAlign w:val="top"/>
          </w:tcPr>
          <w:p w14:paraId="267C796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7</w:t>
            </w:r>
          </w:p>
        </w:tc>
        <w:tc>
          <w:tcPr>
            <w:tcW w:w="1362" w:type="dxa"/>
            <w:noWrap w:val="0"/>
            <w:vAlign w:val="top"/>
          </w:tcPr>
          <w:p w14:paraId="1974D87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22</w:t>
            </w:r>
          </w:p>
        </w:tc>
      </w:tr>
      <w:tr w14:paraId="0DE7F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29" w:hRule="atLeast"/>
          <w:jc w:val="center"/>
        </w:trPr>
        <w:tc>
          <w:tcPr>
            <w:tcW w:w="2122" w:type="dxa"/>
            <w:noWrap w:val="0"/>
            <w:vAlign w:val="top"/>
          </w:tcPr>
          <w:p w14:paraId="5B576335">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占百分比（%）</w:t>
            </w:r>
          </w:p>
        </w:tc>
        <w:tc>
          <w:tcPr>
            <w:tcW w:w="1365" w:type="dxa"/>
            <w:noWrap w:val="0"/>
            <w:vAlign w:val="top"/>
          </w:tcPr>
          <w:p w14:paraId="47587A71">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18.8</w:t>
            </w:r>
          </w:p>
        </w:tc>
        <w:tc>
          <w:tcPr>
            <w:tcW w:w="1366" w:type="dxa"/>
            <w:noWrap w:val="0"/>
            <w:vAlign w:val="top"/>
          </w:tcPr>
          <w:p w14:paraId="6BDBE26F">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31.3</w:t>
            </w:r>
          </w:p>
        </w:tc>
        <w:tc>
          <w:tcPr>
            <w:tcW w:w="1365" w:type="dxa"/>
            <w:noWrap w:val="0"/>
            <w:vAlign w:val="top"/>
          </w:tcPr>
          <w:p w14:paraId="1ABBA30D">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28.1</w:t>
            </w:r>
          </w:p>
        </w:tc>
        <w:tc>
          <w:tcPr>
            <w:tcW w:w="1366" w:type="dxa"/>
            <w:noWrap w:val="0"/>
            <w:vAlign w:val="top"/>
          </w:tcPr>
          <w:p w14:paraId="683474A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21.8</w:t>
            </w:r>
          </w:p>
        </w:tc>
        <w:tc>
          <w:tcPr>
            <w:tcW w:w="1362" w:type="dxa"/>
            <w:noWrap w:val="0"/>
            <w:vAlign w:val="top"/>
          </w:tcPr>
          <w:p w14:paraId="22D5F7F2">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100</w:t>
            </w:r>
          </w:p>
        </w:tc>
      </w:tr>
    </w:tbl>
    <w:p w14:paraId="63378150">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从各类发生的化工生产安全事故统计来看，造成事故的主要原因及其事故概率见下表</w:t>
      </w:r>
      <w:r>
        <w:rPr>
          <w:rFonts w:hint="eastAsia" w:ascii="Times New Roman" w:hAnsi="Times New Roman" w:cs="Times New Roman"/>
          <w:color w:val="000000"/>
          <w:sz w:val="24"/>
          <w:szCs w:val="24"/>
          <w:lang w:val="en-US" w:eastAsia="zh-CN" w:bidi="ar-SA"/>
        </w:rPr>
        <w:t>7.2</w:t>
      </w:r>
      <w:r>
        <w:rPr>
          <w:rFonts w:ascii="Times New Roman" w:hAnsi="Times New Roman" w:cs="Times New Roman"/>
          <w:color w:val="000000"/>
          <w:sz w:val="24"/>
          <w:szCs w:val="24"/>
          <w:lang w:val="zh-CN" w:eastAsia="zh-CN" w:bidi="ar-SA"/>
        </w:rPr>
        <w:t>-5。</w:t>
      </w:r>
    </w:p>
    <w:p w14:paraId="4CF2241C">
      <w:pPr>
        <w:widowControl w:val="0"/>
        <w:tabs>
          <w:tab w:val="left" w:pos="1442"/>
        </w:tabs>
        <w:spacing w:before="1" w:after="0"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ascii="Times New Roman" w:hAnsi="Times New Roman" w:eastAsia="宋体" w:cs="Times New Roman"/>
          <w:b/>
          <w:bCs/>
          <w:spacing w:val="-61"/>
          <w:sz w:val="24"/>
          <w:szCs w:val="24"/>
          <w:lang w:val="zh-CN" w:eastAsia="zh-CN" w:bidi="zh-CN"/>
        </w:rPr>
        <w:t xml:space="preserve"> </w:t>
      </w:r>
      <w:r>
        <w:rPr>
          <w:rFonts w:hint="eastAsia" w:ascii="Times New Roman" w:hAnsi="Times New Roman" w:eastAsia="宋体" w:cs="Times New Roman"/>
          <w:b/>
          <w:bCs/>
          <w:sz w:val="24"/>
          <w:szCs w:val="24"/>
          <w:lang w:val="en-US" w:eastAsia="zh-CN" w:bidi="zh-CN"/>
        </w:rPr>
        <w:t>7.2</w:t>
      </w:r>
      <w:r>
        <w:rPr>
          <w:rFonts w:ascii="Times New Roman" w:hAnsi="Times New Roman" w:eastAsia="宋体" w:cs="Times New Roman"/>
          <w:b/>
          <w:bCs/>
          <w:sz w:val="24"/>
          <w:szCs w:val="24"/>
          <w:lang w:val="zh-CN" w:eastAsia="zh-CN" w:bidi="zh-CN"/>
        </w:rPr>
        <w:t>-5</w:t>
      </w:r>
      <w:r>
        <w:rPr>
          <w:rFonts w:ascii="Times New Roman" w:hAnsi="Times New Roman" w:eastAsia="宋体" w:cs="Times New Roman"/>
          <w:b/>
          <w:bCs/>
          <w:sz w:val="24"/>
          <w:szCs w:val="24"/>
          <w:lang w:val="zh-CN" w:eastAsia="zh-CN" w:bidi="zh-CN"/>
        </w:rPr>
        <w:tab/>
      </w:r>
      <w:r>
        <w:rPr>
          <w:rFonts w:ascii="Times New Roman" w:hAnsi="Times New Roman" w:eastAsia="宋体" w:cs="Times New Roman"/>
          <w:b/>
          <w:bCs/>
          <w:sz w:val="24"/>
          <w:szCs w:val="24"/>
          <w:lang w:val="zh-CN" w:eastAsia="zh-CN" w:bidi="zh-CN"/>
        </w:rPr>
        <w:t>化工事故的主要原因及其事故概率</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27"/>
        <w:gridCol w:w="1605"/>
        <w:gridCol w:w="1703"/>
        <w:gridCol w:w="2397"/>
        <w:gridCol w:w="1417"/>
      </w:tblGrid>
      <w:tr w14:paraId="12B9B1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2" w:hRule="atLeast"/>
          <w:jc w:val="center"/>
        </w:trPr>
        <w:tc>
          <w:tcPr>
            <w:tcW w:w="1827" w:type="dxa"/>
            <w:noWrap w:val="0"/>
            <w:vAlign w:val="top"/>
          </w:tcPr>
          <w:p w14:paraId="2B1C78B4">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违反操作规程</w:t>
            </w:r>
          </w:p>
        </w:tc>
        <w:tc>
          <w:tcPr>
            <w:tcW w:w="1605" w:type="dxa"/>
            <w:noWrap w:val="0"/>
            <w:vAlign w:val="top"/>
          </w:tcPr>
          <w:p w14:paraId="28209F8C">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设备缺陷</w:t>
            </w:r>
          </w:p>
        </w:tc>
        <w:tc>
          <w:tcPr>
            <w:tcW w:w="1703" w:type="dxa"/>
            <w:noWrap w:val="0"/>
            <w:vAlign w:val="top"/>
          </w:tcPr>
          <w:p w14:paraId="24D69E66">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防护装置缺乏</w:t>
            </w:r>
          </w:p>
        </w:tc>
        <w:tc>
          <w:tcPr>
            <w:tcW w:w="2397" w:type="dxa"/>
            <w:noWrap w:val="0"/>
            <w:vAlign w:val="top"/>
          </w:tcPr>
          <w:p w14:paraId="749498E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个人防护用品缺乏</w:t>
            </w:r>
          </w:p>
        </w:tc>
        <w:tc>
          <w:tcPr>
            <w:tcW w:w="1417" w:type="dxa"/>
            <w:noWrap w:val="0"/>
            <w:vAlign w:val="top"/>
          </w:tcPr>
          <w:p w14:paraId="632B8D90">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其他</w:t>
            </w:r>
          </w:p>
        </w:tc>
      </w:tr>
      <w:tr w14:paraId="2CE7F6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9" w:hRule="atLeast"/>
          <w:jc w:val="center"/>
        </w:trPr>
        <w:tc>
          <w:tcPr>
            <w:tcW w:w="1827" w:type="dxa"/>
            <w:noWrap w:val="0"/>
            <w:vAlign w:val="top"/>
          </w:tcPr>
          <w:p w14:paraId="41372E3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45.9%</w:t>
            </w:r>
          </w:p>
        </w:tc>
        <w:tc>
          <w:tcPr>
            <w:tcW w:w="1605" w:type="dxa"/>
            <w:noWrap w:val="0"/>
            <w:vAlign w:val="top"/>
          </w:tcPr>
          <w:p w14:paraId="06B6130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8%</w:t>
            </w:r>
          </w:p>
        </w:tc>
        <w:tc>
          <w:tcPr>
            <w:tcW w:w="1703" w:type="dxa"/>
            <w:noWrap w:val="0"/>
            <w:vAlign w:val="top"/>
          </w:tcPr>
          <w:p w14:paraId="25E0FED7">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5.8%</w:t>
            </w:r>
          </w:p>
        </w:tc>
        <w:tc>
          <w:tcPr>
            <w:tcW w:w="2397" w:type="dxa"/>
            <w:noWrap w:val="0"/>
            <w:vAlign w:val="top"/>
          </w:tcPr>
          <w:p w14:paraId="0F9CA50B">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4.3%</w:t>
            </w:r>
          </w:p>
        </w:tc>
        <w:tc>
          <w:tcPr>
            <w:tcW w:w="1417" w:type="dxa"/>
            <w:noWrap w:val="0"/>
            <w:vAlign w:val="top"/>
          </w:tcPr>
          <w:p w14:paraId="33C88EAA">
            <w:pPr>
              <w:pStyle w:val="219"/>
              <w:keepNext w:val="0"/>
              <w:keepLines w:val="0"/>
              <w:pageBreakBefore w:val="0"/>
              <w:widowControl/>
              <w:spacing w:after="0"/>
              <w:ind w:left="0" w:firstLine="0"/>
              <w:jc w:val="center"/>
              <w:rPr>
                <w:rFonts w:ascii="Times New Roman" w:hAnsi="Times New Roman" w:cs="Times New Roman"/>
                <w:b w:val="0"/>
                <w:bCs w:val="0"/>
                <w:sz w:val="21"/>
                <w:szCs w:val="21"/>
                <w:vertAlign w:val="baseline"/>
                <w:lang w:val="zh-CN" w:eastAsia="zh-CN" w:bidi="ar-SA"/>
              </w:rPr>
            </w:pPr>
            <w:r>
              <w:rPr>
                <w:rFonts w:ascii="Times New Roman" w:hAnsi="Times New Roman" w:cs="Times New Roman"/>
                <w:b w:val="0"/>
                <w:bCs w:val="0"/>
                <w:sz w:val="21"/>
                <w:szCs w:val="21"/>
                <w:vertAlign w:val="baseline"/>
                <w:lang w:val="zh-CN" w:eastAsia="zh-CN" w:bidi="ar-SA"/>
              </w:rPr>
              <w:t>36%</w:t>
            </w:r>
          </w:p>
        </w:tc>
      </w:tr>
    </w:tbl>
    <w:p w14:paraId="3A117804">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hint="eastAsia"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1</w:t>
      </w:r>
      <w:r>
        <w:rPr>
          <w:rFonts w:hint="eastAsia" w:ascii="Times New Roman" w:hAnsi="Times New Roman" w:cs="Times New Roman"/>
          <w:color w:val="000000"/>
          <w:sz w:val="24"/>
          <w:szCs w:val="24"/>
          <w:lang w:val="zh-CN" w:eastAsia="zh-CN" w:bidi="ar-SA"/>
        </w:rPr>
        <w:t>）</w:t>
      </w:r>
      <w:r>
        <w:rPr>
          <w:rFonts w:ascii="Times New Roman" w:hAnsi="Times New Roman" w:cs="Times New Roman"/>
          <w:color w:val="000000"/>
          <w:sz w:val="24"/>
          <w:szCs w:val="24"/>
          <w:lang w:val="zh-CN" w:eastAsia="zh-CN" w:bidi="ar-SA"/>
        </w:rPr>
        <w:t>物质危险性识别</w:t>
      </w:r>
    </w:p>
    <w:p w14:paraId="0EB0EB3D">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物质危险性识别，包括主要原辅材料、中间产品、副产品、最终产品、污染物、火灾和爆炸伴生/次生物等。</w:t>
      </w:r>
    </w:p>
    <w:p w14:paraId="3B378892">
      <w:pPr>
        <w:pStyle w:val="219"/>
        <w:keepNext w:val="0"/>
        <w:keepLines w:val="0"/>
        <w:pageBreakBefore w:val="0"/>
        <w:widowControl/>
        <w:spacing w:after="0"/>
        <w:ind w:lef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项目原辅材料涉及的危险物质包括：甲醛（原辅材料）、苯酚（原辅材料）、甲酸（原辅材料）。危险物质的主要危险特性如下：</w:t>
      </w:r>
    </w:p>
    <w:p w14:paraId="1BBF1544">
      <w:pPr>
        <w:widowControl w:val="0"/>
        <w:spacing w:before="1" w:after="2" w:line="240" w:lineRule="auto"/>
        <w:ind w:left="283"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7.2</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6</w:t>
      </w:r>
      <w:r>
        <w:rPr>
          <w:rFonts w:ascii="Times New Roman" w:hAnsi="Times New Roman" w:eastAsia="宋体" w:cs="Times New Roman"/>
          <w:b/>
          <w:bCs/>
          <w:sz w:val="24"/>
          <w:szCs w:val="24"/>
          <w:lang w:val="zh-CN" w:eastAsia="zh-CN" w:bidi="zh-CN"/>
        </w:rPr>
        <w:t xml:space="preserve"> 甲醛理化性质及危险特性表</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8"/>
        <w:gridCol w:w="1673"/>
        <w:gridCol w:w="1556"/>
        <w:gridCol w:w="3731"/>
      </w:tblGrid>
      <w:tr w14:paraId="3B4D1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65478E24">
            <w:pPr>
              <w:pStyle w:val="255"/>
              <w:widowControl w:val="0"/>
              <w:jc w:val="center"/>
              <w:rPr>
                <w:sz w:val="21"/>
                <w:szCs w:val="21"/>
                <w:vertAlign w:val="baseline"/>
                <w:lang w:val="zh-CN" w:eastAsia="zh-CN"/>
              </w:rPr>
            </w:pPr>
            <w:r>
              <w:rPr>
                <w:sz w:val="21"/>
                <w:szCs w:val="21"/>
                <w:vertAlign w:val="baseline"/>
                <w:lang w:val="zh-CN" w:eastAsia="zh-CN"/>
              </w:rPr>
              <w:t>中文名称</w:t>
            </w:r>
          </w:p>
        </w:tc>
        <w:tc>
          <w:tcPr>
            <w:tcW w:w="1710" w:type="dxa"/>
            <w:noWrap w:val="0"/>
            <w:vAlign w:val="center"/>
          </w:tcPr>
          <w:p w14:paraId="7277DD92">
            <w:pPr>
              <w:pStyle w:val="255"/>
              <w:widowControl w:val="0"/>
              <w:jc w:val="center"/>
              <w:rPr>
                <w:sz w:val="21"/>
                <w:szCs w:val="21"/>
                <w:vertAlign w:val="baseline"/>
                <w:lang w:val="zh-CN" w:eastAsia="zh-CN"/>
              </w:rPr>
            </w:pPr>
            <w:r>
              <w:rPr>
                <w:sz w:val="21"/>
                <w:szCs w:val="21"/>
                <w:vertAlign w:val="baseline"/>
                <w:lang w:val="zh-CN" w:eastAsia="zh-CN"/>
              </w:rPr>
              <w:t>甲醛</w:t>
            </w:r>
          </w:p>
        </w:tc>
        <w:tc>
          <w:tcPr>
            <w:tcW w:w="1711" w:type="dxa"/>
            <w:noWrap w:val="0"/>
            <w:vAlign w:val="center"/>
          </w:tcPr>
          <w:p w14:paraId="300AE905">
            <w:pPr>
              <w:pStyle w:val="255"/>
              <w:widowControl w:val="0"/>
              <w:jc w:val="center"/>
              <w:rPr>
                <w:sz w:val="21"/>
                <w:szCs w:val="21"/>
                <w:vertAlign w:val="baseline"/>
                <w:lang w:val="zh-CN" w:eastAsia="zh-CN"/>
              </w:rPr>
            </w:pPr>
            <w:r>
              <w:rPr>
                <w:sz w:val="21"/>
                <w:szCs w:val="21"/>
                <w:vertAlign w:val="baseline"/>
                <w:lang w:val="zh-CN" w:eastAsia="zh-CN"/>
              </w:rPr>
              <w:t>英文名称</w:t>
            </w:r>
          </w:p>
        </w:tc>
        <w:tc>
          <w:tcPr>
            <w:tcW w:w="4140" w:type="dxa"/>
            <w:noWrap w:val="0"/>
            <w:vAlign w:val="center"/>
          </w:tcPr>
          <w:p w14:paraId="64B493A2">
            <w:pPr>
              <w:pStyle w:val="255"/>
              <w:widowControl w:val="0"/>
              <w:jc w:val="center"/>
              <w:rPr>
                <w:sz w:val="21"/>
                <w:szCs w:val="21"/>
                <w:vertAlign w:val="baseline"/>
                <w:lang w:val="zh-CN" w:eastAsia="zh-CN"/>
              </w:rPr>
            </w:pPr>
            <w:r>
              <w:rPr>
                <w:sz w:val="21"/>
                <w:szCs w:val="21"/>
                <w:vertAlign w:val="baseline"/>
                <w:lang w:val="zh-CN" w:eastAsia="zh-CN"/>
              </w:rPr>
              <w:t>Formaldehyde</w:t>
            </w:r>
          </w:p>
        </w:tc>
      </w:tr>
      <w:tr w14:paraId="3B5FC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085300FB">
            <w:pPr>
              <w:pStyle w:val="255"/>
              <w:widowControl w:val="0"/>
              <w:jc w:val="center"/>
              <w:rPr>
                <w:sz w:val="21"/>
                <w:szCs w:val="21"/>
                <w:vertAlign w:val="baseline"/>
                <w:lang w:val="zh-CN" w:eastAsia="zh-CN"/>
              </w:rPr>
            </w:pPr>
            <w:r>
              <w:rPr>
                <w:sz w:val="21"/>
                <w:szCs w:val="21"/>
                <w:vertAlign w:val="baseline"/>
                <w:lang w:val="zh-CN" w:eastAsia="zh-CN"/>
              </w:rPr>
              <w:t>CAS 号</w:t>
            </w:r>
          </w:p>
        </w:tc>
        <w:tc>
          <w:tcPr>
            <w:tcW w:w="1710" w:type="dxa"/>
            <w:noWrap w:val="0"/>
            <w:vAlign w:val="center"/>
          </w:tcPr>
          <w:p w14:paraId="55B117C6">
            <w:pPr>
              <w:pStyle w:val="255"/>
              <w:widowControl w:val="0"/>
              <w:jc w:val="center"/>
              <w:rPr>
                <w:sz w:val="21"/>
                <w:szCs w:val="21"/>
                <w:vertAlign w:val="baseline"/>
                <w:lang w:val="zh-CN" w:eastAsia="zh-CN"/>
              </w:rPr>
            </w:pPr>
            <w:r>
              <w:rPr>
                <w:sz w:val="21"/>
                <w:szCs w:val="21"/>
                <w:vertAlign w:val="baseline"/>
                <w:lang w:val="zh-CN" w:eastAsia="zh-CN"/>
              </w:rPr>
              <w:t>50-00-0</w:t>
            </w:r>
          </w:p>
        </w:tc>
        <w:tc>
          <w:tcPr>
            <w:tcW w:w="1711" w:type="dxa"/>
            <w:noWrap w:val="0"/>
            <w:vAlign w:val="center"/>
          </w:tcPr>
          <w:p w14:paraId="1476170B">
            <w:pPr>
              <w:pStyle w:val="255"/>
              <w:widowControl w:val="0"/>
              <w:jc w:val="center"/>
              <w:rPr>
                <w:sz w:val="21"/>
                <w:szCs w:val="21"/>
                <w:vertAlign w:val="baseline"/>
                <w:lang w:val="zh-CN" w:eastAsia="zh-CN"/>
              </w:rPr>
            </w:pPr>
            <w:r>
              <w:rPr>
                <w:sz w:val="21"/>
                <w:szCs w:val="21"/>
                <w:vertAlign w:val="baseline"/>
                <w:lang w:val="zh-CN" w:eastAsia="zh-CN"/>
              </w:rPr>
              <w:t>分子式</w:t>
            </w:r>
          </w:p>
        </w:tc>
        <w:tc>
          <w:tcPr>
            <w:tcW w:w="4140" w:type="dxa"/>
            <w:noWrap w:val="0"/>
            <w:vAlign w:val="center"/>
          </w:tcPr>
          <w:p w14:paraId="23239690">
            <w:pPr>
              <w:pStyle w:val="255"/>
              <w:widowControl w:val="0"/>
              <w:jc w:val="center"/>
              <w:rPr>
                <w:sz w:val="21"/>
                <w:szCs w:val="21"/>
                <w:vertAlign w:val="baseline"/>
                <w:lang w:val="zh-CN" w:eastAsia="zh-CN"/>
              </w:rPr>
            </w:pPr>
            <w:r>
              <w:rPr>
                <w:sz w:val="21"/>
                <w:szCs w:val="21"/>
                <w:vertAlign w:val="baseline"/>
                <w:lang w:val="zh-CN" w:eastAsia="zh-CN"/>
              </w:rPr>
              <w:t>CH</w:t>
            </w:r>
            <w:r>
              <w:rPr>
                <w:sz w:val="21"/>
                <w:szCs w:val="21"/>
                <w:vertAlign w:val="subscript"/>
                <w:lang w:val="zh-CN" w:eastAsia="zh-CN"/>
              </w:rPr>
              <w:t>2</w:t>
            </w:r>
            <w:r>
              <w:rPr>
                <w:sz w:val="21"/>
                <w:szCs w:val="21"/>
                <w:vertAlign w:val="baseline"/>
                <w:lang w:val="zh-CN" w:eastAsia="zh-CN"/>
              </w:rPr>
              <w:t>O；HCHO</w:t>
            </w:r>
          </w:p>
        </w:tc>
      </w:tr>
      <w:tr w14:paraId="055DF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568C81E9">
            <w:pPr>
              <w:pStyle w:val="255"/>
              <w:widowControl w:val="0"/>
              <w:jc w:val="center"/>
              <w:rPr>
                <w:sz w:val="21"/>
                <w:szCs w:val="21"/>
                <w:vertAlign w:val="baseline"/>
                <w:lang w:val="zh-CN" w:eastAsia="zh-CN"/>
              </w:rPr>
            </w:pPr>
            <w:r>
              <w:rPr>
                <w:sz w:val="21"/>
                <w:szCs w:val="21"/>
                <w:vertAlign w:val="baseline"/>
                <w:lang w:val="zh-CN" w:eastAsia="zh-CN"/>
              </w:rPr>
              <w:t>分子量</w:t>
            </w:r>
          </w:p>
        </w:tc>
        <w:tc>
          <w:tcPr>
            <w:tcW w:w="1710" w:type="dxa"/>
            <w:noWrap w:val="0"/>
            <w:vAlign w:val="center"/>
          </w:tcPr>
          <w:p w14:paraId="6D1ED46F">
            <w:pPr>
              <w:pStyle w:val="255"/>
              <w:widowControl w:val="0"/>
              <w:jc w:val="center"/>
              <w:rPr>
                <w:sz w:val="21"/>
                <w:szCs w:val="21"/>
                <w:vertAlign w:val="baseline"/>
                <w:lang w:val="zh-CN" w:eastAsia="zh-CN"/>
              </w:rPr>
            </w:pPr>
            <w:r>
              <w:rPr>
                <w:sz w:val="21"/>
                <w:szCs w:val="21"/>
                <w:vertAlign w:val="baseline"/>
                <w:lang w:val="zh-CN" w:eastAsia="zh-CN"/>
              </w:rPr>
              <w:t>30.03</w:t>
            </w:r>
          </w:p>
        </w:tc>
        <w:tc>
          <w:tcPr>
            <w:tcW w:w="1711" w:type="dxa"/>
            <w:noWrap w:val="0"/>
            <w:vAlign w:val="center"/>
          </w:tcPr>
          <w:p w14:paraId="2550C80B">
            <w:pPr>
              <w:pStyle w:val="255"/>
              <w:widowControl w:val="0"/>
              <w:jc w:val="center"/>
              <w:rPr>
                <w:sz w:val="21"/>
                <w:szCs w:val="21"/>
                <w:vertAlign w:val="baseline"/>
                <w:lang w:val="zh-CN" w:eastAsia="zh-CN"/>
              </w:rPr>
            </w:pPr>
            <w:r>
              <w:rPr>
                <w:sz w:val="21"/>
                <w:szCs w:val="21"/>
                <w:vertAlign w:val="baseline"/>
                <w:lang w:val="zh-CN" w:eastAsia="zh-CN"/>
              </w:rPr>
              <w:t>外观与形状</w:t>
            </w:r>
          </w:p>
        </w:tc>
        <w:tc>
          <w:tcPr>
            <w:tcW w:w="4140" w:type="dxa"/>
            <w:noWrap w:val="0"/>
            <w:vAlign w:val="center"/>
          </w:tcPr>
          <w:p w14:paraId="3BD4F222">
            <w:pPr>
              <w:pStyle w:val="255"/>
              <w:widowControl w:val="0"/>
              <w:jc w:val="center"/>
              <w:rPr>
                <w:sz w:val="21"/>
                <w:szCs w:val="21"/>
                <w:vertAlign w:val="baseline"/>
                <w:lang w:val="zh-CN" w:eastAsia="zh-CN"/>
              </w:rPr>
            </w:pPr>
            <w:r>
              <w:rPr>
                <w:sz w:val="21"/>
                <w:szCs w:val="21"/>
                <w:vertAlign w:val="baseline"/>
                <w:lang w:val="zh-CN" w:eastAsia="zh-CN"/>
              </w:rPr>
              <w:t>无色，具有刺激性和窒息性的气体，商品为其水溶液</w:t>
            </w:r>
          </w:p>
        </w:tc>
      </w:tr>
      <w:tr w14:paraId="7A11E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48DD39F5">
            <w:pPr>
              <w:pStyle w:val="255"/>
              <w:widowControl w:val="0"/>
              <w:jc w:val="center"/>
              <w:rPr>
                <w:sz w:val="21"/>
                <w:szCs w:val="21"/>
                <w:vertAlign w:val="baseline"/>
                <w:lang w:val="zh-CN" w:eastAsia="zh-CN"/>
              </w:rPr>
            </w:pPr>
            <w:r>
              <w:rPr>
                <w:sz w:val="21"/>
                <w:szCs w:val="21"/>
                <w:vertAlign w:val="baseline"/>
                <w:lang w:val="zh-CN" w:eastAsia="zh-CN"/>
              </w:rPr>
              <w:t>熔点</w:t>
            </w:r>
          </w:p>
        </w:tc>
        <w:tc>
          <w:tcPr>
            <w:tcW w:w="1710" w:type="dxa"/>
            <w:noWrap w:val="0"/>
            <w:vAlign w:val="center"/>
          </w:tcPr>
          <w:p w14:paraId="1D5B4EEB">
            <w:pPr>
              <w:pStyle w:val="255"/>
              <w:widowControl w:val="0"/>
              <w:jc w:val="center"/>
              <w:rPr>
                <w:sz w:val="21"/>
                <w:szCs w:val="21"/>
                <w:vertAlign w:val="baseline"/>
                <w:lang w:val="zh-CN" w:eastAsia="zh-CN"/>
              </w:rPr>
            </w:pPr>
            <w:r>
              <w:rPr>
                <w:sz w:val="21"/>
                <w:szCs w:val="21"/>
                <w:vertAlign w:val="baseline"/>
                <w:lang w:val="zh-CN" w:eastAsia="zh-CN"/>
              </w:rPr>
              <w:t>-92℃</w:t>
            </w:r>
          </w:p>
        </w:tc>
        <w:tc>
          <w:tcPr>
            <w:tcW w:w="1711" w:type="dxa"/>
            <w:noWrap w:val="0"/>
            <w:vAlign w:val="center"/>
          </w:tcPr>
          <w:p w14:paraId="4C1AC3C2">
            <w:pPr>
              <w:pStyle w:val="255"/>
              <w:widowControl w:val="0"/>
              <w:jc w:val="center"/>
              <w:rPr>
                <w:sz w:val="21"/>
                <w:szCs w:val="21"/>
                <w:vertAlign w:val="baseline"/>
                <w:lang w:val="zh-CN" w:eastAsia="zh-CN"/>
              </w:rPr>
            </w:pPr>
            <w:r>
              <w:rPr>
                <w:sz w:val="21"/>
                <w:szCs w:val="21"/>
                <w:vertAlign w:val="baseline"/>
                <w:lang w:val="zh-CN" w:eastAsia="zh-CN"/>
              </w:rPr>
              <w:t>沸点</w:t>
            </w:r>
          </w:p>
        </w:tc>
        <w:tc>
          <w:tcPr>
            <w:tcW w:w="4140" w:type="dxa"/>
            <w:noWrap w:val="0"/>
            <w:vAlign w:val="center"/>
          </w:tcPr>
          <w:p w14:paraId="3C57F406">
            <w:pPr>
              <w:pStyle w:val="255"/>
              <w:widowControl w:val="0"/>
              <w:jc w:val="center"/>
              <w:rPr>
                <w:sz w:val="21"/>
                <w:szCs w:val="21"/>
                <w:vertAlign w:val="baseline"/>
                <w:lang w:val="zh-CN" w:eastAsia="zh-CN"/>
              </w:rPr>
            </w:pPr>
            <w:r>
              <w:rPr>
                <w:sz w:val="21"/>
                <w:szCs w:val="21"/>
                <w:vertAlign w:val="baseline"/>
                <w:lang w:val="zh-CN" w:eastAsia="zh-CN"/>
              </w:rPr>
              <w:t>-19.4℃</w:t>
            </w:r>
          </w:p>
        </w:tc>
      </w:tr>
      <w:tr w14:paraId="29740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76E1F055">
            <w:pPr>
              <w:pStyle w:val="255"/>
              <w:widowControl w:val="0"/>
              <w:jc w:val="center"/>
              <w:rPr>
                <w:sz w:val="21"/>
                <w:szCs w:val="21"/>
                <w:vertAlign w:val="baseline"/>
                <w:lang w:val="zh-CN" w:eastAsia="zh-CN"/>
              </w:rPr>
            </w:pPr>
            <w:r>
              <w:rPr>
                <w:sz w:val="21"/>
                <w:szCs w:val="21"/>
                <w:vertAlign w:val="baseline"/>
                <w:lang w:val="zh-CN" w:eastAsia="zh-CN"/>
              </w:rPr>
              <w:t>闪点</w:t>
            </w:r>
          </w:p>
        </w:tc>
        <w:tc>
          <w:tcPr>
            <w:tcW w:w="1710" w:type="dxa"/>
            <w:noWrap w:val="0"/>
            <w:vAlign w:val="center"/>
          </w:tcPr>
          <w:p w14:paraId="411011D3">
            <w:pPr>
              <w:pStyle w:val="255"/>
              <w:widowControl w:val="0"/>
              <w:jc w:val="center"/>
              <w:rPr>
                <w:sz w:val="21"/>
                <w:szCs w:val="21"/>
                <w:vertAlign w:val="baseline"/>
                <w:lang w:val="zh-CN" w:eastAsia="zh-CN"/>
              </w:rPr>
            </w:pPr>
            <w:r>
              <w:rPr>
                <w:sz w:val="21"/>
                <w:szCs w:val="21"/>
                <w:vertAlign w:val="baseline"/>
                <w:lang w:val="zh-CN" w:eastAsia="zh-CN"/>
              </w:rPr>
              <w:t>50℃/37%</w:t>
            </w:r>
          </w:p>
        </w:tc>
        <w:tc>
          <w:tcPr>
            <w:tcW w:w="1711" w:type="dxa"/>
            <w:noWrap w:val="0"/>
            <w:vAlign w:val="center"/>
          </w:tcPr>
          <w:p w14:paraId="7772F6B3">
            <w:pPr>
              <w:pStyle w:val="255"/>
              <w:widowControl w:val="0"/>
              <w:jc w:val="center"/>
              <w:rPr>
                <w:sz w:val="21"/>
                <w:szCs w:val="21"/>
                <w:vertAlign w:val="baseline"/>
                <w:lang w:val="zh-CN" w:eastAsia="zh-CN"/>
              </w:rPr>
            </w:pPr>
            <w:r>
              <w:rPr>
                <w:sz w:val="21"/>
                <w:szCs w:val="21"/>
                <w:vertAlign w:val="baseline"/>
                <w:lang w:val="zh-CN" w:eastAsia="zh-CN"/>
              </w:rPr>
              <w:t>溶解性</w:t>
            </w:r>
          </w:p>
        </w:tc>
        <w:tc>
          <w:tcPr>
            <w:tcW w:w="4140" w:type="dxa"/>
            <w:noWrap w:val="0"/>
            <w:vAlign w:val="center"/>
          </w:tcPr>
          <w:p w14:paraId="49EE64EF">
            <w:pPr>
              <w:pStyle w:val="255"/>
              <w:widowControl w:val="0"/>
              <w:jc w:val="center"/>
              <w:rPr>
                <w:sz w:val="21"/>
                <w:szCs w:val="21"/>
                <w:vertAlign w:val="baseline"/>
                <w:lang w:val="zh-CN" w:eastAsia="zh-CN"/>
              </w:rPr>
            </w:pPr>
            <w:r>
              <w:rPr>
                <w:sz w:val="21"/>
                <w:szCs w:val="21"/>
                <w:vertAlign w:val="baseline"/>
                <w:lang w:val="zh-CN" w:eastAsia="zh-CN"/>
              </w:rPr>
              <w:t>易溶于水，溶于乙醇等多数有机溶剂</w:t>
            </w:r>
          </w:p>
        </w:tc>
      </w:tr>
      <w:tr w14:paraId="4710C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1682" w:type="dxa"/>
            <w:noWrap w:val="0"/>
            <w:vAlign w:val="center"/>
          </w:tcPr>
          <w:p w14:paraId="6DBB8419">
            <w:pPr>
              <w:pStyle w:val="255"/>
              <w:widowControl w:val="0"/>
              <w:jc w:val="center"/>
              <w:rPr>
                <w:sz w:val="21"/>
                <w:szCs w:val="21"/>
                <w:vertAlign w:val="baseline"/>
                <w:lang w:val="zh-CN" w:eastAsia="zh-CN"/>
              </w:rPr>
            </w:pPr>
            <w:r>
              <w:rPr>
                <w:sz w:val="21"/>
                <w:szCs w:val="21"/>
                <w:vertAlign w:val="baseline"/>
                <w:lang w:val="zh-CN" w:eastAsia="zh-CN"/>
              </w:rPr>
              <w:t>密度</w:t>
            </w:r>
          </w:p>
        </w:tc>
        <w:tc>
          <w:tcPr>
            <w:tcW w:w="1710" w:type="dxa"/>
            <w:noWrap w:val="0"/>
            <w:vAlign w:val="center"/>
          </w:tcPr>
          <w:p w14:paraId="0A8DF312">
            <w:pPr>
              <w:pStyle w:val="255"/>
              <w:widowControl w:val="0"/>
              <w:jc w:val="center"/>
              <w:rPr>
                <w:sz w:val="21"/>
                <w:szCs w:val="21"/>
                <w:vertAlign w:val="baseline"/>
                <w:lang w:val="zh-CN" w:eastAsia="zh-CN"/>
              </w:rPr>
            </w:pPr>
            <w:r>
              <w:rPr>
                <w:sz w:val="21"/>
                <w:szCs w:val="21"/>
                <w:vertAlign w:val="baseline"/>
                <w:lang w:val="zh-CN" w:eastAsia="zh-CN"/>
              </w:rPr>
              <w:t>相对密度(水=1)0.82</w:t>
            </w:r>
          </w:p>
        </w:tc>
        <w:tc>
          <w:tcPr>
            <w:tcW w:w="1711" w:type="dxa"/>
            <w:noWrap w:val="0"/>
            <w:vAlign w:val="center"/>
          </w:tcPr>
          <w:p w14:paraId="1686A90F">
            <w:pPr>
              <w:pStyle w:val="255"/>
              <w:widowControl w:val="0"/>
              <w:jc w:val="center"/>
              <w:rPr>
                <w:sz w:val="21"/>
                <w:szCs w:val="21"/>
                <w:vertAlign w:val="baseline"/>
                <w:lang w:val="zh-CN" w:eastAsia="zh-CN"/>
              </w:rPr>
            </w:pPr>
            <w:r>
              <w:rPr>
                <w:sz w:val="21"/>
                <w:szCs w:val="21"/>
                <w:vertAlign w:val="baseline"/>
                <w:lang w:val="zh-CN" w:eastAsia="zh-CN"/>
              </w:rPr>
              <w:t>稳定性</w:t>
            </w:r>
          </w:p>
        </w:tc>
        <w:tc>
          <w:tcPr>
            <w:tcW w:w="4140" w:type="dxa"/>
            <w:noWrap w:val="0"/>
            <w:vAlign w:val="center"/>
          </w:tcPr>
          <w:p w14:paraId="0188B694">
            <w:pPr>
              <w:pStyle w:val="255"/>
              <w:widowControl w:val="0"/>
              <w:jc w:val="center"/>
              <w:rPr>
                <w:sz w:val="21"/>
                <w:szCs w:val="21"/>
                <w:vertAlign w:val="baseline"/>
                <w:lang w:val="zh-CN" w:eastAsia="zh-CN"/>
              </w:rPr>
            </w:pPr>
            <w:r>
              <w:rPr>
                <w:sz w:val="21"/>
                <w:szCs w:val="21"/>
                <w:vertAlign w:val="baseline"/>
                <w:lang w:val="zh-CN" w:eastAsia="zh-CN"/>
              </w:rPr>
              <w:t>稳定</w:t>
            </w:r>
          </w:p>
        </w:tc>
      </w:tr>
      <w:tr w14:paraId="376AD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0F17BF90">
            <w:pPr>
              <w:pStyle w:val="255"/>
              <w:widowControl w:val="0"/>
              <w:jc w:val="center"/>
              <w:rPr>
                <w:sz w:val="21"/>
                <w:szCs w:val="21"/>
                <w:vertAlign w:val="baseline"/>
                <w:lang w:val="zh-CN" w:eastAsia="zh-CN"/>
              </w:rPr>
            </w:pPr>
            <w:r>
              <w:rPr>
                <w:sz w:val="21"/>
                <w:szCs w:val="21"/>
                <w:vertAlign w:val="baseline"/>
                <w:lang w:val="zh-CN" w:eastAsia="zh-CN"/>
              </w:rPr>
              <w:t>危险标记</w:t>
            </w:r>
          </w:p>
        </w:tc>
        <w:tc>
          <w:tcPr>
            <w:tcW w:w="1710" w:type="dxa"/>
            <w:noWrap w:val="0"/>
            <w:vAlign w:val="center"/>
          </w:tcPr>
          <w:p w14:paraId="6E624F8E">
            <w:pPr>
              <w:pStyle w:val="255"/>
              <w:widowControl w:val="0"/>
              <w:jc w:val="center"/>
              <w:rPr>
                <w:sz w:val="21"/>
                <w:szCs w:val="21"/>
                <w:vertAlign w:val="baseline"/>
                <w:lang w:val="zh-CN" w:eastAsia="zh-CN"/>
              </w:rPr>
            </w:pPr>
            <w:r>
              <w:rPr>
                <w:sz w:val="21"/>
                <w:szCs w:val="21"/>
                <w:vertAlign w:val="baseline"/>
                <w:lang w:val="zh-CN" w:eastAsia="zh-CN"/>
              </w:rPr>
              <w:t>20(腐蚀品)</w:t>
            </w:r>
          </w:p>
        </w:tc>
        <w:tc>
          <w:tcPr>
            <w:tcW w:w="1711" w:type="dxa"/>
            <w:noWrap w:val="0"/>
            <w:vAlign w:val="center"/>
          </w:tcPr>
          <w:p w14:paraId="58480B4D">
            <w:pPr>
              <w:pStyle w:val="255"/>
              <w:widowControl w:val="0"/>
              <w:jc w:val="center"/>
              <w:rPr>
                <w:sz w:val="21"/>
                <w:szCs w:val="21"/>
                <w:vertAlign w:val="baseline"/>
                <w:lang w:val="zh-CN" w:eastAsia="zh-CN"/>
              </w:rPr>
            </w:pPr>
            <w:r>
              <w:rPr>
                <w:sz w:val="21"/>
                <w:szCs w:val="21"/>
                <w:vertAlign w:val="baseline"/>
                <w:lang w:val="zh-CN" w:eastAsia="zh-CN"/>
              </w:rPr>
              <w:t>主要用途</w:t>
            </w:r>
          </w:p>
        </w:tc>
        <w:tc>
          <w:tcPr>
            <w:tcW w:w="4140" w:type="dxa"/>
            <w:noWrap w:val="0"/>
            <w:vAlign w:val="center"/>
          </w:tcPr>
          <w:p w14:paraId="64F985D0">
            <w:pPr>
              <w:pStyle w:val="255"/>
              <w:widowControl w:val="0"/>
              <w:jc w:val="center"/>
              <w:rPr>
                <w:sz w:val="21"/>
                <w:szCs w:val="21"/>
                <w:vertAlign w:val="baseline"/>
                <w:lang w:val="zh-CN" w:eastAsia="zh-CN"/>
              </w:rPr>
            </w:pPr>
            <w:r>
              <w:rPr>
                <w:sz w:val="21"/>
                <w:szCs w:val="21"/>
                <w:vertAlign w:val="baseline"/>
                <w:lang w:val="zh-CN" w:eastAsia="zh-CN"/>
              </w:rPr>
              <w:t>是一种重要的有机原料，也是炸药、染料、医药、农药的原料，也作杀菌剂、消毒剂等</w:t>
            </w:r>
          </w:p>
        </w:tc>
      </w:tr>
      <w:tr w14:paraId="483B6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682" w:type="dxa"/>
            <w:noWrap w:val="0"/>
            <w:vAlign w:val="top"/>
          </w:tcPr>
          <w:p w14:paraId="73C77BF4">
            <w:pPr>
              <w:pStyle w:val="255"/>
              <w:widowControl w:val="0"/>
              <w:jc w:val="center"/>
              <w:rPr>
                <w:sz w:val="21"/>
                <w:szCs w:val="21"/>
                <w:vertAlign w:val="baseline"/>
                <w:lang w:val="zh-CN" w:eastAsia="zh-CN"/>
              </w:rPr>
            </w:pPr>
            <w:r>
              <w:rPr>
                <w:sz w:val="21"/>
                <w:szCs w:val="21"/>
                <w:vertAlign w:val="baseline"/>
                <w:lang w:val="zh-CN" w:eastAsia="zh-CN"/>
              </w:rPr>
              <w:t>侵入途径</w:t>
            </w:r>
          </w:p>
          <w:p w14:paraId="2C3308FB">
            <w:pPr>
              <w:pStyle w:val="255"/>
              <w:widowControl w:val="0"/>
              <w:jc w:val="center"/>
              <w:rPr>
                <w:sz w:val="21"/>
                <w:szCs w:val="21"/>
                <w:vertAlign w:val="baseline"/>
                <w:lang w:val="zh-CN" w:eastAsia="zh-CN"/>
              </w:rPr>
            </w:pPr>
          </w:p>
          <w:p w14:paraId="02BD314E">
            <w:pPr>
              <w:pStyle w:val="255"/>
              <w:widowControl w:val="0"/>
              <w:jc w:val="center"/>
              <w:rPr>
                <w:sz w:val="21"/>
                <w:szCs w:val="21"/>
                <w:vertAlign w:val="baseline"/>
                <w:lang w:val="zh-CN" w:eastAsia="zh-CN"/>
              </w:rPr>
            </w:pPr>
          </w:p>
          <w:p w14:paraId="1EE70BF9">
            <w:pPr>
              <w:pStyle w:val="255"/>
              <w:widowControl w:val="0"/>
              <w:jc w:val="center"/>
              <w:rPr>
                <w:sz w:val="21"/>
                <w:szCs w:val="21"/>
                <w:vertAlign w:val="baseline"/>
                <w:lang w:val="zh-CN" w:eastAsia="zh-CN"/>
              </w:rPr>
            </w:pPr>
          </w:p>
          <w:p w14:paraId="5E66F8EA">
            <w:pPr>
              <w:pStyle w:val="255"/>
              <w:widowControl w:val="0"/>
              <w:jc w:val="center"/>
              <w:rPr>
                <w:sz w:val="21"/>
                <w:szCs w:val="21"/>
                <w:vertAlign w:val="baseline"/>
                <w:lang w:val="zh-CN" w:eastAsia="zh-CN"/>
              </w:rPr>
            </w:pPr>
          </w:p>
          <w:p w14:paraId="58EC9DE3">
            <w:pPr>
              <w:pStyle w:val="255"/>
              <w:widowControl w:val="0"/>
              <w:jc w:val="center"/>
              <w:rPr>
                <w:sz w:val="21"/>
                <w:szCs w:val="21"/>
                <w:vertAlign w:val="baseline"/>
                <w:lang w:val="zh-CN" w:eastAsia="zh-CN"/>
              </w:rPr>
            </w:pPr>
            <w:r>
              <w:rPr>
                <w:sz w:val="21"/>
                <w:szCs w:val="21"/>
                <w:vertAlign w:val="baseline"/>
                <w:lang w:val="zh-CN" w:eastAsia="zh-CN"/>
              </w:rPr>
              <w:t>健康危害</w:t>
            </w:r>
          </w:p>
        </w:tc>
        <w:tc>
          <w:tcPr>
            <w:tcW w:w="7561" w:type="dxa"/>
            <w:gridSpan w:val="3"/>
            <w:noWrap w:val="0"/>
            <w:vAlign w:val="top"/>
          </w:tcPr>
          <w:p w14:paraId="00E63DE7">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吸入、食入、经皮吸收。</w:t>
            </w:r>
          </w:p>
          <w:p w14:paraId="0C85436D">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健康危害：本品对粘膜、上呼吸道、眼睛和皮肤有强烈刺激性。接触其蒸气，引起结膜  炎、角膜炎、鼻炎、支气管炎；重者发生喉痉挛、声门水肿和肺炎等。对皮肤有原发性刺激   和致敏作用；浓溶液可引起皮肤凝固性坏死。口服灼伤口腔和消化道，可致死。</w:t>
            </w:r>
          </w:p>
          <w:p w14:paraId="5BA8665C">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慢性影响：长期低浓度接触甲醛蒸气，可出现头痛、头晕、乏力、两侧不对称感觉障碍  和排汗过盛以及视力障碍。本品能抑制汗腺分泌，长期接触可致皮肤干燥皲裂。</w:t>
            </w:r>
          </w:p>
          <w:p w14:paraId="33A5BC4D">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甲醛是一种具强还原性的原生质毒素，进入人体器官后，能与蛋白质中的氨基结合生成所谓甲酰化蛋白而残留在体内，其反应速度受pH     值温度的显著影响。进入人体的甲醛亦可能转化成甲酸强烈地刺激粘膜，并逐渐排出体外。</w:t>
            </w:r>
          </w:p>
        </w:tc>
      </w:tr>
      <w:tr w14:paraId="744B5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top"/>
          </w:tcPr>
          <w:p w14:paraId="4869E19F">
            <w:pPr>
              <w:pStyle w:val="255"/>
              <w:widowControl w:val="0"/>
              <w:jc w:val="center"/>
              <w:rPr>
                <w:sz w:val="21"/>
                <w:szCs w:val="21"/>
                <w:vertAlign w:val="baseline"/>
                <w:lang w:val="zh-CN" w:eastAsia="zh-CN"/>
              </w:rPr>
            </w:pPr>
          </w:p>
          <w:p w14:paraId="285CC390">
            <w:pPr>
              <w:pStyle w:val="255"/>
              <w:widowControl w:val="0"/>
              <w:jc w:val="center"/>
              <w:rPr>
                <w:sz w:val="21"/>
                <w:szCs w:val="21"/>
                <w:vertAlign w:val="baseline"/>
                <w:lang w:val="zh-CN" w:eastAsia="zh-CN"/>
              </w:rPr>
            </w:pPr>
          </w:p>
          <w:p w14:paraId="51D9A035">
            <w:pPr>
              <w:pStyle w:val="255"/>
              <w:widowControl w:val="0"/>
              <w:jc w:val="center"/>
              <w:rPr>
                <w:sz w:val="21"/>
                <w:szCs w:val="21"/>
                <w:vertAlign w:val="baseline"/>
                <w:lang w:val="zh-CN" w:eastAsia="zh-CN"/>
              </w:rPr>
            </w:pPr>
          </w:p>
          <w:p w14:paraId="5878FF28">
            <w:pPr>
              <w:pStyle w:val="255"/>
              <w:widowControl w:val="0"/>
              <w:jc w:val="center"/>
              <w:rPr>
                <w:sz w:val="21"/>
                <w:szCs w:val="21"/>
                <w:vertAlign w:val="baseline"/>
                <w:lang w:val="zh-CN" w:eastAsia="zh-CN"/>
              </w:rPr>
            </w:pPr>
          </w:p>
          <w:p w14:paraId="59A4725B">
            <w:pPr>
              <w:pStyle w:val="255"/>
              <w:widowControl w:val="0"/>
              <w:jc w:val="center"/>
              <w:rPr>
                <w:sz w:val="21"/>
                <w:szCs w:val="21"/>
                <w:vertAlign w:val="baseline"/>
                <w:lang w:val="zh-CN" w:eastAsia="zh-CN"/>
              </w:rPr>
            </w:pPr>
            <w:r>
              <w:rPr>
                <w:sz w:val="21"/>
                <w:szCs w:val="21"/>
                <w:vertAlign w:val="baseline"/>
                <w:lang w:val="zh-CN" w:eastAsia="zh-CN"/>
              </w:rPr>
              <w:t>毒理学资料及环境行为</w:t>
            </w:r>
          </w:p>
        </w:tc>
        <w:tc>
          <w:tcPr>
            <w:tcW w:w="7561" w:type="dxa"/>
            <w:gridSpan w:val="3"/>
            <w:noWrap w:val="0"/>
            <w:vAlign w:val="top"/>
          </w:tcPr>
          <w:p w14:paraId="6784B1A8">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急性毒性：LD50800mg/kg(大鼠经口)，2700mg/kg(兔经皮)；LC50590mg/m</w:t>
            </w:r>
            <w:r>
              <w:rPr>
                <w:sz w:val="21"/>
                <w:szCs w:val="21"/>
                <w:vertAlign w:val="superscript"/>
                <w:lang w:val="zh-CN" w:eastAsia="zh-CN"/>
              </w:rPr>
              <w:t>3</w:t>
            </w:r>
            <w:r>
              <w:rPr>
                <w:sz w:val="21"/>
                <w:szCs w:val="21"/>
                <w:vertAlign w:val="baseline"/>
                <w:lang w:val="zh-CN" w:eastAsia="zh-CN"/>
              </w:rPr>
              <w:t>(大鼠吸入)； 人吸入60～120mg/m</w:t>
            </w:r>
            <w:r>
              <w:rPr>
                <w:sz w:val="21"/>
                <w:szCs w:val="21"/>
                <w:vertAlign w:val="superscript"/>
                <w:lang w:val="zh-CN" w:eastAsia="zh-CN"/>
              </w:rPr>
              <w:t>3</w:t>
            </w:r>
            <w:r>
              <w:rPr>
                <w:sz w:val="21"/>
                <w:szCs w:val="21"/>
                <w:vertAlign w:val="baseline"/>
                <w:lang w:val="zh-CN" w:eastAsia="zh-CN"/>
              </w:rPr>
              <w:t>，发生支气管炎、肺部严重损害；人吸入12～24mg/m</w:t>
            </w:r>
            <w:r>
              <w:rPr>
                <w:sz w:val="21"/>
                <w:szCs w:val="21"/>
                <w:vertAlign w:val="superscript"/>
                <w:lang w:val="zh-CN" w:eastAsia="zh-CN"/>
              </w:rPr>
              <w:t>3</w:t>
            </w:r>
            <w:r>
              <w:rPr>
                <w:sz w:val="21"/>
                <w:szCs w:val="21"/>
                <w:vertAlign w:val="baseline"/>
                <w:lang w:val="zh-CN" w:eastAsia="zh-CN"/>
              </w:rPr>
              <w:t>，鼻、咽粘   膜严重灼务、流泪、咳嗽；人经口10～20ml，致死。</w:t>
            </w:r>
          </w:p>
          <w:p w14:paraId="1EC067F6">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亚急性和慢性毒性：大鼠吸入50～70mg/m</w:t>
            </w:r>
            <w:r>
              <w:rPr>
                <w:sz w:val="21"/>
                <w:szCs w:val="21"/>
                <w:vertAlign w:val="superscript"/>
                <w:lang w:val="zh-CN" w:eastAsia="zh-CN"/>
              </w:rPr>
              <w:t>3</w:t>
            </w:r>
            <w:r>
              <w:rPr>
                <w:sz w:val="21"/>
                <w:szCs w:val="21"/>
                <w:vertAlign w:val="baseline"/>
                <w:lang w:val="zh-CN" w:eastAsia="zh-CN"/>
              </w:rPr>
              <w:t>，1 小时/天，3 天/周，35 周，发现气管及支气管基底细胞增生及生化改变；人吸入20～70mg/m×长时间，食欲丧失、体重减轻、无力、头痛、失眠；人吸入12mg/m</w:t>
            </w:r>
            <w:r>
              <w:rPr>
                <w:sz w:val="21"/>
                <w:szCs w:val="21"/>
                <w:vertAlign w:val="superscript"/>
                <w:lang w:val="zh-CN" w:eastAsia="zh-CN"/>
              </w:rPr>
              <w:t>3</w:t>
            </w:r>
            <w:r>
              <w:rPr>
                <w:sz w:val="21"/>
                <w:szCs w:val="21"/>
                <w:vertAlign w:val="baseline"/>
                <w:lang w:val="zh-CN" w:eastAsia="zh-CN"/>
              </w:rPr>
              <w:t>×长期接触，嗜睡、无力、头痛、手指震颤、视力减退。</w:t>
            </w:r>
          </w:p>
          <w:p w14:paraId="15763C1E">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致突变性：微生物致突变：鼠伤寒沙门氏菌4mg/L。哺乳动物体细胞突变：人淋巴细胞130umol/L。姊妹染色体交换：人淋巴细胞37pph。</w:t>
            </w:r>
          </w:p>
          <w:p w14:paraId="7CFC89F3">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生殖毒性：大鼠经口最低中毒剂量(TDL0)：200mg/kg(1 天，雄性)，对精子生存有影响。大鼠吸入最低中毒浓度(TCL0)：12ug/m</w:t>
            </w:r>
            <w:r>
              <w:rPr>
                <w:sz w:val="21"/>
                <w:szCs w:val="21"/>
                <w:vertAlign w:val="superscript"/>
                <w:lang w:val="zh-CN" w:eastAsia="zh-CN"/>
              </w:rPr>
              <w:t>3</w:t>
            </w:r>
            <w:r>
              <w:rPr>
                <w:sz w:val="21"/>
                <w:szCs w:val="21"/>
                <w:vertAlign w:val="baseline"/>
                <w:lang w:val="zh-CN" w:eastAsia="zh-CN"/>
              </w:rPr>
              <w:t>，24 小时(孕1～22 天)，引起新生鼠生化和代谢改变。致癌性：IARC 致癌性评论：动物阳性；人类不明确。</w:t>
            </w:r>
          </w:p>
          <w:p w14:paraId="67FBEE13">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代谢和降解：环境中甲醛的主要污染来源是有机合成、化工、合成纤维、染料、木材加工及制漆等行业排放的废水、废气等。某些有机化合物在环境中降解也产生甲醛，如氯乙烯的降解产物也包含甲醛。由于甲醛有强的还原性，在有氧化性物质存在条件下，能被氧化为甲酸。例如进入水体环境中的甲醛可被腐生菌氧化分解，因而能消耗水中的溶解氧。甲酸进一步的分解产物为二氧化碳和水。进入环境中的甲醛在物理、化学和生物等的共同作用下，被 逐 渐 稀 释 氧 化 和 降 解 。 甲 醛 的 氧 化 降 解 过 程 如 下 ： 2HCHO+O</w:t>
            </w:r>
            <w:r>
              <w:rPr>
                <w:sz w:val="21"/>
                <w:szCs w:val="21"/>
                <w:vertAlign w:val="subscript"/>
                <w:lang w:val="zh-CN" w:eastAsia="zh-CN"/>
              </w:rPr>
              <w:t>2</w:t>
            </w:r>
            <w:r>
              <w:rPr>
                <w:sz w:val="21"/>
                <w:szCs w:val="21"/>
                <w:vertAlign w:val="baseline"/>
                <w:lang w:val="zh-CN" w:eastAsia="zh-CN"/>
              </w:rPr>
              <w:t>---2HCOOH 2HCOOH+O</w:t>
            </w:r>
            <w:r>
              <w:rPr>
                <w:sz w:val="21"/>
                <w:szCs w:val="21"/>
                <w:vertAlign w:val="subscript"/>
                <w:lang w:val="zh-CN" w:eastAsia="zh-CN"/>
              </w:rPr>
              <w:t>2</w:t>
            </w:r>
            <w:r>
              <w:rPr>
                <w:sz w:val="21"/>
                <w:szCs w:val="21"/>
                <w:vertAlign w:val="baseline"/>
                <w:lang w:val="zh-CN" w:eastAsia="zh-CN"/>
              </w:rPr>
              <w:t>---2H</w:t>
            </w:r>
            <w:r>
              <w:rPr>
                <w:sz w:val="21"/>
                <w:szCs w:val="21"/>
                <w:vertAlign w:val="subscript"/>
                <w:lang w:val="zh-CN" w:eastAsia="zh-CN"/>
              </w:rPr>
              <w:t>2</w:t>
            </w:r>
            <w:r>
              <w:rPr>
                <w:sz w:val="21"/>
                <w:szCs w:val="21"/>
                <w:vertAlign w:val="baseline"/>
                <w:lang w:val="zh-CN" w:eastAsia="zh-CN"/>
              </w:rPr>
              <w:t>O+2CO</w:t>
            </w:r>
            <w:r>
              <w:rPr>
                <w:sz w:val="21"/>
                <w:szCs w:val="21"/>
                <w:vertAlign w:val="subscript"/>
                <w:lang w:val="zh-CN" w:eastAsia="zh-CN"/>
              </w:rPr>
              <w:t>2</w:t>
            </w:r>
          </w:p>
          <w:p w14:paraId="36A563AC">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残留与蓄积：资料记载，工业企业区土壤中吸附的甲醛含量可达180-720mg/kg 干土。土壤的污染可导致地下水污染，水中甲醛含量可以比表层土高出10-20 倍。</w:t>
            </w:r>
          </w:p>
          <w:p w14:paraId="3C8DC8CF">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甲醛在环境中颇稳定，当水中甲醛浓度为5mg/L 时(20℃)，观察结果表明，5天内可以保持恒定。水中甲醛浓度为&lt;20mg/L 时，可以被曝气池中经驯化的微生物降解消化。而含量为100mg/L 时，能抑制微生物对有机物的氧化。当水中甲醛含量为500mg/L 时，生物耗氧过程全部中止，水中微生物被杀死。</w:t>
            </w:r>
          </w:p>
          <w:p w14:paraId="4A85B711">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迁移转化：甲醛由于沸点低又易溶于水，所以主要通过大气和水排放进入环境。生产甲   醛的工厂其未处理的气体，当排放高度为18 米时，其距工厂250-500米的大气样品中，甲醛含量均在0.035mg/m</w:t>
            </w:r>
            <w:r>
              <w:rPr>
                <w:sz w:val="21"/>
                <w:szCs w:val="21"/>
                <w:vertAlign w:val="superscript"/>
                <w:lang w:val="zh-CN" w:eastAsia="zh-CN"/>
              </w:rPr>
              <w:t>3</w:t>
            </w:r>
            <w:r>
              <w:rPr>
                <w:sz w:val="21"/>
                <w:szCs w:val="21"/>
                <w:vertAlign w:val="baseline"/>
                <w:lang w:val="zh-CN" w:eastAsia="zh-CN"/>
              </w:rPr>
              <w:t xml:space="preserve"> 以上。1000 米远在大气中甲醛浓度在嗅阈以下。以甲醛作鞣剂生产塑料的企业周围大气中的甲醛浓度在嗅阈以下。以甲醛作鞣剂生产塑料的企业周围大气中的甲醛浓度距厂区100 米内为0.012mg/m</w:t>
            </w:r>
            <w:r>
              <w:rPr>
                <w:sz w:val="21"/>
                <w:szCs w:val="21"/>
                <w:vertAlign w:val="superscript"/>
                <w:lang w:val="zh-CN" w:eastAsia="zh-CN"/>
              </w:rPr>
              <w:t>3</w:t>
            </w:r>
            <w:r>
              <w:rPr>
                <w:sz w:val="21"/>
                <w:szCs w:val="21"/>
                <w:vertAlign w:val="baseline"/>
                <w:lang w:val="zh-CN" w:eastAsia="zh-CN"/>
              </w:rPr>
              <w:t>；200 米处36 个样品中有15 个浓度低于0.012mg/m</w:t>
            </w:r>
            <w:r>
              <w:rPr>
                <w:sz w:val="21"/>
                <w:szCs w:val="21"/>
                <w:vertAlign w:val="superscript"/>
                <w:lang w:val="zh-CN" w:eastAsia="zh-CN"/>
              </w:rPr>
              <w:t>3</w:t>
            </w:r>
            <w:r>
              <w:rPr>
                <w:sz w:val="21"/>
                <w:szCs w:val="21"/>
                <w:vertAlign w:val="baseline"/>
                <w:lang w:val="zh-CN" w:eastAsia="zh-CN"/>
              </w:rPr>
              <w:t>； 400 米处均低于0.012mg/m</w:t>
            </w:r>
            <w:r>
              <w:rPr>
                <w:sz w:val="21"/>
                <w:szCs w:val="21"/>
                <w:vertAlign w:val="superscript"/>
                <w:lang w:val="zh-CN" w:eastAsia="zh-CN"/>
              </w:rPr>
              <w:t>3</w:t>
            </w:r>
            <w:r>
              <w:rPr>
                <w:sz w:val="21"/>
                <w:szCs w:val="21"/>
                <w:vertAlign w:val="baseline"/>
                <w:lang w:val="zh-CN" w:eastAsia="zh-CN"/>
              </w:rPr>
              <w:t>。</w:t>
            </w:r>
          </w:p>
          <w:p w14:paraId="13C44D98">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工业废水中排放的甲醛含量由于行业不同有很大差别，其中浓度最高的甲醛废水是生产</w:t>
            </w:r>
          </w:p>
          <w:p w14:paraId="2EB031D2">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酚醛树脂的上层焦油废水，含甲醛量高达2.5%。</w:t>
            </w:r>
          </w:p>
        </w:tc>
      </w:tr>
      <w:tr w14:paraId="1848D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1462C600">
            <w:pPr>
              <w:pStyle w:val="255"/>
              <w:widowControl w:val="0"/>
              <w:ind w:left="0" w:firstLine="0"/>
              <w:jc w:val="center"/>
              <w:rPr>
                <w:sz w:val="21"/>
                <w:szCs w:val="21"/>
                <w:vertAlign w:val="baseline"/>
                <w:lang w:val="zh-CN" w:eastAsia="zh-CN"/>
              </w:rPr>
            </w:pPr>
            <w:r>
              <w:rPr>
                <w:sz w:val="21"/>
                <w:szCs w:val="21"/>
                <w:vertAlign w:val="baseline"/>
                <w:lang w:val="zh-CN" w:eastAsia="zh-CN"/>
              </w:rPr>
              <w:t>危险特性</w:t>
            </w:r>
          </w:p>
        </w:tc>
        <w:tc>
          <w:tcPr>
            <w:tcW w:w="7561" w:type="dxa"/>
            <w:gridSpan w:val="3"/>
            <w:noWrap w:val="0"/>
            <w:vAlign w:val="top"/>
          </w:tcPr>
          <w:p w14:paraId="396C1938">
            <w:pPr>
              <w:pStyle w:val="255"/>
              <w:widowControl w:val="0"/>
              <w:ind w:left="0" w:firstLine="0"/>
              <w:jc w:val="both"/>
              <w:rPr>
                <w:sz w:val="21"/>
                <w:szCs w:val="21"/>
                <w:vertAlign w:val="baseline"/>
                <w:lang w:val="zh-CN" w:eastAsia="zh-CN"/>
              </w:rPr>
            </w:pPr>
            <w:r>
              <w:rPr>
                <w:sz w:val="21"/>
                <w:szCs w:val="21"/>
                <w:vertAlign w:val="baseline"/>
                <w:lang w:val="zh-CN" w:eastAsia="zh-CN"/>
              </w:rPr>
              <w:t>其蒸气与空气形成爆炸性混合物，遇明火、高热能引起燃烧爆炸。若遇高热，容器内压增大，有开裂和爆炸的危险。</w:t>
            </w:r>
          </w:p>
        </w:tc>
      </w:tr>
      <w:tr w14:paraId="33B7D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1682" w:type="dxa"/>
            <w:noWrap w:val="0"/>
            <w:vAlign w:val="center"/>
          </w:tcPr>
          <w:p w14:paraId="0288148A">
            <w:pPr>
              <w:pStyle w:val="255"/>
              <w:widowControl w:val="0"/>
              <w:ind w:left="0" w:firstLine="0"/>
              <w:jc w:val="center"/>
              <w:rPr>
                <w:sz w:val="21"/>
                <w:szCs w:val="21"/>
                <w:vertAlign w:val="baseline"/>
                <w:lang w:val="zh-CN" w:eastAsia="zh-CN"/>
              </w:rPr>
            </w:pPr>
            <w:r>
              <w:rPr>
                <w:sz w:val="21"/>
                <w:szCs w:val="21"/>
                <w:vertAlign w:val="baseline"/>
                <w:lang w:val="zh-CN" w:eastAsia="zh-CN"/>
              </w:rPr>
              <w:t>燃烧(分解)产物</w:t>
            </w:r>
          </w:p>
        </w:tc>
        <w:tc>
          <w:tcPr>
            <w:tcW w:w="7561" w:type="dxa"/>
            <w:gridSpan w:val="3"/>
            <w:noWrap w:val="0"/>
            <w:vAlign w:val="center"/>
          </w:tcPr>
          <w:p w14:paraId="3F7C74F7">
            <w:pPr>
              <w:pStyle w:val="255"/>
              <w:widowControl w:val="0"/>
              <w:ind w:left="0" w:firstLine="0"/>
              <w:jc w:val="both"/>
              <w:rPr>
                <w:sz w:val="21"/>
                <w:szCs w:val="21"/>
                <w:vertAlign w:val="baseline"/>
                <w:lang w:val="zh-CN" w:eastAsia="zh-CN"/>
              </w:rPr>
            </w:pPr>
            <w:r>
              <w:rPr>
                <w:sz w:val="21"/>
                <w:szCs w:val="21"/>
                <w:vertAlign w:val="baseline"/>
                <w:lang w:val="zh-CN" w:eastAsia="zh-CN"/>
              </w:rPr>
              <w:t>一氧化碳、二氧化碳。</w:t>
            </w:r>
          </w:p>
        </w:tc>
      </w:tr>
      <w:tr w14:paraId="44605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top"/>
          </w:tcPr>
          <w:p w14:paraId="750AB7C2">
            <w:pPr>
              <w:pStyle w:val="255"/>
              <w:widowControl w:val="0"/>
              <w:jc w:val="center"/>
              <w:rPr>
                <w:sz w:val="21"/>
                <w:szCs w:val="21"/>
                <w:vertAlign w:val="baseline"/>
                <w:lang w:val="zh-CN" w:eastAsia="zh-CN"/>
              </w:rPr>
            </w:pPr>
          </w:p>
          <w:p w14:paraId="1986038D">
            <w:pPr>
              <w:pStyle w:val="255"/>
              <w:widowControl w:val="0"/>
              <w:jc w:val="center"/>
              <w:rPr>
                <w:sz w:val="21"/>
                <w:szCs w:val="21"/>
                <w:vertAlign w:val="baseline"/>
                <w:lang w:val="zh-CN" w:eastAsia="zh-CN"/>
              </w:rPr>
            </w:pPr>
          </w:p>
          <w:p w14:paraId="2FF125C3">
            <w:pPr>
              <w:pStyle w:val="255"/>
              <w:widowControl w:val="0"/>
              <w:jc w:val="center"/>
              <w:rPr>
                <w:sz w:val="21"/>
                <w:szCs w:val="21"/>
                <w:vertAlign w:val="baseline"/>
                <w:lang w:val="zh-CN" w:eastAsia="zh-CN"/>
              </w:rPr>
            </w:pPr>
          </w:p>
          <w:p w14:paraId="00AB0083">
            <w:pPr>
              <w:pStyle w:val="255"/>
              <w:widowControl w:val="0"/>
              <w:jc w:val="center"/>
              <w:rPr>
                <w:sz w:val="21"/>
                <w:szCs w:val="21"/>
                <w:vertAlign w:val="baseline"/>
                <w:lang w:val="zh-CN" w:eastAsia="zh-CN"/>
              </w:rPr>
            </w:pPr>
          </w:p>
          <w:p w14:paraId="00684249">
            <w:pPr>
              <w:pStyle w:val="255"/>
              <w:widowControl w:val="0"/>
              <w:jc w:val="center"/>
              <w:rPr>
                <w:sz w:val="21"/>
                <w:szCs w:val="21"/>
                <w:vertAlign w:val="baseline"/>
                <w:lang w:val="zh-CN" w:eastAsia="zh-CN"/>
              </w:rPr>
            </w:pPr>
          </w:p>
          <w:p w14:paraId="3F2AF9A2">
            <w:pPr>
              <w:pStyle w:val="255"/>
              <w:widowControl w:val="0"/>
              <w:jc w:val="center"/>
              <w:rPr>
                <w:sz w:val="21"/>
                <w:szCs w:val="21"/>
                <w:vertAlign w:val="baseline"/>
                <w:lang w:val="zh-CN" w:eastAsia="zh-CN"/>
              </w:rPr>
            </w:pPr>
          </w:p>
          <w:p w14:paraId="7FF78098">
            <w:pPr>
              <w:pStyle w:val="255"/>
              <w:widowControl w:val="0"/>
              <w:jc w:val="center"/>
              <w:rPr>
                <w:sz w:val="21"/>
                <w:szCs w:val="21"/>
                <w:vertAlign w:val="baseline"/>
                <w:lang w:val="zh-CN" w:eastAsia="zh-CN"/>
              </w:rPr>
            </w:pPr>
          </w:p>
          <w:p w14:paraId="5171EC3D">
            <w:pPr>
              <w:pStyle w:val="255"/>
              <w:widowControl w:val="0"/>
              <w:jc w:val="center"/>
              <w:rPr>
                <w:sz w:val="21"/>
                <w:szCs w:val="21"/>
                <w:vertAlign w:val="baseline"/>
                <w:lang w:val="zh-CN" w:eastAsia="zh-CN"/>
              </w:rPr>
            </w:pPr>
          </w:p>
          <w:p w14:paraId="5FD9420B">
            <w:pPr>
              <w:pStyle w:val="255"/>
              <w:widowControl w:val="0"/>
              <w:jc w:val="center"/>
              <w:rPr>
                <w:sz w:val="21"/>
                <w:szCs w:val="21"/>
                <w:vertAlign w:val="baseline"/>
                <w:lang w:val="zh-CN" w:eastAsia="zh-CN"/>
              </w:rPr>
            </w:pPr>
          </w:p>
          <w:p w14:paraId="15072485">
            <w:pPr>
              <w:pStyle w:val="255"/>
              <w:widowControl w:val="0"/>
              <w:jc w:val="center"/>
              <w:rPr>
                <w:sz w:val="21"/>
                <w:szCs w:val="21"/>
                <w:vertAlign w:val="baseline"/>
                <w:lang w:val="zh-CN" w:eastAsia="zh-CN"/>
              </w:rPr>
            </w:pPr>
            <w:r>
              <w:rPr>
                <w:sz w:val="21"/>
                <w:szCs w:val="21"/>
                <w:vertAlign w:val="baseline"/>
                <w:lang w:val="zh-CN" w:eastAsia="zh-CN"/>
              </w:rPr>
              <w:t>应急处理处置方法</w:t>
            </w:r>
          </w:p>
        </w:tc>
        <w:tc>
          <w:tcPr>
            <w:tcW w:w="7561" w:type="dxa"/>
            <w:gridSpan w:val="3"/>
            <w:noWrap w:val="0"/>
            <w:vAlign w:val="top"/>
          </w:tcPr>
          <w:p w14:paraId="71C1455B">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一、泄漏应急处理</w:t>
            </w:r>
          </w:p>
          <w:p w14:paraId="426DB871">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疏散泄漏污染区人员至安全区，禁止无关人员进入污染区，切断火源。建议应急处理人   员戴自给式呼吸器，穿化学防护服。不要直接接触泄漏物，在确保安全情况下堵漏。喷水雾   能减少蒸发但不要使水进入储存容器内。用沙土或其它不燃性吸附剂混合吸收，然后收集运   至集运至废物处理场所处置。也可以用大量水冲洗，经稀释的洗水放入废水系统。</w:t>
            </w:r>
          </w:p>
          <w:p w14:paraId="3212AF6A">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二、防护措施</w:t>
            </w:r>
          </w:p>
          <w:p w14:paraId="6A85798A">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呼吸系统防护：可能接触其蒸气时，应该佩带防毒面具。紧急事态抢救或逃生时，佩带   自给式呼吸器。眼睛防护：戴化学安全防护眼镜。防护服：穿相应的防护服。手防护：戴防   化学品手套。其它：工作现场禁止吸烟、进食和饮水。工作后，彻底清洗。注意个人清洁卫   生。进行就业前和定期的体检。进入罐或其它高浓度区作业，须有人监护。</w:t>
            </w:r>
          </w:p>
          <w:p w14:paraId="273D3342">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三、急救措施</w:t>
            </w:r>
          </w:p>
          <w:p w14:paraId="0187E474">
            <w:pPr>
              <w:pStyle w:val="255"/>
              <w:keepNext w:val="0"/>
              <w:keepLines w:val="0"/>
              <w:pageBreakBefore w:val="0"/>
              <w:widowControl/>
              <w:spacing w:after="0"/>
              <w:ind w:left="0" w:firstLine="0"/>
              <w:jc w:val="both"/>
              <w:rPr>
                <w:sz w:val="21"/>
                <w:szCs w:val="21"/>
                <w:vertAlign w:val="baseline"/>
                <w:lang w:val="zh-CN" w:eastAsia="zh-CN"/>
              </w:rPr>
            </w:pPr>
            <w:r>
              <w:rPr>
                <w:sz w:val="21"/>
                <w:szCs w:val="21"/>
                <w:vertAlign w:val="baseline"/>
                <w:lang w:val="zh-CN" w:eastAsia="zh-CN"/>
              </w:rPr>
              <w:t>皮肤接触：脱去污染的衣着，用肥皂水及清水彻底冲洗。或用2%碳酸氢溶液冲洗。眼睛接触：立即提起眼睑，用流动清水或生理盐水冲洗至少15 分钟。吸入：迅速脱离现场至空气新鲜处。保持呼吸道通畅。必要时进行人工呼吸。就医。食入：患者清醒时立即漱口，洗胃。就医。灭火方法：雾状水、泡沫、二氧化碳、砂土。</w:t>
            </w:r>
          </w:p>
        </w:tc>
      </w:tr>
    </w:tbl>
    <w:p w14:paraId="0F530CEC">
      <w:pPr>
        <w:widowControl w:val="0"/>
        <w:spacing w:before="227" w:after="0" w:line="240" w:lineRule="auto"/>
        <w:ind w:left="969" w:right="0" w:firstLine="1205"/>
        <w:jc w:val="both"/>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en-US" w:eastAsia="zh-CN" w:bidi="zh-CN"/>
        </w:rPr>
        <w:t>7</w:t>
      </w:r>
      <w:r>
        <w:rPr>
          <w:rFonts w:ascii="Times New Roman" w:hAnsi="Times New Roman" w:eastAsia="宋体" w:cs="Times New Roman"/>
          <w:b/>
          <w:bCs/>
          <w:sz w:val="24"/>
          <w:szCs w:val="24"/>
          <w:lang w:val="zh-CN" w:eastAsia="zh-CN" w:bidi="zh-CN"/>
        </w:rPr>
        <w:t>.2-</w:t>
      </w:r>
      <w:r>
        <w:rPr>
          <w:rFonts w:ascii="Times New Roman" w:hAnsi="Times New Roman" w:eastAsia="宋体" w:cs="Times New Roman"/>
          <w:b/>
          <w:bCs/>
          <w:sz w:val="24"/>
          <w:szCs w:val="24"/>
          <w:lang w:val="en-US" w:eastAsia="zh-CN" w:bidi="zh-CN"/>
        </w:rPr>
        <w:t>7</w:t>
      </w:r>
      <w:r>
        <w:rPr>
          <w:rFonts w:ascii="Times New Roman" w:hAnsi="Times New Roman" w:eastAsia="宋体" w:cs="Times New Roman"/>
          <w:b/>
          <w:bCs/>
          <w:sz w:val="24"/>
          <w:szCs w:val="24"/>
          <w:lang w:val="zh-CN" w:eastAsia="zh-CN" w:bidi="zh-CN"/>
        </w:rPr>
        <w:t xml:space="preserve"> 苯酚理化性质及危险特性表</w:t>
      </w:r>
    </w:p>
    <w:tbl>
      <w:tblPr>
        <w:tblStyle w:val="25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85"/>
        <w:gridCol w:w="1635"/>
        <w:gridCol w:w="1579"/>
        <w:gridCol w:w="3729"/>
      </w:tblGrid>
      <w:tr w14:paraId="5624D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325C1B0C">
            <w:pPr>
              <w:pStyle w:val="255"/>
              <w:widowControl w:val="0"/>
              <w:jc w:val="center"/>
              <w:rPr>
                <w:sz w:val="21"/>
                <w:szCs w:val="21"/>
                <w:vertAlign w:val="baseline"/>
                <w:lang w:val="zh-CN" w:eastAsia="zh-CN"/>
              </w:rPr>
            </w:pPr>
            <w:r>
              <w:rPr>
                <w:sz w:val="21"/>
                <w:szCs w:val="21"/>
                <w:vertAlign w:val="baseline"/>
                <w:lang w:val="zh-CN" w:eastAsia="zh-CN"/>
              </w:rPr>
              <w:t>中文名称</w:t>
            </w:r>
          </w:p>
        </w:tc>
        <w:tc>
          <w:tcPr>
            <w:tcW w:w="1710" w:type="dxa"/>
            <w:noWrap w:val="0"/>
            <w:vAlign w:val="center"/>
          </w:tcPr>
          <w:p w14:paraId="3DB7D1B8">
            <w:pPr>
              <w:pStyle w:val="255"/>
              <w:widowControl w:val="0"/>
              <w:jc w:val="center"/>
              <w:rPr>
                <w:sz w:val="21"/>
                <w:szCs w:val="21"/>
                <w:vertAlign w:val="baseline"/>
                <w:lang w:val="zh-CN" w:eastAsia="zh-CN"/>
              </w:rPr>
            </w:pPr>
            <w:r>
              <w:rPr>
                <w:sz w:val="21"/>
                <w:szCs w:val="21"/>
                <w:vertAlign w:val="baseline"/>
                <w:lang w:val="zh-CN" w:eastAsia="zh-CN"/>
              </w:rPr>
              <w:t>苯酚</w:t>
            </w:r>
          </w:p>
        </w:tc>
        <w:tc>
          <w:tcPr>
            <w:tcW w:w="1711" w:type="dxa"/>
            <w:noWrap w:val="0"/>
            <w:vAlign w:val="center"/>
          </w:tcPr>
          <w:p w14:paraId="3CF67516">
            <w:pPr>
              <w:pStyle w:val="255"/>
              <w:widowControl w:val="0"/>
              <w:jc w:val="center"/>
              <w:rPr>
                <w:sz w:val="21"/>
                <w:szCs w:val="21"/>
                <w:vertAlign w:val="baseline"/>
                <w:lang w:val="zh-CN" w:eastAsia="zh-CN"/>
              </w:rPr>
            </w:pPr>
            <w:r>
              <w:rPr>
                <w:sz w:val="21"/>
                <w:szCs w:val="21"/>
                <w:vertAlign w:val="baseline"/>
                <w:lang w:val="zh-CN" w:eastAsia="zh-CN"/>
              </w:rPr>
              <w:t>英文名称</w:t>
            </w:r>
          </w:p>
        </w:tc>
        <w:tc>
          <w:tcPr>
            <w:tcW w:w="4140" w:type="dxa"/>
            <w:noWrap w:val="0"/>
            <w:vAlign w:val="center"/>
          </w:tcPr>
          <w:p w14:paraId="6A7AE48B">
            <w:pPr>
              <w:pStyle w:val="255"/>
              <w:widowControl w:val="0"/>
              <w:jc w:val="center"/>
              <w:rPr>
                <w:sz w:val="21"/>
                <w:szCs w:val="21"/>
                <w:vertAlign w:val="baseline"/>
                <w:lang w:val="zh-CN" w:eastAsia="zh-CN"/>
              </w:rPr>
            </w:pPr>
            <w:r>
              <w:rPr>
                <w:sz w:val="21"/>
                <w:szCs w:val="21"/>
                <w:vertAlign w:val="baseline"/>
                <w:lang w:val="zh-CN" w:eastAsia="zh-CN"/>
              </w:rPr>
              <w:t>Phenol；carbolic acid</w:t>
            </w:r>
          </w:p>
        </w:tc>
      </w:tr>
      <w:tr w14:paraId="30893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5792786C">
            <w:pPr>
              <w:pStyle w:val="255"/>
              <w:widowControl w:val="0"/>
              <w:jc w:val="center"/>
              <w:rPr>
                <w:sz w:val="21"/>
                <w:szCs w:val="21"/>
                <w:vertAlign w:val="baseline"/>
                <w:lang w:val="zh-CN" w:eastAsia="zh-CN"/>
              </w:rPr>
            </w:pPr>
            <w:r>
              <w:rPr>
                <w:sz w:val="21"/>
                <w:szCs w:val="21"/>
                <w:vertAlign w:val="baseline"/>
                <w:lang w:val="zh-CN" w:eastAsia="zh-CN"/>
              </w:rPr>
              <w:t>CAS 号</w:t>
            </w:r>
          </w:p>
        </w:tc>
        <w:tc>
          <w:tcPr>
            <w:tcW w:w="1710" w:type="dxa"/>
            <w:noWrap w:val="0"/>
            <w:vAlign w:val="center"/>
          </w:tcPr>
          <w:p w14:paraId="703C9029">
            <w:pPr>
              <w:pStyle w:val="255"/>
              <w:widowControl w:val="0"/>
              <w:jc w:val="center"/>
              <w:rPr>
                <w:sz w:val="21"/>
                <w:szCs w:val="21"/>
                <w:vertAlign w:val="baseline"/>
                <w:lang w:val="zh-CN" w:eastAsia="zh-CN"/>
              </w:rPr>
            </w:pPr>
            <w:r>
              <w:rPr>
                <w:sz w:val="21"/>
                <w:szCs w:val="21"/>
                <w:vertAlign w:val="baseline"/>
                <w:lang w:val="zh-CN" w:eastAsia="zh-CN"/>
              </w:rPr>
              <w:t>108-95-2</w:t>
            </w:r>
          </w:p>
        </w:tc>
        <w:tc>
          <w:tcPr>
            <w:tcW w:w="1711" w:type="dxa"/>
            <w:noWrap w:val="0"/>
            <w:vAlign w:val="center"/>
          </w:tcPr>
          <w:p w14:paraId="053442E0">
            <w:pPr>
              <w:pStyle w:val="255"/>
              <w:widowControl w:val="0"/>
              <w:jc w:val="center"/>
              <w:rPr>
                <w:sz w:val="21"/>
                <w:szCs w:val="21"/>
                <w:vertAlign w:val="baseline"/>
                <w:lang w:val="zh-CN" w:eastAsia="zh-CN"/>
              </w:rPr>
            </w:pPr>
            <w:r>
              <w:rPr>
                <w:sz w:val="21"/>
                <w:szCs w:val="21"/>
                <w:vertAlign w:val="baseline"/>
                <w:lang w:val="zh-CN" w:eastAsia="zh-CN"/>
              </w:rPr>
              <w:t>分子式</w:t>
            </w:r>
          </w:p>
        </w:tc>
        <w:tc>
          <w:tcPr>
            <w:tcW w:w="4140" w:type="dxa"/>
            <w:noWrap w:val="0"/>
            <w:vAlign w:val="center"/>
          </w:tcPr>
          <w:p w14:paraId="218DFDF3">
            <w:pPr>
              <w:pStyle w:val="255"/>
              <w:widowControl w:val="0"/>
              <w:jc w:val="center"/>
              <w:rPr>
                <w:sz w:val="21"/>
                <w:szCs w:val="21"/>
                <w:vertAlign w:val="baseline"/>
                <w:lang w:val="zh-CN" w:eastAsia="zh-CN"/>
              </w:rPr>
            </w:pPr>
            <w:r>
              <w:rPr>
                <w:sz w:val="21"/>
                <w:szCs w:val="21"/>
                <w:vertAlign w:val="baseline"/>
                <w:lang w:val="zh-CN" w:eastAsia="zh-CN"/>
              </w:rPr>
              <w:t>C</w:t>
            </w:r>
            <w:r>
              <w:rPr>
                <w:sz w:val="21"/>
                <w:szCs w:val="21"/>
                <w:vertAlign w:val="subscript"/>
                <w:lang w:val="zh-CN" w:eastAsia="zh-CN"/>
              </w:rPr>
              <w:t>6</w:t>
            </w:r>
            <w:r>
              <w:rPr>
                <w:sz w:val="21"/>
                <w:szCs w:val="21"/>
                <w:vertAlign w:val="baseline"/>
                <w:lang w:val="zh-CN" w:eastAsia="zh-CN"/>
              </w:rPr>
              <w:t>H</w:t>
            </w:r>
            <w:r>
              <w:rPr>
                <w:sz w:val="21"/>
                <w:szCs w:val="21"/>
                <w:vertAlign w:val="subscript"/>
                <w:lang w:val="zh-CN" w:eastAsia="zh-CN"/>
              </w:rPr>
              <w:t>6</w:t>
            </w:r>
            <w:r>
              <w:rPr>
                <w:sz w:val="21"/>
                <w:szCs w:val="21"/>
                <w:vertAlign w:val="baseline"/>
                <w:lang w:val="zh-CN" w:eastAsia="zh-CN"/>
              </w:rPr>
              <w:t>O</w:t>
            </w:r>
          </w:p>
        </w:tc>
      </w:tr>
      <w:tr w14:paraId="53EF6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6B297DB2">
            <w:pPr>
              <w:pStyle w:val="255"/>
              <w:widowControl w:val="0"/>
              <w:jc w:val="center"/>
              <w:rPr>
                <w:sz w:val="21"/>
                <w:szCs w:val="21"/>
                <w:vertAlign w:val="baseline"/>
                <w:lang w:val="zh-CN" w:eastAsia="zh-CN"/>
              </w:rPr>
            </w:pPr>
            <w:r>
              <w:rPr>
                <w:sz w:val="21"/>
                <w:szCs w:val="21"/>
                <w:vertAlign w:val="baseline"/>
                <w:lang w:val="zh-CN" w:eastAsia="zh-CN"/>
              </w:rPr>
              <w:t>分子量</w:t>
            </w:r>
          </w:p>
        </w:tc>
        <w:tc>
          <w:tcPr>
            <w:tcW w:w="1710" w:type="dxa"/>
            <w:noWrap w:val="0"/>
            <w:vAlign w:val="center"/>
          </w:tcPr>
          <w:p w14:paraId="51035D27">
            <w:pPr>
              <w:pStyle w:val="255"/>
              <w:widowControl w:val="0"/>
              <w:jc w:val="center"/>
              <w:rPr>
                <w:sz w:val="21"/>
                <w:szCs w:val="21"/>
                <w:vertAlign w:val="baseline"/>
                <w:lang w:val="zh-CN" w:eastAsia="zh-CN"/>
              </w:rPr>
            </w:pPr>
            <w:r>
              <w:rPr>
                <w:sz w:val="21"/>
                <w:szCs w:val="21"/>
                <w:vertAlign w:val="baseline"/>
                <w:lang w:val="zh-CN" w:eastAsia="zh-CN"/>
              </w:rPr>
              <w:t>94.111</w:t>
            </w:r>
          </w:p>
        </w:tc>
        <w:tc>
          <w:tcPr>
            <w:tcW w:w="1711" w:type="dxa"/>
            <w:noWrap w:val="0"/>
            <w:vAlign w:val="center"/>
          </w:tcPr>
          <w:p w14:paraId="02499933">
            <w:pPr>
              <w:pStyle w:val="255"/>
              <w:widowControl w:val="0"/>
              <w:jc w:val="center"/>
              <w:rPr>
                <w:sz w:val="21"/>
                <w:szCs w:val="21"/>
                <w:vertAlign w:val="baseline"/>
                <w:lang w:val="zh-CN" w:eastAsia="zh-CN"/>
              </w:rPr>
            </w:pPr>
            <w:r>
              <w:rPr>
                <w:sz w:val="21"/>
                <w:szCs w:val="21"/>
                <w:vertAlign w:val="baseline"/>
                <w:lang w:val="zh-CN" w:eastAsia="zh-CN"/>
              </w:rPr>
              <w:t>外观与形状</w:t>
            </w:r>
          </w:p>
        </w:tc>
        <w:tc>
          <w:tcPr>
            <w:tcW w:w="4140" w:type="dxa"/>
            <w:noWrap w:val="0"/>
            <w:vAlign w:val="center"/>
          </w:tcPr>
          <w:p w14:paraId="2F6418CF">
            <w:pPr>
              <w:pStyle w:val="255"/>
              <w:widowControl w:val="0"/>
              <w:jc w:val="center"/>
              <w:rPr>
                <w:sz w:val="21"/>
                <w:szCs w:val="21"/>
                <w:vertAlign w:val="baseline"/>
                <w:lang w:val="zh-CN" w:eastAsia="zh-CN"/>
              </w:rPr>
            </w:pPr>
            <w:r>
              <w:rPr>
                <w:sz w:val="21"/>
                <w:szCs w:val="21"/>
                <w:vertAlign w:val="baseline"/>
                <w:lang w:val="zh-CN" w:eastAsia="zh-CN"/>
              </w:rPr>
              <w:t>白色晶体，有特殊气味，本项目为99%苯酚溶液</w:t>
            </w:r>
          </w:p>
        </w:tc>
      </w:tr>
      <w:tr w14:paraId="7C09A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1520A33E">
            <w:pPr>
              <w:pStyle w:val="255"/>
              <w:widowControl w:val="0"/>
              <w:jc w:val="center"/>
              <w:rPr>
                <w:sz w:val="21"/>
                <w:szCs w:val="21"/>
                <w:vertAlign w:val="baseline"/>
                <w:lang w:val="zh-CN" w:eastAsia="zh-CN"/>
              </w:rPr>
            </w:pPr>
            <w:r>
              <w:rPr>
                <w:sz w:val="21"/>
                <w:szCs w:val="21"/>
                <w:vertAlign w:val="baseline"/>
                <w:lang w:val="zh-CN" w:eastAsia="zh-CN"/>
              </w:rPr>
              <w:t>熔点</w:t>
            </w:r>
          </w:p>
        </w:tc>
        <w:tc>
          <w:tcPr>
            <w:tcW w:w="1710" w:type="dxa"/>
            <w:noWrap w:val="0"/>
            <w:vAlign w:val="center"/>
          </w:tcPr>
          <w:p w14:paraId="6391499D">
            <w:pPr>
              <w:pStyle w:val="255"/>
              <w:widowControl w:val="0"/>
              <w:jc w:val="center"/>
              <w:rPr>
                <w:sz w:val="21"/>
                <w:szCs w:val="21"/>
                <w:vertAlign w:val="baseline"/>
                <w:lang w:val="zh-CN" w:eastAsia="zh-CN"/>
              </w:rPr>
            </w:pPr>
            <w:r>
              <w:rPr>
                <w:sz w:val="21"/>
                <w:szCs w:val="21"/>
                <w:vertAlign w:val="baseline"/>
                <w:lang w:val="zh-CN" w:eastAsia="zh-CN"/>
              </w:rPr>
              <w:t>40.6℃</w:t>
            </w:r>
          </w:p>
        </w:tc>
        <w:tc>
          <w:tcPr>
            <w:tcW w:w="1711" w:type="dxa"/>
            <w:noWrap w:val="0"/>
            <w:vAlign w:val="center"/>
          </w:tcPr>
          <w:p w14:paraId="65F4E8A5">
            <w:pPr>
              <w:pStyle w:val="255"/>
              <w:widowControl w:val="0"/>
              <w:jc w:val="center"/>
              <w:rPr>
                <w:sz w:val="21"/>
                <w:szCs w:val="21"/>
                <w:vertAlign w:val="baseline"/>
                <w:lang w:val="zh-CN" w:eastAsia="zh-CN"/>
              </w:rPr>
            </w:pPr>
            <w:r>
              <w:rPr>
                <w:sz w:val="21"/>
                <w:szCs w:val="21"/>
                <w:vertAlign w:val="baseline"/>
                <w:lang w:val="zh-CN" w:eastAsia="zh-CN"/>
              </w:rPr>
              <w:t>沸点</w:t>
            </w:r>
          </w:p>
        </w:tc>
        <w:tc>
          <w:tcPr>
            <w:tcW w:w="4140" w:type="dxa"/>
            <w:noWrap w:val="0"/>
            <w:vAlign w:val="center"/>
          </w:tcPr>
          <w:p w14:paraId="485F6BED">
            <w:pPr>
              <w:pStyle w:val="255"/>
              <w:widowControl w:val="0"/>
              <w:jc w:val="center"/>
              <w:rPr>
                <w:sz w:val="21"/>
                <w:szCs w:val="21"/>
                <w:vertAlign w:val="baseline"/>
                <w:lang w:val="zh-CN" w:eastAsia="zh-CN"/>
              </w:rPr>
            </w:pPr>
            <w:r>
              <w:rPr>
                <w:sz w:val="21"/>
                <w:szCs w:val="21"/>
                <w:vertAlign w:val="baseline"/>
                <w:lang w:val="zh-CN" w:eastAsia="zh-CN"/>
              </w:rPr>
              <w:t>181.8℃</w:t>
            </w:r>
          </w:p>
        </w:tc>
      </w:tr>
      <w:tr w14:paraId="2E1B0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1D7B2498">
            <w:pPr>
              <w:pStyle w:val="255"/>
              <w:widowControl w:val="0"/>
              <w:jc w:val="center"/>
              <w:rPr>
                <w:sz w:val="21"/>
                <w:szCs w:val="21"/>
                <w:vertAlign w:val="baseline"/>
                <w:lang w:val="zh-CN" w:eastAsia="zh-CN"/>
              </w:rPr>
            </w:pPr>
            <w:r>
              <w:rPr>
                <w:sz w:val="21"/>
                <w:szCs w:val="21"/>
                <w:vertAlign w:val="baseline"/>
                <w:lang w:val="zh-CN" w:eastAsia="zh-CN"/>
              </w:rPr>
              <w:t>闪点</w:t>
            </w:r>
          </w:p>
        </w:tc>
        <w:tc>
          <w:tcPr>
            <w:tcW w:w="1710" w:type="dxa"/>
            <w:noWrap w:val="0"/>
            <w:vAlign w:val="center"/>
          </w:tcPr>
          <w:p w14:paraId="6E001C01">
            <w:pPr>
              <w:pStyle w:val="255"/>
              <w:widowControl w:val="0"/>
              <w:jc w:val="center"/>
              <w:rPr>
                <w:sz w:val="21"/>
                <w:szCs w:val="21"/>
                <w:vertAlign w:val="baseline"/>
                <w:lang w:val="zh-CN" w:eastAsia="zh-CN"/>
              </w:rPr>
            </w:pPr>
            <w:r>
              <w:rPr>
                <w:sz w:val="21"/>
                <w:szCs w:val="21"/>
                <w:vertAlign w:val="baseline"/>
                <w:lang w:val="zh-CN" w:eastAsia="zh-CN"/>
              </w:rPr>
              <w:t>79.℃</w:t>
            </w:r>
          </w:p>
        </w:tc>
        <w:tc>
          <w:tcPr>
            <w:tcW w:w="1711" w:type="dxa"/>
            <w:noWrap w:val="0"/>
            <w:vAlign w:val="center"/>
          </w:tcPr>
          <w:p w14:paraId="4698B986">
            <w:pPr>
              <w:pStyle w:val="255"/>
              <w:widowControl w:val="0"/>
              <w:jc w:val="center"/>
              <w:rPr>
                <w:sz w:val="21"/>
                <w:szCs w:val="21"/>
                <w:vertAlign w:val="baseline"/>
                <w:lang w:val="zh-CN" w:eastAsia="zh-CN"/>
              </w:rPr>
            </w:pPr>
            <w:r>
              <w:rPr>
                <w:sz w:val="21"/>
                <w:szCs w:val="21"/>
                <w:vertAlign w:val="baseline"/>
                <w:lang w:val="zh-CN" w:eastAsia="zh-CN"/>
              </w:rPr>
              <w:t>溶解性</w:t>
            </w:r>
          </w:p>
        </w:tc>
        <w:tc>
          <w:tcPr>
            <w:tcW w:w="4140" w:type="dxa"/>
            <w:noWrap w:val="0"/>
            <w:vAlign w:val="center"/>
          </w:tcPr>
          <w:p w14:paraId="1BDA4FA6">
            <w:pPr>
              <w:pStyle w:val="255"/>
              <w:widowControl w:val="0"/>
              <w:jc w:val="center"/>
              <w:rPr>
                <w:sz w:val="21"/>
                <w:szCs w:val="21"/>
                <w:vertAlign w:val="baseline"/>
                <w:lang w:val="zh-CN" w:eastAsia="zh-CN"/>
              </w:rPr>
            </w:pPr>
            <w:r>
              <w:rPr>
                <w:sz w:val="21"/>
                <w:szCs w:val="21"/>
                <w:vertAlign w:val="baseline"/>
                <w:lang w:val="zh-CN" w:eastAsia="zh-CN"/>
              </w:rPr>
              <w:t>可溶于乙醇、醚、氯仿、甘油</w:t>
            </w:r>
          </w:p>
        </w:tc>
      </w:tr>
      <w:tr w14:paraId="69518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1682" w:type="dxa"/>
            <w:noWrap w:val="0"/>
            <w:vAlign w:val="center"/>
          </w:tcPr>
          <w:p w14:paraId="753B2DCE">
            <w:pPr>
              <w:pStyle w:val="255"/>
              <w:widowControl w:val="0"/>
              <w:jc w:val="center"/>
              <w:rPr>
                <w:sz w:val="21"/>
                <w:szCs w:val="21"/>
                <w:vertAlign w:val="baseline"/>
                <w:lang w:val="zh-CN" w:eastAsia="zh-CN"/>
              </w:rPr>
            </w:pPr>
            <w:r>
              <w:rPr>
                <w:sz w:val="21"/>
                <w:szCs w:val="21"/>
                <w:vertAlign w:val="baseline"/>
                <w:lang w:val="zh-CN" w:eastAsia="zh-CN"/>
              </w:rPr>
              <w:t>密度</w:t>
            </w:r>
          </w:p>
        </w:tc>
        <w:tc>
          <w:tcPr>
            <w:tcW w:w="1710" w:type="dxa"/>
            <w:noWrap w:val="0"/>
            <w:vAlign w:val="center"/>
          </w:tcPr>
          <w:p w14:paraId="39AFD78A">
            <w:pPr>
              <w:pStyle w:val="255"/>
              <w:widowControl w:val="0"/>
              <w:jc w:val="center"/>
              <w:rPr>
                <w:sz w:val="21"/>
                <w:szCs w:val="21"/>
                <w:vertAlign w:val="baseline"/>
                <w:lang w:val="zh-CN" w:eastAsia="zh-CN"/>
              </w:rPr>
            </w:pPr>
            <w:r>
              <w:rPr>
                <w:sz w:val="21"/>
                <w:szCs w:val="21"/>
                <w:vertAlign w:val="baseline"/>
                <w:lang w:val="zh-CN" w:eastAsia="zh-CN"/>
              </w:rPr>
              <w:t>相对密度(水=1)1.07</w:t>
            </w:r>
          </w:p>
        </w:tc>
        <w:tc>
          <w:tcPr>
            <w:tcW w:w="1711" w:type="dxa"/>
            <w:noWrap w:val="0"/>
            <w:vAlign w:val="center"/>
          </w:tcPr>
          <w:p w14:paraId="6361BA01">
            <w:pPr>
              <w:pStyle w:val="255"/>
              <w:widowControl w:val="0"/>
              <w:jc w:val="center"/>
              <w:rPr>
                <w:sz w:val="21"/>
                <w:szCs w:val="21"/>
                <w:vertAlign w:val="baseline"/>
                <w:lang w:val="zh-CN" w:eastAsia="zh-CN"/>
              </w:rPr>
            </w:pPr>
            <w:r>
              <w:rPr>
                <w:sz w:val="21"/>
                <w:szCs w:val="21"/>
                <w:vertAlign w:val="baseline"/>
                <w:lang w:val="zh-CN" w:eastAsia="zh-CN"/>
              </w:rPr>
              <w:t>稳定性</w:t>
            </w:r>
          </w:p>
        </w:tc>
        <w:tc>
          <w:tcPr>
            <w:tcW w:w="4140" w:type="dxa"/>
            <w:noWrap w:val="0"/>
            <w:vAlign w:val="center"/>
          </w:tcPr>
          <w:p w14:paraId="121DCA9D">
            <w:pPr>
              <w:pStyle w:val="255"/>
              <w:widowControl w:val="0"/>
              <w:jc w:val="center"/>
              <w:rPr>
                <w:sz w:val="21"/>
                <w:szCs w:val="21"/>
                <w:vertAlign w:val="baseline"/>
                <w:lang w:val="zh-CN" w:eastAsia="zh-CN"/>
              </w:rPr>
            </w:pPr>
            <w:r>
              <w:rPr>
                <w:sz w:val="21"/>
                <w:szCs w:val="21"/>
                <w:vertAlign w:val="baseline"/>
                <w:lang w:val="zh-CN" w:eastAsia="zh-CN"/>
              </w:rPr>
              <w:t>稳定</w:t>
            </w:r>
          </w:p>
        </w:tc>
      </w:tr>
      <w:tr w14:paraId="4743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top"/>
          </w:tcPr>
          <w:p w14:paraId="33378829">
            <w:pPr>
              <w:pStyle w:val="255"/>
              <w:widowControl w:val="0"/>
              <w:jc w:val="center"/>
              <w:rPr>
                <w:sz w:val="21"/>
                <w:szCs w:val="21"/>
                <w:vertAlign w:val="baseline"/>
                <w:lang w:val="zh-CN" w:eastAsia="zh-CN"/>
              </w:rPr>
            </w:pPr>
          </w:p>
          <w:p w14:paraId="7391C13B">
            <w:pPr>
              <w:pStyle w:val="255"/>
              <w:widowControl w:val="0"/>
              <w:jc w:val="center"/>
              <w:rPr>
                <w:sz w:val="21"/>
                <w:szCs w:val="21"/>
                <w:vertAlign w:val="baseline"/>
                <w:lang w:val="zh-CN" w:eastAsia="zh-CN"/>
              </w:rPr>
            </w:pPr>
            <w:r>
              <w:rPr>
                <w:sz w:val="21"/>
                <w:szCs w:val="21"/>
                <w:vertAlign w:val="baseline"/>
                <w:lang w:val="zh-CN" w:eastAsia="zh-CN"/>
              </w:rPr>
              <w:t>危险标记</w:t>
            </w:r>
          </w:p>
        </w:tc>
        <w:tc>
          <w:tcPr>
            <w:tcW w:w="1710" w:type="dxa"/>
            <w:noWrap w:val="0"/>
            <w:vAlign w:val="top"/>
          </w:tcPr>
          <w:p w14:paraId="6B14DCFF">
            <w:pPr>
              <w:pStyle w:val="255"/>
              <w:widowControl w:val="0"/>
              <w:jc w:val="center"/>
              <w:rPr>
                <w:sz w:val="21"/>
                <w:szCs w:val="21"/>
                <w:vertAlign w:val="baseline"/>
                <w:lang w:val="zh-CN" w:eastAsia="zh-CN"/>
              </w:rPr>
            </w:pPr>
          </w:p>
          <w:p w14:paraId="2070CBC2">
            <w:pPr>
              <w:pStyle w:val="255"/>
              <w:widowControl w:val="0"/>
              <w:jc w:val="center"/>
              <w:rPr>
                <w:sz w:val="21"/>
                <w:szCs w:val="21"/>
                <w:vertAlign w:val="baseline"/>
                <w:lang w:val="zh-CN" w:eastAsia="zh-CN"/>
              </w:rPr>
            </w:pPr>
            <w:r>
              <w:rPr>
                <w:sz w:val="21"/>
                <w:szCs w:val="21"/>
                <w:vertAlign w:val="baseline"/>
                <w:lang w:val="zh-CN" w:eastAsia="zh-CN"/>
              </w:rPr>
              <w:t>14（有毒品）</w:t>
            </w:r>
          </w:p>
        </w:tc>
        <w:tc>
          <w:tcPr>
            <w:tcW w:w="1711" w:type="dxa"/>
            <w:noWrap w:val="0"/>
            <w:vAlign w:val="top"/>
          </w:tcPr>
          <w:p w14:paraId="5C08215B">
            <w:pPr>
              <w:pStyle w:val="255"/>
              <w:widowControl w:val="0"/>
              <w:jc w:val="center"/>
              <w:rPr>
                <w:sz w:val="21"/>
                <w:szCs w:val="21"/>
                <w:vertAlign w:val="baseline"/>
                <w:lang w:val="zh-CN" w:eastAsia="zh-CN"/>
              </w:rPr>
            </w:pPr>
          </w:p>
          <w:p w14:paraId="2B817A14">
            <w:pPr>
              <w:pStyle w:val="255"/>
              <w:widowControl w:val="0"/>
              <w:jc w:val="center"/>
              <w:rPr>
                <w:sz w:val="21"/>
                <w:szCs w:val="21"/>
                <w:vertAlign w:val="baseline"/>
                <w:lang w:val="zh-CN" w:eastAsia="zh-CN"/>
              </w:rPr>
            </w:pPr>
            <w:r>
              <w:rPr>
                <w:sz w:val="21"/>
                <w:szCs w:val="21"/>
                <w:vertAlign w:val="baseline"/>
                <w:lang w:val="zh-CN" w:eastAsia="zh-CN"/>
              </w:rPr>
              <w:t>主要用途</w:t>
            </w:r>
          </w:p>
        </w:tc>
        <w:tc>
          <w:tcPr>
            <w:tcW w:w="4140" w:type="dxa"/>
            <w:noWrap w:val="0"/>
            <w:vAlign w:val="top"/>
          </w:tcPr>
          <w:p w14:paraId="49890ACF">
            <w:pPr>
              <w:pStyle w:val="255"/>
              <w:widowControl w:val="0"/>
              <w:jc w:val="center"/>
              <w:rPr>
                <w:sz w:val="21"/>
                <w:szCs w:val="21"/>
                <w:vertAlign w:val="baseline"/>
                <w:lang w:val="zh-CN" w:eastAsia="zh-CN"/>
              </w:rPr>
            </w:pPr>
            <w:r>
              <w:rPr>
                <w:sz w:val="21"/>
                <w:szCs w:val="21"/>
                <w:vertAlign w:val="baseline"/>
                <w:lang w:val="zh-CN" w:eastAsia="zh-CN"/>
              </w:rPr>
              <w:t>重要的有机化工原料，皮普遍用于合成纤维、塑料、合成橡胶、医药、农药、香料、染料、涂料和炼油等 工业；苯酚溶液还可用作溶剂、消毒剂。</w:t>
            </w:r>
          </w:p>
        </w:tc>
      </w:tr>
      <w:tr w14:paraId="7C83A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682" w:type="dxa"/>
            <w:noWrap w:val="0"/>
            <w:vAlign w:val="top"/>
          </w:tcPr>
          <w:p w14:paraId="19935E72">
            <w:pPr>
              <w:pStyle w:val="255"/>
              <w:widowControl w:val="0"/>
              <w:jc w:val="center"/>
              <w:rPr>
                <w:rFonts w:ascii="Times New Roman" w:hAnsi="Times New Roman" w:eastAsia="宋体" w:cs="Times New Roman"/>
                <w:sz w:val="21"/>
                <w:szCs w:val="21"/>
                <w:vertAlign w:val="baseline"/>
                <w:lang w:val="zh-CN" w:eastAsia="zh-CN"/>
              </w:rPr>
            </w:pPr>
          </w:p>
          <w:p w14:paraId="31F5E978">
            <w:pPr>
              <w:pStyle w:val="255"/>
              <w:widowControl w:val="0"/>
              <w:jc w:val="center"/>
              <w:rPr>
                <w:rFonts w:ascii="Times New Roman" w:hAnsi="Times New Roman" w:eastAsia="宋体" w:cs="Times New Roman"/>
                <w:sz w:val="21"/>
                <w:szCs w:val="21"/>
                <w:vertAlign w:val="baseline"/>
                <w:lang w:val="zh-CN" w:eastAsia="zh-CN"/>
              </w:rPr>
            </w:pPr>
          </w:p>
          <w:p w14:paraId="5B23FA5F">
            <w:pPr>
              <w:pStyle w:val="255"/>
              <w:widowControl w:val="0"/>
              <w:jc w:val="center"/>
              <w:rPr>
                <w:rFonts w:ascii="Times New Roman" w:hAnsi="Times New Roman" w:eastAsia="宋体" w:cs="Times New Roman"/>
                <w:sz w:val="21"/>
                <w:szCs w:val="21"/>
                <w:vertAlign w:val="baseline"/>
                <w:lang w:val="zh-CN" w:eastAsia="zh-CN"/>
              </w:rPr>
            </w:pPr>
          </w:p>
          <w:p w14:paraId="332BCFD7">
            <w:pPr>
              <w:pStyle w:val="255"/>
              <w:widowControl w:val="0"/>
              <w:jc w:val="center"/>
              <w:rPr>
                <w:rFonts w:ascii="Times New Roman" w:hAnsi="Times New Roman" w:eastAsia="宋体" w:cs="Times New Roman"/>
                <w:sz w:val="21"/>
                <w:szCs w:val="21"/>
                <w:vertAlign w:val="baseline"/>
                <w:lang w:val="zh-CN" w:eastAsia="zh-CN"/>
              </w:rPr>
            </w:pPr>
          </w:p>
          <w:p w14:paraId="58D9A782">
            <w:pPr>
              <w:pStyle w:val="255"/>
              <w:widowControl w:val="0"/>
              <w:jc w:val="center"/>
              <w:rPr>
                <w:rFonts w:ascii="Times New Roman" w:hAnsi="Times New Roman" w:eastAsia="宋体" w:cs="Times New Roman"/>
                <w:sz w:val="21"/>
                <w:szCs w:val="21"/>
                <w:vertAlign w:val="baseline"/>
                <w:lang w:val="zh-CN" w:eastAsia="zh-CN"/>
              </w:rPr>
            </w:pPr>
          </w:p>
          <w:p w14:paraId="26CFA669">
            <w:pPr>
              <w:pStyle w:val="255"/>
              <w:widowControl w:val="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健康危害</w:t>
            </w:r>
          </w:p>
        </w:tc>
        <w:tc>
          <w:tcPr>
            <w:tcW w:w="7561" w:type="dxa"/>
            <w:gridSpan w:val="3"/>
            <w:noWrap w:val="0"/>
            <w:vAlign w:val="top"/>
          </w:tcPr>
          <w:p w14:paraId="3DA7D584">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苯酚属高毒类，对皮肤和黏膜有强烈的腐蚀性，又能经皮肤和黏膜吸收而造成中毒，开始出现刺激，局部麻醉，进而变为溃疡。低浓度能使蛋白质变性，高浓度能使蛋白质沉淀， 故对各种细胞有直接损害。而且苯酚在体内分离后可造成肾脏损伤，从而引起继发性死亡。误服苯酚时强烈地刺激胃，引起腹部剧痛。与之接触之组织受到明显腐蚀。长期吸入苯酚蒸气时，可患苯酚虚脱症，开始感到头痛、咳嗽、倦怠、虚弱、食欲减退，后期出现不断咳嗽、   皮肤痛痒、肾区有压迫感、胸部有沉重感、严重失眠、皮肤苍白、蛋白尿，最后因慢性肾炎而死亡。人口服苯酚的致死量约2~15g，纯苯酚的毒性更大。</w:t>
            </w:r>
          </w:p>
        </w:tc>
      </w:tr>
      <w:tr w14:paraId="4870F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top"/>
          </w:tcPr>
          <w:p w14:paraId="0174E895">
            <w:pPr>
              <w:pStyle w:val="255"/>
              <w:widowControl w:val="0"/>
              <w:jc w:val="center"/>
              <w:rPr>
                <w:rFonts w:ascii="Times New Roman" w:hAnsi="Times New Roman" w:eastAsia="宋体" w:cs="Times New Roman"/>
                <w:sz w:val="21"/>
                <w:szCs w:val="21"/>
                <w:vertAlign w:val="baseline"/>
                <w:lang w:val="zh-CN" w:eastAsia="zh-CN"/>
              </w:rPr>
            </w:pPr>
          </w:p>
          <w:p w14:paraId="2F78E190">
            <w:pPr>
              <w:pStyle w:val="255"/>
              <w:widowControl w:val="0"/>
              <w:jc w:val="center"/>
              <w:rPr>
                <w:rFonts w:ascii="Times New Roman" w:hAnsi="Times New Roman" w:eastAsia="宋体" w:cs="Times New Roman"/>
                <w:sz w:val="21"/>
                <w:szCs w:val="21"/>
                <w:vertAlign w:val="baseline"/>
                <w:lang w:val="zh-CN" w:eastAsia="zh-CN"/>
              </w:rPr>
            </w:pPr>
          </w:p>
          <w:p w14:paraId="6D006D8F">
            <w:pPr>
              <w:pStyle w:val="255"/>
              <w:widowControl w:val="0"/>
              <w:jc w:val="center"/>
              <w:rPr>
                <w:rFonts w:ascii="Times New Roman" w:hAnsi="Times New Roman" w:eastAsia="宋体" w:cs="Times New Roman"/>
                <w:sz w:val="21"/>
                <w:szCs w:val="21"/>
                <w:vertAlign w:val="baseline"/>
                <w:lang w:val="zh-CN" w:eastAsia="zh-CN"/>
              </w:rPr>
            </w:pPr>
          </w:p>
          <w:p w14:paraId="579F4E2C">
            <w:pPr>
              <w:pStyle w:val="255"/>
              <w:widowControl w:val="0"/>
              <w:jc w:val="center"/>
              <w:rPr>
                <w:rFonts w:ascii="Times New Roman" w:hAnsi="Times New Roman" w:eastAsia="宋体" w:cs="Times New Roman"/>
                <w:sz w:val="21"/>
                <w:szCs w:val="21"/>
                <w:vertAlign w:val="baseline"/>
                <w:lang w:val="zh-CN" w:eastAsia="zh-CN"/>
              </w:rPr>
            </w:pPr>
          </w:p>
          <w:p w14:paraId="3D06C48C">
            <w:pPr>
              <w:pStyle w:val="255"/>
              <w:widowControl w:val="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毒理学资料及环境行为</w:t>
            </w:r>
          </w:p>
        </w:tc>
        <w:tc>
          <w:tcPr>
            <w:tcW w:w="7561" w:type="dxa"/>
            <w:gridSpan w:val="3"/>
            <w:noWrap w:val="0"/>
            <w:vAlign w:val="top"/>
          </w:tcPr>
          <w:p w14:paraId="5E476277">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急性毒性：LD50317mg kg(大鼠经口)； 850mg/kg(兔经皮)；LC50316mg m3(大鼠吸入)；人经口 1000mg/kg，致死剂量。</w:t>
            </w:r>
          </w:p>
          <w:p w14:paraId="537A12A6">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刺激性：家兔经眼：20mg(24 小时)，中度刺激。家兔经皮: 500mg(24 小时)，中度刺激。</w:t>
            </w:r>
          </w:p>
          <w:p w14:paraId="1B54AA78">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亚急性和慢性毒性：动物长期吸入酚蒸气(115.2-230.4mg m)可引起呼吸困难、肺损害、体重减轻和瘫痪。</w:t>
            </w:r>
          </w:p>
          <w:p w14:paraId="41683D19">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致突变性： DNA 抑制：人 Hela 细胞 1mmolL。姊妹染色单体交换：人淋巴细胞5μ molL。</w:t>
            </w:r>
          </w:p>
          <w:p w14:paraId="5C6AC09D">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生殖毒性：大鼠经口最低中毒剂量(TDL0):1200mg/kg(孕 6-15 天)，引起胚胎毒性。</w:t>
            </w:r>
          </w:p>
          <w:p w14:paraId="420A0F26">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致癌性：小鼠经皮最低中毒剂量(TDL): 16gkg, 40 周(间歇)，致癌，皮肤肿瘤。</w:t>
            </w:r>
          </w:p>
        </w:tc>
      </w:tr>
      <w:tr w14:paraId="6EFC9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center"/>
          </w:tcPr>
          <w:p w14:paraId="350EB9AE">
            <w:pPr>
              <w:pStyle w:val="255"/>
              <w:widowControl w:val="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危险特性</w:t>
            </w:r>
          </w:p>
        </w:tc>
        <w:tc>
          <w:tcPr>
            <w:tcW w:w="7561" w:type="dxa"/>
            <w:gridSpan w:val="3"/>
            <w:noWrap w:val="0"/>
            <w:vAlign w:val="center"/>
          </w:tcPr>
          <w:p w14:paraId="745211D5">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该品可燃，高毒，具强腐蚀性，可致人体灼伤。</w:t>
            </w:r>
          </w:p>
        </w:tc>
      </w:tr>
      <w:tr w14:paraId="1D663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top"/>
          </w:tcPr>
          <w:p w14:paraId="295FB18F">
            <w:pPr>
              <w:pStyle w:val="255"/>
              <w:widowControl w:val="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燃烧(分解)</w:t>
            </w:r>
          </w:p>
          <w:p w14:paraId="77C18E47">
            <w:pPr>
              <w:pStyle w:val="255"/>
              <w:widowControl w:val="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产物</w:t>
            </w:r>
          </w:p>
        </w:tc>
        <w:tc>
          <w:tcPr>
            <w:tcW w:w="7561" w:type="dxa"/>
            <w:gridSpan w:val="3"/>
            <w:noWrap w:val="0"/>
            <w:vAlign w:val="center"/>
          </w:tcPr>
          <w:p w14:paraId="7CB50563">
            <w:pPr>
              <w:pStyle w:val="255"/>
              <w:widowControl w:val="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一氧化碳、二氧化碳。</w:t>
            </w:r>
          </w:p>
        </w:tc>
      </w:tr>
      <w:tr w14:paraId="27774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2" w:type="dxa"/>
            <w:noWrap w:val="0"/>
            <w:vAlign w:val="top"/>
          </w:tcPr>
          <w:p w14:paraId="006679E4">
            <w:pPr>
              <w:pStyle w:val="255"/>
              <w:widowControl w:val="0"/>
              <w:jc w:val="center"/>
              <w:rPr>
                <w:rFonts w:ascii="Times New Roman" w:hAnsi="Times New Roman" w:eastAsia="宋体" w:cs="Times New Roman"/>
                <w:sz w:val="21"/>
                <w:szCs w:val="21"/>
                <w:vertAlign w:val="baseline"/>
                <w:lang w:val="zh-CN" w:eastAsia="zh-CN"/>
              </w:rPr>
            </w:pPr>
          </w:p>
          <w:p w14:paraId="7943225C">
            <w:pPr>
              <w:pStyle w:val="255"/>
              <w:widowControl w:val="0"/>
              <w:jc w:val="center"/>
              <w:rPr>
                <w:rFonts w:ascii="Times New Roman" w:hAnsi="Times New Roman" w:eastAsia="宋体" w:cs="Times New Roman"/>
                <w:sz w:val="21"/>
                <w:szCs w:val="21"/>
                <w:vertAlign w:val="baseline"/>
                <w:lang w:val="zh-CN" w:eastAsia="zh-CN"/>
              </w:rPr>
            </w:pPr>
          </w:p>
          <w:p w14:paraId="44DF1652">
            <w:pPr>
              <w:pStyle w:val="255"/>
              <w:widowControl w:val="0"/>
              <w:jc w:val="center"/>
              <w:rPr>
                <w:rFonts w:ascii="Times New Roman" w:hAnsi="Times New Roman" w:eastAsia="宋体" w:cs="Times New Roman"/>
                <w:sz w:val="21"/>
                <w:szCs w:val="21"/>
                <w:vertAlign w:val="baseline"/>
                <w:lang w:val="zh-CN" w:eastAsia="zh-CN"/>
              </w:rPr>
            </w:pPr>
          </w:p>
          <w:p w14:paraId="7BFE6E7E">
            <w:pPr>
              <w:pStyle w:val="255"/>
              <w:widowControl w:val="0"/>
              <w:jc w:val="center"/>
              <w:rPr>
                <w:rFonts w:ascii="Times New Roman" w:hAnsi="Times New Roman" w:eastAsia="宋体" w:cs="Times New Roman"/>
                <w:sz w:val="21"/>
                <w:szCs w:val="21"/>
                <w:vertAlign w:val="baseline"/>
                <w:lang w:val="zh-CN" w:eastAsia="zh-CN"/>
              </w:rPr>
            </w:pPr>
          </w:p>
          <w:p w14:paraId="3B92C168">
            <w:pPr>
              <w:pStyle w:val="255"/>
              <w:widowControl w:val="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应急处理处置方法</w:t>
            </w:r>
          </w:p>
        </w:tc>
        <w:tc>
          <w:tcPr>
            <w:tcW w:w="7561" w:type="dxa"/>
            <w:gridSpan w:val="3"/>
            <w:noWrap w:val="0"/>
            <w:vAlign w:val="top"/>
          </w:tcPr>
          <w:p w14:paraId="07C7CCCF">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一、泄漏应急处置</w:t>
            </w:r>
          </w:p>
          <w:p w14:paraId="174D5752">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应急处理：隔离泄漏污染区，限制出入。切断火源。建议应急处理人员戴防尘面具（全  面罩），穿防毒服。</w:t>
            </w:r>
          </w:p>
          <w:p w14:paraId="4E5826A7">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小量泄漏：用干石灰、苏打灰覆盖。</w:t>
            </w:r>
          </w:p>
          <w:p w14:paraId="32CF86A6">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大量泄漏：收集回收或运至废物处理场所处置。</w:t>
            </w:r>
          </w:p>
          <w:p w14:paraId="0979D511">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 xml:space="preserve"> 二、急救措施</w:t>
            </w:r>
          </w:p>
          <w:p w14:paraId="3A840548">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皮肤接触：立即脱去污染的衣着，用甘油、聚乙烯乙二醇或聚乙烯乙二醇和酒精混合液（7：3）抹洗，然后用水彻底清洗。或用大量流动清水冲洗至少15 分钟。就医。</w:t>
            </w:r>
          </w:p>
          <w:p w14:paraId="49F99232">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眼睛接触：立即提起眼睑，用大量流动清水或生理盐水彻底冲洗至少15 分钟。就医。吸入：迅速脱离现场至空气新鲜处。保持呼吸道通畅。如呼吸困难，给输氧。如呼吸停止，立即进行人工呼吸。就医。</w:t>
            </w:r>
          </w:p>
          <w:p w14:paraId="69D15098">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食入：立即给饮植物油15～30mL。催吐。就医。</w:t>
            </w:r>
          </w:p>
        </w:tc>
      </w:tr>
    </w:tbl>
    <w:p w14:paraId="27D1B483">
      <w:pPr>
        <w:widowControl w:val="0"/>
        <w:spacing w:before="130" w:after="28" w:line="240" w:lineRule="auto"/>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7.2</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8</w:t>
      </w:r>
      <w:r>
        <w:rPr>
          <w:rFonts w:ascii="Times New Roman" w:hAnsi="Times New Roman" w:eastAsia="宋体" w:cs="Times New Roman"/>
          <w:b/>
          <w:bCs/>
          <w:sz w:val="24"/>
          <w:szCs w:val="24"/>
          <w:lang w:val="zh-CN" w:eastAsia="zh-CN" w:bidi="zh-CN"/>
        </w:rPr>
        <w:t xml:space="preserve"> 甲酸理化性质及危险特性表</w:t>
      </w:r>
    </w:p>
    <w:tbl>
      <w:tblPr>
        <w:tblStyle w:val="32"/>
        <w:tblW w:w="89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591"/>
        <w:gridCol w:w="1770"/>
        <w:gridCol w:w="4346"/>
      </w:tblGrid>
      <w:tr w14:paraId="70B4B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242" w:type="dxa"/>
            <w:noWrap w:val="0"/>
            <w:vAlign w:val="center"/>
          </w:tcPr>
          <w:p w14:paraId="0BD61420">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中文名称</w:t>
            </w:r>
          </w:p>
        </w:tc>
        <w:tc>
          <w:tcPr>
            <w:tcW w:w="1591" w:type="dxa"/>
            <w:noWrap w:val="0"/>
            <w:vAlign w:val="center"/>
          </w:tcPr>
          <w:p w14:paraId="762AF4B9">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甲酸</w:t>
            </w:r>
          </w:p>
        </w:tc>
        <w:tc>
          <w:tcPr>
            <w:tcW w:w="1770" w:type="dxa"/>
            <w:noWrap w:val="0"/>
            <w:vAlign w:val="center"/>
          </w:tcPr>
          <w:p w14:paraId="260CDD76">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英文名称</w:t>
            </w:r>
          </w:p>
        </w:tc>
        <w:tc>
          <w:tcPr>
            <w:tcW w:w="4346" w:type="dxa"/>
            <w:noWrap w:val="0"/>
            <w:vAlign w:val="center"/>
          </w:tcPr>
          <w:p w14:paraId="50E737CE">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Formic acid</w:t>
            </w:r>
          </w:p>
        </w:tc>
      </w:tr>
      <w:tr w14:paraId="6B000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242" w:type="dxa"/>
            <w:noWrap w:val="0"/>
            <w:vAlign w:val="center"/>
          </w:tcPr>
          <w:p w14:paraId="43805CDC">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CAS 号</w:t>
            </w:r>
          </w:p>
        </w:tc>
        <w:tc>
          <w:tcPr>
            <w:tcW w:w="1591" w:type="dxa"/>
            <w:noWrap w:val="0"/>
            <w:vAlign w:val="center"/>
          </w:tcPr>
          <w:p w14:paraId="1DFAD486">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64-18-6</w:t>
            </w:r>
          </w:p>
        </w:tc>
        <w:tc>
          <w:tcPr>
            <w:tcW w:w="1770" w:type="dxa"/>
            <w:noWrap w:val="0"/>
            <w:vAlign w:val="center"/>
          </w:tcPr>
          <w:p w14:paraId="12B2F482">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分子式</w:t>
            </w:r>
          </w:p>
        </w:tc>
        <w:tc>
          <w:tcPr>
            <w:tcW w:w="4346" w:type="dxa"/>
            <w:noWrap w:val="0"/>
            <w:vAlign w:val="center"/>
          </w:tcPr>
          <w:p w14:paraId="3DC249A3">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CH2O2</w:t>
            </w:r>
          </w:p>
        </w:tc>
      </w:tr>
      <w:tr w14:paraId="10D16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242" w:type="dxa"/>
            <w:noWrap w:val="0"/>
            <w:vAlign w:val="center"/>
          </w:tcPr>
          <w:p w14:paraId="0709BE9C">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分子量</w:t>
            </w:r>
          </w:p>
        </w:tc>
        <w:tc>
          <w:tcPr>
            <w:tcW w:w="1591" w:type="dxa"/>
            <w:noWrap w:val="0"/>
            <w:vAlign w:val="center"/>
          </w:tcPr>
          <w:p w14:paraId="40BEA041">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46.03</w:t>
            </w:r>
          </w:p>
        </w:tc>
        <w:tc>
          <w:tcPr>
            <w:tcW w:w="1770" w:type="dxa"/>
            <w:noWrap w:val="0"/>
            <w:vAlign w:val="center"/>
          </w:tcPr>
          <w:p w14:paraId="5DC71766">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外观与形状</w:t>
            </w:r>
          </w:p>
        </w:tc>
        <w:tc>
          <w:tcPr>
            <w:tcW w:w="4346" w:type="dxa"/>
            <w:noWrap w:val="0"/>
            <w:vAlign w:val="center"/>
          </w:tcPr>
          <w:p w14:paraId="61F08271">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无色透明发烟液体，有墙体刺激性酸味</w:t>
            </w:r>
          </w:p>
        </w:tc>
      </w:tr>
      <w:tr w14:paraId="5D377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242" w:type="dxa"/>
            <w:noWrap w:val="0"/>
            <w:vAlign w:val="center"/>
          </w:tcPr>
          <w:p w14:paraId="34C5E84B">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熔点</w:t>
            </w:r>
          </w:p>
        </w:tc>
        <w:tc>
          <w:tcPr>
            <w:tcW w:w="1591" w:type="dxa"/>
            <w:noWrap w:val="0"/>
            <w:vAlign w:val="center"/>
          </w:tcPr>
          <w:p w14:paraId="42C2CC54">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8.2℃</w:t>
            </w:r>
          </w:p>
        </w:tc>
        <w:tc>
          <w:tcPr>
            <w:tcW w:w="1770" w:type="dxa"/>
            <w:noWrap w:val="0"/>
            <w:vAlign w:val="center"/>
          </w:tcPr>
          <w:p w14:paraId="0767A90F">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沸点</w:t>
            </w:r>
          </w:p>
        </w:tc>
        <w:tc>
          <w:tcPr>
            <w:tcW w:w="4346" w:type="dxa"/>
            <w:noWrap w:val="0"/>
            <w:vAlign w:val="center"/>
          </w:tcPr>
          <w:p w14:paraId="147386E6">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100.8℃</w:t>
            </w:r>
          </w:p>
        </w:tc>
      </w:tr>
      <w:tr w14:paraId="389B7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242" w:type="dxa"/>
            <w:noWrap w:val="0"/>
            <w:vAlign w:val="center"/>
          </w:tcPr>
          <w:p w14:paraId="696AF26C">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闪点</w:t>
            </w:r>
          </w:p>
        </w:tc>
        <w:tc>
          <w:tcPr>
            <w:tcW w:w="1591" w:type="dxa"/>
            <w:noWrap w:val="0"/>
            <w:vAlign w:val="center"/>
          </w:tcPr>
          <w:p w14:paraId="03540D91">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68.9℃</w:t>
            </w:r>
          </w:p>
        </w:tc>
        <w:tc>
          <w:tcPr>
            <w:tcW w:w="1770" w:type="dxa"/>
            <w:noWrap w:val="0"/>
            <w:vAlign w:val="center"/>
          </w:tcPr>
          <w:p w14:paraId="0DC4C738">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溶解性</w:t>
            </w:r>
          </w:p>
        </w:tc>
        <w:tc>
          <w:tcPr>
            <w:tcW w:w="4346" w:type="dxa"/>
            <w:noWrap w:val="0"/>
            <w:vAlign w:val="center"/>
          </w:tcPr>
          <w:p w14:paraId="26F550CD">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与水混溶，不溶于烃类，可混溶于醇</w:t>
            </w:r>
          </w:p>
        </w:tc>
      </w:tr>
      <w:tr w14:paraId="0C876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242" w:type="dxa"/>
            <w:noWrap w:val="0"/>
            <w:vAlign w:val="center"/>
          </w:tcPr>
          <w:p w14:paraId="760AA9AE">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密度</w:t>
            </w:r>
          </w:p>
        </w:tc>
        <w:tc>
          <w:tcPr>
            <w:tcW w:w="1591" w:type="dxa"/>
            <w:noWrap w:val="0"/>
            <w:vAlign w:val="center"/>
          </w:tcPr>
          <w:p w14:paraId="3E9BEAEC">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相对密度(水=1)1.23</w:t>
            </w:r>
          </w:p>
        </w:tc>
        <w:tc>
          <w:tcPr>
            <w:tcW w:w="1770" w:type="dxa"/>
            <w:noWrap w:val="0"/>
            <w:vAlign w:val="center"/>
          </w:tcPr>
          <w:p w14:paraId="5225808D">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稳定性</w:t>
            </w:r>
          </w:p>
        </w:tc>
        <w:tc>
          <w:tcPr>
            <w:tcW w:w="4346" w:type="dxa"/>
            <w:noWrap w:val="0"/>
            <w:vAlign w:val="center"/>
          </w:tcPr>
          <w:p w14:paraId="23971491">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稳定</w:t>
            </w:r>
          </w:p>
        </w:tc>
      </w:tr>
      <w:tr w14:paraId="21BB9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242" w:type="dxa"/>
            <w:noWrap w:val="0"/>
            <w:vAlign w:val="center"/>
          </w:tcPr>
          <w:p w14:paraId="054B0007">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危险标记</w:t>
            </w:r>
          </w:p>
        </w:tc>
        <w:tc>
          <w:tcPr>
            <w:tcW w:w="1591" w:type="dxa"/>
            <w:noWrap w:val="0"/>
            <w:vAlign w:val="center"/>
          </w:tcPr>
          <w:p w14:paraId="0DCBDF99">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81101</w:t>
            </w:r>
          </w:p>
        </w:tc>
        <w:tc>
          <w:tcPr>
            <w:tcW w:w="1770" w:type="dxa"/>
            <w:noWrap w:val="0"/>
            <w:vAlign w:val="center"/>
          </w:tcPr>
          <w:p w14:paraId="47D834D6">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主要用途</w:t>
            </w:r>
          </w:p>
        </w:tc>
        <w:tc>
          <w:tcPr>
            <w:tcW w:w="4346" w:type="dxa"/>
            <w:noWrap w:val="0"/>
            <w:vAlign w:val="center"/>
          </w:tcPr>
          <w:p w14:paraId="79E9F289">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用于制化学药品、橡胶凝固剂及纺织、印染、电镀等</w:t>
            </w:r>
          </w:p>
        </w:tc>
      </w:tr>
      <w:tr w14:paraId="491C3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42" w:type="dxa"/>
            <w:noWrap w:val="0"/>
            <w:vAlign w:val="top"/>
          </w:tcPr>
          <w:p w14:paraId="4E1BCEFA">
            <w:pPr>
              <w:pStyle w:val="255"/>
              <w:jc w:val="center"/>
              <w:rPr>
                <w:rFonts w:ascii="Times New Roman" w:hAnsi="Times New Roman" w:eastAsia="宋体" w:cs="Times New Roman"/>
                <w:sz w:val="21"/>
                <w:szCs w:val="21"/>
                <w:vertAlign w:val="baseline"/>
                <w:lang w:val="zh-CN" w:eastAsia="zh-CN"/>
              </w:rPr>
            </w:pPr>
          </w:p>
          <w:p w14:paraId="17FA9EB8">
            <w:pPr>
              <w:pStyle w:val="255"/>
              <w:jc w:val="center"/>
              <w:rPr>
                <w:rFonts w:ascii="Times New Roman" w:hAnsi="Times New Roman" w:eastAsia="宋体" w:cs="Times New Roman"/>
                <w:sz w:val="21"/>
                <w:szCs w:val="21"/>
                <w:vertAlign w:val="baseline"/>
                <w:lang w:val="zh-CN" w:eastAsia="zh-CN"/>
              </w:rPr>
            </w:pPr>
          </w:p>
          <w:p w14:paraId="2FB0E6DE">
            <w:pPr>
              <w:pStyle w:val="255"/>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健康危害</w:t>
            </w:r>
          </w:p>
        </w:tc>
        <w:tc>
          <w:tcPr>
            <w:tcW w:w="7707" w:type="dxa"/>
            <w:gridSpan w:val="3"/>
            <w:noWrap w:val="0"/>
            <w:vAlign w:val="top"/>
          </w:tcPr>
          <w:p w14:paraId="32923F1C">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侵入途径：吸入、食入、经皮吸收。</w:t>
            </w:r>
          </w:p>
          <w:p w14:paraId="657EE7B4">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健康危害：主要引起皮肤、粘膜有刺激症状。其表现有结膜充血、鼻炎、支气管炎；皮  肤接触可引起炎症和溃疡。误服甲酸可至死（致死量约30 克）。除消化道症状外，常因急性肾功衰竭或呼吸功能衰竭而死亡。</w:t>
            </w:r>
          </w:p>
          <w:p w14:paraId="66C5CF16">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慢性中毒：可有血尿和蛋白尿。</w:t>
            </w:r>
          </w:p>
        </w:tc>
      </w:tr>
      <w:tr w14:paraId="0D5E7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0" w:hRule="atLeast"/>
          <w:jc w:val="center"/>
        </w:trPr>
        <w:tc>
          <w:tcPr>
            <w:tcW w:w="1242" w:type="dxa"/>
            <w:noWrap w:val="0"/>
            <w:vAlign w:val="top"/>
          </w:tcPr>
          <w:p w14:paraId="08A5C952">
            <w:pPr>
              <w:pStyle w:val="255"/>
              <w:jc w:val="center"/>
              <w:rPr>
                <w:rFonts w:ascii="Times New Roman" w:hAnsi="Times New Roman" w:eastAsia="宋体" w:cs="Times New Roman"/>
                <w:sz w:val="21"/>
                <w:szCs w:val="21"/>
                <w:vertAlign w:val="baseline"/>
                <w:lang w:val="zh-CN" w:eastAsia="zh-CN"/>
              </w:rPr>
            </w:pPr>
          </w:p>
          <w:p w14:paraId="5CC0027F">
            <w:pPr>
              <w:pStyle w:val="255"/>
              <w:jc w:val="center"/>
              <w:rPr>
                <w:rFonts w:ascii="Times New Roman" w:hAnsi="Times New Roman" w:eastAsia="宋体" w:cs="Times New Roman"/>
                <w:sz w:val="21"/>
                <w:szCs w:val="21"/>
                <w:vertAlign w:val="baseline"/>
                <w:lang w:val="zh-CN" w:eastAsia="zh-CN"/>
              </w:rPr>
            </w:pPr>
          </w:p>
          <w:p w14:paraId="41265649">
            <w:pPr>
              <w:pStyle w:val="255"/>
              <w:jc w:val="center"/>
              <w:rPr>
                <w:rFonts w:ascii="Times New Roman" w:hAnsi="Times New Roman" w:eastAsia="宋体" w:cs="Times New Roman"/>
                <w:sz w:val="21"/>
                <w:szCs w:val="21"/>
                <w:vertAlign w:val="baseline"/>
                <w:lang w:val="zh-CN" w:eastAsia="zh-CN"/>
              </w:rPr>
            </w:pPr>
          </w:p>
          <w:p w14:paraId="7D79E906">
            <w:pPr>
              <w:pStyle w:val="255"/>
              <w:jc w:val="center"/>
              <w:rPr>
                <w:rFonts w:ascii="Times New Roman" w:hAnsi="Times New Roman" w:eastAsia="宋体" w:cs="Times New Roman"/>
                <w:sz w:val="21"/>
                <w:szCs w:val="21"/>
                <w:vertAlign w:val="baseline"/>
                <w:lang w:val="zh-CN" w:eastAsia="zh-CN"/>
              </w:rPr>
            </w:pPr>
          </w:p>
          <w:p w14:paraId="1A0384BC">
            <w:pPr>
              <w:pStyle w:val="255"/>
              <w:jc w:val="center"/>
              <w:rPr>
                <w:rFonts w:ascii="Times New Roman" w:hAnsi="Times New Roman" w:eastAsia="宋体" w:cs="Times New Roman"/>
                <w:sz w:val="21"/>
                <w:szCs w:val="21"/>
                <w:vertAlign w:val="baseline"/>
                <w:lang w:val="zh-CN" w:eastAsia="zh-CN"/>
              </w:rPr>
            </w:pPr>
          </w:p>
          <w:p w14:paraId="535A3A7B">
            <w:pPr>
              <w:pStyle w:val="255"/>
              <w:ind w:left="0" w:firstLine="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毒理学资料及环境行为</w:t>
            </w:r>
          </w:p>
        </w:tc>
        <w:tc>
          <w:tcPr>
            <w:tcW w:w="7707" w:type="dxa"/>
            <w:gridSpan w:val="3"/>
            <w:noWrap w:val="0"/>
            <w:vAlign w:val="center"/>
          </w:tcPr>
          <w:p w14:paraId="2074B61C">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毒性：属低毒类 。</w:t>
            </w:r>
          </w:p>
          <w:p w14:paraId="5CDB0E56">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急性毒性：LD501100mg/kg（大鼠经口）；LC5015000mg/m3，15 分钟（大鼠吸入）；人吸入750mg/m3（15 秒），剧烈刺激粘膜引起咽痛，咳嗽，胸痛；人经口约30g，肾功能衰竭或呼吸功能衰竭而死亡。</w:t>
            </w:r>
          </w:p>
          <w:p w14:paraId="7C0AB81F">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刺激性：人经眼：1ppm（6 分钟），非标准接触，轻度刺激。人经皮：150μg（3 天）， 间歇，轻度刺激。</w:t>
            </w:r>
          </w:p>
          <w:p w14:paraId="536C544E">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亚急性和慢性毒性：小鼠饮水中含0.01%～0.25%游离甲酸，2～4 个月内无任何影响；</w:t>
            </w:r>
          </w:p>
          <w:p w14:paraId="53F34032">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0.5%则影响食欲并使其生长缓慢。小鼠吸入10g/m3 以上时，1～4 天后死亡。</w:t>
            </w:r>
          </w:p>
          <w:p w14:paraId="36C2EBEB">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致突变性：微生物致突变：大肠杆菌71ppm（3     小时）。姊妹染色单体交换：人淋巴细胞10mmol/L。</w:t>
            </w:r>
          </w:p>
        </w:tc>
      </w:tr>
      <w:tr w14:paraId="7423E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242" w:type="dxa"/>
            <w:noWrap w:val="0"/>
            <w:vAlign w:val="top"/>
          </w:tcPr>
          <w:p w14:paraId="22A4DFBE">
            <w:pPr>
              <w:pStyle w:val="255"/>
              <w:ind w:left="0" w:firstLine="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危险特性</w:t>
            </w:r>
          </w:p>
        </w:tc>
        <w:tc>
          <w:tcPr>
            <w:tcW w:w="7707" w:type="dxa"/>
            <w:gridSpan w:val="3"/>
            <w:noWrap w:val="0"/>
            <w:vAlign w:val="center"/>
          </w:tcPr>
          <w:p w14:paraId="170E9FF0">
            <w:pPr>
              <w:pStyle w:val="255"/>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甲酸为可燃酸性腐蚀品，遇火种、受热有燃烧危险，蒸气能与空气形成爆炸性混合物。</w:t>
            </w:r>
          </w:p>
        </w:tc>
      </w:tr>
      <w:tr w14:paraId="57039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1242" w:type="dxa"/>
            <w:noWrap w:val="0"/>
            <w:vAlign w:val="center"/>
          </w:tcPr>
          <w:p w14:paraId="52A900BA">
            <w:pPr>
              <w:pStyle w:val="255"/>
              <w:ind w:left="0" w:firstLine="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燃烧(分解)产物</w:t>
            </w:r>
          </w:p>
        </w:tc>
        <w:tc>
          <w:tcPr>
            <w:tcW w:w="7707" w:type="dxa"/>
            <w:gridSpan w:val="3"/>
            <w:noWrap w:val="0"/>
            <w:vAlign w:val="center"/>
          </w:tcPr>
          <w:p w14:paraId="1DC77977">
            <w:pPr>
              <w:pStyle w:val="255"/>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一氧化碳、二氧化碳</w:t>
            </w:r>
            <w:r>
              <w:rPr>
                <w:rFonts w:hint="eastAsia" w:ascii="Times New Roman" w:hAnsi="Times New Roman" w:eastAsia="宋体" w:cs="Times New Roman"/>
                <w:sz w:val="21"/>
                <w:szCs w:val="21"/>
                <w:vertAlign w:val="baseline"/>
                <w:lang w:val="zh-CN" w:eastAsia="zh-CN"/>
              </w:rPr>
              <w:t>。</w:t>
            </w:r>
          </w:p>
        </w:tc>
      </w:tr>
      <w:tr w14:paraId="3A5A9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1242" w:type="dxa"/>
            <w:noWrap w:val="0"/>
            <w:vAlign w:val="top"/>
          </w:tcPr>
          <w:p w14:paraId="70C5D5BD">
            <w:pPr>
              <w:pStyle w:val="255"/>
              <w:jc w:val="center"/>
              <w:rPr>
                <w:rFonts w:ascii="Times New Roman" w:hAnsi="Times New Roman" w:eastAsia="宋体" w:cs="Times New Roman"/>
                <w:sz w:val="21"/>
                <w:szCs w:val="21"/>
                <w:vertAlign w:val="baseline"/>
                <w:lang w:val="zh-CN" w:eastAsia="zh-CN"/>
              </w:rPr>
            </w:pPr>
          </w:p>
          <w:p w14:paraId="579BA322">
            <w:pPr>
              <w:pStyle w:val="255"/>
              <w:jc w:val="center"/>
              <w:rPr>
                <w:rFonts w:ascii="Times New Roman" w:hAnsi="Times New Roman" w:eastAsia="宋体" w:cs="Times New Roman"/>
                <w:sz w:val="21"/>
                <w:szCs w:val="21"/>
                <w:vertAlign w:val="baseline"/>
                <w:lang w:val="zh-CN" w:eastAsia="zh-CN"/>
              </w:rPr>
            </w:pPr>
          </w:p>
          <w:p w14:paraId="77A4FBBB">
            <w:pPr>
              <w:pStyle w:val="255"/>
              <w:jc w:val="center"/>
              <w:rPr>
                <w:rFonts w:ascii="Times New Roman" w:hAnsi="Times New Roman" w:eastAsia="宋体" w:cs="Times New Roman"/>
                <w:sz w:val="21"/>
                <w:szCs w:val="21"/>
                <w:vertAlign w:val="baseline"/>
                <w:lang w:val="zh-CN" w:eastAsia="zh-CN"/>
              </w:rPr>
            </w:pPr>
          </w:p>
          <w:p w14:paraId="59707464">
            <w:pPr>
              <w:pStyle w:val="255"/>
              <w:jc w:val="center"/>
              <w:rPr>
                <w:rFonts w:ascii="Times New Roman" w:hAnsi="Times New Roman" w:eastAsia="宋体" w:cs="Times New Roman"/>
                <w:sz w:val="21"/>
                <w:szCs w:val="21"/>
                <w:vertAlign w:val="baseline"/>
                <w:lang w:val="zh-CN" w:eastAsia="zh-CN"/>
              </w:rPr>
            </w:pPr>
          </w:p>
          <w:p w14:paraId="55A73D5B">
            <w:pPr>
              <w:pStyle w:val="255"/>
              <w:jc w:val="center"/>
              <w:rPr>
                <w:rFonts w:ascii="Times New Roman" w:hAnsi="Times New Roman" w:eastAsia="宋体" w:cs="Times New Roman"/>
                <w:sz w:val="21"/>
                <w:szCs w:val="21"/>
                <w:vertAlign w:val="baseline"/>
                <w:lang w:val="zh-CN" w:eastAsia="zh-CN"/>
              </w:rPr>
            </w:pPr>
          </w:p>
          <w:p w14:paraId="57D32A34">
            <w:pPr>
              <w:pStyle w:val="255"/>
              <w:jc w:val="center"/>
              <w:rPr>
                <w:rFonts w:ascii="Times New Roman" w:hAnsi="Times New Roman" w:eastAsia="宋体" w:cs="Times New Roman"/>
                <w:sz w:val="21"/>
                <w:szCs w:val="21"/>
                <w:vertAlign w:val="baseline"/>
                <w:lang w:val="zh-CN" w:eastAsia="zh-CN"/>
              </w:rPr>
            </w:pPr>
          </w:p>
          <w:p w14:paraId="6C69F0E2">
            <w:pPr>
              <w:pStyle w:val="255"/>
              <w:jc w:val="center"/>
              <w:rPr>
                <w:rFonts w:ascii="Times New Roman" w:hAnsi="Times New Roman" w:eastAsia="宋体" w:cs="Times New Roman"/>
                <w:sz w:val="21"/>
                <w:szCs w:val="21"/>
                <w:vertAlign w:val="baseline"/>
                <w:lang w:val="zh-CN" w:eastAsia="zh-CN"/>
              </w:rPr>
            </w:pPr>
          </w:p>
          <w:p w14:paraId="6C3E4E25">
            <w:pPr>
              <w:pStyle w:val="255"/>
              <w:ind w:left="0" w:firstLine="0"/>
              <w:jc w:val="center"/>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应急处理处置方法</w:t>
            </w:r>
          </w:p>
        </w:tc>
        <w:tc>
          <w:tcPr>
            <w:tcW w:w="7707" w:type="dxa"/>
            <w:gridSpan w:val="3"/>
            <w:noWrap w:val="0"/>
            <w:vAlign w:val="center"/>
          </w:tcPr>
          <w:p w14:paraId="72161008">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一、泄漏应急处理</w:t>
            </w:r>
          </w:p>
          <w:p w14:paraId="7B605618">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疏散泄漏污染区人员至安全区，禁止无关人员进入污染区，切断火源。建议应急处理人员戴自给式呼吸器，穿化学防护服。不要直接接触泄漏物，在确保安全情况下堵漏。用沙土或其它不燃性吸附剂混合吸收，然后收集运至废物处理场所处置。也可以将地面洒上苏打灰</w:t>
            </w:r>
            <w:r>
              <w:rPr>
                <w:rFonts w:hint="eastAsia" w:ascii="Times New Roman" w:hAnsi="Times New Roman" w:eastAsia="宋体" w:cs="Times New Roman"/>
                <w:sz w:val="21"/>
                <w:szCs w:val="21"/>
                <w:vertAlign w:val="baseline"/>
                <w:lang w:val="zh-CN" w:eastAsia="zh-CN"/>
              </w:rPr>
              <w:t>，</w:t>
            </w:r>
            <w:r>
              <w:rPr>
                <w:rFonts w:ascii="Times New Roman" w:hAnsi="Times New Roman" w:eastAsia="宋体" w:cs="Times New Roman"/>
                <w:sz w:val="21"/>
                <w:szCs w:val="21"/>
                <w:vertAlign w:val="baseline"/>
                <w:lang w:val="zh-CN" w:eastAsia="zh-CN"/>
              </w:rPr>
              <w:t>用大量水冲洗，经稀释的洗水放入废水系统。如果大量泄漏，利用围堤收容，然后收集、转移、回收或无害处理后废弃。</w:t>
            </w:r>
          </w:p>
          <w:p w14:paraId="03939764">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二、防护措施</w:t>
            </w:r>
          </w:p>
          <w:p w14:paraId="29D4C73A">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呼吸系统防护：空气中浓度超标时，应该佩带防毒面具。紧急事态抢救或逃生时，建议  佩带自给式呼吸器。</w:t>
            </w:r>
          </w:p>
          <w:p w14:paraId="3FA1F066">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眼睛防护：戴化学安全防护眼镜。</w:t>
            </w:r>
          </w:p>
          <w:p w14:paraId="316E5EA4">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防护服：穿工作服（防腐材料制作）。手防护：戴橡皮手套。</w:t>
            </w:r>
          </w:p>
          <w:p w14:paraId="5D3CDDFD">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其它：工作后，淋浴更衣。注意个人清洁卫生。三、急救措施</w:t>
            </w:r>
          </w:p>
          <w:p w14:paraId="191D22F4">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皮肤接触：脱去污染的衣着，立即用水冲洗至少15 分钟。若有灼伤，就医治疗。眼睛接触：立即提起眼睑，用流动清水或生理盐水冲洗至少15 分钟。就医。</w:t>
            </w:r>
          </w:p>
          <w:p w14:paraId="2DB10254">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吸入：迅速脱离现场至空气新鲜处。保持呼吸道通畅。呼吸困难时给输氧。给予2-4%</w:t>
            </w:r>
          </w:p>
          <w:p w14:paraId="67A3B1E9">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碳酸氢钠溶液雾化吸入。就医。</w:t>
            </w:r>
          </w:p>
          <w:p w14:paraId="71AD218A">
            <w:pPr>
              <w:pStyle w:val="255"/>
              <w:keepNext w:val="0"/>
              <w:keepLines w:val="0"/>
              <w:pageBreakBefore w:val="0"/>
              <w:widowControl/>
              <w:spacing w:after="0"/>
              <w:ind w:left="0" w:firstLine="0"/>
              <w:jc w:val="both"/>
              <w:rPr>
                <w:rFonts w:ascii="Times New Roman" w:hAnsi="Times New Roman" w:eastAsia="宋体" w:cs="Times New Roman"/>
                <w:sz w:val="21"/>
                <w:szCs w:val="21"/>
                <w:vertAlign w:val="baseline"/>
                <w:lang w:val="zh-CN" w:eastAsia="zh-CN"/>
              </w:rPr>
            </w:pPr>
            <w:r>
              <w:rPr>
                <w:rFonts w:ascii="Times New Roman" w:hAnsi="Times New Roman" w:eastAsia="宋体" w:cs="Times New Roman"/>
                <w:sz w:val="21"/>
                <w:szCs w:val="21"/>
                <w:vertAlign w:val="baseline"/>
                <w:lang w:val="zh-CN" w:eastAsia="zh-CN"/>
              </w:rPr>
              <w:t>食入：误服者立即漱口，给饮牛奶或蛋清。立即就医。 灭火方法：雾状水、砂土、泡沫、二氧化碳。</w:t>
            </w:r>
          </w:p>
        </w:tc>
      </w:tr>
    </w:tbl>
    <w:p w14:paraId="11231497">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hint="eastAsia" w:ascii="Times New Roman" w:hAnsi="Times New Roman" w:cs="Times New Roman"/>
          <w:color w:val="000000"/>
          <w:sz w:val="24"/>
          <w:szCs w:val="24"/>
          <w:lang w:val="en-US" w:eastAsia="zh-CN" w:bidi="ar-SA"/>
        </w:rPr>
        <w:t>根</w:t>
      </w:r>
      <w:r>
        <w:rPr>
          <w:rFonts w:ascii="Times New Roman" w:hAnsi="Times New Roman" w:cs="Times New Roman"/>
          <w:color w:val="000000"/>
          <w:sz w:val="24"/>
          <w:szCs w:val="24"/>
          <w:lang w:val="zh-CN" w:eastAsia="zh-CN" w:bidi="ar-SA"/>
        </w:rPr>
        <w:t>据项目工艺流程，项目所得产品为最终产品，无中间产品、副产品及次生产品产生；最终产品胶粘剂主要成分分别为脲醛树脂、酚醛树脂等高分子聚合物，不涉及的危险物质。</w:t>
      </w:r>
    </w:p>
    <w:p w14:paraId="5AE8774F">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火灾和爆炸伴生物/次生物：发生火灾或爆炸情况下，可能会产生 SO2、CO 等气态危险物质，具有较强危险毒性。</w:t>
      </w:r>
    </w:p>
    <w:p w14:paraId="554E8ABB">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hint="eastAsia"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2</w:t>
      </w:r>
      <w:r>
        <w:rPr>
          <w:rFonts w:hint="eastAsia" w:ascii="Times New Roman" w:hAnsi="Times New Roman" w:cs="Times New Roman"/>
          <w:color w:val="000000"/>
          <w:sz w:val="24"/>
          <w:szCs w:val="24"/>
          <w:lang w:val="zh-CN" w:eastAsia="zh-CN" w:bidi="ar-SA"/>
        </w:rPr>
        <w:t>）</w:t>
      </w:r>
      <w:r>
        <w:rPr>
          <w:rFonts w:ascii="Times New Roman" w:hAnsi="Times New Roman" w:cs="Times New Roman"/>
          <w:color w:val="000000"/>
          <w:sz w:val="24"/>
          <w:szCs w:val="24"/>
          <w:lang w:val="zh-CN" w:eastAsia="zh-CN" w:bidi="ar-SA"/>
        </w:rPr>
        <w:t>生产系统危险性识别</w:t>
      </w:r>
    </w:p>
    <w:p w14:paraId="30568A5D">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生产系统危险性识别，包括主要生产装置、储运设备、公用工程和辅助生产设施，以及环境保护设施等。</w:t>
      </w:r>
    </w:p>
    <w:p w14:paraId="5B885EE5">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项目生产过程物料大多处于密闭的生产设备和输送管道中，项目生产系统风险主要存在反应釜、原料储罐区等。按照项目生产工艺流程和平面布置，结合物质危险性识别，项目危险单元划分情况如下：</w:t>
      </w:r>
    </w:p>
    <w:p w14:paraId="3B982607">
      <w:pPr>
        <w:widowControl w:val="0"/>
        <w:tabs>
          <w:tab w:val="left" w:pos="1159"/>
        </w:tabs>
        <w:spacing w:before="0" w:after="29" w:line="282" w:lineRule="exact"/>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ascii="Times New Roman" w:hAnsi="Times New Roman" w:eastAsia="宋体" w:cs="Times New Roman"/>
          <w:b/>
          <w:bCs/>
          <w:spacing w:val="-61"/>
          <w:sz w:val="24"/>
          <w:szCs w:val="24"/>
          <w:lang w:val="zh-CN" w:eastAsia="zh-CN" w:bidi="zh-CN"/>
        </w:rPr>
        <w:t xml:space="preserve"> </w:t>
      </w:r>
      <w:r>
        <w:rPr>
          <w:rFonts w:hint="eastAsia" w:ascii="Times New Roman" w:hAnsi="Times New Roman" w:eastAsia="宋体" w:cs="Times New Roman"/>
          <w:b/>
          <w:bCs/>
          <w:sz w:val="24"/>
          <w:szCs w:val="24"/>
          <w:lang w:val="en-US" w:eastAsia="zh-CN" w:bidi="zh-CN"/>
        </w:rPr>
        <w:t>7.2</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9</w:t>
      </w:r>
      <w:r>
        <w:rPr>
          <w:rFonts w:ascii="Times New Roman" w:hAnsi="Times New Roman" w:eastAsia="宋体" w:cs="Times New Roman"/>
          <w:b/>
          <w:bCs/>
          <w:sz w:val="24"/>
          <w:szCs w:val="24"/>
          <w:lang w:val="zh-CN" w:eastAsia="zh-CN" w:bidi="zh-CN"/>
        </w:rPr>
        <w:tab/>
      </w:r>
      <w:r>
        <w:rPr>
          <w:rFonts w:ascii="Times New Roman" w:hAnsi="Times New Roman" w:eastAsia="宋体" w:cs="Times New Roman"/>
          <w:b/>
          <w:bCs/>
          <w:sz w:val="24"/>
          <w:szCs w:val="24"/>
          <w:lang w:val="zh-CN" w:eastAsia="zh-CN" w:bidi="zh-CN"/>
        </w:rPr>
        <w:t>项目危险单元划分情况一览表</w:t>
      </w:r>
    </w:p>
    <w:tbl>
      <w:tblPr>
        <w:tblStyle w:val="32"/>
        <w:tblW w:w="92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839"/>
        <w:gridCol w:w="1023"/>
        <w:gridCol w:w="1514"/>
        <w:gridCol w:w="1838"/>
        <w:gridCol w:w="1184"/>
        <w:gridCol w:w="1164"/>
        <w:gridCol w:w="1647"/>
      </w:tblGrid>
      <w:tr w14:paraId="54DE9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839" w:type="dxa"/>
            <w:noWrap w:val="0"/>
            <w:vAlign w:val="center"/>
          </w:tcPr>
          <w:p w14:paraId="1E1EE24B">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序号</w:t>
            </w:r>
          </w:p>
        </w:tc>
        <w:tc>
          <w:tcPr>
            <w:tcW w:w="1023" w:type="dxa"/>
            <w:noWrap w:val="0"/>
            <w:vAlign w:val="center"/>
          </w:tcPr>
          <w:p w14:paraId="29037498">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危险单元</w:t>
            </w:r>
          </w:p>
        </w:tc>
        <w:tc>
          <w:tcPr>
            <w:tcW w:w="1514" w:type="dxa"/>
            <w:noWrap w:val="0"/>
            <w:vAlign w:val="center"/>
          </w:tcPr>
          <w:p w14:paraId="5CA3EEE8">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潜在风险源</w:t>
            </w:r>
          </w:p>
        </w:tc>
        <w:tc>
          <w:tcPr>
            <w:tcW w:w="1838" w:type="dxa"/>
            <w:noWrap w:val="0"/>
            <w:vAlign w:val="center"/>
          </w:tcPr>
          <w:p w14:paraId="75D3CA10">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主要危险物质</w:t>
            </w:r>
          </w:p>
        </w:tc>
        <w:tc>
          <w:tcPr>
            <w:tcW w:w="1184" w:type="dxa"/>
            <w:noWrap w:val="0"/>
            <w:vAlign w:val="center"/>
          </w:tcPr>
          <w:p w14:paraId="328CB853">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危险性</w:t>
            </w:r>
          </w:p>
        </w:tc>
        <w:tc>
          <w:tcPr>
            <w:tcW w:w="1164" w:type="dxa"/>
            <w:noWrap w:val="0"/>
            <w:vAlign w:val="center"/>
          </w:tcPr>
          <w:p w14:paraId="5AB2D7B7">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存在条件</w:t>
            </w:r>
          </w:p>
        </w:tc>
        <w:tc>
          <w:tcPr>
            <w:tcW w:w="1647" w:type="dxa"/>
            <w:noWrap w:val="0"/>
            <w:vAlign w:val="center"/>
          </w:tcPr>
          <w:p w14:paraId="739D4761">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触发因素</w:t>
            </w:r>
          </w:p>
        </w:tc>
      </w:tr>
      <w:tr w14:paraId="4AC6B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9" w:hRule="atLeast"/>
          <w:jc w:val="center"/>
        </w:trPr>
        <w:tc>
          <w:tcPr>
            <w:tcW w:w="839" w:type="dxa"/>
            <w:noWrap w:val="0"/>
            <w:vAlign w:val="center"/>
          </w:tcPr>
          <w:p w14:paraId="48168D2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w:t>
            </w:r>
          </w:p>
        </w:tc>
        <w:tc>
          <w:tcPr>
            <w:tcW w:w="1023" w:type="dxa"/>
            <w:noWrap w:val="0"/>
            <w:vAlign w:val="center"/>
          </w:tcPr>
          <w:p w14:paraId="0E32A76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生产区</w:t>
            </w:r>
          </w:p>
        </w:tc>
        <w:tc>
          <w:tcPr>
            <w:tcW w:w="1514" w:type="dxa"/>
            <w:noWrap w:val="0"/>
            <w:vAlign w:val="center"/>
          </w:tcPr>
          <w:p w14:paraId="6D6E79E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反应釜</w:t>
            </w:r>
          </w:p>
        </w:tc>
        <w:tc>
          <w:tcPr>
            <w:tcW w:w="1838" w:type="dxa"/>
            <w:noWrap w:val="0"/>
            <w:vAlign w:val="center"/>
          </w:tcPr>
          <w:p w14:paraId="1D4B07E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甲醛、苯酚、甲酸</w:t>
            </w:r>
          </w:p>
        </w:tc>
        <w:tc>
          <w:tcPr>
            <w:tcW w:w="1184" w:type="dxa"/>
            <w:vMerge w:val="restart"/>
            <w:noWrap w:val="0"/>
            <w:vAlign w:val="center"/>
          </w:tcPr>
          <w:p w14:paraId="27FF757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有毒有害、易燃易爆</w:t>
            </w:r>
          </w:p>
        </w:tc>
        <w:tc>
          <w:tcPr>
            <w:tcW w:w="1164" w:type="dxa"/>
            <w:noWrap w:val="0"/>
            <w:vAlign w:val="center"/>
          </w:tcPr>
          <w:p w14:paraId="6F766DD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气态、液态</w:t>
            </w:r>
          </w:p>
        </w:tc>
        <w:tc>
          <w:tcPr>
            <w:tcW w:w="1647" w:type="dxa"/>
            <w:noWrap w:val="0"/>
            <w:vAlign w:val="center"/>
          </w:tcPr>
          <w:p w14:paraId="36792EB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泄漏、火灾、爆炸</w:t>
            </w:r>
          </w:p>
        </w:tc>
      </w:tr>
      <w:tr w14:paraId="7A750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06" w:hRule="atLeast"/>
          <w:jc w:val="center"/>
        </w:trPr>
        <w:tc>
          <w:tcPr>
            <w:tcW w:w="839" w:type="dxa"/>
            <w:noWrap w:val="0"/>
            <w:vAlign w:val="center"/>
          </w:tcPr>
          <w:p w14:paraId="364D73D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w:t>
            </w:r>
          </w:p>
        </w:tc>
        <w:tc>
          <w:tcPr>
            <w:tcW w:w="1023" w:type="dxa"/>
            <w:noWrap w:val="0"/>
            <w:vAlign w:val="center"/>
          </w:tcPr>
          <w:p w14:paraId="522B5D3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储罐区</w:t>
            </w:r>
          </w:p>
        </w:tc>
        <w:tc>
          <w:tcPr>
            <w:tcW w:w="1514" w:type="dxa"/>
            <w:noWrap w:val="0"/>
            <w:vAlign w:val="center"/>
          </w:tcPr>
          <w:p w14:paraId="08F13E8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原料储罐</w:t>
            </w:r>
          </w:p>
        </w:tc>
        <w:tc>
          <w:tcPr>
            <w:tcW w:w="1838" w:type="dxa"/>
            <w:noWrap w:val="0"/>
            <w:vAlign w:val="center"/>
          </w:tcPr>
          <w:p w14:paraId="08940BA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甲醛、苯酚、甲酸</w:t>
            </w:r>
          </w:p>
        </w:tc>
        <w:tc>
          <w:tcPr>
            <w:tcW w:w="1184" w:type="dxa"/>
            <w:vMerge w:val="continue"/>
            <w:noWrap w:val="0"/>
            <w:vAlign w:val="center"/>
          </w:tcPr>
          <w:p w14:paraId="640B57C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164" w:type="dxa"/>
            <w:noWrap w:val="0"/>
            <w:vAlign w:val="center"/>
          </w:tcPr>
          <w:p w14:paraId="027E210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气态、液态</w:t>
            </w:r>
          </w:p>
        </w:tc>
        <w:tc>
          <w:tcPr>
            <w:tcW w:w="1647" w:type="dxa"/>
            <w:noWrap w:val="0"/>
            <w:vAlign w:val="center"/>
          </w:tcPr>
          <w:p w14:paraId="213E8AA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泄漏、火灾、爆炸</w:t>
            </w:r>
          </w:p>
        </w:tc>
      </w:tr>
    </w:tbl>
    <w:p w14:paraId="0109C2E6">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项目涉及的危险物质中，甲醛在厂区最大存在量与临界量比值最大，在厂区主要存在于原料储罐区，因此，本项目的重点风险源为甲醛储罐。</w:t>
      </w:r>
    </w:p>
    <w:p w14:paraId="45F9B3D6">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hint="eastAsia"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3</w:t>
      </w:r>
      <w:r>
        <w:rPr>
          <w:rFonts w:hint="eastAsia" w:ascii="Times New Roman" w:hAnsi="Times New Roman" w:cs="Times New Roman"/>
          <w:color w:val="000000"/>
          <w:sz w:val="24"/>
          <w:szCs w:val="24"/>
          <w:lang w:val="zh-CN" w:eastAsia="zh-CN" w:bidi="ar-SA"/>
        </w:rPr>
        <w:t>）</w:t>
      </w:r>
      <w:r>
        <w:rPr>
          <w:rFonts w:ascii="Times New Roman" w:hAnsi="Times New Roman" w:cs="Times New Roman"/>
          <w:color w:val="000000"/>
          <w:sz w:val="24"/>
          <w:szCs w:val="24"/>
          <w:lang w:val="zh-CN" w:eastAsia="zh-CN" w:bidi="ar-SA"/>
        </w:rPr>
        <w:t>环境风险类型及危害分析</w:t>
      </w:r>
    </w:p>
    <w:p w14:paraId="544D0AA9">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环境风险类型包括危险物质泄漏，火灾、爆炸等引发的伴生/次生污染物排放。项目生产过程中涉及的危险物质有甲醛、苯酚、甲酸，以上物质均属于易燃易爆物质，具有毒性。通过对项目物质及生产系统危险性的分析，项目可能发生的环境风险类型为危险物质泄漏和火灾、爆炸引发的伴生/次生污染物排放。</w:t>
      </w:r>
    </w:p>
    <w:p w14:paraId="580D8348">
      <w:pPr>
        <w:keepNext w:val="0"/>
        <w:keepLines w:val="0"/>
        <w:pageBreakBefore w:val="0"/>
        <w:widowControl w:val="0"/>
        <w:numPr>
          <w:ilvl w:val="0"/>
          <w:numId w:val="0"/>
        </w:numPr>
        <w:tabs>
          <w:tab w:val="left" w:pos="1849"/>
        </w:tabs>
        <w:spacing w:after="0"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项目生产装置、输送管道甲醛、苯酚、甲酸，储罐中的甲醛、苯酚、甲酸可能由于设施受损或人员违规操作等原因发生泄漏，甲醇和甲醛易挥发，可能导致有害气体污染区域环境空气，泄漏物质如果通过排污管、排洪沟等流入地表水体中会污染水体，泄漏物质流经未硬化地块还可能会下渗污染厂区周围地下水。甲醛、苯酚、甲酸均属于易燃易爆物质，发生火灾爆炸会产生燃烧废气和消防废水，燃烧废气会污染区域环境空气，消防废水如果不能有效收集，则可能污染区域地表水体和厂区周围地下水。因此，项目危险物质向环境转移的可能途径为大气、地表水和地下水。</w:t>
      </w:r>
    </w:p>
    <w:p w14:paraId="0F127E1D">
      <w:pPr>
        <w:keepNext w:val="0"/>
        <w:keepLines w:val="0"/>
        <w:pageBreakBefore w:val="0"/>
        <w:widowControl w:val="0"/>
        <w:numPr>
          <w:ilvl w:val="0"/>
          <w:numId w:val="0"/>
        </w:numPr>
        <w:tabs>
          <w:tab w:val="left" w:pos="1849"/>
        </w:tabs>
        <w:spacing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综上分析，项目环境风险识别见下表。</w:t>
      </w:r>
    </w:p>
    <w:p w14:paraId="237DDB3B">
      <w:pPr>
        <w:pStyle w:val="2"/>
        <w:rPr>
          <w:lang w:val="zh-CN" w:eastAsia="zh-CN"/>
        </w:rPr>
      </w:pPr>
    </w:p>
    <w:p w14:paraId="463AFE96">
      <w:pPr>
        <w:keepNext w:val="0"/>
        <w:keepLines w:val="0"/>
        <w:pageBreakBefore w:val="0"/>
        <w:widowControl w:val="0"/>
        <w:tabs>
          <w:tab w:val="left" w:pos="1159"/>
        </w:tabs>
        <w:spacing w:before="0" w:after="0" w:line="360" w:lineRule="auto"/>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ascii="Times New Roman" w:hAnsi="Times New Roman" w:eastAsia="宋体" w:cs="Times New Roman"/>
          <w:b/>
          <w:bCs/>
          <w:spacing w:val="-61"/>
          <w:sz w:val="24"/>
          <w:szCs w:val="24"/>
          <w:lang w:val="zh-CN" w:eastAsia="zh-CN" w:bidi="zh-CN"/>
        </w:rPr>
        <w:t xml:space="preserve"> </w:t>
      </w:r>
      <w:r>
        <w:rPr>
          <w:rFonts w:hint="eastAsia" w:ascii="Times New Roman" w:hAnsi="Times New Roman" w:eastAsia="宋体" w:cs="Times New Roman"/>
          <w:b/>
          <w:bCs/>
          <w:sz w:val="24"/>
          <w:szCs w:val="24"/>
          <w:lang w:val="en-US" w:eastAsia="zh-CN" w:bidi="zh-CN"/>
        </w:rPr>
        <w:t>7.2</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10</w:t>
      </w:r>
      <w:r>
        <w:rPr>
          <w:rFonts w:ascii="Times New Roman" w:hAnsi="Times New Roman" w:eastAsia="宋体" w:cs="Times New Roman"/>
          <w:b/>
          <w:bCs/>
          <w:sz w:val="24"/>
          <w:szCs w:val="24"/>
          <w:lang w:val="zh-CN" w:eastAsia="zh-CN" w:bidi="zh-CN"/>
        </w:rPr>
        <w:tab/>
      </w:r>
      <w:r>
        <w:rPr>
          <w:rFonts w:ascii="Times New Roman" w:hAnsi="Times New Roman" w:eastAsia="宋体" w:cs="Times New Roman"/>
          <w:b/>
          <w:bCs/>
          <w:sz w:val="24"/>
          <w:szCs w:val="24"/>
          <w:lang w:val="zh-CN" w:eastAsia="zh-CN" w:bidi="zh-CN"/>
        </w:rPr>
        <w:t>项目环境风险识别表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009"/>
        <w:gridCol w:w="1357"/>
        <w:gridCol w:w="1798"/>
        <w:gridCol w:w="1933"/>
        <w:gridCol w:w="913"/>
        <w:gridCol w:w="1479"/>
      </w:tblGrid>
      <w:tr w14:paraId="0E35F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457" w:type="dxa"/>
            <w:noWrap w:val="0"/>
            <w:vAlign w:val="center"/>
          </w:tcPr>
          <w:p w14:paraId="63F4EBA9">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序</w:t>
            </w:r>
          </w:p>
          <w:p w14:paraId="2733DBF1">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号</w:t>
            </w:r>
          </w:p>
        </w:tc>
        <w:tc>
          <w:tcPr>
            <w:tcW w:w="1009" w:type="dxa"/>
            <w:noWrap w:val="0"/>
            <w:vAlign w:val="center"/>
          </w:tcPr>
          <w:p w14:paraId="4A414556">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危险单元</w:t>
            </w:r>
          </w:p>
        </w:tc>
        <w:tc>
          <w:tcPr>
            <w:tcW w:w="1357" w:type="dxa"/>
            <w:noWrap w:val="0"/>
            <w:vAlign w:val="center"/>
          </w:tcPr>
          <w:p w14:paraId="0503F3AF">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风险源</w:t>
            </w:r>
          </w:p>
        </w:tc>
        <w:tc>
          <w:tcPr>
            <w:tcW w:w="1798" w:type="dxa"/>
            <w:noWrap w:val="0"/>
            <w:vAlign w:val="center"/>
          </w:tcPr>
          <w:p w14:paraId="2940D32B">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主要危险物质</w:t>
            </w:r>
          </w:p>
        </w:tc>
        <w:tc>
          <w:tcPr>
            <w:tcW w:w="1933" w:type="dxa"/>
            <w:noWrap w:val="0"/>
            <w:vAlign w:val="center"/>
          </w:tcPr>
          <w:p w14:paraId="2C7CA065">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环境风险类型</w:t>
            </w:r>
          </w:p>
        </w:tc>
        <w:tc>
          <w:tcPr>
            <w:tcW w:w="913" w:type="dxa"/>
            <w:noWrap w:val="0"/>
            <w:vAlign w:val="center"/>
          </w:tcPr>
          <w:p w14:paraId="3947FA08">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环境影</w:t>
            </w:r>
          </w:p>
          <w:p w14:paraId="0C666A51">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响途径</w:t>
            </w:r>
          </w:p>
        </w:tc>
        <w:tc>
          <w:tcPr>
            <w:tcW w:w="1479" w:type="dxa"/>
            <w:noWrap w:val="0"/>
            <w:vAlign w:val="center"/>
          </w:tcPr>
          <w:p w14:paraId="42A77FD0">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可能受影响的</w:t>
            </w:r>
          </w:p>
          <w:p w14:paraId="57732E51">
            <w:pPr>
              <w:widowControl w:val="0"/>
              <w:spacing w:before="171" w:after="0" w:line="240" w:lineRule="auto"/>
              <w:ind w:left="0" w:right="32" w:firstLine="0"/>
              <w:jc w:val="center"/>
              <w:rPr>
                <w:rFonts w:ascii="Times New Roman" w:hAnsi="Times New Roman" w:eastAsia="宋体" w:cs="Times New Roman"/>
                <w:b/>
                <w:bCs/>
                <w:sz w:val="21"/>
                <w:szCs w:val="22"/>
                <w:lang w:val="zh-CN" w:eastAsia="zh-CN" w:bidi="zh-CN"/>
              </w:rPr>
            </w:pPr>
            <w:r>
              <w:rPr>
                <w:rFonts w:ascii="Times New Roman" w:hAnsi="Times New Roman" w:eastAsia="宋体" w:cs="Times New Roman"/>
                <w:b/>
                <w:bCs/>
                <w:sz w:val="21"/>
                <w:szCs w:val="22"/>
                <w:lang w:val="zh-CN" w:eastAsia="zh-CN" w:bidi="zh-CN"/>
              </w:rPr>
              <w:t>环境敏感目标</w:t>
            </w:r>
          </w:p>
        </w:tc>
      </w:tr>
      <w:tr w14:paraId="3B92C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57" w:type="dxa"/>
            <w:noWrap w:val="0"/>
            <w:vAlign w:val="center"/>
          </w:tcPr>
          <w:p w14:paraId="301D445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w:t>
            </w:r>
          </w:p>
        </w:tc>
        <w:tc>
          <w:tcPr>
            <w:tcW w:w="1009" w:type="dxa"/>
            <w:noWrap w:val="0"/>
            <w:vAlign w:val="center"/>
          </w:tcPr>
          <w:p w14:paraId="3F6F87B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生产区</w:t>
            </w:r>
          </w:p>
        </w:tc>
        <w:tc>
          <w:tcPr>
            <w:tcW w:w="1357" w:type="dxa"/>
            <w:noWrap w:val="0"/>
            <w:vAlign w:val="center"/>
          </w:tcPr>
          <w:p w14:paraId="3455802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生产装置</w:t>
            </w:r>
          </w:p>
        </w:tc>
        <w:tc>
          <w:tcPr>
            <w:tcW w:w="1798" w:type="dxa"/>
            <w:noWrap w:val="0"/>
            <w:vAlign w:val="center"/>
          </w:tcPr>
          <w:p w14:paraId="074344B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甲醛、苯酚、甲酸</w:t>
            </w:r>
          </w:p>
        </w:tc>
        <w:tc>
          <w:tcPr>
            <w:tcW w:w="1933" w:type="dxa"/>
            <w:noWrap w:val="0"/>
            <w:vAlign w:val="center"/>
          </w:tcPr>
          <w:p w14:paraId="02E6B06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泄漏、火灾和爆炸伴</w:t>
            </w:r>
          </w:p>
          <w:p w14:paraId="6AA46CD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生/次生物排放</w:t>
            </w:r>
          </w:p>
        </w:tc>
        <w:tc>
          <w:tcPr>
            <w:tcW w:w="913" w:type="dxa"/>
            <w:vMerge w:val="restart"/>
            <w:noWrap w:val="0"/>
            <w:vAlign w:val="center"/>
          </w:tcPr>
          <w:p w14:paraId="201FA72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大气、地表水、地下水</w:t>
            </w:r>
          </w:p>
        </w:tc>
        <w:tc>
          <w:tcPr>
            <w:tcW w:w="1479" w:type="dxa"/>
            <w:vMerge w:val="restart"/>
            <w:noWrap w:val="0"/>
            <w:vAlign w:val="center"/>
          </w:tcPr>
          <w:p w14:paraId="126E006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项目厂界外5km 大气环境、</w:t>
            </w:r>
            <w:r>
              <w:rPr>
                <w:rFonts w:hint="eastAsia" w:ascii="Times New Roman" w:hAnsi="Times New Roman" w:eastAsia="宋体" w:cs="Times New Roman"/>
                <w:sz w:val="21"/>
                <w:szCs w:val="22"/>
                <w:lang w:val="en-US" w:eastAsia="zh-CN" w:bidi="zh-CN"/>
              </w:rPr>
              <w:t>芒市大河</w:t>
            </w:r>
            <w:r>
              <w:rPr>
                <w:rFonts w:ascii="Times New Roman" w:hAnsi="Times New Roman" w:eastAsia="宋体" w:cs="Times New Roman"/>
                <w:sz w:val="21"/>
                <w:szCs w:val="22"/>
                <w:lang w:val="zh-CN" w:eastAsia="zh-CN" w:bidi="zh-CN"/>
              </w:rPr>
              <w:t>、厂区周围</w:t>
            </w:r>
            <w:r>
              <w:rPr>
                <w:rFonts w:hint="eastAsia" w:cs="Times New Roman"/>
                <w:sz w:val="21"/>
                <w:szCs w:val="22"/>
                <w:lang w:val="zh-CN" w:eastAsia="zh-CN" w:bidi="zh-CN"/>
              </w:rPr>
              <w:t>浅层地下水</w:t>
            </w:r>
          </w:p>
        </w:tc>
      </w:tr>
      <w:tr w14:paraId="4158C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57" w:type="dxa"/>
            <w:noWrap w:val="0"/>
            <w:vAlign w:val="center"/>
          </w:tcPr>
          <w:p w14:paraId="7724F7D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w:t>
            </w:r>
          </w:p>
        </w:tc>
        <w:tc>
          <w:tcPr>
            <w:tcW w:w="1009" w:type="dxa"/>
            <w:noWrap w:val="0"/>
            <w:vAlign w:val="center"/>
          </w:tcPr>
          <w:p w14:paraId="07E1C39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储罐区</w:t>
            </w:r>
          </w:p>
        </w:tc>
        <w:tc>
          <w:tcPr>
            <w:tcW w:w="1357" w:type="dxa"/>
            <w:noWrap w:val="0"/>
            <w:vAlign w:val="center"/>
          </w:tcPr>
          <w:p w14:paraId="531B5A0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原料储罐</w:t>
            </w:r>
          </w:p>
        </w:tc>
        <w:tc>
          <w:tcPr>
            <w:tcW w:w="1798" w:type="dxa"/>
            <w:noWrap w:val="0"/>
            <w:vAlign w:val="center"/>
          </w:tcPr>
          <w:p w14:paraId="483A487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甲醛、苯酚、甲酸</w:t>
            </w:r>
          </w:p>
        </w:tc>
        <w:tc>
          <w:tcPr>
            <w:tcW w:w="1933" w:type="dxa"/>
            <w:noWrap w:val="0"/>
            <w:vAlign w:val="center"/>
          </w:tcPr>
          <w:p w14:paraId="2C72033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泄漏、火灾和爆炸伴</w:t>
            </w:r>
          </w:p>
          <w:p w14:paraId="62A7A6D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生/次生物排放</w:t>
            </w:r>
          </w:p>
        </w:tc>
        <w:tc>
          <w:tcPr>
            <w:tcW w:w="913" w:type="dxa"/>
            <w:vMerge w:val="continue"/>
            <w:noWrap w:val="0"/>
            <w:vAlign w:val="center"/>
          </w:tcPr>
          <w:p w14:paraId="4521F9A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479" w:type="dxa"/>
            <w:vMerge w:val="continue"/>
            <w:noWrap w:val="0"/>
            <w:vAlign w:val="center"/>
          </w:tcPr>
          <w:p w14:paraId="7048832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r>
    </w:tbl>
    <w:p w14:paraId="0F1C820F">
      <w:pPr>
        <w:widowControl w:val="0"/>
        <w:spacing w:before="12" w:after="0" w:line="240" w:lineRule="auto"/>
        <w:ind w:left="0" w:right="0"/>
        <w:jc w:val="left"/>
        <w:rPr>
          <w:rFonts w:ascii="Times New Roman" w:hAnsi="Times New Roman" w:eastAsia="宋体" w:cs="Times New Roman"/>
          <w:sz w:val="21"/>
          <w:szCs w:val="24"/>
          <w:lang w:val="zh-CN" w:eastAsia="zh-CN" w:bidi="zh-CN"/>
        </w:rPr>
      </w:pPr>
    </w:p>
    <w:bookmarkEnd w:id="194"/>
    <w:p w14:paraId="2147B769">
      <w:pPr>
        <w:pStyle w:val="187"/>
        <w:keepNext/>
        <w:keepLines/>
        <w:pageBreakBefore w:val="0"/>
        <w:widowControl/>
        <w:rPr>
          <w:rFonts w:ascii="Times New Roman" w:hAnsi="Times New Roman"/>
          <w:bCs/>
          <w:color w:val="000000"/>
          <w:lang w:val="zh-CN" w:eastAsia="zh-CN"/>
        </w:rPr>
      </w:pPr>
      <w:bookmarkStart w:id="195" w:name="4.2.7.3.风险事故情形分析"/>
      <w:bookmarkStart w:id="196" w:name="_Toc2588"/>
      <w:r>
        <w:rPr>
          <w:rFonts w:hint="eastAsia" w:ascii="Times New Roman" w:hAnsi="Times New Roman"/>
          <w:bCs/>
          <w:color w:val="000000"/>
          <w:lang w:val="en-US" w:eastAsia="zh-CN"/>
        </w:rPr>
        <w:t>7.3</w:t>
      </w:r>
      <w:r>
        <w:rPr>
          <w:rFonts w:ascii="Times New Roman" w:hAnsi="Times New Roman"/>
          <w:bCs/>
          <w:color w:val="000000"/>
          <w:lang w:val="zh-CN" w:eastAsia="zh-CN"/>
        </w:rPr>
        <w:t>风险事故情形分析</w:t>
      </w:r>
      <w:bookmarkEnd w:id="195"/>
    </w:p>
    <w:p w14:paraId="33BB9080">
      <w:pPr>
        <w:keepNext w:val="0"/>
        <w:keepLines w:val="0"/>
        <w:pageBreakBefore w:val="0"/>
        <w:widowControl w:val="0"/>
        <w:numPr>
          <w:ilvl w:val="0"/>
          <w:numId w:val="0"/>
        </w:numPr>
        <w:tabs>
          <w:tab w:val="left" w:pos="1849"/>
        </w:tabs>
        <w:spacing w:line="360" w:lineRule="auto"/>
        <w:ind w:left="0" w:right="0" w:firstLine="480"/>
        <w:jc w:val="both"/>
        <w:rPr>
          <w:rFonts w:ascii="Times New Roman" w:hAnsi="Times New Roman" w:cs="Times New Roman"/>
          <w:color w:val="000000"/>
          <w:sz w:val="24"/>
          <w:szCs w:val="24"/>
          <w:lang w:val="zh-CN" w:eastAsia="zh-CN" w:bidi="ar-SA"/>
        </w:rPr>
      </w:pPr>
      <w:r>
        <w:rPr>
          <w:rFonts w:hint="eastAsia"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1</w:t>
      </w:r>
      <w:r>
        <w:rPr>
          <w:rFonts w:hint="eastAsia" w:ascii="Times New Roman" w:hAnsi="Times New Roman" w:cs="Times New Roman"/>
          <w:color w:val="000000"/>
          <w:sz w:val="24"/>
          <w:szCs w:val="24"/>
          <w:lang w:val="zh-CN" w:eastAsia="zh-CN" w:bidi="ar-SA"/>
        </w:rPr>
        <w:t>）</w:t>
      </w:r>
      <w:r>
        <w:rPr>
          <w:rFonts w:ascii="Times New Roman" w:hAnsi="Times New Roman" w:cs="Times New Roman"/>
          <w:color w:val="000000"/>
          <w:sz w:val="24"/>
          <w:szCs w:val="24"/>
          <w:lang w:val="zh-CN" w:eastAsia="zh-CN" w:bidi="ar-SA"/>
        </w:rPr>
        <w:t>风险事故情形设定</w:t>
      </w:r>
    </w:p>
    <w:p w14:paraId="3DD258E2">
      <w:pPr>
        <w:keepNext w:val="0"/>
        <w:keepLines w:val="0"/>
        <w:pageBreakBefore w:val="0"/>
        <w:widowControl w:val="0"/>
        <w:numPr>
          <w:ilvl w:val="0"/>
          <w:numId w:val="0"/>
        </w:numPr>
        <w:tabs>
          <w:tab w:val="left" w:pos="1849"/>
        </w:tabs>
        <w:spacing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在风险识别的基础上，选择对环境影响较大并具有代表性的事情类型，设定风险事故情形。根据前文对项目物质及生产系统风险识别，本项目风险事故情形设定见下表。</w:t>
      </w:r>
    </w:p>
    <w:p w14:paraId="248C832C">
      <w:pPr>
        <w:widowControl w:val="0"/>
        <w:tabs>
          <w:tab w:val="left" w:pos="1159"/>
        </w:tabs>
        <w:spacing w:before="1" w:after="27" w:line="240" w:lineRule="auto"/>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ascii="Times New Roman" w:hAnsi="Times New Roman" w:eastAsia="宋体" w:cs="Times New Roman"/>
          <w:b/>
          <w:bCs/>
          <w:spacing w:val="-61"/>
          <w:sz w:val="24"/>
          <w:szCs w:val="24"/>
          <w:lang w:val="zh-CN" w:eastAsia="zh-CN" w:bidi="zh-CN"/>
        </w:rPr>
        <w:t xml:space="preserve"> </w:t>
      </w:r>
      <w:r>
        <w:rPr>
          <w:rFonts w:ascii="Times New Roman" w:hAnsi="Times New Roman" w:eastAsia="宋体" w:cs="Times New Roman"/>
          <w:b/>
          <w:bCs/>
          <w:sz w:val="24"/>
          <w:szCs w:val="24"/>
          <w:lang w:val="en-US" w:eastAsia="zh-CN" w:bidi="zh-CN"/>
        </w:rPr>
        <w:t>7.3</w:t>
      </w:r>
      <w:r>
        <w:rPr>
          <w:rFonts w:ascii="Times New Roman" w:hAnsi="Times New Roman" w:eastAsia="宋体" w:cs="Times New Roman"/>
          <w:b/>
          <w:bCs/>
          <w:sz w:val="24"/>
          <w:szCs w:val="24"/>
          <w:lang w:val="zh-CN" w:eastAsia="zh-CN" w:bidi="zh-CN"/>
        </w:rPr>
        <w:t>-</w:t>
      </w:r>
      <w:r>
        <w:rPr>
          <w:rFonts w:ascii="Times New Roman" w:hAnsi="Times New Roman" w:eastAsia="宋体" w:cs="Times New Roman"/>
          <w:b/>
          <w:bCs/>
          <w:sz w:val="24"/>
          <w:szCs w:val="24"/>
          <w:lang w:val="en-US" w:eastAsia="zh-CN" w:bidi="zh-CN"/>
        </w:rPr>
        <w:t>1</w:t>
      </w:r>
      <w:r>
        <w:rPr>
          <w:rFonts w:ascii="Times New Roman" w:hAnsi="Times New Roman" w:eastAsia="宋体" w:cs="Times New Roman"/>
          <w:b/>
          <w:bCs/>
          <w:sz w:val="24"/>
          <w:szCs w:val="24"/>
          <w:lang w:val="zh-CN" w:eastAsia="zh-CN" w:bidi="zh-CN"/>
        </w:rPr>
        <w:tab/>
      </w:r>
      <w:r>
        <w:rPr>
          <w:rFonts w:ascii="Times New Roman" w:hAnsi="Times New Roman" w:eastAsia="宋体" w:cs="Times New Roman"/>
          <w:b/>
          <w:bCs/>
          <w:sz w:val="24"/>
          <w:szCs w:val="24"/>
          <w:lang w:val="zh-CN" w:eastAsia="zh-CN" w:bidi="zh-CN"/>
        </w:rPr>
        <w:t>项目风险事故情形设定表</w:t>
      </w:r>
    </w:p>
    <w:tbl>
      <w:tblPr>
        <w:tblStyle w:val="32"/>
        <w:tblW w:w="894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1016"/>
        <w:gridCol w:w="1539"/>
        <w:gridCol w:w="5479"/>
      </w:tblGrid>
      <w:tr w14:paraId="0876A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jc w:val="center"/>
        </w:trPr>
        <w:tc>
          <w:tcPr>
            <w:tcW w:w="912" w:type="dxa"/>
            <w:noWrap w:val="0"/>
            <w:vAlign w:val="top"/>
          </w:tcPr>
          <w:p w14:paraId="2516CCF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环境</w:t>
            </w:r>
          </w:p>
          <w:p w14:paraId="21C1421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要素</w:t>
            </w:r>
          </w:p>
        </w:tc>
        <w:tc>
          <w:tcPr>
            <w:tcW w:w="1016" w:type="dxa"/>
            <w:noWrap w:val="0"/>
            <w:vAlign w:val="top"/>
          </w:tcPr>
          <w:p w14:paraId="5C27910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风险源</w:t>
            </w:r>
          </w:p>
        </w:tc>
        <w:tc>
          <w:tcPr>
            <w:tcW w:w="1539" w:type="dxa"/>
            <w:noWrap w:val="0"/>
            <w:vAlign w:val="top"/>
          </w:tcPr>
          <w:p w14:paraId="0D0158F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环境风险类型</w:t>
            </w:r>
          </w:p>
        </w:tc>
        <w:tc>
          <w:tcPr>
            <w:tcW w:w="5479" w:type="dxa"/>
            <w:noWrap w:val="0"/>
            <w:vAlign w:val="top"/>
          </w:tcPr>
          <w:p w14:paraId="4282E65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风险事故情形</w:t>
            </w:r>
          </w:p>
        </w:tc>
      </w:tr>
      <w:tr w14:paraId="47CD7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912" w:type="dxa"/>
            <w:vMerge w:val="restart"/>
            <w:noWrap w:val="0"/>
            <w:vAlign w:val="top"/>
          </w:tcPr>
          <w:p w14:paraId="318869D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1CD5EDF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3A3862D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4EE7A16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5EAF445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5C1948C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4861646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01CAD5C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大气环境</w:t>
            </w:r>
          </w:p>
        </w:tc>
        <w:tc>
          <w:tcPr>
            <w:tcW w:w="1016" w:type="dxa"/>
            <w:vMerge w:val="restart"/>
            <w:noWrap w:val="0"/>
            <w:vAlign w:val="top"/>
          </w:tcPr>
          <w:p w14:paraId="1A9254F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6B01EFA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1E0CA5A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生产装置</w:t>
            </w:r>
          </w:p>
        </w:tc>
        <w:tc>
          <w:tcPr>
            <w:tcW w:w="1539" w:type="dxa"/>
            <w:noWrap w:val="0"/>
            <w:vAlign w:val="top"/>
          </w:tcPr>
          <w:p w14:paraId="56F4E58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w:t>
            </w:r>
          </w:p>
        </w:tc>
        <w:tc>
          <w:tcPr>
            <w:tcW w:w="5479" w:type="dxa"/>
            <w:noWrap w:val="0"/>
            <w:vAlign w:val="top"/>
          </w:tcPr>
          <w:p w14:paraId="68167D8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操作失误或设备故障，生产装置事故泄漏有害气体污染区</w:t>
            </w:r>
          </w:p>
          <w:p w14:paraId="01E47C4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域大气环境。</w:t>
            </w:r>
          </w:p>
        </w:tc>
      </w:tr>
      <w:tr w14:paraId="419B0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jc w:val="center"/>
        </w:trPr>
        <w:tc>
          <w:tcPr>
            <w:tcW w:w="912" w:type="dxa"/>
            <w:vMerge w:val="continue"/>
            <w:noWrap w:val="0"/>
            <w:vAlign w:val="top"/>
          </w:tcPr>
          <w:p w14:paraId="6860861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continue"/>
            <w:noWrap w:val="0"/>
            <w:vAlign w:val="top"/>
          </w:tcPr>
          <w:p w14:paraId="6A5367C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539" w:type="dxa"/>
            <w:noWrap w:val="0"/>
            <w:vAlign w:val="top"/>
          </w:tcPr>
          <w:p w14:paraId="24DBA6C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794F205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noWrap w:val="0"/>
            <w:vAlign w:val="top"/>
          </w:tcPr>
          <w:p w14:paraId="00CFA4D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操作失误或设备故障，生产装置事故泄漏引发火灾事故、爆炸事故。火灾爆炸事故产生的烟尘、CO、未完全燃烧的</w:t>
            </w:r>
          </w:p>
          <w:p w14:paraId="71607AE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甲醛等污染物污染区域大气环境。</w:t>
            </w:r>
          </w:p>
        </w:tc>
      </w:tr>
      <w:tr w14:paraId="7E461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jc w:val="center"/>
        </w:trPr>
        <w:tc>
          <w:tcPr>
            <w:tcW w:w="912" w:type="dxa"/>
            <w:vMerge w:val="continue"/>
            <w:noWrap w:val="0"/>
            <w:vAlign w:val="top"/>
          </w:tcPr>
          <w:p w14:paraId="75A5710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restart"/>
            <w:noWrap w:val="0"/>
            <w:vAlign w:val="top"/>
          </w:tcPr>
          <w:p w14:paraId="660842E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7C87B1E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3E4B955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尾气处理装置</w:t>
            </w:r>
          </w:p>
        </w:tc>
        <w:tc>
          <w:tcPr>
            <w:tcW w:w="1539" w:type="dxa"/>
            <w:noWrap w:val="0"/>
            <w:vAlign w:val="top"/>
          </w:tcPr>
          <w:p w14:paraId="325B39D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w:t>
            </w:r>
          </w:p>
        </w:tc>
        <w:tc>
          <w:tcPr>
            <w:tcW w:w="5479" w:type="dxa"/>
            <w:noWrap w:val="0"/>
            <w:vAlign w:val="top"/>
          </w:tcPr>
          <w:p w14:paraId="4714E52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尾气处理装置故障，尾气未经处理直接排放污染区域大气</w:t>
            </w:r>
          </w:p>
          <w:p w14:paraId="7204A7A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环境。</w:t>
            </w:r>
          </w:p>
        </w:tc>
      </w:tr>
      <w:tr w14:paraId="69C50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jc w:val="center"/>
        </w:trPr>
        <w:tc>
          <w:tcPr>
            <w:tcW w:w="912" w:type="dxa"/>
            <w:vMerge w:val="continue"/>
            <w:noWrap w:val="0"/>
            <w:vAlign w:val="top"/>
          </w:tcPr>
          <w:p w14:paraId="2FB85E7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continue"/>
            <w:noWrap w:val="0"/>
            <w:vAlign w:val="top"/>
          </w:tcPr>
          <w:p w14:paraId="15D7CDF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539" w:type="dxa"/>
            <w:noWrap w:val="0"/>
            <w:vAlign w:val="top"/>
          </w:tcPr>
          <w:p w14:paraId="23E1D31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4B20F04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noWrap w:val="0"/>
            <w:vAlign w:val="top"/>
          </w:tcPr>
          <w:p w14:paraId="3A2251A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操作失误或设备故障，尾气处理装置发生火灾、爆炸事故， 火灾爆炸事故产生的烟尘、CO 等污染物污染区域大气环</w:t>
            </w:r>
          </w:p>
          <w:p w14:paraId="210C50E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境。</w:t>
            </w:r>
          </w:p>
        </w:tc>
      </w:tr>
      <w:tr w14:paraId="230E6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jc w:val="center"/>
        </w:trPr>
        <w:tc>
          <w:tcPr>
            <w:tcW w:w="912" w:type="dxa"/>
            <w:vMerge w:val="continue"/>
            <w:noWrap w:val="0"/>
            <w:vAlign w:val="top"/>
          </w:tcPr>
          <w:p w14:paraId="0B10E91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restart"/>
            <w:noWrap w:val="0"/>
            <w:vAlign w:val="top"/>
          </w:tcPr>
          <w:p w14:paraId="3D4AEFB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19E1EB9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甲醛储罐</w:t>
            </w:r>
          </w:p>
        </w:tc>
        <w:tc>
          <w:tcPr>
            <w:tcW w:w="1539" w:type="dxa"/>
            <w:noWrap w:val="0"/>
            <w:vAlign w:val="top"/>
          </w:tcPr>
          <w:p w14:paraId="4DA18DD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w:t>
            </w:r>
          </w:p>
        </w:tc>
        <w:tc>
          <w:tcPr>
            <w:tcW w:w="5479" w:type="dxa"/>
            <w:noWrap w:val="0"/>
            <w:vAlign w:val="top"/>
          </w:tcPr>
          <w:p w14:paraId="77A1DA8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储罐区甲醛储罐由于事故原因导致甲醛泄漏，泄漏后液体</w:t>
            </w:r>
          </w:p>
          <w:p w14:paraId="5BF7CB7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大量蒸发，有害气体污染区域大气环境。</w:t>
            </w:r>
          </w:p>
        </w:tc>
      </w:tr>
      <w:tr w14:paraId="2B195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continue"/>
            <w:noWrap w:val="0"/>
            <w:vAlign w:val="top"/>
          </w:tcPr>
          <w:p w14:paraId="0A01458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continue"/>
            <w:noWrap w:val="0"/>
            <w:vAlign w:val="top"/>
          </w:tcPr>
          <w:p w14:paraId="22493D4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539" w:type="dxa"/>
            <w:noWrap w:val="0"/>
            <w:vAlign w:val="top"/>
          </w:tcPr>
          <w:p w14:paraId="2902484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火灾和爆炸伴生/次生物排放</w:t>
            </w:r>
          </w:p>
        </w:tc>
        <w:tc>
          <w:tcPr>
            <w:tcW w:w="5479" w:type="dxa"/>
            <w:noWrap w:val="0"/>
            <w:vAlign w:val="top"/>
          </w:tcPr>
          <w:p w14:paraId="18D674A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储罐区甲醛储罐由于事故原因导致甲醛泄漏，如遇明火，可能发生火灾爆炸事故，产生的烟尘、CO、未完全燃烧的</w:t>
            </w:r>
          </w:p>
          <w:p w14:paraId="4A5F749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甲醛等污染物污染区域大气环境。</w:t>
            </w:r>
          </w:p>
        </w:tc>
      </w:tr>
      <w:tr w14:paraId="02E66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restart"/>
            <w:noWrap w:val="0"/>
            <w:vAlign w:val="center"/>
          </w:tcPr>
          <w:p w14:paraId="1645AD0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地表水环境</w:t>
            </w:r>
          </w:p>
        </w:tc>
        <w:tc>
          <w:tcPr>
            <w:tcW w:w="1016" w:type="dxa"/>
            <w:noWrap w:val="0"/>
            <w:vAlign w:val="center"/>
          </w:tcPr>
          <w:p w14:paraId="22CB9A3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生产装置</w:t>
            </w:r>
          </w:p>
        </w:tc>
        <w:tc>
          <w:tcPr>
            <w:tcW w:w="1539" w:type="dxa"/>
            <w:noWrap w:val="0"/>
            <w:vAlign w:val="center"/>
          </w:tcPr>
          <w:p w14:paraId="7A5C8C8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3010345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vMerge w:val="restart"/>
            <w:noWrap w:val="0"/>
            <w:vAlign w:val="center"/>
          </w:tcPr>
          <w:p w14:paraId="1A13554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0EBF062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火灾爆炸事故中产生的消防废水未能及时收集，漫流，含 甲醛的废水污染区域地表水环境。</w:t>
            </w:r>
          </w:p>
        </w:tc>
      </w:tr>
      <w:tr w14:paraId="02E4C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continue"/>
            <w:noWrap w:val="0"/>
            <w:vAlign w:val="center"/>
          </w:tcPr>
          <w:p w14:paraId="2288ACA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noWrap w:val="0"/>
            <w:vAlign w:val="center"/>
          </w:tcPr>
          <w:p w14:paraId="66AA9D9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尾气处理装置</w:t>
            </w:r>
          </w:p>
        </w:tc>
        <w:tc>
          <w:tcPr>
            <w:tcW w:w="1539" w:type="dxa"/>
            <w:noWrap w:val="0"/>
            <w:vAlign w:val="center"/>
          </w:tcPr>
          <w:p w14:paraId="6595AA5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5FB5E03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vMerge w:val="continue"/>
            <w:noWrap w:val="0"/>
            <w:vAlign w:val="center"/>
          </w:tcPr>
          <w:p w14:paraId="1A0342B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r>
      <w:tr w14:paraId="10355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continue"/>
            <w:noWrap w:val="0"/>
            <w:vAlign w:val="center"/>
          </w:tcPr>
          <w:p w14:paraId="128C729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restart"/>
            <w:noWrap w:val="0"/>
            <w:vAlign w:val="center"/>
          </w:tcPr>
          <w:p w14:paraId="4471392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甲醛储罐</w:t>
            </w:r>
          </w:p>
        </w:tc>
        <w:tc>
          <w:tcPr>
            <w:tcW w:w="1539" w:type="dxa"/>
            <w:noWrap w:val="0"/>
            <w:vAlign w:val="center"/>
          </w:tcPr>
          <w:p w14:paraId="3FD5CC8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7DC1682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vMerge w:val="continue"/>
            <w:noWrap w:val="0"/>
            <w:vAlign w:val="center"/>
          </w:tcPr>
          <w:p w14:paraId="533A86B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r>
      <w:tr w14:paraId="57CF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continue"/>
            <w:noWrap w:val="0"/>
            <w:vAlign w:val="center"/>
          </w:tcPr>
          <w:p w14:paraId="6CA4530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continue"/>
            <w:noWrap w:val="0"/>
            <w:vAlign w:val="center"/>
          </w:tcPr>
          <w:p w14:paraId="0A822F1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539" w:type="dxa"/>
            <w:noWrap w:val="0"/>
            <w:vAlign w:val="center"/>
          </w:tcPr>
          <w:p w14:paraId="1131BFD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w:t>
            </w:r>
          </w:p>
        </w:tc>
        <w:tc>
          <w:tcPr>
            <w:tcW w:w="5479" w:type="dxa"/>
            <w:noWrap w:val="0"/>
            <w:vAlign w:val="center"/>
          </w:tcPr>
          <w:p w14:paraId="34A3F24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围堰未做好封堵，泄漏甲醛漫流出围堰，污染区域地表水环境。</w:t>
            </w:r>
          </w:p>
        </w:tc>
      </w:tr>
      <w:tr w14:paraId="58A27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restart"/>
            <w:noWrap w:val="0"/>
            <w:vAlign w:val="top"/>
          </w:tcPr>
          <w:p w14:paraId="12F09DC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486496E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57751A7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07C6B8F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2DA1D77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地下水环境</w:t>
            </w:r>
          </w:p>
        </w:tc>
        <w:tc>
          <w:tcPr>
            <w:tcW w:w="1016" w:type="dxa"/>
            <w:noWrap w:val="0"/>
            <w:vAlign w:val="center"/>
          </w:tcPr>
          <w:p w14:paraId="0597EDA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生产装置</w:t>
            </w:r>
          </w:p>
        </w:tc>
        <w:tc>
          <w:tcPr>
            <w:tcW w:w="1539" w:type="dxa"/>
            <w:noWrap w:val="0"/>
            <w:vAlign w:val="center"/>
          </w:tcPr>
          <w:p w14:paraId="5FDF323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3D1E607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vMerge w:val="restart"/>
            <w:noWrap w:val="0"/>
            <w:vAlign w:val="center"/>
          </w:tcPr>
          <w:p w14:paraId="6C83B31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p w14:paraId="25D723C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火灾爆炸事故中产生的消防废水未能及时收集，漫流，含甲醛的废水污染区域地下水环境。</w:t>
            </w:r>
          </w:p>
        </w:tc>
      </w:tr>
      <w:tr w14:paraId="19DC2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continue"/>
            <w:noWrap w:val="0"/>
            <w:vAlign w:val="top"/>
          </w:tcPr>
          <w:p w14:paraId="19C2E5E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noWrap w:val="0"/>
            <w:vAlign w:val="center"/>
          </w:tcPr>
          <w:p w14:paraId="68CDB9E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尾气处理装置</w:t>
            </w:r>
          </w:p>
        </w:tc>
        <w:tc>
          <w:tcPr>
            <w:tcW w:w="1539" w:type="dxa"/>
            <w:noWrap w:val="0"/>
            <w:vAlign w:val="center"/>
          </w:tcPr>
          <w:p w14:paraId="18C8BD5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27C6F90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vMerge w:val="continue"/>
            <w:noWrap w:val="0"/>
            <w:vAlign w:val="center"/>
          </w:tcPr>
          <w:p w14:paraId="3019A46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r>
      <w:tr w14:paraId="1B020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continue"/>
            <w:noWrap w:val="0"/>
            <w:vAlign w:val="top"/>
          </w:tcPr>
          <w:p w14:paraId="15B0234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restart"/>
            <w:noWrap w:val="0"/>
            <w:vAlign w:val="center"/>
          </w:tcPr>
          <w:p w14:paraId="0E682A5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甲醛储罐</w:t>
            </w:r>
          </w:p>
        </w:tc>
        <w:tc>
          <w:tcPr>
            <w:tcW w:w="1539" w:type="dxa"/>
            <w:noWrap w:val="0"/>
            <w:vAlign w:val="center"/>
          </w:tcPr>
          <w:p w14:paraId="07FF032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火灾和爆炸伴生</w:t>
            </w:r>
          </w:p>
          <w:p w14:paraId="28C02A8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/次生物排放</w:t>
            </w:r>
          </w:p>
        </w:tc>
        <w:tc>
          <w:tcPr>
            <w:tcW w:w="5479" w:type="dxa"/>
            <w:vMerge w:val="continue"/>
            <w:noWrap w:val="0"/>
            <w:vAlign w:val="center"/>
          </w:tcPr>
          <w:p w14:paraId="762B6B1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r>
      <w:tr w14:paraId="2B79B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912" w:type="dxa"/>
            <w:vMerge w:val="continue"/>
            <w:noWrap w:val="0"/>
            <w:vAlign w:val="top"/>
          </w:tcPr>
          <w:p w14:paraId="1DE269F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016" w:type="dxa"/>
            <w:vMerge w:val="continue"/>
            <w:noWrap w:val="0"/>
            <w:vAlign w:val="center"/>
          </w:tcPr>
          <w:p w14:paraId="254810F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p>
        </w:tc>
        <w:tc>
          <w:tcPr>
            <w:tcW w:w="1539" w:type="dxa"/>
            <w:noWrap w:val="0"/>
            <w:vAlign w:val="center"/>
          </w:tcPr>
          <w:p w14:paraId="163BF5C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泄漏</w:t>
            </w:r>
          </w:p>
        </w:tc>
        <w:tc>
          <w:tcPr>
            <w:tcW w:w="5479" w:type="dxa"/>
            <w:noWrap w:val="0"/>
            <w:vAlign w:val="center"/>
          </w:tcPr>
          <w:p w14:paraId="51F9D86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围堰未做好封堵，泄漏甲醛漫流出围堰，污染区域地下水</w:t>
            </w:r>
          </w:p>
          <w:p w14:paraId="25080FF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环境。</w:t>
            </w:r>
          </w:p>
        </w:tc>
      </w:tr>
    </w:tbl>
    <w:p w14:paraId="301A1413">
      <w:pPr>
        <w:widowControl w:val="0"/>
        <w:spacing w:before="10" w:after="0" w:line="240" w:lineRule="auto"/>
        <w:ind w:left="0" w:right="0"/>
        <w:jc w:val="left"/>
        <w:rPr>
          <w:rFonts w:ascii="Times New Roman" w:hAnsi="Times New Roman" w:eastAsia="宋体" w:cs="Times New Roman"/>
          <w:sz w:val="2"/>
          <w:szCs w:val="24"/>
          <w:lang w:val="zh-CN" w:eastAsia="zh-CN" w:bidi="zh-CN"/>
        </w:rPr>
      </w:pPr>
    </w:p>
    <w:p w14:paraId="67F8F586">
      <w:pPr>
        <w:widowControl w:val="0"/>
        <w:spacing w:before="11" w:after="0" w:line="240" w:lineRule="auto"/>
        <w:ind w:left="0" w:right="0"/>
        <w:jc w:val="left"/>
        <w:rPr>
          <w:rFonts w:ascii="Times New Roman" w:hAnsi="Times New Roman" w:eastAsia="宋体" w:cs="Times New Roman"/>
          <w:sz w:val="6"/>
          <w:szCs w:val="24"/>
          <w:lang w:val="zh-CN" w:eastAsia="zh-CN" w:bidi="zh-CN"/>
        </w:rPr>
      </w:pPr>
    </w:p>
    <w:p w14:paraId="7EC4E8E2">
      <w:pPr>
        <w:keepNext w:val="0"/>
        <w:keepLines w:val="0"/>
        <w:pageBreakBefore w:val="0"/>
        <w:widowControl w:val="0"/>
        <w:numPr>
          <w:ilvl w:val="0"/>
          <w:numId w:val="0"/>
        </w:numPr>
        <w:tabs>
          <w:tab w:val="left" w:pos="1849"/>
        </w:tabs>
        <w:spacing w:line="360" w:lineRule="auto"/>
        <w:ind w:left="0" w:right="0" w:firstLine="480"/>
        <w:jc w:val="both"/>
        <w:rPr>
          <w:rFonts w:ascii="Times New Roman" w:hAnsi="Times New Roman" w:cs="Times New Roman"/>
          <w:color w:val="000000"/>
          <w:sz w:val="24"/>
          <w:szCs w:val="24"/>
          <w:lang w:val="zh-CN" w:eastAsia="zh-CN" w:bidi="ar-SA"/>
        </w:rPr>
      </w:pPr>
      <w:r>
        <w:rPr>
          <w:rFonts w:hint="eastAsia"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2</w:t>
      </w:r>
      <w:r>
        <w:rPr>
          <w:rFonts w:hint="eastAsia" w:ascii="Times New Roman" w:hAnsi="Times New Roman" w:cs="Times New Roman"/>
          <w:color w:val="000000"/>
          <w:sz w:val="24"/>
          <w:szCs w:val="24"/>
          <w:lang w:val="zh-CN" w:eastAsia="zh-CN" w:bidi="ar-SA"/>
        </w:rPr>
        <w:t>）</w:t>
      </w:r>
      <w:r>
        <w:rPr>
          <w:rFonts w:ascii="Times New Roman" w:hAnsi="Times New Roman" w:cs="Times New Roman"/>
          <w:color w:val="000000"/>
          <w:sz w:val="24"/>
          <w:szCs w:val="24"/>
          <w:lang w:val="zh-CN" w:eastAsia="zh-CN" w:bidi="ar-SA"/>
        </w:rPr>
        <w:t>源项分析</w:t>
      </w:r>
    </w:p>
    <w:p w14:paraId="4C7E42CB">
      <w:pPr>
        <w:keepNext w:val="0"/>
        <w:keepLines w:val="0"/>
        <w:pageBreakBefore w:val="0"/>
        <w:widowControl w:val="0"/>
        <w:numPr>
          <w:ilvl w:val="0"/>
          <w:numId w:val="0"/>
        </w:numPr>
        <w:tabs>
          <w:tab w:val="left" w:pos="1849"/>
        </w:tabs>
        <w:spacing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①最大可信事故确定</w:t>
      </w:r>
    </w:p>
    <w:p w14:paraId="25443CF4">
      <w:pPr>
        <w:keepNext w:val="0"/>
        <w:keepLines w:val="0"/>
        <w:pageBreakBefore w:val="0"/>
        <w:widowControl w:val="0"/>
        <w:numPr>
          <w:ilvl w:val="0"/>
          <w:numId w:val="0"/>
        </w:numPr>
        <w:tabs>
          <w:tab w:val="left" w:pos="1849"/>
        </w:tabs>
        <w:spacing w:line="360" w:lineRule="auto"/>
        <w:ind w:left="0"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事故通常分重大事故和一般事故。重大事故是指导致反应装置及其它经济损失超过 2.5 万美元，或者造成严重人员伤亡的事故。据调查统计，国外先进化工企业重大事故发生的概率为 0.003125～0.01 次/a，即在装置寿命（25 年）内不会发生重大事故；国内较先进化工企业为 0.01～0.0312 次/a，即在装置寿命（25 年）内发生一次，参照下表。</w:t>
      </w:r>
    </w:p>
    <w:p w14:paraId="2B01BAD4">
      <w:pPr>
        <w:widowControl w:val="0"/>
        <w:tabs>
          <w:tab w:val="left" w:pos="1159"/>
        </w:tabs>
        <w:spacing w:before="1" w:after="27" w:line="240" w:lineRule="auto"/>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7.3</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2</w:t>
      </w:r>
      <w:r>
        <w:rPr>
          <w:rFonts w:ascii="Times New Roman" w:hAnsi="Times New Roman" w:eastAsia="宋体" w:cs="Times New Roman"/>
          <w:b/>
          <w:bCs/>
          <w:sz w:val="24"/>
          <w:szCs w:val="24"/>
          <w:lang w:val="zh-CN" w:eastAsia="zh-CN" w:bidi="zh-CN"/>
        </w:rPr>
        <w:tab/>
      </w:r>
      <w:r>
        <w:rPr>
          <w:rFonts w:hint="eastAsia" w:ascii="Times New Roman" w:hAnsi="Times New Roman" w:eastAsia="宋体" w:cs="Times New Roman"/>
          <w:b/>
          <w:bCs/>
          <w:sz w:val="24"/>
          <w:szCs w:val="24"/>
          <w:lang w:val="en-US" w:eastAsia="zh-CN" w:bidi="zh-CN"/>
        </w:rPr>
        <w:t xml:space="preserve"> </w:t>
      </w:r>
      <w:r>
        <w:rPr>
          <w:rFonts w:ascii="Times New Roman" w:hAnsi="Times New Roman" w:eastAsia="宋体" w:cs="Times New Roman"/>
          <w:b/>
          <w:bCs/>
          <w:sz w:val="24"/>
          <w:szCs w:val="24"/>
          <w:lang w:val="zh-CN" w:eastAsia="zh-CN" w:bidi="zh-CN"/>
        </w:rPr>
        <w:t>重大事故概率分类表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1884"/>
        <w:gridCol w:w="3116"/>
        <w:gridCol w:w="2729"/>
      </w:tblGrid>
      <w:tr w14:paraId="75C77E7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17" w:type="dxa"/>
            <w:noWrap w:val="0"/>
            <w:vAlign w:val="center"/>
          </w:tcPr>
          <w:p w14:paraId="76C10D5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分类</w:t>
            </w:r>
          </w:p>
        </w:tc>
        <w:tc>
          <w:tcPr>
            <w:tcW w:w="1884" w:type="dxa"/>
            <w:noWrap w:val="0"/>
            <w:vAlign w:val="center"/>
          </w:tcPr>
          <w:p w14:paraId="0D485E1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情况说明</w:t>
            </w:r>
          </w:p>
        </w:tc>
        <w:tc>
          <w:tcPr>
            <w:tcW w:w="3116" w:type="dxa"/>
            <w:noWrap w:val="0"/>
            <w:vAlign w:val="center"/>
          </w:tcPr>
          <w:p w14:paraId="4A92639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定义</w:t>
            </w:r>
          </w:p>
        </w:tc>
        <w:tc>
          <w:tcPr>
            <w:tcW w:w="2729" w:type="dxa"/>
            <w:noWrap w:val="0"/>
            <w:vAlign w:val="center"/>
          </w:tcPr>
          <w:p w14:paraId="0640944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事故概率(次/a)</w:t>
            </w:r>
          </w:p>
        </w:tc>
      </w:tr>
      <w:tr w14:paraId="19F0272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217" w:type="dxa"/>
            <w:noWrap w:val="0"/>
            <w:vAlign w:val="center"/>
          </w:tcPr>
          <w:p w14:paraId="003CFC1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w:t>
            </w:r>
          </w:p>
        </w:tc>
        <w:tc>
          <w:tcPr>
            <w:tcW w:w="1884" w:type="dxa"/>
            <w:noWrap w:val="0"/>
            <w:vAlign w:val="center"/>
          </w:tcPr>
          <w:p w14:paraId="257D03B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极端少</w:t>
            </w:r>
          </w:p>
        </w:tc>
        <w:tc>
          <w:tcPr>
            <w:tcW w:w="3116" w:type="dxa"/>
            <w:noWrap w:val="0"/>
            <w:vAlign w:val="center"/>
          </w:tcPr>
          <w:p w14:paraId="35A2E91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从不发生</w:t>
            </w:r>
          </w:p>
        </w:tc>
        <w:tc>
          <w:tcPr>
            <w:tcW w:w="2729" w:type="dxa"/>
            <w:noWrap w:val="0"/>
            <w:vAlign w:val="center"/>
          </w:tcPr>
          <w:p w14:paraId="6311BCA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＜3.125×10</w:t>
            </w:r>
            <w:r>
              <w:rPr>
                <w:rFonts w:ascii="Times New Roman" w:hAnsi="Times New Roman" w:eastAsia="宋体" w:cs="Times New Roman"/>
                <w:sz w:val="21"/>
                <w:szCs w:val="22"/>
                <w:vertAlign w:val="superscript"/>
                <w:lang w:val="zh-CN" w:eastAsia="zh-CN" w:bidi="zh-CN"/>
              </w:rPr>
              <w:t>-3</w:t>
            </w:r>
          </w:p>
        </w:tc>
      </w:tr>
      <w:tr w14:paraId="2AD88D8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17" w:type="dxa"/>
            <w:noWrap w:val="0"/>
            <w:vAlign w:val="center"/>
          </w:tcPr>
          <w:p w14:paraId="6E8250F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w:t>
            </w:r>
          </w:p>
        </w:tc>
        <w:tc>
          <w:tcPr>
            <w:tcW w:w="1884" w:type="dxa"/>
            <w:noWrap w:val="0"/>
            <w:vAlign w:val="center"/>
          </w:tcPr>
          <w:p w14:paraId="3A9DFFD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少</w:t>
            </w:r>
          </w:p>
        </w:tc>
        <w:tc>
          <w:tcPr>
            <w:tcW w:w="3116" w:type="dxa"/>
            <w:noWrap w:val="0"/>
            <w:vAlign w:val="center"/>
          </w:tcPr>
          <w:p w14:paraId="63C04CF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装置寿命内从不发生</w:t>
            </w:r>
          </w:p>
        </w:tc>
        <w:tc>
          <w:tcPr>
            <w:tcW w:w="2729" w:type="dxa"/>
            <w:noWrap w:val="0"/>
            <w:vAlign w:val="center"/>
          </w:tcPr>
          <w:p w14:paraId="4ED7ACE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1×10</w:t>
            </w:r>
            <w:r>
              <w:rPr>
                <w:rFonts w:ascii="Times New Roman" w:hAnsi="Times New Roman" w:eastAsia="宋体" w:cs="Times New Roman"/>
                <w:sz w:val="21"/>
                <w:szCs w:val="22"/>
                <w:vertAlign w:val="superscript"/>
                <w:lang w:val="zh-CN" w:eastAsia="zh-CN" w:bidi="zh-CN"/>
              </w:rPr>
              <w:t>-2</w:t>
            </w:r>
            <w:r>
              <w:rPr>
                <w:rFonts w:ascii="Times New Roman" w:hAnsi="Times New Roman" w:eastAsia="宋体" w:cs="Times New Roman"/>
                <w:sz w:val="21"/>
                <w:szCs w:val="22"/>
                <w:lang w:val="zh-CN" w:eastAsia="zh-CN" w:bidi="zh-CN"/>
              </w:rPr>
              <w:t>~3.125×10</w:t>
            </w:r>
            <w:r>
              <w:rPr>
                <w:rFonts w:ascii="Times New Roman" w:hAnsi="Times New Roman" w:eastAsia="宋体" w:cs="Times New Roman"/>
                <w:sz w:val="21"/>
                <w:szCs w:val="22"/>
                <w:vertAlign w:val="superscript"/>
                <w:lang w:val="zh-CN" w:eastAsia="zh-CN" w:bidi="zh-CN"/>
              </w:rPr>
              <w:t>-3</w:t>
            </w:r>
          </w:p>
        </w:tc>
      </w:tr>
      <w:tr w14:paraId="47F0871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17" w:type="dxa"/>
            <w:noWrap w:val="0"/>
            <w:vAlign w:val="center"/>
          </w:tcPr>
          <w:p w14:paraId="7B010E1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w:t>
            </w:r>
          </w:p>
        </w:tc>
        <w:tc>
          <w:tcPr>
            <w:tcW w:w="1884" w:type="dxa"/>
            <w:noWrap w:val="0"/>
            <w:vAlign w:val="center"/>
          </w:tcPr>
          <w:p w14:paraId="0736E79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不大可能</w:t>
            </w:r>
          </w:p>
        </w:tc>
        <w:tc>
          <w:tcPr>
            <w:tcW w:w="3116" w:type="dxa"/>
            <w:noWrap w:val="0"/>
            <w:vAlign w:val="center"/>
          </w:tcPr>
          <w:p w14:paraId="280A46B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装置寿命内发生一次</w:t>
            </w:r>
          </w:p>
        </w:tc>
        <w:tc>
          <w:tcPr>
            <w:tcW w:w="2729" w:type="dxa"/>
            <w:noWrap w:val="0"/>
            <w:vAlign w:val="center"/>
          </w:tcPr>
          <w:p w14:paraId="1B82983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3.125×10</w:t>
            </w:r>
            <w:r>
              <w:rPr>
                <w:rFonts w:ascii="Times New Roman" w:hAnsi="Times New Roman" w:eastAsia="宋体" w:cs="Times New Roman"/>
                <w:sz w:val="21"/>
                <w:szCs w:val="22"/>
                <w:vertAlign w:val="superscript"/>
                <w:lang w:val="zh-CN" w:eastAsia="zh-CN" w:bidi="zh-CN"/>
              </w:rPr>
              <w:t>-2</w:t>
            </w:r>
            <w:r>
              <w:rPr>
                <w:rFonts w:ascii="Times New Roman" w:hAnsi="Times New Roman" w:eastAsia="宋体" w:cs="Times New Roman"/>
                <w:sz w:val="21"/>
                <w:szCs w:val="22"/>
                <w:lang w:val="zh-CN" w:eastAsia="zh-CN" w:bidi="zh-CN"/>
              </w:rPr>
              <w:t>~1×10</w:t>
            </w:r>
            <w:r>
              <w:rPr>
                <w:rFonts w:ascii="Times New Roman" w:hAnsi="Times New Roman" w:eastAsia="宋体" w:cs="Times New Roman"/>
                <w:sz w:val="21"/>
                <w:szCs w:val="22"/>
                <w:vertAlign w:val="superscript"/>
                <w:lang w:val="zh-CN" w:eastAsia="zh-CN" w:bidi="zh-CN"/>
              </w:rPr>
              <w:t>-2</w:t>
            </w:r>
          </w:p>
        </w:tc>
      </w:tr>
      <w:tr w14:paraId="2AA5192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17" w:type="dxa"/>
            <w:noWrap w:val="0"/>
            <w:vAlign w:val="center"/>
          </w:tcPr>
          <w:p w14:paraId="6A84809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w:t>
            </w:r>
          </w:p>
        </w:tc>
        <w:tc>
          <w:tcPr>
            <w:tcW w:w="1884" w:type="dxa"/>
            <w:noWrap w:val="0"/>
            <w:vAlign w:val="center"/>
          </w:tcPr>
          <w:p w14:paraId="2C70329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也许可能</w:t>
            </w:r>
          </w:p>
        </w:tc>
        <w:tc>
          <w:tcPr>
            <w:tcW w:w="3116" w:type="dxa"/>
            <w:noWrap w:val="0"/>
            <w:vAlign w:val="center"/>
          </w:tcPr>
          <w:p w14:paraId="5F8BAB5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装置寿命内发生一次以上</w:t>
            </w:r>
          </w:p>
        </w:tc>
        <w:tc>
          <w:tcPr>
            <w:tcW w:w="2729" w:type="dxa"/>
            <w:noWrap w:val="0"/>
            <w:vAlign w:val="center"/>
          </w:tcPr>
          <w:p w14:paraId="3DB35C4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0.10~0.03125</w:t>
            </w:r>
          </w:p>
        </w:tc>
      </w:tr>
      <w:tr w14:paraId="17A9E02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17" w:type="dxa"/>
            <w:noWrap w:val="0"/>
            <w:vAlign w:val="center"/>
          </w:tcPr>
          <w:p w14:paraId="4F39EA1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w:t>
            </w:r>
          </w:p>
        </w:tc>
        <w:tc>
          <w:tcPr>
            <w:tcW w:w="1884" w:type="dxa"/>
            <w:noWrap w:val="0"/>
            <w:vAlign w:val="center"/>
          </w:tcPr>
          <w:p w14:paraId="1E82008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偶然</w:t>
            </w:r>
          </w:p>
        </w:tc>
        <w:tc>
          <w:tcPr>
            <w:tcW w:w="3116" w:type="dxa"/>
            <w:noWrap w:val="0"/>
            <w:vAlign w:val="center"/>
          </w:tcPr>
          <w:p w14:paraId="07ADE03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装置寿命内发生几次</w:t>
            </w:r>
          </w:p>
        </w:tc>
        <w:tc>
          <w:tcPr>
            <w:tcW w:w="2729" w:type="dxa"/>
            <w:noWrap w:val="0"/>
            <w:vAlign w:val="center"/>
          </w:tcPr>
          <w:p w14:paraId="3BA6A63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0.3333~0.10</w:t>
            </w:r>
          </w:p>
        </w:tc>
      </w:tr>
      <w:tr w14:paraId="369F8E4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217" w:type="dxa"/>
            <w:noWrap w:val="0"/>
            <w:vAlign w:val="center"/>
          </w:tcPr>
          <w:p w14:paraId="1622484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w:t>
            </w:r>
          </w:p>
        </w:tc>
        <w:tc>
          <w:tcPr>
            <w:tcW w:w="1884" w:type="dxa"/>
            <w:noWrap w:val="0"/>
            <w:vAlign w:val="center"/>
          </w:tcPr>
          <w:p w14:paraId="6796493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可能</w:t>
            </w:r>
          </w:p>
        </w:tc>
        <w:tc>
          <w:tcPr>
            <w:tcW w:w="3116" w:type="dxa"/>
            <w:noWrap w:val="0"/>
            <w:vAlign w:val="center"/>
          </w:tcPr>
          <w:p w14:paraId="4E21E6F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预计一年发生一次</w:t>
            </w:r>
          </w:p>
        </w:tc>
        <w:tc>
          <w:tcPr>
            <w:tcW w:w="2729" w:type="dxa"/>
            <w:noWrap w:val="0"/>
            <w:vAlign w:val="center"/>
          </w:tcPr>
          <w:p w14:paraId="4EC5251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1~0.3333</w:t>
            </w:r>
          </w:p>
        </w:tc>
      </w:tr>
      <w:tr w14:paraId="4DBA382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217" w:type="dxa"/>
            <w:noWrap w:val="0"/>
            <w:vAlign w:val="center"/>
          </w:tcPr>
          <w:p w14:paraId="72F8C7B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6</w:t>
            </w:r>
          </w:p>
        </w:tc>
        <w:tc>
          <w:tcPr>
            <w:tcW w:w="1884" w:type="dxa"/>
            <w:noWrap w:val="0"/>
            <w:vAlign w:val="center"/>
          </w:tcPr>
          <w:p w14:paraId="6F1D2D5D">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频繁</w:t>
            </w:r>
          </w:p>
        </w:tc>
        <w:tc>
          <w:tcPr>
            <w:tcW w:w="3116" w:type="dxa"/>
            <w:noWrap w:val="0"/>
            <w:vAlign w:val="center"/>
          </w:tcPr>
          <w:p w14:paraId="2CF9687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预计一年发生一次以上</w:t>
            </w:r>
          </w:p>
        </w:tc>
        <w:tc>
          <w:tcPr>
            <w:tcW w:w="2729" w:type="dxa"/>
            <w:noWrap w:val="0"/>
            <w:vAlign w:val="center"/>
          </w:tcPr>
          <w:p w14:paraId="0E8CB5A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w:t>
            </w:r>
          </w:p>
        </w:tc>
      </w:tr>
    </w:tbl>
    <w:p w14:paraId="2C2CF8D4">
      <w:pPr>
        <w:keepNext w:val="0"/>
        <w:keepLines w:val="0"/>
        <w:pageBreakBefore w:val="0"/>
        <w:widowControl w:val="0"/>
        <w:numPr>
          <w:ilvl w:val="0"/>
          <w:numId w:val="0"/>
        </w:numPr>
        <w:tabs>
          <w:tab w:val="left" w:pos="1849"/>
        </w:tabs>
        <w:spacing w:line="360" w:lineRule="auto"/>
        <w:ind w:right="0" w:firstLine="480"/>
        <w:jc w:val="both"/>
        <w:rPr>
          <w:rFonts w:ascii="Times New Roman" w:hAnsi="Times New Roman" w:cs="Times New Roman"/>
          <w:color w:val="000000"/>
          <w:sz w:val="24"/>
          <w:szCs w:val="24"/>
          <w:lang w:val="zh-CN" w:eastAsia="zh-CN" w:bidi="ar-SA"/>
        </w:rPr>
      </w:pPr>
      <w:r>
        <w:rPr>
          <w:rFonts w:ascii="Times New Roman" w:hAnsi="Times New Roman" w:cs="Times New Roman"/>
          <w:color w:val="000000"/>
          <w:sz w:val="24"/>
          <w:szCs w:val="24"/>
          <w:lang w:val="zh-CN" w:eastAsia="zh-CN" w:bidi="ar-SA"/>
        </w:rPr>
        <w:t>一般事故是指没有造成重大经济损失和人员伤亡的事故，但此类事故如处置</w:t>
      </w:r>
      <w:r>
        <w:rPr>
          <w:rFonts w:hint="eastAsia" w:ascii="Times New Roman" w:hAnsi="Times New Roman" w:cs="Times New Roman"/>
          <w:color w:val="000000"/>
          <w:sz w:val="24"/>
          <w:szCs w:val="24"/>
          <w:lang w:val="en-US" w:eastAsia="zh-CN" w:bidi="ar-SA"/>
        </w:rPr>
        <w:t>不</w:t>
      </w:r>
      <w:r>
        <w:rPr>
          <w:rFonts w:ascii="Times New Roman" w:hAnsi="Times New Roman" w:cs="Times New Roman"/>
          <w:color w:val="000000"/>
          <w:sz w:val="24"/>
          <w:szCs w:val="24"/>
          <w:lang w:val="zh-CN" w:eastAsia="zh-CN" w:bidi="ar-SA"/>
        </w:rPr>
        <w:t>当，将对环境产生不利影响。据调查，一般性事故发生概率国外先进化工企业为5.41×10</w:t>
      </w:r>
      <w:r>
        <w:rPr>
          <w:rFonts w:ascii="Times New Roman" w:hAnsi="Times New Roman" w:cs="Times New Roman"/>
          <w:color w:val="000000"/>
          <w:sz w:val="24"/>
          <w:szCs w:val="24"/>
          <w:vertAlign w:val="superscript"/>
          <w:lang w:val="zh-CN" w:eastAsia="zh-CN" w:bidi="ar-SA"/>
        </w:rPr>
        <w:t>-2</w:t>
      </w:r>
      <w:r>
        <w:rPr>
          <w:rFonts w:ascii="Times New Roman" w:hAnsi="Times New Roman" w:cs="Times New Roman"/>
          <w:color w:val="000000"/>
          <w:sz w:val="24"/>
          <w:szCs w:val="24"/>
          <w:lang w:val="zh-CN" w:eastAsia="zh-CN" w:bidi="ar-SA"/>
        </w:rPr>
        <w:t xml:space="preserve"> 次/a，国内较先进化工企业为 0.2～0.4 次/a，其中以泵、管道、设备破损泄漏出现几率最大。我国化工企业一般事故原因统计见表</w:t>
      </w:r>
      <w:r>
        <w:rPr>
          <w:rFonts w:hint="eastAsia" w:ascii="Times New Roman" w:hAnsi="Times New Roman" w:cs="Times New Roman"/>
          <w:color w:val="000000"/>
          <w:sz w:val="24"/>
          <w:szCs w:val="24"/>
          <w:lang w:val="en-US" w:eastAsia="zh-CN" w:bidi="ar-SA"/>
        </w:rPr>
        <w:t>7.3</w:t>
      </w:r>
      <w:r>
        <w:rPr>
          <w:rFonts w:ascii="Times New Roman" w:hAnsi="Times New Roman" w:cs="Times New Roman"/>
          <w:color w:val="000000"/>
          <w:sz w:val="24"/>
          <w:szCs w:val="24"/>
          <w:lang w:val="zh-CN" w:eastAsia="zh-CN" w:bidi="ar-SA"/>
        </w:rPr>
        <w:t>-</w:t>
      </w:r>
      <w:r>
        <w:rPr>
          <w:rFonts w:hint="eastAsia" w:ascii="Times New Roman" w:hAnsi="Times New Roman" w:cs="Times New Roman"/>
          <w:color w:val="000000"/>
          <w:sz w:val="24"/>
          <w:szCs w:val="24"/>
          <w:lang w:val="en-US" w:eastAsia="zh-CN" w:bidi="ar-SA"/>
        </w:rPr>
        <w:t>3</w:t>
      </w:r>
      <w:r>
        <w:rPr>
          <w:rFonts w:ascii="Times New Roman" w:hAnsi="Times New Roman" w:cs="Times New Roman"/>
          <w:color w:val="000000"/>
          <w:sz w:val="24"/>
          <w:szCs w:val="24"/>
          <w:lang w:val="zh-CN" w:eastAsia="zh-CN" w:bidi="ar-SA"/>
        </w:rPr>
        <w:t>。</w:t>
      </w:r>
    </w:p>
    <w:p w14:paraId="038C9BF4">
      <w:pPr>
        <w:widowControl w:val="0"/>
        <w:tabs>
          <w:tab w:val="left" w:pos="1159"/>
        </w:tabs>
        <w:spacing w:before="0" w:after="28" w:line="307" w:lineRule="exact"/>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 xml:space="preserve">7.3-3 </w:t>
      </w:r>
      <w:r>
        <w:rPr>
          <w:rFonts w:ascii="Times New Roman" w:hAnsi="Times New Roman" w:eastAsia="宋体" w:cs="Times New Roman"/>
          <w:b/>
          <w:bCs/>
          <w:sz w:val="24"/>
          <w:szCs w:val="24"/>
          <w:lang w:val="zh-CN" w:eastAsia="zh-CN" w:bidi="zh-CN"/>
        </w:rPr>
        <w:t>国外化工企业一般事故统计</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3668"/>
        <w:gridCol w:w="2496"/>
        <w:gridCol w:w="1909"/>
      </w:tblGrid>
      <w:tr w14:paraId="68A89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73" w:type="dxa"/>
            <w:noWrap w:val="0"/>
            <w:vAlign w:val="top"/>
          </w:tcPr>
          <w:p w14:paraId="5F24A0F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序号</w:t>
            </w:r>
          </w:p>
        </w:tc>
        <w:tc>
          <w:tcPr>
            <w:tcW w:w="3668" w:type="dxa"/>
            <w:noWrap w:val="0"/>
            <w:vAlign w:val="top"/>
          </w:tcPr>
          <w:p w14:paraId="25EB138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事故原因</w:t>
            </w:r>
          </w:p>
        </w:tc>
        <w:tc>
          <w:tcPr>
            <w:tcW w:w="2496" w:type="dxa"/>
            <w:noWrap w:val="0"/>
            <w:vAlign w:val="top"/>
          </w:tcPr>
          <w:p w14:paraId="2D44E90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发生概率(次/a)</w:t>
            </w:r>
          </w:p>
        </w:tc>
        <w:tc>
          <w:tcPr>
            <w:tcW w:w="1909" w:type="dxa"/>
            <w:noWrap w:val="0"/>
            <w:vAlign w:val="top"/>
          </w:tcPr>
          <w:p w14:paraId="1727E9C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占比例(%)</w:t>
            </w:r>
          </w:p>
        </w:tc>
      </w:tr>
      <w:tr w14:paraId="0A0A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73" w:type="dxa"/>
            <w:noWrap w:val="0"/>
            <w:vAlign w:val="top"/>
          </w:tcPr>
          <w:p w14:paraId="209B2CD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w:t>
            </w:r>
          </w:p>
        </w:tc>
        <w:tc>
          <w:tcPr>
            <w:tcW w:w="3668" w:type="dxa"/>
            <w:noWrap w:val="0"/>
            <w:vAlign w:val="top"/>
          </w:tcPr>
          <w:p w14:paraId="5ED04CB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垫圈破损</w:t>
            </w:r>
          </w:p>
        </w:tc>
        <w:tc>
          <w:tcPr>
            <w:tcW w:w="2496" w:type="dxa"/>
            <w:noWrap w:val="0"/>
            <w:vAlign w:val="top"/>
          </w:tcPr>
          <w:p w14:paraId="078486A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2.5×10</w:t>
            </w:r>
            <w:r>
              <w:rPr>
                <w:rFonts w:ascii="Times New Roman" w:hAnsi="Times New Roman" w:eastAsia="宋体" w:cs="Times New Roman"/>
                <w:sz w:val="21"/>
                <w:szCs w:val="22"/>
                <w:vertAlign w:val="superscript"/>
                <w:lang w:val="zh-CN" w:eastAsia="zh-CN" w:bidi="zh-CN"/>
              </w:rPr>
              <w:t>-2</w:t>
            </w:r>
          </w:p>
        </w:tc>
        <w:tc>
          <w:tcPr>
            <w:tcW w:w="1909" w:type="dxa"/>
            <w:noWrap w:val="0"/>
            <w:vAlign w:val="top"/>
          </w:tcPr>
          <w:p w14:paraId="349E690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46.1</w:t>
            </w:r>
          </w:p>
        </w:tc>
      </w:tr>
      <w:tr w14:paraId="022A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73" w:type="dxa"/>
            <w:noWrap w:val="0"/>
            <w:vAlign w:val="top"/>
          </w:tcPr>
          <w:p w14:paraId="7EC5C09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w:t>
            </w:r>
          </w:p>
        </w:tc>
        <w:tc>
          <w:tcPr>
            <w:tcW w:w="3668" w:type="dxa"/>
            <w:noWrap w:val="0"/>
            <w:vAlign w:val="top"/>
          </w:tcPr>
          <w:p w14:paraId="1EE040A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仪表失灵</w:t>
            </w:r>
          </w:p>
        </w:tc>
        <w:tc>
          <w:tcPr>
            <w:tcW w:w="2496" w:type="dxa"/>
            <w:noWrap w:val="0"/>
            <w:vAlign w:val="top"/>
          </w:tcPr>
          <w:p w14:paraId="5CBBD58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8.3×1</w:t>
            </w:r>
            <w:r>
              <w:rPr>
                <w:rFonts w:ascii="Times New Roman" w:hAnsi="Times New Roman" w:eastAsia="宋体" w:cs="Times New Roman"/>
                <w:sz w:val="21"/>
                <w:szCs w:val="22"/>
                <w:vertAlign w:val="baseline"/>
                <w:lang w:val="zh-CN" w:eastAsia="zh-CN" w:bidi="zh-CN"/>
              </w:rPr>
              <w:t>0</w:t>
            </w:r>
            <w:r>
              <w:rPr>
                <w:rFonts w:ascii="Times New Roman" w:hAnsi="Times New Roman" w:eastAsia="宋体" w:cs="Times New Roman"/>
                <w:sz w:val="21"/>
                <w:szCs w:val="22"/>
                <w:vertAlign w:val="superscript"/>
                <w:lang w:val="zh-CN" w:eastAsia="zh-CN" w:bidi="zh-CN"/>
              </w:rPr>
              <w:t>-3</w:t>
            </w:r>
          </w:p>
        </w:tc>
        <w:tc>
          <w:tcPr>
            <w:tcW w:w="1909" w:type="dxa"/>
            <w:noWrap w:val="0"/>
            <w:vAlign w:val="top"/>
          </w:tcPr>
          <w:p w14:paraId="5D1E9A4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15.4</w:t>
            </w:r>
          </w:p>
        </w:tc>
      </w:tr>
      <w:tr w14:paraId="32A95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73" w:type="dxa"/>
            <w:noWrap w:val="0"/>
            <w:vAlign w:val="top"/>
          </w:tcPr>
          <w:p w14:paraId="71FFD7D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w:t>
            </w:r>
          </w:p>
        </w:tc>
        <w:tc>
          <w:tcPr>
            <w:tcW w:w="3668" w:type="dxa"/>
            <w:noWrap w:val="0"/>
            <w:vAlign w:val="top"/>
          </w:tcPr>
          <w:p w14:paraId="33E091C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连接密封不良</w:t>
            </w:r>
          </w:p>
        </w:tc>
        <w:tc>
          <w:tcPr>
            <w:tcW w:w="2496" w:type="dxa"/>
            <w:noWrap w:val="0"/>
            <w:vAlign w:val="top"/>
          </w:tcPr>
          <w:p w14:paraId="648420D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8.3×10</w:t>
            </w:r>
            <w:r>
              <w:rPr>
                <w:rFonts w:ascii="Times New Roman" w:hAnsi="Times New Roman" w:eastAsia="宋体" w:cs="Times New Roman"/>
                <w:sz w:val="21"/>
                <w:szCs w:val="22"/>
                <w:vertAlign w:val="superscript"/>
                <w:lang w:val="zh-CN" w:eastAsia="zh-CN" w:bidi="zh-CN"/>
              </w:rPr>
              <w:t>-3</w:t>
            </w:r>
          </w:p>
        </w:tc>
        <w:tc>
          <w:tcPr>
            <w:tcW w:w="1909" w:type="dxa"/>
            <w:noWrap w:val="0"/>
            <w:vAlign w:val="top"/>
          </w:tcPr>
          <w:p w14:paraId="34D150A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15.4</w:t>
            </w:r>
          </w:p>
        </w:tc>
      </w:tr>
      <w:tr w14:paraId="6ECB3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73" w:type="dxa"/>
            <w:noWrap w:val="0"/>
            <w:vAlign w:val="top"/>
          </w:tcPr>
          <w:p w14:paraId="341870D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w:t>
            </w:r>
          </w:p>
        </w:tc>
        <w:tc>
          <w:tcPr>
            <w:tcW w:w="3668" w:type="dxa"/>
            <w:noWrap w:val="0"/>
            <w:vAlign w:val="top"/>
          </w:tcPr>
          <w:p w14:paraId="463422C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泵故障</w:t>
            </w:r>
          </w:p>
        </w:tc>
        <w:tc>
          <w:tcPr>
            <w:tcW w:w="2496" w:type="dxa"/>
            <w:noWrap w:val="0"/>
            <w:vAlign w:val="top"/>
          </w:tcPr>
          <w:p w14:paraId="4B27510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4.2×10</w:t>
            </w:r>
            <w:r>
              <w:rPr>
                <w:rFonts w:ascii="Times New Roman" w:hAnsi="Times New Roman" w:eastAsia="宋体" w:cs="Times New Roman"/>
                <w:sz w:val="21"/>
                <w:szCs w:val="22"/>
                <w:vertAlign w:val="superscript"/>
                <w:lang w:val="zh-CN" w:eastAsia="zh-CN" w:bidi="zh-CN"/>
              </w:rPr>
              <w:t>-3</w:t>
            </w:r>
          </w:p>
        </w:tc>
        <w:tc>
          <w:tcPr>
            <w:tcW w:w="1909" w:type="dxa"/>
            <w:noWrap w:val="0"/>
            <w:vAlign w:val="top"/>
          </w:tcPr>
          <w:p w14:paraId="73896A2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7.7</w:t>
            </w:r>
          </w:p>
        </w:tc>
      </w:tr>
      <w:tr w14:paraId="53826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873" w:type="dxa"/>
            <w:noWrap w:val="0"/>
            <w:vAlign w:val="top"/>
          </w:tcPr>
          <w:p w14:paraId="0F93278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w:t>
            </w:r>
          </w:p>
        </w:tc>
        <w:tc>
          <w:tcPr>
            <w:tcW w:w="3668" w:type="dxa"/>
            <w:noWrap w:val="0"/>
            <w:vAlign w:val="top"/>
          </w:tcPr>
          <w:p w14:paraId="0EFE5D1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人为事故</w:t>
            </w:r>
          </w:p>
        </w:tc>
        <w:tc>
          <w:tcPr>
            <w:tcW w:w="2496" w:type="dxa"/>
            <w:noWrap w:val="0"/>
            <w:vAlign w:val="top"/>
          </w:tcPr>
          <w:p w14:paraId="3A368121">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8.3×10</w:t>
            </w:r>
            <w:r>
              <w:rPr>
                <w:rFonts w:ascii="Times New Roman" w:hAnsi="Times New Roman" w:eastAsia="宋体" w:cs="Times New Roman"/>
                <w:sz w:val="21"/>
                <w:szCs w:val="22"/>
                <w:vertAlign w:val="superscript"/>
                <w:lang w:val="zh-CN" w:eastAsia="zh-CN" w:bidi="zh-CN"/>
              </w:rPr>
              <w:t>-3</w:t>
            </w:r>
          </w:p>
        </w:tc>
        <w:tc>
          <w:tcPr>
            <w:tcW w:w="1909" w:type="dxa"/>
            <w:noWrap w:val="0"/>
            <w:vAlign w:val="top"/>
          </w:tcPr>
          <w:p w14:paraId="757FBBC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15.4</w:t>
            </w:r>
          </w:p>
        </w:tc>
      </w:tr>
      <w:tr w14:paraId="51E08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873" w:type="dxa"/>
            <w:noWrap w:val="0"/>
            <w:vAlign w:val="top"/>
          </w:tcPr>
          <w:p w14:paraId="0DBD26E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6</w:t>
            </w:r>
          </w:p>
        </w:tc>
        <w:tc>
          <w:tcPr>
            <w:tcW w:w="3668" w:type="dxa"/>
            <w:noWrap w:val="0"/>
            <w:vAlign w:val="top"/>
          </w:tcPr>
          <w:p w14:paraId="0EFF341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合计</w:t>
            </w:r>
          </w:p>
        </w:tc>
        <w:tc>
          <w:tcPr>
            <w:tcW w:w="2496" w:type="dxa"/>
            <w:noWrap w:val="0"/>
            <w:vAlign w:val="top"/>
          </w:tcPr>
          <w:p w14:paraId="26574A1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5.42×10</w:t>
            </w:r>
            <w:r>
              <w:rPr>
                <w:rFonts w:ascii="Times New Roman" w:hAnsi="Times New Roman" w:eastAsia="宋体" w:cs="Times New Roman"/>
                <w:sz w:val="21"/>
                <w:szCs w:val="22"/>
                <w:vertAlign w:val="superscript"/>
                <w:lang w:val="zh-CN" w:eastAsia="zh-CN" w:bidi="zh-CN"/>
              </w:rPr>
              <w:t>-2</w:t>
            </w:r>
          </w:p>
        </w:tc>
        <w:tc>
          <w:tcPr>
            <w:tcW w:w="1909" w:type="dxa"/>
            <w:noWrap w:val="0"/>
            <w:vAlign w:val="top"/>
          </w:tcPr>
          <w:p w14:paraId="4F8DB455">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100</w:t>
            </w:r>
          </w:p>
        </w:tc>
      </w:tr>
    </w:tbl>
    <w:p w14:paraId="66CCA952">
      <w:pPr>
        <w:widowControl w:val="0"/>
        <w:spacing w:before="145" w:after="29" w:line="240" w:lineRule="auto"/>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7.3-4</w:t>
      </w:r>
      <w:r>
        <w:rPr>
          <w:rFonts w:ascii="Times New Roman" w:hAnsi="Times New Roman" w:eastAsia="宋体" w:cs="Times New Roman"/>
          <w:b/>
          <w:bCs/>
          <w:sz w:val="24"/>
          <w:szCs w:val="24"/>
          <w:lang w:val="zh-CN" w:eastAsia="zh-CN" w:bidi="zh-CN"/>
        </w:rPr>
        <w:t xml:space="preserve">  国内化工企业一般事故原因统计</w:t>
      </w:r>
    </w:p>
    <w:tbl>
      <w:tblPr>
        <w:tblStyle w:val="32"/>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287"/>
        <w:gridCol w:w="5293"/>
        <w:gridCol w:w="2366"/>
      </w:tblGrid>
      <w:tr w14:paraId="16239B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87" w:type="dxa"/>
            <w:noWrap w:val="0"/>
            <w:vAlign w:val="top"/>
          </w:tcPr>
          <w:p w14:paraId="2AE130EB">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序号</w:t>
            </w:r>
          </w:p>
        </w:tc>
        <w:tc>
          <w:tcPr>
            <w:tcW w:w="5293" w:type="dxa"/>
            <w:noWrap w:val="0"/>
            <w:vAlign w:val="top"/>
          </w:tcPr>
          <w:p w14:paraId="1053403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事故原因</w:t>
            </w:r>
          </w:p>
        </w:tc>
        <w:tc>
          <w:tcPr>
            <w:tcW w:w="2366" w:type="dxa"/>
            <w:noWrap w:val="0"/>
            <w:vAlign w:val="top"/>
          </w:tcPr>
          <w:p w14:paraId="3E23E76E">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占比例(%)</w:t>
            </w:r>
          </w:p>
        </w:tc>
      </w:tr>
      <w:tr w14:paraId="3ACC5F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87" w:type="dxa"/>
            <w:noWrap w:val="0"/>
            <w:vAlign w:val="top"/>
          </w:tcPr>
          <w:p w14:paraId="2C52F15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w:t>
            </w:r>
          </w:p>
        </w:tc>
        <w:tc>
          <w:tcPr>
            <w:tcW w:w="5293" w:type="dxa"/>
            <w:noWrap w:val="0"/>
            <w:vAlign w:val="top"/>
          </w:tcPr>
          <w:p w14:paraId="01211CE3">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储罐、管道和设备破损</w:t>
            </w:r>
          </w:p>
        </w:tc>
        <w:tc>
          <w:tcPr>
            <w:tcW w:w="2366" w:type="dxa"/>
            <w:noWrap w:val="0"/>
            <w:vAlign w:val="top"/>
          </w:tcPr>
          <w:p w14:paraId="2EF31DB9">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52</w:t>
            </w:r>
          </w:p>
        </w:tc>
      </w:tr>
      <w:tr w14:paraId="6F33DA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287" w:type="dxa"/>
            <w:noWrap w:val="0"/>
            <w:vAlign w:val="top"/>
          </w:tcPr>
          <w:p w14:paraId="28B1845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w:t>
            </w:r>
          </w:p>
        </w:tc>
        <w:tc>
          <w:tcPr>
            <w:tcW w:w="5293" w:type="dxa"/>
            <w:noWrap w:val="0"/>
            <w:vAlign w:val="top"/>
          </w:tcPr>
          <w:p w14:paraId="6DF0AC06">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操作失误</w:t>
            </w:r>
          </w:p>
        </w:tc>
        <w:tc>
          <w:tcPr>
            <w:tcW w:w="2366" w:type="dxa"/>
            <w:noWrap w:val="0"/>
            <w:vAlign w:val="top"/>
          </w:tcPr>
          <w:p w14:paraId="4E9E4882">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11</w:t>
            </w:r>
          </w:p>
        </w:tc>
      </w:tr>
      <w:tr w14:paraId="1AA625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87" w:type="dxa"/>
            <w:noWrap w:val="0"/>
            <w:vAlign w:val="top"/>
          </w:tcPr>
          <w:p w14:paraId="2E03CC7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w:t>
            </w:r>
          </w:p>
        </w:tc>
        <w:tc>
          <w:tcPr>
            <w:tcW w:w="5293" w:type="dxa"/>
            <w:noWrap w:val="0"/>
            <w:vAlign w:val="top"/>
          </w:tcPr>
          <w:p w14:paraId="0CE560AF">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违反检修规程</w:t>
            </w:r>
          </w:p>
        </w:tc>
        <w:tc>
          <w:tcPr>
            <w:tcW w:w="2366" w:type="dxa"/>
            <w:noWrap w:val="0"/>
            <w:vAlign w:val="top"/>
          </w:tcPr>
          <w:p w14:paraId="38A39FDC">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w:t>
            </w:r>
          </w:p>
        </w:tc>
      </w:tr>
      <w:tr w14:paraId="75ACA9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87" w:type="dxa"/>
            <w:noWrap w:val="0"/>
            <w:vAlign w:val="top"/>
          </w:tcPr>
          <w:p w14:paraId="1DEE6FC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w:t>
            </w:r>
          </w:p>
        </w:tc>
        <w:tc>
          <w:tcPr>
            <w:tcW w:w="5293" w:type="dxa"/>
            <w:noWrap w:val="0"/>
            <w:vAlign w:val="top"/>
          </w:tcPr>
          <w:p w14:paraId="6DC5F408">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处理系统故障</w:t>
            </w:r>
          </w:p>
        </w:tc>
        <w:tc>
          <w:tcPr>
            <w:tcW w:w="2366" w:type="dxa"/>
            <w:noWrap w:val="0"/>
            <w:vAlign w:val="top"/>
          </w:tcPr>
          <w:p w14:paraId="29673E6A">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15</w:t>
            </w:r>
          </w:p>
        </w:tc>
      </w:tr>
      <w:tr w14:paraId="5BB2AE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287" w:type="dxa"/>
            <w:noWrap w:val="0"/>
            <w:vAlign w:val="top"/>
          </w:tcPr>
          <w:p w14:paraId="6EC2E297">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w:t>
            </w:r>
          </w:p>
        </w:tc>
        <w:tc>
          <w:tcPr>
            <w:tcW w:w="5293" w:type="dxa"/>
            <w:noWrap w:val="0"/>
            <w:vAlign w:val="top"/>
          </w:tcPr>
          <w:p w14:paraId="3C4FE180">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其它</w:t>
            </w:r>
          </w:p>
        </w:tc>
        <w:tc>
          <w:tcPr>
            <w:tcW w:w="2366" w:type="dxa"/>
            <w:noWrap w:val="0"/>
            <w:vAlign w:val="top"/>
          </w:tcPr>
          <w:p w14:paraId="49BCA8E4">
            <w:pPr>
              <w:widowControl w:val="0"/>
              <w:spacing w:before="171" w:after="0" w:line="240" w:lineRule="auto"/>
              <w:ind w:left="0" w:right="32"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12</w:t>
            </w:r>
          </w:p>
        </w:tc>
      </w:tr>
    </w:tbl>
    <w:p w14:paraId="6C83B2D3">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 xml:space="preserve">从表 </w:t>
      </w:r>
      <w:r>
        <w:rPr>
          <w:rFonts w:ascii="Times New Roman" w:hAnsi="Times New Roman" w:eastAsia="宋体" w:cs="Times New Roman"/>
          <w:spacing w:val="11"/>
          <w:sz w:val="24"/>
          <w:szCs w:val="24"/>
          <w:lang w:val="en-US" w:eastAsia="zh-CN" w:bidi="zh-CN"/>
        </w:rPr>
        <w:t>7.3-3</w:t>
      </w:r>
      <w:r>
        <w:rPr>
          <w:rFonts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en-US" w:eastAsia="zh-CN" w:bidi="zh-CN"/>
        </w:rPr>
        <w:t>7.3-4，</w:t>
      </w:r>
      <w:r>
        <w:rPr>
          <w:rFonts w:ascii="Times New Roman" w:hAnsi="Times New Roman" w:eastAsia="宋体" w:cs="Times New Roman"/>
          <w:spacing w:val="11"/>
          <w:sz w:val="24"/>
          <w:szCs w:val="24"/>
          <w:lang w:val="zh-CN" w:eastAsia="zh-CN" w:bidi="zh-CN"/>
        </w:rPr>
        <w:t>结合本企业特点，环评确定本项目主要的事故风险来自原料储运过程中的泄漏。参考《建设项目环境风险评价技术导则》（HJ/T169-2018）附录 E 中储罐、管道、反应器等泄漏频率可知，管道和阀门泄漏相对来讲易于控制， 泄漏频率较小，反应器和储罐泄漏频率较大。</w:t>
      </w:r>
    </w:p>
    <w:p w14:paraId="11C990C3">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根据前文地下水环境影响评价内容中，考虑当发生泄漏事故时，甲醛泄漏速率0.86kg/s，苯酚</w:t>
      </w:r>
      <w:r>
        <w:rPr>
          <w:rFonts w:ascii="Times New Roman" w:hAnsi="Times New Roman" w:eastAsia="宋体" w:cs="Times New Roman"/>
          <w:spacing w:val="11"/>
          <w:sz w:val="24"/>
          <w:szCs w:val="24"/>
          <w:lang w:val="en-US" w:eastAsia="zh-CN" w:bidi="zh-CN"/>
        </w:rPr>
        <w:t>为固态，泄露可能较小，</w:t>
      </w:r>
      <w:r>
        <w:rPr>
          <w:rFonts w:ascii="Times New Roman" w:hAnsi="Times New Roman" w:eastAsia="宋体" w:cs="Times New Roman"/>
          <w:spacing w:val="11"/>
          <w:sz w:val="24"/>
          <w:szCs w:val="24"/>
          <w:lang w:val="zh-CN" w:eastAsia="zh-CN" w:bidi="zh-CN"/>
        </w:rPr>
        <w:t>甲醛泄漏速率大于苯酚，结合项目涉及的危险化学品的特性，甲醛大气毒性终点浓度-2（17mg/m³）、终点浓度-1（69mg/m³），苯酚大气毒性终点浓度-2（88mg/m³）、终点浓度-1（770mg/m³），甲醛毒性较大，影响范围较大，综合考虑，项目选取甲醛储罐的泄漏事故作为最大可信事故。</w:t>
      </w:r>
    </w:p>
    <w:p w14:paraId="7DDED04F">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②最大可信事故概率分析</w:t>
      </w:r>
    </w:p>
    <w:p w14:paraId="201CE780">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项目参考《建设项目环境风险评价技术导则》（HJ169-2018）附录 E 中储罐、管道、反应釜等泄漏频率，储罐泄漏孔径为10mm孔径的泄漏频率为 1.0×10</w:t>
      </w:r>
      <w:r>
        <w:rPr>
          <w:rFonts w:ascii="Times New Roman" w:hAnsi="Times New Roman" w:eastAsia="宋体" w:cs="Times New Roman"/>
          <w:spacing w:val="11"/>
          <w:sz w:val="24"/>
          <w:szCs w:val="24"/>
          <w:vertAlign w:val="superscript"/>
          <w:lang w:val="zh-CN" w:eastAsia="zh-CN" w:bidi="zh-CN"/>
        </w:rPr>
        <w:t>-4</w:t>
      </w:r>
      <w:r>
        <w:rPr>
          <w:rFonts w:hint="eastAsia" w:ascii="Times New Roman" w:hAnsi="Times New Roman" w:eastAsia="宋体" w:cs="Times New Roman"/>
          <w:spacing w:val="11"/>
          <w:sz w:val="24"/>
          <w:szCs w:val="24"/>
          <w:lang w:val="en-US" w:eastAsia="zh-CN" w:bidi="zh-CN"/>
        </w:rPr>
        <w:t>次</w:t>
      </w:r>
      <w:r>
        <w:rPr>
          <w:rFonts w:ascii="Times New Roman" w:hAnsi="Times New Roman" w:eastAsia="宋体" w:cs="Times New Roman"/>
          <w:spacing w:val="11"/>
          <w:sz w:val="24"/>
          <w:szCs w:val="24"/>
          <w:lang w:val="zh-CN" w:eastAsia="zh-CN" w:bidi="zh-CN"/>
        </w:rPr>
        <w:t>/a。</w:t>
      </w:r>
    </w:p>
    <w:p w14:paraId="3F5C78A7">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hint="eastAsia" w:ascii="Times New Roman" w:hAnsi="Times New Roman" w:eastAsia="宋体" w:cs="Times New Roman"/>
          <w:spacing w:val="11"/>
          <w:sz w:val="24"/>
          <w:szCs w:val="24"/>
          <w:lang w:val="zh-CN" w:eastAsia="zh-CN" w:bidi="zh-CN"/>
        </w:rPr>
        <w:t>③</w:t>
      </w:r>
      <w:r>
        <w:rPr>
          <w:rFonts w:ascii="Times New Roman" w:hAnsi="Times New Roman" w:eastAsia="宋体" w:cs="Times New Roman"/>
          <w:spacing w:val="11"/>
          <w:sz w:val="24"/>
          <w:szCs w:val="24"/>
          <w:lang w:val="zh-CN" w:eastAsia="zh-CN" w:bidi="zh-CN"/>
        </w:rPr>
        <w:t>事故源强确定</w:t>
      </w:r>
    </w:p>
    <w:p w14:paraId="3E3AA1F3">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项目甲醛储罐泄漏量可根据《建设项目环境风险评价技术导则》（HJ169-2018），经计算得出甲醛溶液泄漏的速度为0.86kg/s，项目未设置紧急隔离系统的单元，因此</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考虑30min 事故泄漏应急时间，则30min内甲醛溶液的泄漏量为1548kg，项目危险储罐区位于</w:t>
      </w:r>
      <w:r>
        <w:rPr>
          <w:rFonts w:ascii="Times New Roman" w:hAnsi="Times New Roman" w:eastAsia="宋体" w:cs="Times New Roman"/>
          <w:spacing w:val="11"/>
          <w:sz w:val="24"/>
          <w:szCs w:val="24"/>
          <w:lang w:val="en-US" w:eastAsia="zh-CN" w:bidi="zh-CN"/>
        </w:rPr>
        <w:t>制胶车间</w:t>
      </w:r>
      <w:r>
        <w:rPr>
          <w:rFonts w:ascii="Times New Roman" w:hAnsi="Times New Roman" w:eastAsia="宋体" w:cs="Times New Roman"/>
          <w:spacing w:val="11"/>
          <w:sz w:val="24"/>
          <w:szCs w:val="24"/>
          <w:lang w:val="zh-CN" w:eastAsia="zh-CN" w:bidi="zh-CN"/>
        </w:rPr>
        <w:t>，不考虑甲醛溶液蒸发、包气带岩土体的防渗性能及</w:t>
      </w:r>
      <w:r>
        <w:rPr>
          <w:rFonts w:hint="eastAsia" w:cs="Times New Roman"/>
          <w:spacing w:val="11"/>
          <w:sz w:val="24"/>
          <w:szCs w:val="24"/>
          <w:lang w:val="zh-CN" w:eastAsia="zh-CN" w:bidi="zh-CN"/>
        </w:rPr>
        <w:t>吸附</w:t>
      </w:r>
      <w:r>
        <w:rPr>
          <w:rFonts w:ascii="Times New Roman" w:hAnsi="Times New Roman" w:eastAsia="宋体" w:cs="Times New Roman"/>
          <w:spacing w:val="11"/>
          <w:sz w:val="24"/>
          <w:szCs w:val="24"/>
          <w:lang w:val="zh-CN" w:eastAsia="zh-CN" w:bidi="zh-CN"/>
        </w:rPr>
        <w:t>作用</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污漏后直接入渗补给地下水。</w:t>
      </w:r>
    </w:p>
    <w:p w14:paraId="4EA99BA4">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在液体物料发生泄漏后</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一部分将由液态蒸发为气态挥发进入大气，蒸发量决定于环境温度、物质性质和储存条件。根据《建设项目环境风险评价技术导则》（HJ169-2018）附录</w:t>
      </w:r>
      <w:r>
        <w:rPr>
          <w:rFonts w:hint="eastAsia" w:ascii="Times New Roman" w:hAnsi="Times New Roman" w:eastAsia="宋体" w:cs="Times New Roman"/>
          <w:spacing w:val="11"/>
          <w:sz w:val="24"/>
          <w:szCs w:val="24"/>
          <w:lang w:val="en-US" w:eastAsia="zh-CN" w:bidi="zh-CN"/>
        </w:rPr>
        <w:t>F</w:t>
      </w:r>
      <w:r>
        <w:rPr>
          <w:rFonts w:ascii="Times New Roman" w:hAnsi="Times New Roman" w:eastAsia="宋体" w:cs="Times New Roman"/>
          <w:spacing w:val="11"/>
          <w:sz w:val="24"/>
          <w:szCs w:val="24"/>
          <w:lang w:val="zh-CN" w:eastAsia="zh-CN" w:bidi="zh-CN"/>
        </w:rPr>
        <w:t>关于泄漏液体蒸发速率的计算。泄漏液体的蒸发分为闪蒸蒸发、热量蒸发和质量蒸发三种，其蒸发总量为这三种蒸发之和。闪蒸蒸发指过热液体的直接蒸发，热量蒸发指液体在地面形成液池吸收地面热量而气化，质量蒸发指液池表面气流运动使液体蒸发。</w:t>
      </w:r>
    </w:p>
    <w:p w14:paraId="6E1AD3B0">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甲醛储罐泄漏时液体立即流到地面，之后开始蒸发，并随风扩散而污染环境。本项目泄漏液体为常温常压储存</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37%甲醛溶液的沸点约 96℃，因此，挥发计算不考虑闪蒸蒸发和热量蒸发，蒸发时间按 30min计。</w:t>
      </w:r>
    </w:p>
    <w:p w14:paraId="2D89C011">
      <w:pPr>
        <w:keepNext w:val="0"/>
        <w:keepLines w:val="0"/>
        <w:pageBreakBefore w:val="0"/>
        <w:widowControl w:val="0"/>
        <w:spacing w:before="0" w:after="0" w:line="360" w:lineRule="auto"/>
        <w:ind w:left="0" w:right="0" w:firstLine="524"/>
        <w:jc w:val="both"/>
        <w:rPr>
          <w:rFonts w:hint="eastAsia"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液体质量蒸发速率按下式计算</w:t>
      </w:r>
      <w:r>
        <w:rPr>
          <w:rFonts w:hint="eastAsia" w:ascii="Times New Roman" w:hAnsi="Times New Roman" w:eastAsia="宋体" w:cs="Times New Roman"/>
          <w:spacing w:val="11"/>
          <w:sz w:val="24"/>
          <w:szCs w:val="24"/>
          <w:lang w:val="zh-CN" w:eastAsia="zh-CN" w:bidi="zh-CN"/>
        </w:rPr>
        <w:t>：</w:t>
      </w:r>
    </w:p>
    <w:p w14:paraId="7434DAB5">
      <w:pPr>
        <w:keepNext w:val="0"/>
        <w:keepLines w:val="0"/>
        <w:widowControl/>
        <w:suppressLineNumbers w:val="0"/>
        <w:jc w:val="left"/>
        <w:rPr>
          <w:color w:val="000000"/>
        </w:rPr>
      </w:pPr>
      <w:r>
        <w:rPr>
          <w:rFonts w:ascii="宋体" w:hAnsi="宋体" w:eastAsia="宋体" w:cs="宋体"/>
          <w:color w:val="000000"/>
          <w:sz w:val="24"/>
          <w:szCs w:val="24"/>
          <w:lang w:val="en-US" w:eastAsia="zh-CN" w:bidi="ar"/>
        </w:rPr>
        <w:drawing>
          <wp:inline distT="0" distB="0" distL="0" distR="0">
            <wp:extent cx="1981200" cy="570865"/>
            <wp:effectExtent l="0" t="0" r="0" b="0"/>
            <wp:docPr id="54" name="_x0000_i3143"/>
            <wp:cNvGraphicFramePr/>
            <a:graphic xmlns:a="http://schemas.openxmlformats.org/drawingml/2006/main">
              <a:graphicData uri="http://schemas.openxmlformats.org/drawingml/2006/picture">
                <pic:pic xmlns:pic="http://schemas.openxmlformats.org/drawingml/2006/picture">
                  <pic:nvPicPr>
                    <pic:cNvPr id="54" name="_x0000_i3143"/>
                    <pic:cNvPicPr/>
                  </pic:nvPicPr>
                  <pic:blipFill>
                    <a:blip r:embed="rId66"/>
                    <a:stretch>
                      <a:fillRect/>
                    </a:stretch>
                  </pic:blipFill>
                  <pic:spPr>
                    <a:xfrm>
                      <a:off x="0" y="0"/>
                      <a:ext cx="1981200" cy="571435"/>
                    </a:xfrm>
                    <a:prstGeom prst="rect">
                      <a:avLst/>
                    </a:prstGeom>
                    <a:noFill/>
                    <a:ln>
                      <a:noFill/>
                    </a:ln>
                  </pic:spPr>
                </pic:pic>
              </a:graphicData>
            </a:graphic>
          </wp:inline>
        </w:drawing>
      </w:r>
    </w:p>
    <w:p w14:paraId="230A8EA1">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式中：Q</w:t>
      </w:r>
      <w:r>
        <w:rPr>
          <w:rFonts w:ascii="Times New Roman" w:hAnsi="Times New Roman" w:eastAsia="宋体" w:cs="Times New Roman"/>
          <w:color w:val="000000"/>
          <w:spacing w:val="11"/>
          <w:sz w:val="24"/>
          <w:szCs w:val="24"/>
          <w:vertAlign w:val="subscript"/>
          <w:lang w:val="zh-CN" w:eastAsia="zh-CN" w:bidi="zh-CN"/>
        </w:rPr>
        <w:t>3</w:t>
      </w:r>
      <w:r>
        <w:rPr>
          <w:rFonts w:ascii="Times New Roman" w:hAnsi="Times New Roman" w:eastAsia="宋体" w:cs="Times New Roman"/>
          <w:color w:val="000000"/>
          <w:spacing w:val="11"/>
          <w:sz w:val="24"/>
          <w:szCs w:val="24"/>
          <w:lang w:val="zh-CN" w:eastAsia="zh-CN" w:bidi="zh-CN"/>
        </w:rPr>
        <w:t xml:space="preserve"> ——质量蒸发速率，kg/s；</w:t>
      </w:r>
    </w:p>
    <w:p w14:paraId="08E8F6D2">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 xml:space="preserve">p——液体表面蒸汽压，Pa，查表得 0.149kPa； </w:t>
      </w:r>
    </w:p>
    <w:p w14:paraId="479550A4">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R——气体常数，8.314J/（mol·K）；</w:t>
      </w:r>
    </w:p>
    <w:p w14:paraId="13EB71E4">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 xml:space="preserve">T0 ——环境温度，298.15K（25℃）； </w:t>
      </w:r>
    </w:p>
    <w:p w14:paraId="5D2227D0">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 xml:space="preserve">M ——物质的摩尔质量，0.03kg/mol； </w:t>
      </w:r>
    </w:p>
    <w:p w14:paraId="2CFC24D7">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u ——风速，取1.5m/s；</w:t>
      </w:r>
    </w:p>
    <w:p w14:paraId="118EF3FF">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r ——液池半径，m，约3.9m；</w:t>
      </w:r>
    </w:p>
    <w:p w14:paraId="47FAB377">
      <w:pPr>
        <w:keepNext w:val="0"/>
        <w:keepLines w:val="0"/>
        <w:pageBreakBefore w:val="0"/>
        <w:widowControl w:val="0"/>
        <w:spacing w:before="0" w:after="0" w:line="360" w:lineRule="auto"/>
        <w:ind w:left="0" w:right="0" w:firstLine="524"/>
        <w:jc w:val="both"/>
        <w:rPr>
          <w:rFonts w:ascii="Times New Roman" w:hAnsi="Times New Roman" w:eastAsia="宋体" w:cs="Times New Roman"/>
          <w:color w:val="000000"/>
          <w:spacing w:val="11"/>
          <w:sz w:val="24"/>
          <w:szCs w:val="24"/>
          <w:lang w:val="zh-CN" w:eastAsia="zh-CN" w:bidi="zh-CN"/>
        </w:rPr>
      </w:pPr>
      <w:r>
        <w:rPr>
          <w:rFonts w:ascii="Times New Roman" w:hAnsi="Times New Roman" w:eastAsia="宋体" w:cs="Times New Roman"/>
          <w:color w:val="000000"/>
          <w:spacing w:val="11"/>
          <w:sz w:val="24"/>
          <w:szCs w:val="24"/>
          <w:lang w:val="zh-CN" w:eastAsia="zh-CN" w:bidi="zh-CN"/>
        </w:rPr>
        <w:t>α、n ——大气稳定度系数（取值见导则表F.3）</w:t>
      </w:r>
      <w:r>
        <w:rPr>
          <w:rFonts w:hint="eastAsia" w:ascii="Times New Roman" w:hAnsi="Times New Roman" w:eastAsia="宋体" w:cs="Times New Roman"/>
          <w:color w:val="000000"/>
          <w:spacing w:val="11"/>
          <w:sz w:val="24"/>
          <w:szCs w:val="24"/>
          <w:lang w:val="zh-CN" w:eastAsia="zh-CN" w:bidi="zh-CN"/>
        </w:rPr>
        <w:t>，</w:t>
      </w:r>
      <w:r>
        <w:rPr>
          <w:rFonts w:ascii="Times New Roman" w:hAnsi="Times New Roman" w:eastAsia="宋体" w:cs="Times New Roman"/>
          <w:color w:val="000000"/>
          <w:spacing w:val="11"/>
          <w:sz w:val="24"/>
          <w:szCs w:val="24"/>
          <w:lang w:val="zh-CN" w:eastAsia="zh-CN" w:bidi="zh-CN"/>
        </w:rPr>
        <w:t>取值分别为0.3、5.285×10</w:t>
      </w:r>
      <w:r>
        <w:rPr>
          <w:rFonts w:ascii="Times New Roman" w:hAnsi="Times New Roman" w:eastAsia="宋体" w:cs="Times New Roman"/>
          <w:color w:val="000000"/>
          <w:spacing w:val="11"/>
          <w:sz w:val="24"/>
          <w:szCs w:val="24"/>
          <w:vertAlign w:val="superscript"/>
          <w:lang w:val="zh-CN" w:eastAsia="zh-CN" w:bidi="zh-CN"/>
        </w:rPr>
        <w:t>-3</w:t>
      </w:r>
      <w:r>
        <w:rPr>
          <w:rFonts w:ascii="Times New Roman" w:hAnsi="Times New Roman" w:eastAsia="宋体" w:cs="Times New Roman"/>
          <w:color w:val="000000"/>
          <w:spacing w:val="11"/>
          <w:sz w:val="24"/>
          <w:szCs w:val="24"/>
          <w:lang w:val="zh-CN" w:eastAsia="zh-CN" w:bidi="zh-CN"/>
        </w:rPr>
        <w:t>。</w:t>
      </w:r>
    </w:p>
    <w:p w14:paraId="0817BB05">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项目甲醛储罐均设置有围堰，液体泄漏在储罐区内</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30min甲醛溶液泄漏量在围堰内形成0.027m 深的液池，液池面积约50m</w:t>
      </w:r>
      <w:r>
        <w:rPr>
          <w:rFonts w:ascii="Times New Roman" w:hAnsi="Times New Roman" w:eastAsia="宋体" w:cs="Times New Roman"/>
          <w:spacing w:val="11"/>
          <w:sz w:val="24"/>
          <w:szCs w:val="24"/>
          <w:vertAlign w:val="superscript"/>
          <w:lang w:val="zh-CN" w:eastAsia="zh-CN" w:bidi="zh-CN"/>
        </w:rPr>
        <w:t>2</w:t>
      </w:r>
      <w:r>
        <w:rPr>
          <w:rFonts w:ascii="Times New Roman" w:hAnsi="Times New Roman" w:eastAsia="宋体" w:cs="Times New Roman"/>
          <w:spacing w:val="11"/>
          <w:sz w:val="24"/>
          <w:szCs w:val="24"/>
          <w:lang w:val="zh-CN" w:eastAsia="zh-CN" w:bidi="zh-CN"/>
        </w:rPr>
        <w:t>。通过计算得到液体泄漏质量蒸发速率为0.012kg/s，蒸发量为127.8kg。</w:t>
      </w:r>
    </w:p>
    <w:p w14:paraId="1C8245AC">
      <w:pPr>
        <w:widowControl w:val="0"/>
        <w:tabs>
          <w:tab w:val="left" w:pos="1159"/>
        </w:tabs>
        <w:spacing w:before="0" w:after="28" w:line="282" w:lineRule="exact"/>
        <w:ind w:left="0" w:right="0"/>
        <w:jc w:val="center"/>
        <w:rPr>
          <w:rFonts w:ascii="Times New Roman" w:hAnsi="Times New Roman" w:eastAsia="宋体" w:cs="Times New Roman"/>
          <w:b/>
          <w:bCs/>
          <w:sz w:val="24"/>
          <w:szCs w:val="24"/>
          <w:lang w:val="zh-CN" w:eastAsia="zh-CN" w:bidi="zh-CN"/>
        </w:rPr>
      </w:pPr>
      <w:r>
        <w:rPr>
          <w:rFonts w:hint="eastAsia" w:ascii="Times New Roman" w:hAnsi="Times New Roman" w:eastAsia="宋体" w:cs="Times New Roman"/>
          <w:b/>
          <w:bCs/>
          <w:sz w:val="24"/>
          <w:szCs w:val="24"/>
          <w:lang w:val="en-US" w:eastAsia="zh-CN" w:bidi="zh-CN"/>
        </w:rPr>
        <w:t xml:space="preserve">表7.3-5  </w:t>
      </w:r>
      <w:r>
        <w:rPr>
          <w:rFonts w:ascii="Times New Roman" w:hAnsi="Times New Roman" w:eastAsia="宋体" w:cs="Times New Roman"/>
          <w:b/>
          <w:bCs/>
          <w:sz w:val="24"/>
          <w:szCs w:val="24"/>
          <w:lang w:val="zh-CN" w:eastAsia="zh-CN" w:bidi="zh-CN"/>
        </w:rPr>
        <w:t>项目甲醛泄漏事故风险源强一览表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0"/>
        <w:gridCol w:w="645"/>
        <w:gridCol w:w="600"/>
        <w:gridCol w:w="600"/>
        <w:gridCol w:w="750"/>
        <w:gridCol w:w="855"/>
        <w:gridCol w:w="945"/>
        <w:gridCol w:w="1080"/>
        <w:gridCol w:w="1030"/>
        <w:gridCol w:w="896"/>
      </w:tblGrid>
      <w:tr w14:paraId="1A43C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jc w:val="center"/>
        </w:trPr>
        <w:tc>
          <w:tcPr>
            <w:tcW w:w="1430" w:type="dxa"/>
            <w:noWrap w:val="0"/>
            <w:vAlign w:val="center"/>
          </w:tcPr>
          <w:p w14:paraId="58725843">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风险事故情形</w:t>
            </w:r>
          </w:p>
          <w:p w14:paraId="0D2380A4">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描述</w:t>
            </w:r>
          </w:p>
        </w:tc>
        <w:tc>
          <w:tcPr>
            <w:tcW w:w="645" w:type="dxa"/>
            <w:noWrap w:val="0"/>
            <w:vAlign w:val="center"/>
          </w:tcPr>
          <w:p w14:paraId="1FD04010">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危险</w:t>
            </w:r>
          </w:p>
          <w:p w14:paraId="0BF5F294">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单元</w:t>
            </w:r>
          </w:p>
        </w:tc>
        <w:tc>
          <w:tcPr>
            <w:tcW w:w="600" w:type="dxa"/>
            <w:noWrap w:val="0"/>
            <w:vAlign w:val="center"/>
          </w:tcPr>
          <w:p w14:paraId="4602C3BF">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危险</w:t>
            </w:r>
          </w:p>
          <w:p w14:paraId="52BA9E02">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物质</w:t>
            </w:r>
          </w:p>
        </w:tc>
        <w:tc>
          <w:tcPr>
            <w:tcW w:w="600" w:type="dxa"/>
            <w:noWrap w:val="0"/>
            <w:vAlign w:val="center"/>
          </w:tcPr>
          <w:p w14:paraId="62591AF4">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影响</w:t>
            </w:r>
          </w:p>
          <w:p w14:paraId="659C1CE1">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途径</w:t>
            </w:r>
          </w:p>
        </w:tc>
        <w:tc>
          <w:tcPr>
            <w:tcW w:w="750" w:type="dxa"/>
            <w:noWrap w:val="0"/>
            <w:vAlign w:val="center"/>
          </w:tcPr>
          <w:p w14:paraId="7CB7C511">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泄漏速</w:t>
            </w:r>
          </w:p>
          <w:p w14:paraId="60DD0F8F">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率 kg/s</w:t>
            </w:r>
          </w:p>
        </w:tc>
        <w:tc>
          <w:tcPr>
            <w:tcW w:w="855" w:type="dxa"/>
            <w:noWrap w:val="0"/>
            <w:vAlign w:val="center"/>
          </w:tcPr>
          <w:p w14:paraId="7D64BA98">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蒸发速</w:t>
            </w:r>
          </w:p>
          <w:p w14:paraId="4DFC0204">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率 kg/s</w:t>
            </w:r>
          </w:p>
        </w:tc>
        <w:tc>
          <w:tcPr>
            <w:tcW w:w="945" w:type="dxa"/>
            <w:noWrap w:val="0"/>
            <w:vAlign w:val="center"/>
          </w:tcPr>
          <w:p w14:paraId="67246F08">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泄漏时间</w:t>
            </w:r>
          </w:p>
          <w:p w14:paraId="36EC60E6">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min</w:t>
            </w:r>
          </w:p>
        </w:tc>
        <w:tc>
          <w:tcPr>
            <w:tcW w:w="1080" w:type="dxa"/>
            <w:noWrap w:val="0"/>
            <w:vAlign w:val="center"/>
          </w:tcPr>
          <w:p w14:paraId="5772CE9B">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最大泄漏量</w:t>
            </w:r>
          </w:p>
          <w:p w14:paraId="5BE4C5FF">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kg</w:t>
            </w:r>
          </w:p>
        </w:tc>
        <w:tc>
          <w:tcPr>
            <w:tcW w:w="1030" w:type="dxa"/>
            <w:noWrap w:val="0"/>
            <w:vAlign w:val="center"/>
          </w:tcPr>
          <w:p w14:paraId="484817D6">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泄漏液体</w:t>
            </w:r>
          </w:p>
          <w:p w14:paraId="28E0A605">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蒸发量 kg</w:t>
            </w:r>
          </w:p>
        </w:tc>
        <w:tc>
          <w:tcPr>
            <w:tcW w:w="896" w:type="dxa"/>
            <w:noWrap w:val="0"/>
            <w:vAlign w:val="center"/>
          </w:tcPr>
          <w:p w14:paraId="31757AB6">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事故概率</w:t>
            </w:r>
          </w:p>
        </w:tc>
      </w:tr>
      <w:tr w14:paraId="2B59E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1430" w:type="dxa"/>
            <w:noWrap w:val="0"/>
            <w:vAlign w:val="center"/>
          </w:tcPr>
          <w:p w14:paraId="64EAA473">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甲醛储罐泄漏</w:t>
            </w:r>
          </w:p>
          <w:p w14:paraId="0FCF05E1">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泄漏孔径 10mm</w:t>
            </w:r>
          </w:p>
        </w:tc>
        <w:tc>
          <w:tcPr>
            <w:tcW w:w="645" w:type="dxa"/>
            <w:noWrap w:val="0"/>
            <w:vAlign w:val="center"/>
          </w:tcPr>
          <w:p w14:paraId="085AFA18">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储罐区</w:t>
            </w:r>
          </w:p>
        </w:tc>
        <w:tc>
          <w:tcPr>
            <w:tcW w:w="600" w:type="dxa"/>
            <w:noWrap w:val="0"/>
            <w:vAlign w:val="center"/>
          </w:tcPr>
          <w:p w14:paraId="64B7ED97">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甲醛</w:t>
            </w:r>
          </w:p>
        </w:tc>
        <w:tc>
          <w:tcPr>
            <w:tcW w:w="600" w:type="dxa"/>
            <w:noWrap w:val="0"/>
            <w:vAlign w:val="center"/>
          </w:tcPr>
          <w:p w14:paraId="7F788D33">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大气</w:t>
            </w:r>
          </w:p>
        </w:tc>
        <w:tc>
          <w:tcPr>
            <w:tcW w:w="750" w:type="dxa"/>
            <w:noWrap w:val="0"/>
            <w:vAlign w:val="center"/>
          </w:tcPr>
          <w:p w14:paraId="565535D1">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0.86</w:t>
            </w:r>
          </w:p>
        </w:tc>
        <w:tc>
          <w:tcPr>
            <w:tcW w:w="855" w:type="dxa"/>
            <w:noWrap w:val="0"/>
            <w:vAlign w:val="center"/>
          </w:tcPr>
          <w:p w14:paraId="3C24AA7E">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0.012</w:t>
            </w:r>
          </w:p>
        </w:tc>
        <w:tc>
          <w:tcPr>
            <w:tcW w:w="945" w:type="dxa"/>
            <w:noWrap w:val="0"/>
            <w:vAlign w:val="center"/>
          </w:tcPr>
          <w:p w14:paraId="3A4BA4CA">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30</w:t>
            </w:r>
          </w:p>
        </w:tc>
        <w:tc>
          <w:tcPr>
            <w:tcW w:w="1080" w:type="dxa"/>
            <w:noWrap w:val="0"/>
            <w:vAlign w:val="center"/>
          </w:tcPr>
          <w:p w14:paraId="752D25EE">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1548</w:t>
            </w:r>
          </w:p>
        </w:tc>
        <w:tc>
          <w:tcPr>
            <w:tcW w:w="1030" w:type="dxa"/>
            <w:noWrap w:val="0"/>
            <w:vAlign w:val="center"/>
          </w:tcPr>
          <w:p w14:paraId="6DDCE3EE">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21.6</w:t>
            </w:r>
          </w:p>
        </w:tc>
        <w:tc>
          <w:tcPr>
            <w:tcW w:w="896" w:type="dxa"/>
            <w:noWrap w:val="0"/>
            <w:vAlign w:val="center"/>
          </w:tcPr>
          <w:p w14:paraId="64340EEB">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1.0×</w:t>
            </w:r>
          </w:p>
          <w:p w14:paraId="582AA839">
            <w:pPr>
              <w:pStyle w:val="219"/>
              <w:keepNext w:val="0"/>
              <w:keepLines w:val="0"/>
              <w:pageBreakBefore w:val="0"/>
              <w:widowControl/>
              <w:spacing w:after="0"/>
              <w:ind w:left="0" w:firstLine="0"/>
              <w:jc w:val="center"/>
              <w:rPr>
                <w:rFonts w:ascii="Times New Roman" w:hAnsi="Times New Roman" w:eastAsia="宋体" w:cs="Times New Roman"/>
                <w:b w:val="0"/>
                <w:bCs w:val="0"/>
                <w:sz w:val="21"/>
                <w:szCs w:val="21"/>
                <w:vertAlign w:val="baseline"/>
                <w:lang w:val="zh-CN" w:eastAsia="zh-CN" w:bidi="ar-SA"/>
              </w:rPr>
            </w:pPr>
            <w:r>
              <w:rPr>
                <w:rFonts w:ascii="Times New Roman" w:hAnsi="Times New Roman" w:eastAsia="宋体" w:cs="Times New Roman"/>
                <w:b w:val="0"/>
                <w:bCs w:val="0"/>
                <w:sz w:val="21"/>
                <w:szCs w:val="21"/>
                <w:vertAlign w:val="baseline"/>
                <w:lang w:val="zh-CN" w:eastAsia="zh-CN" w:bidi="ar-SA"/>
              </w:rPr>
              <w:t>10</w:t>
            </w:r>
            <w:r>
              <w:rPr>
                <w:rFonts w:ascii="Times New Roman" w:hAnsi="Times New Roman" w:eastAsia="宋体" w:cs="Times New Roman"/>
                <w:b w:val="0"/>
                <w:bCs w:val="0"/>
                <w:sz w:val="21"/>
                <w:szCs w:val="21"/>
                <w:vertAlign w:val="superscript"/>
                <w:lang w:val="zh-CN" w:eastAsia="zh-CN" w:bidi="ar-SA"/>
              </w:rPr>
              <w:t>-4</w:t>
            </w:r>
            <w:r>
              <w:rPr>
                <w:rFonts w:hint="eastAsia" w:ascii="Times New Roman" w:hAnsi="Times New Roman" w:eastAsia="宋体" w:cs="Times New Roman"/>
                <w:b w:val="0"/>
                <w:bCs w:val="0"/>
                <w:sz w:val="21"/>
                <w:szCs w:val="21"/>
                <w:vertAlign w:val="baseline"/>
                <w:lang w:val="en-US" w:eastAsia="zh-CN" w:bidi="ar-SA"/>
              </w:rPr>
              <w:t>次</w:t>
            </w:r>
            <w:r>
              <w:rPr>
                <w:rFonts w:ascii="Times New Roman" w:hAnsi="Times New Roman" w:eastAsia="宋体" w:cs="Times New Roman"/>
                <w:b w:val="0"/>
                <w:bCs w:val="0"/>
                <w:sz w:val="21"/>
                <w:szCs w:val="21"/>
                <w:vertAlign w:val="baseline"/>
                <w:lang w:val="zh-CN" w:eastAsia="zh-CN" w:bidi="ar-SA"/>
              </w:rPr>
              <w:t>/a</w:t>
            </w:r>
          </w:p>
        </w:tc>
      </w:tr>
    </w:tbl>
    <w:p w14:paraId="458501F8">
      <w:pPr>
        <w:widowControl w:val="0"/>
        <w:spacing w:before="10" w:after="0" w:line="240" w:lineRule="auto"/>
        <w:ind w:left="0" w:right="0"/>
        <w:jc w:val="left"/>
        <w:rPr>
          <w:rFonts w:ascii="Times New Roman" w:hAnsi="Times New Roman" w:eastAsia="宋体" w:cs="Times New Roman"/>
          <w:sz w:val="21"/>
          <w:szCs w:val="24"/>
          <w:lang w:val="zh-CN" w:eastAsia="zh-CN" w:bidi="zh-CN"/>
        </w:rPr>
      </w:pPr>
    </w:p>
    <w:bookmarkEnd w:id="196"/>
    <w:p w14:paraId="76CEA26E">
      <w:pPr>
        <w:pStyle w:val="187"/>
        <w:keepNext/>
        <w:keepLines/>
        <w:pageBreakBefore w:val="0"/>
        <w:widowControl/>
        <w:rPr>
          <w:rFonts w:ascii="Times New Roman" w:hAnsi="Times New Roman"/>
          <w:bCs/>
          <w:color w:val="000000"/>
          <w:lang w:val="zh-CN" w:eastAsia="zh-CN"/>
        </w:rPr>
      </w:pPr>
      <w:bookmarkStart w:id="197" w:name="4.2.7.4.风险预测评价"/>
      <w:bookmarkStart w:id="198" w:name="_Toc5375"/>
      <w:r>
        <w:rPr>
          <w:rFonts w:hint="eastAsia" w:ascii="Times New Roman" w:hAnsi="Times New Roman"/>
          <w:bCs/>
          <w:color w:val="000000"/>
          <w:lang w:val="en-US" w:eastAsia="zh-CN"/>
        </w:rPr>
        <w:t>7.4</w:t>
      </w:r>
      <w:r>
        <w:rPr>
          <w:rFonts w:ascii="Times New Roman" w:hAnsi="Times New Roman"/>
          <w:bCs/>
          <w:color w:val="000000"/>
          <w:lang w:val="zh-CN" w:eastAsia="zh-CN"/>
        </w:rPr>
        <w:t>风险预测评价</w:t>
      </w:r>
      <w:bookmarkEnd w:id="197"/>
    </w:p>
    <w:p w14:paraId="12562750">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根据以上分析，本项目最大可信事故为甲醛储罐的泄漏。本报告将对甲醛储罐泄漏进行风险影响预测。</w:t>
      </w:r>
    </w:p>
    <w:p w14:paraId="7C4BA862">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（一）风险预测</w:t>
      </w:r>
    </w:p>
    <w:p w14:paraId="646AEF83">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有毒有害物质在大气中的扩散</w:t>
      </w:r>
    </w:p>
    <w:p w14:paraId="0889AFD4">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①预测因子</w:t>
      </w:r>
    </w:p>
    <w:p w14:paraId="0584B713">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选取甲醛为预测因子，由于事故状态下污染物地面浓度远大于环境现状浓度</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因此预测浓度不考虑叠加背景值。</w:t>
      </w:r>
    </w:p>
    <w:p w14:paraId="31BB3A09">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②预测模型筛选</w:t>
      </w:r>
    </w:p>
    <w:p w14:paraId="22C4A4FB">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根据《建设项目环境风险评价技术导则》（HJ/T169-2018）附录 G 中公式G4判定项目排放源强为连续排放还是瞬时排放，公式如下：</w:t>
      </w:r>
    </w:p>
    <w:p w14:paraId="788174FA">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T</w:t>
      </w:r>
      <w:r>
        <w:rPr>
          <w:rFonts w:hint="eastAsia" w:ascii="Times New Roman" w:hAnsi="Times New Roman" w:eastAsia="宋体" w:cs="Times New Roman"/>
          <w:spacing w:val="11"/>
          <w:sz w:val="24"/>
          <w:szCs w:val="24"/>
          <w:lang w:val="en-US" w:eastAsia="zh-CN" w:bidi="zh-CN"/>
        </w:rPr>
        <w:t>=</w:t>
      </w:r>
      <w:r>
        <w:rPr>
          <w:rFonts w:ascii="Times New Roman" w:hAnsi="Times New Roman" w:eastAsia="宋体" w:cs="Times New Roman"/>
          <w:spacing w:val="11"/>
          <w:sz w:val="24"/>
          <w:szCs w:val="24"/>
          <w:lang w:val="zh-CN" w:eastAsia="zh-CN" w:bidi="zh-CN"/>
        </w:rPr>
        <w:t>2X / Ur</w:t>
      </w:r>
    </w:p>
    <w:p w14:paraId="3EF16B2F">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hint="eastAsia" w:ascii="Times New Roman" w:hAnsi="Times New Roman" w:eastAsia="宋体" w:cs="Times New Roman"/>
          <w:spacing w:val="11"/>
          <w:sz w:val="24"/>
          <w:szCs w:val="24"/>
          <w:lang w:val="en-US" w:eastAsia="zh-CN" w:bidi="zh-CN"/>
        </w:rPr>
        <w:t>式</w:t>
      </w:r>
      <w:r>
        <w:rPr>
          <w:rFonts w:ascii="Times New Roman" w:hAnsi="Times New Roman" w:eastAsia="宋体" w:cs="Times New Roman"/>
          <w:spacing w:val="11"/>
          <w:sz w:val="24"/>
          <w:szCs w:val="24"/>
          <w:lang w:val="zh-CN" w:eastAsia="zh-CN" w:bidi="zh-CN"/>
        </w:rPr>
        <w:t xml:space="preserve">中：X——事故发生地与计算点（最近敏感点）的距离，m，新胜屯 170m； </w:t>
      </w:r>
    </w:p>
    <w:p w14:paraId="18B85AF2">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Ur——10m 高处风速，m/s，取 1.5m/s。</w:t>
      </w:r>
    </w:p>
    <w:p w14:paraId="160F9F1D">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经计算得 T=1067s=3.78min＜30min（排放时间Td），因此甲醛液池的甲醛挥发排放为连续排放。</w:t>
      </w:r>
    </w:p>
    <w:p w14:paraId="2052AB5A">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此外</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根据《建设项目环境风险评价技术导则》（HJ/T169-2018）中推荐的理查德森数（Ri）判定烟羽/烟团是否为重质气体，连续排放时 Ri 计算定公式如下：</w:t>
      </w:r>
    </w:p>
    <w:p w14:paraId="2DF95592">
      <w:pPr>
        <w:keepNext w:val="0"/>
        <w:keepLines w:val="0"/>
        <w:widowControl/>
        <w:suppressLineNumbers w:val="0"/>
        <w:jc w:val="left"/>
      </w:pPr>
      <w:r>
        <w:rPr>
          <w:rFonts w:ascii="宋体" w:hAnsi="宋体" w:eastAsia="宋体" w:cs="宋体"/>
          <w:sz w:val="24"/>
          <w:szCs w:val="24"/>
          <w:lang w:val="en-US" w:eastAsia="zh-CN" w:bidi="ar"/>
        </w:rPr>
        <w:drawing>
          <wp:inline distT="0" distB="0" distL="0" distR="0">
            <wp:extent cx="2095500" cy="714375"/>
            <wp:effectExtent l="0" t="0" r="0" b="0"/>
            <wp:docPr id="55" name="_x0000_i3144"/>
            <wp:cNvGraphicFramePr/>
            <a:graphic xmlns:a="http://schemas.openxmlformats.org/drawingml/2006/main">
              <a:graphicData uri="http://schemas.openxmlformats.org/drawingml/2006/picture">
                <pic:pic xmlns:pic="http://schemas.openxmlformats.org/drawingml/2006/picture">
                  <pic:nvPicPr>
                    <pic:cNvPr id="55" name="_x0000_i3144"/>
                    <pic:cNvPicPr/>
                  </pic:nvPicPr>
                  <pic:blipFill>
                    <a:blip r:embed="rId67"/>
                    <a:stretch>
                      <a:fillRect/>
                    </a:stretch>
                  </pic:blipFill>
                  <pic:spPr>
                    <a:xfrm>
                      <a:off x="0" y="0"/>
                      <a:ext cx="2095500" cy="714375"/>
                    </a:xfrm>
                    <a:prstGeom prst="rect">
                      <a:avLst/>
                    </a:prstGeom>
                    <a:noFill/>
                    <a:ln>
                      <a:noFill/>
                    </a:ln>
                  </pic:spPr>
                </pic:pic>
              </a:graphicData>
            </a:graphic>
          </wp:inline>
        </w:drawing>
      </w:r>
    </w:p>
    <w:p w14:paraId="1E88898B">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 xml:space="preserve">式中：ρrel——排放物质进入大气的初始密度，kg/m³，甲醛密度为1.2474 kg/m³； </w:t>
      </w:r>
    </w:p>
    <w:p w14:paraId="6EFF1C8F">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 xml:space="preserve">ρa——环境空气密度，kg/m³，取1.1691kg/m³（1 个标准大气压，25℃）； </w:t>
      </w:r>
    </w:p>
    <w:p w14:paraId="546143F6">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Q——连续排放烟羽的排放速率，kg/s，本项目为0.012kg/s；</w:t>
      </w:r>
    </w:p>
    <w:p w14:paraId="2F0E8A41">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Drel——初始的烟团宽度，即源直径，m；本项目液池面积约50m</w:t>
      </w:r>
      <w:r>
        <w:rPr>
          <w:rFonts w:ascii="Times New Roman" w:hAnsi="Times New Roman" w:eastAsia="宋体" w:cs="Times New Roman"/>
          <w:spacing w:val="11"/>
          <w:sz w:val="24"/>
          <w:szCs w:val="24"/>
          <w:vertAlign w:val="superscript"/>
          <w:lang w:val="zh-CN" w:eastAsia="zh-CN" w:bidi="zh-CN"/>
        </w:rPr>
        <w:t>2</w:t>
      </w:r>
      <w:r>
        <w:rPr>
          <w:rFonts w:ascii="Times New Roman" w:hAnsi="Times New Roman" w:eastAsia="宋体" w:cs="Times New Roman"/>
          <w:spacing w:val="11"/>
          <w:sz w:val="24"/>
          <w:szCs w:val="24"/>
          <w:lang w:val="zh-CN" w:eastAsia="zh-CN" w:bidi="zh-CN"/>
        </w:rPr>
        <w:t>， 等效直径约为7.8m；</w:t>
      </w:r>
    </w:p>
    <w:p w14:paraId="2AC7EB88">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Ur——10m高处风速</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m/s，取1.5m/s。经计算得Ri=0.062＜1/6，则甲醛为轻质气体。</w:t>
      </w:r>
    </w:p>
    <w:p w14:paraId="32BA4F64">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根据《建设项目环境风险评价技术导则》（HJ/T169-2018）附录 G 大气风险预测推荐模型，AFTOX模型适用于平坦地形下中性气体和轻质气体排放以及液池蒸发气体的扩散模拟，可模拟连续排放或瞬时排放等。项目甲醛泄漏属于连续排放</w:t>
      </w:r>
      <w:r>
        <w:rPr>
          <w:rFonts w:hint="eastAsia" w:ascii="Times New Roman" w:hAnsi="Times New Roman" w:eastAsia="宋体" w:cs="Times New Roman"/>
          <w:spacing w:val="11"/>
          <w:sz w:val="24"/>
          <w:szCs w:val="24"/>
          <w:lang w:val="zh-CN" w:eastAsia="zh-CN" w:bidi="zh-CN"/>
        </w:rPr>
        <w:t>，</w:t>
      </w:r>
      <w:r>
        <w:rPr>
          <w:rFonts w:ascii="Times New Roman" w:hAnsi="Times New Roman" w:eastAsia="宋体" w:cs="Times New Roman"/>
          <w:spacing w:val="11"/>
          <w:sz w:val="24"/>
          <w:szCs w:val="24"/>
          <w:lang w:val="zh-CN" w:eastAsia="zh-CN" w:bidi="zh-CN"/>
        </w:rPr>
        <w:t>甲醛为轻质气体，因此，项目大气风险预测模型选择 AFTOX模型进行。</w:t>
      </w:r>
    </w:p>
    <w:p w14:paraId="43F5D078">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③预测与评价</w:t>
      </w:r>
    </w:p>
    <w:p w14:paraId="600D82A9">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项目事故情况下大气中甲醛气体的扩散采用《建设项目环境风险评价技术导则》（HJ/T169-2018）中 AFTOX 模型进行计算，用多烟团模式计算风险事故造成的影响范围进行计算。</w:t>
      </w:r>
    </w:p>
    <w:p w14:paraId="6C19C912">
      <w:pPr>
        <w:keepNext w:val="0"/>
        <w:keepLines w:val="0"/>
        <w:pageBreakBefore w:val="0"/>
        <w:widowControl w:val="0"/>
        <w:spacing w:before="0"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A、气象参数等基本参数选取</w:t>
      </w:r>
    </w:p>
    <w:p w14:paraId="6E0544CF">
      <w:pPr>
        <w:keepNext w:val="0"/>
        <w:keepLines w:val="0"/>
        <w:pageBreakBefore w:val="0"/>
        <w:widowControl w:val="0"/>
        <w:spacing w:before="0" w:after="0" w:line="360" w:lineRule="auto"/>
        <w:ind w:left="0" w:right="0" w:firstLine="524"/>
        <w:jc w:val="both"/>
        <w:rPr>
          <w:rFonts w:ascii="Times New Roman" w:hAnsi="Times New Roman" w:eastAsia="宋体" w:cs="Times New Roman"/>
          <w:sz w:val="24"/>
          <w:szCs w:val="24"/>
          <w:lang w:val="zh-CN" w:eastAsia="zh-CN" w:bidi="zh-CN"/>
        </w:rPr>
      </w:pPr>
      <w:r>
        <w:rPr>
          <w:rFonts w:ascii="Times New Roman" w:hAnsi="Times New Roman" w:eastAsia="宋体" w:cs="Times New Roman"/>
          <w:spacing w:val="11"/>
          <w:sz w:val="24"/>
          <w:szCs w:val="24"/>
          <w:lang w:val="zh-CN" w:eastAsia="zh-CN" w:bidi="zh-CN"/>
        </w:rPr>
        <w:t>项目风险评价等级为一级，需选取最不利气象条件和事故发生地的最常见气象条件进行后果预测。最常见气象条件下稳定度取 D 类，选取全年平均风速 1.4m/s， 多年平均气温为 21℃，多年平均相对湿度为 73.2%；最不利气象条件稳定度取 F 类，</w:t>
      </w:r>
      <w:r>
        <w:rPr>
          <w:rFonts w:ascii="Times New Roman" w:hAnsi="Times New Roman" w:eastAsia="宋体" w:cs="Times New Roman"/>
          <w:sz w:val="24"/>
          <w:szCs w:val="24"/>
          <w:lang w:val="zh-CN" w:eastAsia="zh-CN" w:bidi="zh-CN"/>
        </w:rPr>
        <w:t>风速 1.5m/s，温度 25℃，相对湿度 50%，详见下表。</w:t>
      </w:r>
    </w:p>
    <w:p w14:paraId="1C550DEC">
      <w:pPr>
        <w:widowControl w:val="0"/>
        <w:tabs>
          <w:tab w:val="left" w:pos="1159"/>
        </w:tabs>
        <w:spacing w:before="146" w:after="29" w:line="240" w:lineRule="auto"/>
        <w:ind w:left="0" w:right="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7.4-1</w:t>
      </w:r>
      <w:r>
        <w:rPr>
          <w:rFonts w:ascii="Times New Roman" w:hAnsi="Times New Roman" w:eastAsia="宋体" w:cs="Times New Roman"/>
          <w:b/>
          <w:bCs/>
          <w:sz w:val="24"/>
          <w:szCs w:val="24"/>
          <w:lang w:val="zh-CN" w:eastAsia="zh-CN" w:bidi="zh-CN"/>
        </w:rPr>
        <w:t>大气风险预测模型主要参数表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919"/>
        <w:gridCol w:w="2164"/>
        <w:gridCol w:w="2222"/>
        <w:gridCol w:w="2223"/>
      </w:tblGrid>
      <w:tr w14:paraId="30C8C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noWrap w:val="0"/>
            <w:vAlign w:val="top"/>
          </w:tcPr>
          <w:p w14:paraId="40F3A7CE">
            <w:pPr>
              <w:widowControl w:val="0"/>
              <w:spacing w:before="22" w:after="0" w:line="240" w:lineRule="auto"/>
              <w:ind w:left="552" w:right="0"/>
              <w:jc w:val="left"/>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参数类型</w:t>
            </w:r>
          </w:p>
        </w:tc>
        <w:tc>
          <w:tcPr>
            <w:tcW w:w="2164" w:type="dxa"/>
            <w:noWrap w:val="0"/>
            <w:vAlign w:val="top"/>
          </w:tcPr>
          <w:p w14:paraId="05CD3E37">
            <w:pPr>
              <w:widowControl w:val="0"/>
              <w:spacing w:before="22" w:after="0" w:line="240" w:lineRule="auto"/>
              <w:ind w:left="306" w:right="276"/>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选项</w:t>
            </w:r>
          </w:p>
        </w:tc>
        <w:tc>
          <w:tcPr>
            <w:tcW w:w="4445" w:type="dxa"/>
            <w:gridSpan w:val="2"/>
            <w:noWrap w:val="0"/>
            <w:vAlign w:val="top"/>
          </w:tcPr>
          <w:p w14:paraId="3A41CDE6">
            <w:pPr>
              <w:widowControl w:val="0"/>
              <w:spacing w:before="22" w:after="0" w:line="240" w:lineRule="auto"/>
              <w:ind w:left="1711" w:right="1690"/>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参数</w:t>
            </w:r>
          </w:p>
        </w:tc>
      </w:tr>
      <w:tr w14:paraId="06358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vMerge w:val="restart"/>
            <w:noWrap w:val="0"/>
            <w:vAlign w:val="top"/>
          </w:tcPr>
          <w:p w14:paraId="05B286C7">
            <w:pPr>
              <w:widowControl w:val="0"/>
              <w:spacing w:before="4" w:after="0" w:line="240" w:lineRule="auto"/>
              <w:ind w:left="0" w:right="0"/>
              <w:jc w:val="left"/>
              <w:rPr>
                <w:rFonts w:ascii="Times New Roman" w:hAnsi="Times New Roman" w:eastAsia="宋体" w:cs="Times New Roman"/>
                <w:sz w:val="27"/>
                <w:szCs w:val="22"/>
                <w:lang w:val="zh-CN" w:eastAsia="zh-CN" w:bidi="zh-CN"/>
              </w:rPr>
            </w:pPr>
          </w:p>
          <w:p w14:paraId="5BB896AB">
            <w:pPr>
              <w:widowControl w:val="0"/>
              <w:spacing w:before="0" w:after="0" w:line="240" w:lineRule="auto"/>
              <w:ind w:left="552" w:right="0"/>
              <w:jc w:val="left"/>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基本情况</w:t>
            </w:r>
          </w:p>
        </w:tc>
        <w:tc>
          <w:tcPr>
            <w:tcW w:w="2164" w:type="dxa"/>
            <w:noWrap w:val="0"/>
            <w:vAlign w:val="top"/>
          </w:tcPr>
          <w:p w14:paraId="323AE9B5">
            <w:pPr>
              <w:widowControl w:val="0"/>
              <w:spacing w:before="24" w:after="0" w:line="240" w:lineRule="auto"/>
              <w:ind w:left="306" w:right="278"/>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事故源经度°</w:t>
            </w:r>
          </w:p>
        </w:tc>
        <w:tc>
          <w:tcPr>
            <w:tcW w:w="4445" w:type="dxa"/>
            <w:gridSpan w:val="2"/>
            <w:noWrap w:val="0"/>
            <w:vAlign w:val="top"/>
          </w:tcPr>
          <w:p w14:paraId="5AF99D0A">
            <w:pPr>
              <w:widowControl w:val="0"/>
              <w:spacing w:before="38" w:after="0" w:line="240" w:lineRule="auto"/>
              <w:ind w:left="1712" w:right="1690"/>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98.593662</w:t>
            </w:r>
          </w:p>
        </w:tc>
      </w:tr>
      <w:tr w14:paraId="4B2EE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vMerge w:val="continue"/>
            <w:noWrap w:val="0"/>
            <w:vAlign w:val="top"/>
          </w:tcPr>
          <w:p w14:paraId="7D86B29E">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517A6235">
            <w:pPr>
              <w:widowControl w:val="0"/>
              <w:spacing w:before="23" w:after="0" w:line="240" w:lineRule="auto"/>
              <w:ind w:left="304" w:right="279"/>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事故纬度°</w:t>
            </w:r>
          </w:p>
        </w:tc>
        <w:tc>
          <w:tcPr>
            <w:tcW w:w="4445" w:type="dxa"/>
            <w:gridSpan w:val="2"/>
            <w:noWrap w:val="0"/>
            <w:vAlign w:val="top"/>
          </w:tcPr>
          <w:p w14:paraId="1F88456E">
            <w:pPr>
              <w:widowControl w:val="0"/>
              <w:spacing w:before="37" w:after="0" w:line="240" w:lineRule="auto"/>
              <w:ind w:left="1712" w:right="1688"/>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24.461261</w:t>
            </w:r>
          </w:p>
        </w:tc>
      </w:tr>
      <w:tr w14:paraId="44BEF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vMerge w:val="continue"/>
            <w:noWrap w:val="0"/>
            <w:vAlign w:val="top"/>
          </w:tcPr>
          <w:p w14:paraId="24215AFF">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695C4277">
            <w:pPr>
              <w:widowControl w:val="0"/>
              <w:spacing w:before="23" w:after="0" w:line="240" w:lineRule="auto"/>
              <w:ind w:left="304" w:right="279"/>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事故类型</w:t>
            </w:r>
          </w:p>
        </w:tc>
        <w:tc>
          <w:tcPr>
            <w:tcW w:w="4445" w:type="dxa"/>
            <w:gridSpan w:val="2"/>
            <w:noWrap w:val="0"/>
            <w:vAlign w:val="top"/>
          </w:tcPr>
          <w:p w14:paraId="0CEDF25B">
            <w:pPr>
              <w:widowControl w:val="0"/>
              <w:spacing w:before="23" w:after="0" w:line="240" w:lineRule="auto"/>
              <w:ind w:left="1708" w:right="1690"/>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泄漏</w:t>
            </w:r>
          </w:p>
        </w:tc>
      </w:tr>
      <w:tr w14:paraId="5150D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vMerge w:val="restart"/>
            <w:noWrap w:val="0"/>
            <w:vAlign w:val="top"/>
          </w:tcPr>
          <w:p w14:paraId="202CC39D">
            <w:pPr>
              <w:widowControl w:val="0"/>
              <w:spacing w:before="0" w:after="0" w:line="240" w:lineRule="auto"/>
              <w:ind w:left="0" w:right="0"/>
              <w:jc w:val="left"/>
              <w:rPr>
                <w:rFonts w:ascii="Times New Roman" w:hAnsi="Times New Roman" w:eastAsia="宋体" w:cs="Times New Roman"/>
                <w:sz w:val="20"/>
                <w:szCs w:val="22"/>
                <w:lang w:val="zh-CN" w:eastAsia="zh-CN" w:bidi="zh-CN"/>
              </w:rPr>
            </w:pPr>
          </w:p>
          <w:p w14:paraId="048E7EB1">
            <w:pPr>
              <w:widowControl w:val="0"/>
              <w:spacing w:before="0" w:after="0" w:line="240" w:lineRule="auto"/>
              <w:ind w:left="0" w:right="0"/>
              <w:jc w:val="left"/>
              <w:rPr>
                <w:rFonts w:ascii="Times New Roman" w:hAnsi="Times New Roman" w:eastAsia="宋体" w:cs="Times New Roman"/>
                <w:sz w:val="20"/>
                <w:szCs w:val="22"/>
                <w:lang w:val="zh-CN" w:eastAsia="zh-CN" w:bidi="zh-CN"/>
              </w:rPr>
            </w:pPr>
          </w:p>
          <w:p w14:paraId="7A456778">
            <w:pPr>
              <w:widowControl w:val="0"/>
              <w:spacing w:before="165" w:after="0" w:line="240" w:lineRule="auto"/>
              <w:ind w:left="552" w:right="0"/>
              <w:jc w:val="left"/>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气象参数</w:t>
            </w:r>
          </w:p>
        </w:tc>
        <w:tc>
          <w:tcPr>
            <w:tcW w:w="2164" w:type="dxa"/>
            <w:noWrap w:val="0"/>
            <w:vAlign w:val="top"/>
          </w:tcPr>
          <w:p w14:paraId="06520AE6">
            <w:pPr>
              <w:widowControl w:val="0"/>
              <w:spacing w:before="22" w:after="0" w:line="240" w:lineRule="auto"/>
              <w:ind w:left="306" w:right="278"/>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气象条件类型</w:t>
            </w:r>
          </w:p>
        </w:tc>
        <w:tc>
          <w:tcPr>
            <w:tcW w:w="2222" w:type="dxa"/>
            <w:noWrap w:val="0"/>
            <w:vAlign w:val="top"/>
          </w:tcPr>
          <w:p w14:paraId="3973152C">
            <w:pPr>
              <w:widowControl w:val="0"/>
              <w:spacing w:before="22" w:after="0" w:line="240" w:lineRule="auto"/>
              <w:ind w:left="574" w:right="548"/>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最不利气象</w:t>
            </w:r>
          </w:p>
        </w:tc>
        <w:tc>
          <w:tcPr>
            <w:tcW w:w="2223" w:type="dxa"/>
            <w:noWrap w:val="0"/>
            <w:vAlign w:val="top"/>
          </w:tcPr>
          <w:p w14:paraId="33F69F00">
            <w:pPr>
              <w:widowControl w:val="0"/>
              <w:spacing w:before="22" w:after="0" w:line="240" w:lineRule="auto"/>
              <w:ind w:left="574" w:right="553"/>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最常见气象</w:t>
            </w:r>
          </w:p>
        </w:tc>
      </w:tr>
      <w:tr w14:paraId="19E43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6" w:hRule="atLeast"/>
          <w:jc w:val="center"/>
        </w:trPr>
        <w:tc>
          <w:tcPr>
            <w:tcW w:w="1919" w:type="dxa"/>
            <w:vMerge w:val="continue"/>
            <w:noWrap w:val="0"/>
            <w:vAlign w:val="top"/>
          </w:tcPr>
          <w:p w14:paraId="251298A6">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419A07F7">
            <w:pPr>
              <w:widowControl w:val="0"/>
              <w:spacing w:before="24" w:after="0" w:line="240" w:lineRule="auto"/>
              <w:ind w:left="306" w:right="279"/>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风速 m/s</w:t>
            </w:r>
          </w:p>
        </w:tc>
        <w:tc>
          <w:tcPr>
            <w:tcW w:w="2222" w:type="dxa"/>
            <w:noWrap w:val="0"/>
            <w:vAlign w:val="top"/>
          </w:tcPr>
          <w:p w14:paraId="4838ABDE">
            <w:pPr>
              <w:widowControl w:val="0"/>
              <w:spacing w:before="38" w:after="0" w:line="240" w:lineRule="auto"/>
              <w:ind w:left="574" w:right="546"/>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1.5</w:t>
            </w:r>
          </w:p>
        </w:tc>
        <w:tc>
          <w:tcPr>
            <w:tcW w:w="2223" w:type="dxa"/>
            <w:noWrap w:val="0"/>
            <w:vAlign w:val="top"/>
          </w:tcPr>
          <w:p w14:paraId="68178D74">
            <w:pPr>
              <w:widowControl w:val="0"/>
              <w:spacing w:before="38" w:after="0" w:line="240" w:lineRule="auto"/>
              <w:ind w:left="574" w:right="552"/>
              <w:jc w:val="center"/>
              <w:rPr>
                <w:rFonts w:ascii="Times New Roman" w:hAnsi="Times New Roman" w:eastAsia="宋体" w:cs="Times New Roman"/>
                <w:color w:val="000000"/>
                <w:sz w:val="21"/>
                <w:szCs w:val="22"/>
                <w:lang w:val="en-US" w:eastAsia="zh-CN" w:bidi="zh-CN"/>
              </w:rPr>
            </w:pPr>
            <w:r>
              <w:rPr>
                <w:rFonts w:hint="eastAsia" w:ascii="Times New Roman" w:hAnsi="Times New Roman" w:eastAsia="宋体" w:cs="Times New Roman"/>
                <w:color w:val="000000"/>
                <w:sz w:val="21"/>
                <w:szCs w:val="22"/>
                <w:lang w:val="en-US" w:eastAsia="zh-CN" w:bidi="zh-CN"/>
              </w:rPr>
              <w:t>0.9</w:t>
            </w:r>
          </w:p>
        </w:tc>
      </w:tr>
      <w:tr w14:paraId="6157C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vMerge w:val="continue"/>
            <w:noWrap w:val="0"/>
            <w:vAlign w:val="top"/>
          </w:tcPr>
          <w:p w14:paraId="68FCAA1C">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29C9FEA0">
            <w:pPr>
              <w:widowControl w:val="0"/>
              <w:spacing w:before="23" w:after="0" w:line="240" w:lineRule="auto"/>
              <w:ind w:left="304" w:right="279"/>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环境温度℃</w:t>
            </w:r>
          </w:p>
        </w:tc>
        <w:tc>
          <w:tcPr>
            <w:tcW w:w="2222" w:type="dxa"/>
            <w:noWrap w:val="0"/>
            <w:vAlign w:val="top"/>
          </w:tcPr>
          <w:p w14:paraId="4A746801">
            <w:pPr>
              <w:widowControl w:val="0"/>
              <w:spacing w:before="37" w:after="0" w:line="240" w:lineRule="auto"/>
              <w:ind w:left="574" w:right="546"/>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25</w:t>
            </w:r>
          </w:p>
        </w:tc>
        <w:tc>
          <w:tcPr>
            <w:tcW w:w="2223" w:type="dxa"/>
            <w:noWrap w:val="0"/>
            <w:vAlign w:val="top"/>
          </w:tcPr>
          <w:p w14:paraId="39B1EB28">
            <w:pPr>
              <w:widowControl w:val="0"/>
              <w:spacing w:before="37" w:after="0" w:line="240" w:lineRule="auto"/>
              <w:ind w:left="574" w:right="552"/>
              <w:jc w:val="center"/>
              <w:rPr>
                <w:rFonts w:ascii="Times New Roman" w:hAnsi="Times New Roman" w:eastAsia="宋体" w:cs="Times New Roman"/>
                <w:color w:val="000000"/>
                <w:sz w:val="21"/>
                <w:szCs w:val="22"/>
                <w:lang w:val="en-US" w:eastAsia="zh-CN" w:bidi="zh-CN"/>
              </w:rPr>
            </w:pPr>
            <w:r>
              <w:rPr>
                <w:rFonts w:hint="eastAsia" w:ascii="Times New Roman" w:hAnsi="Times New Roman" w:eastAsia="宋体" w:cs="Times New Roman"/>
                <w:color w:val="000000"/>
                <w:sz w:val="21"/>
                <w:szCs w:val="22"/>
                <w:lang w:val="en-US" w:eastAsia="zh-CN" w:bidi="zh-CN"/>
              </w:rPr>
              <w:t>20.3</w:t>
            </w:r>
          </w:p>
        </w:tc>
      </w:tr>
      <w:tr w14:paraId="167E8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vMerge w:val="continue"/>
            <w:noWrap w:val="0"/>
            <w:vAlign w:val="top"/>
          </w:tcPr>
          <w:p w14:paraId="245E4934">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6A1E85E0">
            <w:pPr>
              <w:widowControl w:val="0"/>
              <w:spacing w:before="23" w:after="0" w:line="240" w:lineRule="auto"/>
              <w:ind w:left="306" w:right="277"/>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相对湿度%</w:t>
            </w:r>
          </w:p>
        </w:tc>
        <w:tc>
          <w:tcPr>
            <w:tcW w:w="2222" w:type="dxa"/>
            <w:noWrap w:val="0"/>
            <w:vAlign w:val="top"/>
          </w:tcPr>
          <w:p w14:paraId="14623B83">
            <w:pPr>
              <w:widowControl w:val="0"/>
              <w:spacing w:before="36" w:after="0" w:line="240" w:lineRule="auto"/>
              <w:ind w:left="574" w:right="546"/>
              <w:jc w:val="center"/>
              <w:rPr>
                <w:rFonts w:ascii="Times New Roman" w:hAnsi="Times New Roman" w:eastAsia="宋体" w:cs="Times New Roman"/>
                <w:color w:val="000000"/>
                <w:sz w:val="21"/>
                <w:szCs w:val="22"/>
                <w:lang w:val="zh-CN" w:eastAsia="zh-CN" w:bidi="zh-CN"/>
              </w:rPr>
            </w:pPr>
            <w:r>
              <w:rPr>
                <w:rFonts w:ascii="Times New Roman" w:hAnsi="Times New Roman" w:eastAsia="宋体" w:cs="Times New Roman"/>
                <w:color w:val="000000"/>
                <w:sz w:val="21"/>
                <w:szCs w:val="22"/>
                <w:lang w:val="zh-CN" w:eastAsia="zh-CN" w:bidi="zh-CN"/>
              </w:rPr>
              <w:t>50</w:t>
            </w:r>
          </w:p>
        </w:tc>
        <w:tc>
          <w:tcPr>
            <w:tcW w:w="2223" w:type="dxa"/>
            <w:noWrap w:val="0"/>
            <w:vAlign w:val="top"/>
          </w:tcPr>
          <w:p w14:paraId="1F6F76AB">
            <w:pPr>
              <w:widowControl w:val="0"/>
              <w:spacing w:before="36" w:after="0" w:line="240" w:lineRule="auto"/>
              <w:ind w:left="574" w:right="552"/>
              <w:jc w:val="center"/>
              <w:rPr>
                <w:rFonts w:ascii="Times New Roman" w:hAnsi="Times New Roman" w:eastAsia="宋体" w:cs="Times New Roman"/>
                <w:color w:val="000000"/>
                <w:sz w:val="21"/>
                <w:szCs w:val="22"/>
                <w:lang w:val="en-US" w:eastAsia="zh-CN" w:bidi="zh-CN"/>
              </w:rPr>
            </w:pPr>
            <w:r>
              <w:rPr>
                <w:rFonts w:hint="eastAsia" w:ascii="Times New Roman" w:hAnsi="Times New Roman" w:eastAsia="宋体" w:cs="Times New Roman"/>
                <w:color w:val="000000"/>
                <w:sz w:val="21"/>
                <w:szCs w:val="22"/>
                <w:lang w:val="en-US" w:eastAsia="zh-CN" w:bidi="zh-CN"/>
              </w:rPr>
              <w:t>77</w:t>
            </w:r>
          </w:p>
        </w:tc>
      </w:tr>
      <w:tr w14:paraId="502C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7" w:hRule="atLeast"/>
          <w:jc w:val="center"/>
        </w:trPr>
        <w:tc>
          <w:tcPr>
            <w:tcW w:w="1919" w:type="dxa"/>
            <w:vMerge w:val="continue"/>
            <w:noWrap w:val="0"/>
            <w:vAlign w:val="top"/>
          </w:tcPr>
          <w:p w14:paraId="0AC9A4F7">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6571A50A">
            <w:pPr>
              <w:widowControl w:val="0"/>
              <w:spacing w:before="22" w:after="0" w:line="240" w:lineRule="auto"/>
              <w:ind w:left="306" w:right="278"/>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稳定度</w:t>
            </w:r>
          </w:p>
        </w:tc>
        <w:tc>
          <w:tcPr>
            <w:tcW w:w="2222" w:type="dxa"/>
            <w:noWrap w:val="0"/>
            <w:vAlign w:val="top"/>
          </w:tcPr>
          <w:p w14:paraId="7D9AFAE0">
            <w:pPr>
              <w:widowControl w:val="0"/>
              <w:spacing w:before="36" w:after="0" w:line="240" w:lineRule="auto"/>
              <w:ind w:left="30"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F</w:t>
            </w:r>
          </w:p>
        </w:tc>
        <w:tc>
          <w:tcPr>
            <w:tcW w:w="2223" w:type="dxa"/>
            <w:noWrap w:val="0"/>
            <w:vAlign w:val="top"/>
          </w:tcPr>
          <w:p w14:paraId="6D61A5FC">
            <w:pPr>
              <w:widowControl w:val="0"/>
              <w:spacing w:before="36" w:after="0" w:line="240" w:lineRule="auto"/>
              <w:ind w:left="21"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D</w:t>
            </w:r>
          </w:p>
        </w:tc>
      </w:tr>
      <w:tr w14:paraId="691FC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07" w:hRule="atLeast"/>
          <w:jc w:val="center"/>
        </w:trPr>
        <w:tc>
          <w:tcPr>
            <w:tcW w:w="1919" w:type="dxa"/>
            <w:vMerge w:val="restart"/>
            <w:noWrap w:val="0"/>
            <w:vAlign w:val="top"/>
          </w:tcPr>
          <w:p w14:paraId="05211A98">
            <w:pPr>
              <w:widowControl w:val="0"/>
              <w:spacing w:before="4" w:after="0" w:line="240" w:lineRule="auto"/>
              <w:ind w:left="0" w:right="0"/>
              <w:jc w:val="left"/>
              <w:rPr>
                <w:rFonts w:ascii="Times New Roman" w:hAnsi="Times New Roman" w:eastAsia="宋体" w:cs="Times New Roman"/>
                <w:sz w:val="27"/>
                <w:szCs w:val="22"/>
                <w:lang w:val="zh-CN" w:eastAsia="zh-CN" w:bidi="zh-CN"/>
              </w:rPr>
            </w:pPr>
          </w:p>
          <w:p w14:paraId="7CDC4FD9">
            <w:pPr>
              <w:widowControl w:val="0"/>
              <w:spacing w:before="0" w:after="0" w:line="240" w:lineRule="auto"/>
              <w:ind w:left="552" w:right="0"/>
              <w:jc w:val="left"/>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其他参数</w:t>
            </w:r>
          </w:p>
        </w:tc>
        <w:tc>
          <w:tcPr>
            <w:tcW w:w="2164" w:type="dxa"/>
            <w:noWrap w:val="0"/>
            <w:vAlign w:val="top"/>
          </w:tcPr>
          <w:p w14:paraId="486A698F">
            <w:pPr>
              <w:widowControl w:val="0"/>
              <w:spacing w:before="24" w:after="0" w:line="263" w:lineRule="exact"/>
              <w:ind w:left="306" w:right="279"/>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地表粗糙度 m</w:t>
            </w:r>
          </w:p>
        </w:tc>
        <w:tc>
          <w:tcPr>
            <w:tcW w:w="4445" w:type="dxa"/>
            <w:gridSpan w:val="2"/>
            <w:noWrap w:val="0"/>
            <w:vAlign w:val="top"/>
          </w:tcPr>
          <w:p w14:paraId="087E0A52">
            <w:pPr>
              <w:widowControl w:val="0"/>
              <w:spacing w:before="38" w:after="0" w:line="240" w:lineRule="auto"/>
              <w:ind w:left="1712" w:right="169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0.1</w:t>
            </w:r>
          </w:p>
        </w:tc>
      </w:tr>
      <w:tr w14:paraId="4935B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6" w:hRule="atLeast"/>
          <w:jc w:val="center"/>
        </w:trPr>
        <w:tc>
          <w:tcPr>
            <w:tcW w:w="1919" w:type="dxa"/>
            <w:vMerge w:val="continue"/>
            <w:noWrap w:val="0"/>
            <w:vAlign w:val="top"/>
          </w:tcPr>
          <w:p w14:paraId="38F96486">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7292B655">
            <w:pPr>
              <w:widowControl w:val="0"/>
              <w:spacing w:before="13" w:after="0" w:line="264" w:lineRule="exact"/>
              <w:ind w:left="306" w:right="278"/>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是否考虑地形</w:t>
            </w:r>
          </w:p>
        </w:tc>
        <w:tc>
          <w:tcPr>
            <w:tcW w:w="4445" w:type="dxa"/>
            <w:gridSpan w:val="2"/>
            <w:noWrap w:val="0"/>
            <w:vAlign w:val="top"/>
          </w:tcPr>
          <w:p w14:paraId="18B0FAE3">
            <w:pPr>
              <w:widowControl w:val="0"/>
              <w:spacing w:before="13" w:after="0" w:line="264" w:lineRule="exact"/>
              <w:ind w:left="21"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是</w:t>
            </w:r>
          </w:p>
        </w:tc>
      </w:tr>
      <w:tr w14:paraId="6FE38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06" w:hRule="atLeast"/>
          <w:jc w:val="center"/>
        </w:trPr>
        <w:tc>
          <w:tcPr>
            <w:tcW w:w="1919" w:type="dxa"/>
            <w:vMerge w:val="continue"/>
            <w:noWrap w:val="0"/>
            <w:vAlign w:val="top"/>
          </w:tcPr>
          <w:p w14:paraId="36BF8F00">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164" w:type="dxa"/>
            <w:noWrap w:val="0"/>
            <w:vAlign w:val="top"/>
          </w:tcPr>
          <w:p w14:paraId="15E6B3DA">
            <w:pPr>
              <w:widowControl w:val="0"/>
              <w:spacing w:before="12" w:after="0" w:line="240" w:lineRule="auto"/>
              <w:ind w:left="306" w:right="279"/>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地形数据精度 m</w:t>
            </w:r>
          </w:p>
        </w:tc>
        <w:tc>
          <w:tcPr>
            <w:tcW w:w="4445" w:type="dxa"/>
            <w:gridSpan w:val="2"/>
            <w:noWrap w:val="0"/>
            <w:vAlign w:val="top"/>
          </w:tcPr>
          <w:p w14:paraId="00D69871">
            <w:pPr>
              <w:widowControl w:val="0"/>
              <w:spacing w:before="26" w:after="0" w:line="240" w:lineRule="auto"/>
              <w:ind w:left="1712" w:right="169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30</w:t>
            </w:r>
          </w:p>
        </w:tc>
      </w:tr>
    </w:tbl>
    <w:p w14:paraId="4B0705D4">
      <w:pPr>
        <w:keepNext w:val="0"/>
        <w:keepLines w:val="0"/>
        <w:pageBreakBefore w:val="0"/>
        <w:widowControl w:val="0"/>
        <w:spacing w:before="0"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B、大气毒性终点浓度值选取</w:t>
      </w:r>
    </w:p>
    <w:p w14:paraId="02FFEF9C">
      <w:pPr>
        <w:keepNext w:val="0"/>
        <w:keepLines w:val="0"/>
        <w:pageBreakBefore w:val="0"/>
        <w:widowControl w:val="0"/>
        <w:spacing w:after="0" w:line="360" w:lineRule="auto"/>
        <w:ind w:left="0" w:right="0" w:firstLine="524"/>
        <w:jc w:val="both"/>
        <w:rPr>
          <w:rFonts w:ascii="Times New Roman" w:hAnsi="Times New Roman" w:eastAsia="宋体" w:cs="Times New Roman"/>
          <w:spacing w:val="11"/>
          <w:sz w:val="24"/>
          <w:szCs w:val="24"/>
          <w:lang w:val="zh-CN" w:eastAsia="zh-CN" w:bidi="zh-CN"/>
        </w:rPr>
      </w:pPr>
      <w:r>
        <w:rPr>
          <w:rFonts w:ascii="Times New Roman" w:hAnsi="Times New Roman" w:eastAsia="宋体" w:cs="Times New Roman"/>
          <w:spacing w:val="11"/>
          <w:sz w:val="24"/>
          <w:szCs w:val="24"/>
          <w:lang w:val="zh-CN" w:eastAsia="zh-CN" w:bidi="zh-CN"/>
        </w:rPr>
        <w:t>大气毒性终点浓度即预测评价标准。项目甲醛大气毒性终点浓度值选取参考《建设项目环境风险评价技术导则》（HJ/T169-2018）附录 H，分为 1、2 级。其中1 级为当大气中危险物质浓度低于该限值时，绝大多数人员暴露 1h 不会对生命造成威胁，当超过该限值时，有可能对人群造成生命威胁；2 级为当大气中危险物质浓度低于该限值时，暴露 1 h 一般不会对人体造成不可逆的伤害，或出现的症状一般不会损伤该个体采取有效防护措施的能力。根据《建设项目环境风险评价技术导则》（HJ/T169-2018）附录H，项目甲醛 1 级和 2 级大气毒性终点浓度值分别为69mg/m</w:t>
      </w:r>
      <w:r>
        <w:rPr>
          <w:rFonts w:ascii="Times New Roman" w:hAnsi="Times New Roman" w:eastAsia="宋体" w:cs="Times New Roman"/>
          <w:spacing w:val="11"/>
          <w:sz w:val="24"/>
          <w:szCs w:val="24"/>
          <w:vertAlign w:val="superscript"/>
          <w:lang w:val="zh-CN" w:eastAsia="zh-CN" w:bidi="zh-CN"/>
        </w:rPr>
        <w:t>3</w:t>
      </w:r>
      <w:r>
        <w:rPr>
          <w:rFonts w:ascii="Times New Roman" w:hAnsi="Times New Roman" w:eastAsia="宋体" w:cs="Times New Roman"/>
          <w:spacing w:val="11"/>
          <w:sz w:val="24"/>
          <w:szCs w:val="24"/>
          <w:lang w:val="zh-CN" w:eastAsia="zh-CN" w:bidi="zh-CN"/>
        </w:rPr>
        <w:t>和 17mg/m</w:t>
      </w:r>
      <w:r>
        <w:rPr>
          <w:rFonts w:ascii="Times New Roman" w:hAnsi="Times New Roman" w:eastAsia="宋体" w:cs="Times New Roman"/>
          <w:spacing w:val="11"/>
          <w:sz w:val="24"/>
          <w:szCs w:val="24"/>
          <w:vertAlign w:val="superscript"/>
          <w:lang w:val="zh-CN" w:eastAsia="zh-CN" w:bidi="zh-CN"/>
        </w:rPr>
        <w:t>3</w:t>
      </w:r>
      <w:r>
        <w:rPr>
          <w:rFonts w:ascii="Times New Roman" w:hAnsi="Times New Roman" w:eastAsia="宋体" w:cs="Times New Roman"/>
          <w:spacing w:val="11"/>
          <w:sz w:val="24"/>
          <w:szCs w:val="24"/>
          <w:lang w:val="zh-CN" w:eastAsia="zh-CN" w:bidi="zh-CN"/>
        </w:rPr>
        <w:t xml:space="preserve"> 。</w:t>
      </w:r>
    </w:p>
    <w:p w14:paraId="4935A04A">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C、预测结果与评价</w:t>
      </w:r>
    </w:p>
    <w:p w14:paraId="0A3C72AC">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通过预测，在本评价设定的风险事故情形及气象条件下，下风向不同距离处甲醛气体最大浓度及出现时间见下表：</w:t>
      </w:r>
    </w:p>
    <w:p w14:paraId="492DCC16">
      <w:pPr>
        <w:keepNext w:val="0"/>
        <w:keepLines w:val="0"/>
        <w:pageBreakBefore w:val="0"/>
        <w:widowControl w:val="0"/>
        <w:spacing w:after="0" w:line="360" w:lineRule="auto"/>
        <w:ind w:left="0" w:right="0" w:firstLine="241"/>
        <w:jc w:val="left"/>
        <w:rPr>
          <w:rFonts w:ascii="Times New Roman" w:hAnsi="Times New Roman" w:eastAsia="宋体" w:cs="Times New Roman"/>
          <w:b/>
          <w:bCs/>
          <w:i w:val="0"/>
          <w:iCs w:val="0"/>
          <w:sz w:val="24"/>
          <w:szCs w:val="24"/>
          <w:lang w:val="zh-CN" w:eastAsia="zh-CN" w:bidi="zh-CN"/>
        </w:rPr>
      </w:pPr>
      <w:r>
        <w:rPr>
          <w:rFonts w:ascii="Times New Roman" w:hAnsi="Times New Roman" w:eastAsia="宋体" w:cs="Times New Roman"/>
          <w:b/>
          <w:bCs/>
          <w:i w:val="0"/>
          <w:iCs w:val="0"/>
          <w:sz w:val="24"/>
          <w:szCs w:val="24"/>
          <w:lang w:val="zh-CN" w:eastAsia="zh-CN" w:bidi="zh-CN"/>
        </w:rPr>
        <w:t>表</w:t>
      </w:r>
      <w:r>
        <w:rPr>
          <w:rFonts w:hint="eastAsia" w:ascii="Times New Roman" w:hAnsi="Times New Roman" w:eastAsia="宋体" w:cs="Times New Roman"/>
          <w:b/>
          <w:bCs/>
          <w:i w:val="0"/>
          <w:iCs w:val="0"/>
          <w:sz w:val="24"/>
          <w:szCs w:val="24"/>
          <w:lang w:val="en-US" w:eastAsia="zh-CN" w:bidi="zh-CN"/>
        </w:rPr>
        <w:t xml:space="preserve">7.4-2 </w:t>
      </w:r>
      <w:r>
        <w:rPr>
          <w:rFonts w:ascii="Times New Roman" w:hAnsi="Times New Roman" w:eastAsia="宋体" w:cs="Times New Roman"/>
          <w:b/>
          <w:bCs/>
          <w:i w:val="0"/>
          <w:iCs w:val="0"/>
          <w:sz w:val="24"/>
          <w:szCs w:val="24"/>
          <w:lang w:val="zh-CN" w:eastAsia="zh-CN" w:bidi="zh-CN"/>
        </w:rPr>
        <w:t>甲醛泄漏风险事故下风向不同气象条件不同距离预测结果一览表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257"/>
        <w:gridCol w:w="1794"/>
        <w:gridCol w:w="1964"/>
        <w:gridCol w:w="1962"/>
        <w:gridCol w:w="1953"/>
      </w:tblGrid>
      <w:tr w14:paraId="76834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jc w:val="center"/>
        </w:trPr>
        <w:tc>
          <w:tcPr>
            <w:tcW w:w="1257" w:type="dxa"/>
            <w:vMerge w:val="restart"/>
            <w:noWrap w:val="0"/>
            <w:vAlign w:val="top"/>
          </w:tcPr>
          <w:p w14:paraId="509DD0D6">
            <w:pPr>
              <w:widowControl w:val="0"/>
              <w:spacing w:before="11" w:after="0" w:line="310" w:lineRule="atLeast"/>
              <w:ind w:left="240" w:right="184" w:hanging="17"/>
              <w:jc w:val="left"/>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下风向距离（m）</w:t>
            </w:r>
          </w:p>
        </w:tc>
        <w:tc>
          <w:tcPr>
            <w:tcW w:w="3758" w:type="dxa"/>
            <w:gridSpan w:val="2"/>
            <w:noWrap w:val="0"/>
            <w:vAlign w:val="top"/>
          </w:tcPr>
          <w:p w14:paraId="3C7E71DB">
            <w:pPr>
              <w:widowControl w:val="0"/>
              <w:spacing w:before="49" w:after="0" w:line="240" w:lineRule="auto"/>
              <w:ind w:left="27" w:right="0"/>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D</w:t>
            </w:r>
          </w:p>
        </w:tc>
        <w:tc>
          <w:tcPr>
            <w:tcW w:w="3915" w:type="dxa"/>
            <w:gridSpan w:val="2"/>
            <w:noWrap w:val="0"/>
            <w:vAlign w:val="top"/>
          </w:tcPr>
          <w:p w14:paraId="0D258F01">
            <w:pPr>
              <w:widowControl w:val="0"/>
              <w:spacing w:before="49" w:after="0" w:line="240" w:lineRule="auto"/>
              <w:ind w:left="20" w:right="0"/>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F</w:t>
            </w:r>
          </w:p>
        </w:tc>
      </w:tr>
      <w:tr w14:paraId="562F0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jc w:val="center"/>
        </w:trPr>
        <w:tc>
          <w:tcPr>
            <w:tcW w:w="1257" w:type="dxa"/>
            <w:vMerge w:val="continue"/>
            <w:noWrap w:val="0"/>
            <w:vAlign w:val="top"/>
          </w:tcPr>
          <w:p w14:paraId="09B6E2DF">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1794" w:type="dxa"/>
            <w:noWrap w:val="0"/>
            <w:vAlign w:val="top"/>
          </w:tcPr>
          <w:p w14:paraId="0ABBE022">
            <w:pPr>
              <w:widowControl w:val="0"/>
              <w:spacing w:before="35" w:after="0" w:line="240" w:lineRule="auto"/>
              <w:ind w:left="99" w:right="30"/>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出现时间（min）</w:t>
            </w:r>
          </w:p>
        </w:tc>
        <w:tc>
          <w:tcPr>
            <w:tcW w:w="1964" w:type="dxa"/>
            <w:noWrap w:val="0"/>
            <w:vAlign w:val="top"/>
          </w:tcPr>
          <w:p w14:paraId="0A87EEC4">
            <w:pPr>
              <w:widowControl w:val="0"/>
              <w:spacing w:before="35" w:after="0" w:line="240" w:lineRule="auto"/>
              <w:ind w:left="150" w:right="16"/>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pacing w:val="-1"/>
                <w:sz w:val="21"/>
                <w:szCs w:val="22"/>
                <w:lang w:val="zh-CN" w:eastAsia="zh-CN" w:bidi="zh-CN"/>
              </w:rPr>
              <w:t>高峰浓度</w:t>
            </w:r>
            <w:r>
              <w:rPr>
                <w:rFonts w:ascii="Times New Roman" w:hAnsi="Times New Roman" w:eastAsia="宋体" w:cs="Times New Roman"/>
                <w:b/>
                <w:sz w:val="21"/>
                <w:szCs w:val="22"/>
                <w:lang w:val="zh-CN" w:eastAsia="zh-CN" w:bidi="zh-CN"/>
              </w:rPr>
              <w:t>（mg/m</w:t>
            </w:r>
            <w:r>
              <w:rPr>
                <w:rFonts w:ascii="Times New Roman" w:hAnsi="Times New Roman" w:eastAsia="宋体" w:cs="Times New Roman"/>
                <w:b/>
                <w:position w:val="7"/>
                <w:sz w:val="13"/>
                <w:szCs w:val="22"/>
                <w:lang w:val="zh-CN" w:eastAsia="zh-CN" w:bidi="zh-CN"/>
              </w:rPr>
              <w:t>3</w:t>
            </w:r>
            <w:r>
              <w:rPr>
                <w:rFonts w:ascii="Times New Roman" w:hAnsi="Times New Roman" w:eastAsia="宋体" w:cs="Times New Roman"/>
                <w:b/>
                <w:sz w:val="21"/>
                <w:szCs w:val="22"/>
                <w:lang w:val="zh-CN" w:eastAsia="zh-CN" w:bidi="zh-CN"/>
              </w:rPr>
              <w:t>）</w:t>
            </w:r>
          </w:p>
        </w:tc>
        <w:tc>
          <w:tcPr>
            <w:tcW w:w="1962" w:type="dxa"/>
            <w:noWrap w:val="0"/>
            <w:vAlign w:val="top"/>
          </w:tcPr>
          <w:p w14:paraId="3E14B3CD">
            <w:pPr>
              <w:widowControl w:val="0"/>
              <w:spacing w:before="35" w:after="0" w:line="240" w:lineRule="auto"/>
              <w:ind w:left="164" w:right="132"/>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出现时间（min）</w:t>
            </w:r>
          </w:p>
        </w:tc>
        <w:tc>
          <w:tcPr>
            <w:tcW w:w="1953" w:type="dxa"/>
            <w:noWrap w:val="0"/>
            <w:vAlign w:val="top"/>
          </w:tcPr>
          <w:p w14:paraId="21BC0FC2">
            <w:pPr>
              <w:widowControl w:val="0"/>
              <w:spacing w:before="35" w:after="0" w:line="240" w:lineRule="auto"/>
              <w:ind w:left="119" w:right="-15"/>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pacing w:val="-2"/>
                <w:sz w:val="21"/>
                <w:szCs w:val="22"/>
                <w:lang w:val="zh-CN" w:eastAsia="zh-CN" w:bidi="zh-CN"/>
              </w:rPr>
              <w:t>高峰浓度</w:t>
            </w:r>
            <w:r>
              <w:rPr>
                <w:rFonts w:ascii="Times New Roman" w:hAnsi="Times New Roman" w:eastAsia="宋体" w:cs="Times New Roman"/>
                <w:b/>
                <w:spacing w:val="-1"/>
                <w:sz w:val="21"/>
                <w:szCs w:val="22"/>
                <w:lang w:val="zh-CN" w:eastAsia="zh-CN" w:bidi="zh-CN"/>
              </w:rPr>
              <w:t>（mg/m</w:t>
            </w:r>
            <w:r>
              <w:rPr>
                <w:rFonts w:ascii="Times New Roman" w:hAnsi="Times New Roman" w:eastAsia="宋体" w:cs="Times New Roman"/>
                <w:b/>
                <w:spacing w:val="-1"/>
                <w:position w:val="7"/>
                <w:sz w:val="13"/>
                <w:szCs w:val="22"/>
                <w:lang w:val="zh-CN" w:eastAsia="zh-CN" w:bidi="zh-CN"/>
              </w:rPr>
              <w:t>3</w:t>
            </w:r>
            <w:r>
              <w:rPr>
                <w:rFonts w:ascii="Times New Roman" w:hAnsi="Times New Roman" w:eastAsia="宋体" w:cs="Times New Roman"/>
                <w:b/>
                <w:spacing w:val="-1"/>
                <w:sz w:val="21"/>
                <w:szCs w:val="22"/>
                <w:lang w:val="zh-CN" w:eastAsia="zh-CN" w:bidi="zh-CN"/>
              </w:rPr>
              <w:t>）</w:t>
            </w:r>
          </w:p>
        </w:tc>
      </w:tr>
      <w:tr w14:paraId="1514D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jc w:val="center"/>
        </w:trPr>
        <w:tc>
          <w:tcPr>
            <w:tcW w:w="1257" w:type="dxa"/>
            <w:noWrap w:val="0"/>
            <w:vAlign w:val="center"/>
          </w:tcPr>
          <w:p w14:paraId="18B67817">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w:t>
            </w:r>
          </w:p>
        </w:tc>
        <w:tc>
          <w:tcPr>
            <w:tcW w:w="1794" w:type="dxa"/>
            <w:noWrap w:val="0"/>
            <w:vAlign w:val="top"/>
          </w:tcPr>
          <w:p w14:paraId="4DBCAFD0">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0.12</w:t>
            </w:r>
          </w:p>
        </w:tc>
        <w:tc>
          <w:tcPr>
            <w:tcW w:w="1964" w:type="dxa"/>
            <w:noWrap w:val="0"/>
            <w:vAlign w:val="top"/>
          </w:tcPr>
          <w:p w14:paraId="5CE1DB92">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2.01</w:t>
            </w:r>
          </w:p>
        </w:tc>
        <w:tc>
          <w:tcPr>
            <w:tcW w:w="1962" w:type="dxa"/>
            <w:noWrap w:val="0"/>
            <w:vAlign w:val="top"/>
          </w:tcPr>
          <w:p w14:paraId="115235A3">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0.11</w:t>
            </w:r>
          </w:p>
        </w:tc>
        <w:tc>
          <w:tcPr>
            <w:tcW w:w="1953" w:type="dxa"/>
            <w:noWrap w:val="0"/>
            <w:vAlign w:val="top"/>
          </w:tcPr>
          <w:p w14:paraId="60CD189C">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0.004</w:t>
            </w:r>
          </w:p>
        </w:tc>
      </w:tr>
      <w:tr w14:paraId="2586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jc w:val="center"/>
        </w:trPr>
        <w:tc>
          <w:tcPr>
            <w:tcW w:w="1257" w:type="dxa"/>
            <w:noWrap w:val="0"/>
            <w:vAlign w:val="center"/>
          </w:tcPr>
          <w:p w14:paraId="2C0E6D1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100</w:t>
            </w:r>
          </w:p>
        </w:tc>
        <w:tc>
          <w:tcPr>
            <w:tcW w:w="1794" w:type="dxa"/>
            <w:noWrap w:val="0"/>
            <w:vAlign w:val="top"/>
          </w:tcPr>
          <w:p w14:paraId="1C09B616">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1.31</w:t>
            </w:r>
          </w:p>
        </w:tc>
        <w:tc>
          <w:tcPr>
            <w:tcW w:w="1964" w:type="dxa"/>
            <w:noWrap w:val="0"/>
            <w:vAlign w:val="top"/>
          </w:tcPr>
          <w:p w14:paraId="01EAF1FF">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21.31</w:t>
            </w:r>
          </w:p>
        </w:tc>
        <w:tc>
          <w:tcPr>
            <w:tcW w:w="1962" w:type="dxa"/>
            <w:noWrap w:val="0"/>
            <w:vAlign w:val="top"/>
          </w:tcPr>
          <w:p w14:paraId="0051F08E">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1.22</w:t>
            </w:r>
          </w:p>
        </w:tc>
        <w:tc>
          <w:tcPr>
            <w:tcW w:w="1953" w:type="dxa"/>
            <w:noWrap w:val="0"/>
            <w:vAlign w:val="top"/>
          </w:tcPr>
          <w:p w14:paraId="52AA7B5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42.27</w:t>
            </w:r>
          </w:p>
        </w:tc>
      </w:tr>
      <w:tr w14:paraId="7080C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jc w:val="center"/>
        </w:trPr>
        <w:tc>
          <w:tcPr>
            <w:tcW w:w="1257" w:type="dxa"/>
            <w:noWrap w:val="0"/>
            <w:vAlign w:val="center"/>
          </w:tcPr>
          <w:p w14:paraId="441A892F">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200</w:t>
            </w:r>
          </w:p>
        </w:tc>
        <w:tc>
          <w:tcPr>
            <w:tcW w:w="1794" w:type="dxa"/>
            <w:noWrap w:val="0"/>
            <w:vAlign w:val="top"/>
          </w:tcPr>
          <w:p w14:paraId="0F705F4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2.50</w:t>
            </w:r>
          </w:p>
        </w:tc>
        <w:tc>
          <w:tcPr>
            <w:tcW w:w="1964" w:type="dxa"/>
            <w:noWrap w:val="0"/>
            <w:vAlign w:val="top"/>
          </w:tcPr>
          <w:p w14:paraId="4051B3D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8.51</w:t>
            </w:r>
          </w:p>
        </w:tc>
        <w:tc>
          <w:tcPr>
            <w:tcW w:w="1962" w:type="dxa"/>
            <w:noWrap w:val="0"/>
            <w:vAlign w:val="top"/>
          </w:tcPr>
          <w:p w14:paraId="5AC2A617">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2.33</w:t>
            </w:r>
          </w:p>
        </w:tc>
        <w:tc>
          <w:tcPr>
            <w:tcW w:w="1953" w:type="dxa"/>
            <w:noWrap w:val="0"/>
            <w:vAlign w:val="top"/>
          </w:tcPr>
          <w:p w14:paraId="7B30B9D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22.56</w:t>
            </w:r>
          </w:p>
        </w:tc>
      </w:tr>
      <w:tr w14:paraId="5115D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1FF27BB6">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300</w:t>
            </w:r>
          </w:p>
        </w:tc>
        <w:tc>
          <w:tcPr>
            <w:tcW w:w="1794" w:type="dxa"/>
            <w:noWrap w:val="0"/>
            <w:vAlign w:val="top"/>
          </w:tcPr>
          <w:p w14:paraId="5CA6B82C">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3.69</w:t>
            </w:r>
          </w:p>
        </w:tc>
        <w:tc>
          <w:tcPr>
            <w:tcW w:w="1964" w:type="dxa"/>
            <w:noWrap w:val="0"/>
            <w:vAlign w:val="top"/>
          </w:tcPr>
          <w:p w14:paraId="439EB79E">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4.56</w:t>
            </w:r>
          </w:p>
        </w:tc>
        <w:tc>
          <w:tcPr>
            <w:tcW w:w="1962" w:type="dxa"/>
            <w:noWrap w:val="0"/>
            <w:vAlign w:val="top"/>
          </w:tcPr>
          <w:p w14:paraId="69149CE2">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3.44</w:t>
            </w:r>
          </w:p>
        </w:tc>
        <w:tc>
          <w:tcPr>
            <w:tcW w:w="1953" w:type="dxa"/>
            <w:noWrap w:val="0"/>
            <w:vAlign w:val="top"/>
          </w:tcPr>
          <w:p w14:paraId="477485E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13.61</w:t>
            </w:r>
          </w:p>
        </w:tc>
      </w:tr>
      <w:tr w14:paraId="1151B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00936CF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400</w:t>
            </w:r>
          </w:p>
        </w:tc>
        <w:tc>
          <w:tcPr>
            <w:tcW w:w="1794" w:type="dxa"/>
            <w:noWrap w:val="0"/>
            <w:vAlign w:val="top"/>
          </w:tcPr>
          <w:p w14:paraId="59EB13D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4.88</w:t>
            </w:r>
          </w:p>
        </w:tc>
        <w:tc>
          <w:tcPr>
            <w:tcW w:w="1964" w:type="dxa"/>
            <w:noWrap w:val="0"/>
            <w:vAlign w:val="top"/>
          </w:tcPr>
          <w:p w14:paraId="4AEC29C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2.87</w:t>
            </w:r>
          </w:p>
        </w:tc>
        <w:tc>
          <w:tcPr>
            <w:tcW w:w="1962" w:type="dxa"/>
            <w:noWrap w:val="0"/>
            <w:vAlign w:val="top"/>
          </w:tcPr>
          <w:p w14:paraId="385D9DB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4.55</w:t>
            </w:r>
          </w:p>
        </w:tc>
        <w:tc>
          <w:tcPr>
            <w:tcW w:w="1953" w:type="dxa"/>
            <w:noWrap w:val="0"/>
            <w:vAlign w:val="top"/>
          </w:tcPr>
          <w:p w14:paraId="277726BE">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9.10</w:t>
            </w:r>
          </w:p>
        </w:tc>
      </w:tr>
      <w:tr w14:paraId="4C6E7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79D8D1C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500</w:t>
            </w:r>
          </w:p>
        </w:tc>
        <w:tc>
          <w:tcPr>
            <w:tcW w:w="1794" w:type="dxa"/>
            <w:noWrap w:val="0"/>
            <w:vAlign w:val="top"/>
          </w:tcPr>
          <w:p w14:paraId="044AC8AA">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6.07</w:t>
            </w:r>
          </w:p>
        </w:tc>
        <w:tc>
          <w:tcPr>
            <w:tcW w:w="1964" w:type="dxa"/>
            <w:noWrap w:val="0"/>
            <w:vAlign w:val="top"/>
          </w:tcPr>
          <w:p w14:paraId="07242056">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1.98</w:t>
            </w:r>
          </w:p>
        </w:tc>
        <w:tc>
          <w:tcPr>
            <w:tcW w:w="1962" w:type="dxa"/>
            <w:noWrap w:val="0"/>
            <w:vAlign w:val="top"/>
          </w:tcPr>
          <w:p w14:paraId="673E4780">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5.66</w:t>
            </w:r>
          </w:p>
        </w:tc>
        <w:tc>
          <w:tcPr>
            <w:tcW w:w="1953" w:type="dxa"/>
            <w:noWrap w:val="0"/>
            <w:vAlign w:val="top"/>
          </w:tcPr>
          <w:p w14:paraId="33DB6C0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6.54</w:t>
            </w:r>
          </w:p>
        </w:tc>
      </w:tr>
      <w:tr w14:paraId="66D26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3CB33DB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600</w:t>
            </w:r>
          </w:p>
        </w:tc>
        <w:tc>
          <w:tcPr>
            <w:tcW w:w="1794" w:type="dxa"/>
            <w:noWrap w:val="0"/>
            <w:vAlign w:val="top"/>
          </w:tcPr>
          <w:p w14:paraId="2955A35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7.26</w:t>
            </w:r>
          </w:p>
        </w:tc>
        <w:tc>
          <w:tcPr>
            <w:tcW w:w="1964" w:type="dxa"/>
            <w:noWrap w:val="0"/>
            <w:vAlign w:val="top"/>
          </w:tcPr>
          <w:p w14:paraId="3B14D04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1.46</w:t>
            </w:r>
          </w:p>
        </w:tc>
        <w:tc>
          <w:tcPr>
            <w:tcW w:w="1962" w:type="dxa"/>
            <w:noWrap w:val="0"/>
            <w:vAlign w:val="top"/>
          </w:tcPr>
          <w:p w14:paraId="006ED3A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6.77</w:t>
            </w:r>
          </w:p>
        </w:tc>
        <w:tc>
          <w:tcPr>
            <w:tcW w:w="1953" w:type="dxa"/>
            <w:noWrap w:val="0"/>
            <w:vAlign w:val="top"/>
          </w:tcPr>
          <w:p w14:paraId="7825EAB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4.95</w:t>
            </w:r>
          </w:p>
        </w:tc>
      </w:tr>
      <w:tr w14:paraId="14DE7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729F961E">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700</w:t>
            </w:r>
          </w:p>
        </w:tc>
        <w:tc>
          <w:tcPr>
            <w:tcW w:w="1794" w:type="dxa"/>
            <w:noWrap w:val="0"/>
            <w:vAlign w:val="top"/>
          </w:tcPr>
          <w:p w14:paraId="257FB076">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8.45</w:t>
            </w:r>
          </w:p>
        </w:tc>
        <w:tc>
          <w:tcPr>
            <w:tcW w:w="1964" w:type="dxa"/>
            <w:noWrap w:val="0"/>
            <w:vAlign w:val="top"/>
          </w:tcPr>
          <w:p w14:paraId="431206E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1.13</w:t>
            </w:r>
          </w:p>
        </w:tc>
        <w:tc>
          <w:tcPr>
            <w:tcW w:w="1962" w:type="dxa"/>
            <w:noWrap w:val="0"/>
            <w:vAlign w:val="top"/>
          </w:tcPr>
          <w:p w14:paraId="43A2ABAF">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7.88</w:t>
            </w:r>
          </w:p>
        </w:tc>
        <w:tc>
          <w:tcPr>
            <w:tcW w:w="1953" w:type="dxa"/>
            <w:noWrap w:val="0"/>
            <w:vAlign w:val="top"/>
          </w:tcPr>
          <w:p w14:paraId="68E5F1D5">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3.89</w:t>
            </w:r>
          </w:p>
        </w:tc>
      </w:tr>
      <w:tr w14:paraId="66850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09D0F2EC">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800</w:t>
            </w:r>
          </w:p>
        </w:tc>
        <w:tc>
          <w:tcPr>
            <w:tcW w:w="1794" w:type="dxa"/>
            <w:noWrap w:val="0"/>
            <w:vAlign w:val="top"/>
          </w:tcPr>
          <w:p w14:paraId="78FC1C5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9.64</w:t>
            </w:r>
          </w:p>
        </w:tc>
        <w:tc>
          <w:tcPr>
            <w:tcW w:w="1964" w:type="dxa"/>
            <w:noWrap w:val="0"/>
            <w:vAlign w:val="top"/>
          </w:tcPr>
          <w:p w14:paraId="081DBC2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0.90</w:t>
            </w:r>
          </w:p>
        </w:tc>
        <w:tc>
          <w:tcPr>
            <w:tcW w:w="1962" w:type="dxa"/>
            <w:noWrap w:val="0"/>
            <w:vAlign w:val="top"/>
          </w:tcPr>
          <w:p w14:paraId="679EDEA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9.00</w:t>
            </w:r>
          </w:p>
        </w:tc>
        <w:tc>
          <w:tcPr>
            <w:tcW w:w="1953" w:type="dxa"/>
            <w:noWrap w:val="0"/>
            <w:vAlign w:val="top"/>
          </w:tcPr>
          <w:p w14:paraId="54843915">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3.15</w:t>
            </w:r>
          </w:p>
        </w:tc>
      </w:tr>
      <w:tr w14:paraId="06033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4546206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900</w:t>
            </w:r>
          </w:p>
        </w:tc>
        <w:tc>
          <w:tcPr>
            <w:tcW w:w="1794" w:type="dxa"/>
            <w:noWrap w:val="0"/>
            <w:vAlign w:val="top"/>
          </w:tcPr>
          <w:p w14:paraId="7C953003">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10.83</w:t>
            </w:r>
          </w:p>
        </w:tc>
        <w:tc>
          <w:tcPr>
            <w:tcW w:w="1964" w:type="dxa"/>
            <w:noWrap w:val="0"/>
            <w:vAlign w:val="top"/>
          </w:tcPr>
          <w:p w14:paraId="3DE3939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0.73</w:t>
            </w:r>
          </w:p>
        </w:tc>
        <w:tc>
          <w:tcPr>
            <w:tcW w:w="1962" w:type="dxa"/>
            <w:noWrap w:val="0"/>
            <w:vAlign w:val="top"/>
          </w:tcPr>
          <w:p w14:paraId="55812FA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10.11</w:t>
            </w:r>
          </w:p>
        </w:tc>
        <w:tc>
          <w:tcPr>
            <w:tcW w:w="1953" w:type="dxa"/>
            <w:noWrap w:val="0"/>
            <w:vAlign w:val="top"/>
          </w:tcPr>
          <w:p w14:paraId="5207610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2.61</w:t>
            </w:r>
          </w:p>
        </w:tc>
      </w:tr>
      <w:tr w14:paraId="3711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center"/>
          </w:tcPr>
          <w:p w14:paraId="411BAE5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1000</w:t>
            </w:r>
          </w:p>
        </w:tc>
        <w:tc>
          <w:tcPr>
            <w:tcW w:w="1794" w:type="dxa"/>
            <w:noWrap w:val="0"/>
            <w:vAlign w:val="top"/>
          </w:tcPr>
          <w:p w14:paraId="2A271447">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12.02</w:t>
            </w:r>
          </w:p>
        </w:tc>
        <w:tc>
          <w:tcPr>
            <w:tcW w:w="1964" w:type="dxa"/>
            <w:noWrap w:val="0"/>
            <w:vAlign w:val="top"/>
          </w:tcPr>
          <w:p w14:paraId="5D449CFC">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0.61</w:t>
            </w:r>
          </w:p>
        </w:tc>
        <w:tc>
          <w:tcPr>
            <w:tcW w:w="1962" w:type="dxa"/>
            <w:noWrap w:val="0"/>
            <w:vAlign w:val="top"/>
          </w:tcPr>
          <w:p w14:paraId="262F477E">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11.22</w:t>
            </w:r>
          </w:p>
        </w:tc>
        <w:tc>
          <w:tcPr>
            <w:tcW w:w="1953" w:type="dxa"/>
            <w:noWrap w:val="0"/>
            <w:vAlign w:val="top"/>
          </w:tcPr>
          <w:p w14:paraId="31DFE60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2.20</w:t>
            </w:r>
          </w:p>
        </w:tc>
      </w:tr>
      <w:tr w14:paraId="19015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top"/>
          </w:tcPr>
          <w:p w14:paraId="7966C472">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1500</w:t>
            </w:r>
          </w:p>
        </w:tc>
        <w:tc>
          <w:tcPr>
            <w:tcW w:w="1794" w:type="dxa"/>
            <w:noWrap w:val="0"/>
            <w:vAlign w:val="top"/>
          </w:tcPr>
          <w:p w14:paraId="49A8400A">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17.79</w:t>
            </w:r>
          </w:p>
        </w:tc>
        <w:tc>
          <w:tcPr>
            <w:tcW w:w="1964" w:type="dxa"/>
            <w:noWrap w:val="0"/>
            <w:vAlign w:val="top"/>
          </w:tcPr>
          <w:p w14:paraId="25D7AD0F">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0.33</w:t>
            </w:r>
          </w:p>
        </w:tc>
        <w:tc>
          <w:tcPr>
            <w:tcW w:w="1962" w:type="dxa"/>
            <w:noWrap w:val="0"/>
            <w:vAlign w:val="top"/>
          </w:tcPr>
          <w:p w14:paraId="37BCB0E1">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16.78</w:t>
            </w:r>
          </w:p>
        </w:tc>
        <w:tc>
          <w:tcPr>
            <w:tcW w:w="1953" w:type="dxa"/>
            <w:noWrap w:val="0"/>
            <w:vAlign w:val="top"/>
          </w:tcPr>
          <w:p w14:paraId="14ED0E4A">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1.15</w:t>
            </w:r>
          </w:p>
        </w:tc>
      </w:tr>
      <w:tr w14:paraId="6DD8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top"/>
          </w:tcPr>
          <w:p w14:paraId="03944FA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2000</w:t>
            </w:r>
          </w:p>
        </w:tc>
        <w:tc>
          <w:tcPr>
            <w:tcW w:w="1794" w:type="dxa"/>
            <w:noWrap w:val="0"/>
            <w:vAlign w:val="top"/>
          </w:tcPr>
          <w:p w14:paraId="1F1FDF4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23.92</w:t>
            </w:r>
          </w:p>
        </w:tc>
        <w:tc>
          <w:tcPr>
            <w:tcW w:w="1964" w:type="dxa"/>
            <w:noWrap w:val="0"/>
            <w:vAlign w:val="top"/>
          </w:tcPr>
          <w:p w14:paraId="1A7136C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0.21</w:t>
            </w:r>
          </w:p>
        </w:tc>
        <w:tc>
          <w:tcPr>
            <w:tcW w:w="1962" w:type="dxa"/>
            <w:noWrap w:val="0"/>
            <w:vAlign w:val="top"/>
          </w:tcPr>
          <w:p w14:paraId="003F717E">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22.33</w:t>
            </w:r>
          </w:p>
        </w:tc>
        <w:tc>
          <w:tcPr>
            <w:tcW w:w="1953" w:type="dxa"/>
            <w:noWrap w:val="0"/>
            <w:vAlign w:val="top"/>
          </w:tcPr>
          <w:p w14:paraId="0EF2C9EF">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0.79</w:t>
            </w:r>
          </w:p>
        </w:tc>
      </w:tr>
      <w:tr w14:paraId="3FA05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top"/>
          </w:tcPr>
          <w:p w14:paraId="030CD64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2500</w:t>
            </w:r>
          </w:p>
        </w:tc>
        <w:tc>
          <w:tcPr>
            <w:tcW w:w="1794" w:type="dxa"/>
            <w:noWrap w:val="0"/>
            <w:vAlign w:val="top"/>
          </w:tcPr>
          <w:p w14:paraId="58074A97">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29.88</w:t>
            </w:r>
          </w:p>
        </w:tc>
        <w:tc>
          <w:tcPr>
            <w:tcW w:w="1964" w:type="dxa"/>
            <w:noWrap w:val="0"/>
            <w:vAlign w:val="top"/>
          </w:tcPr>
          <w:p w14:paraId="52BB16B6">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0.15</w:t>
            </w:r>
          </w:p>
        </w:tc>
        <w:tc>
          <w:tcPr>
            <w:tcW w:w="1962" w:type="dxa"/>
            <w:noWrap w:val="0"/>
            <w:vAlign w:val="top"/>
          </w:tcPr>
          <w:p w14:paraId="60FA3C9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27.88</w:t>
            </w:r>
          </w:p>
        </w:tc>
        <w:tc>
          <w:tcPr>
            <w:tcW w:w="1953" w:type="dxa"/>
            <w:noWrap w:val="0"/>
            <w:vAlign w:val="top"/>
          </w:tcPr>
          <w:p w14:paraId="3E4E48B4">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0.59</w:t>
            </w:r>
          </w:p>
        </w:tc>
      </w:tr>
      <w:tr w14:paraId="6B26F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top"/>
          </w:tcPr>
          <w:p w14:paraId="719D3C1C">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3000</w:t>
            </w:r>
          </w:p>
        </w:tc>
        <w:tc>
          <w:tcPr>
            <w:tcW w:w="1794" w:type="dxa"/>
            <w:noWrap w:val="0"/>
            <w:vAlign w:val="top"/>
          </w:tcPr>
          <w:p w14:paraId="67FD9F2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49.83</w:t>
            </w:r>
          </w:p>
        </w:tc>
        <w:tc>
          <w:tcPr>
            <w:tcW w:w="1964" w:type="dxa"/>
            <w:noWrap w:val="0"/>
            <w:vAlign w:val="top"/>
          </w:tcPr>
          <w:p w14:paraId="11E00DB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0.12</w:t>
            </w:r>
          </w:p>
        </w:tc>
        <w:tc>
          <w:tcPr>
            <w:tcW w:w="1962" w:type="dxa"/>
            <w:noWrap w:val="0"/>
            <w:vAlign w:val="top"/>
          </w:tcPr>
          <w:p w14:paraId="4B9A71B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43.44</w:t>
            </w:r>
          </w:p>
        </w:tc>
        <w:tc>
          <w:tcPr>
            <w:tcW w:w="1953" w:type="dxa"/>
            <w:noWrap w:val="0"/>
            <w:vAlign w:val="top"/>
          </w:tcPr>
          <w:p w14:paraId="177B64FC">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0.46</w:t>
            </w:r>
          </w:p>
        </w:tc>
      </w:tr>
      <w:tr w14:paraId="03B13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top"/>
          </w:tcPr>
          <w:p w14:paraId="637E777F">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4000</w:t>
            </w:r>
          </w:p>
        </w:tc>
        <w:tc>
          <w:tcPr>
            <w:tcW w:w="1794" w:type="dxa"/>
            <w:noWrap w:val="0"/>
            <w:vAlign w:val="top"/>
          </w:tcPr>
          <w:p w14:paraId="03F4CF2A">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62.73</w:t>
            </w:r>
          </w:p>
        </w:tc>
        <w:tc>
          <w:tcPr>
            <w:tcW w:w="1964" w:type="dxa"/>
            <w:noWrap w:val="0"/>
            <w:vAlign w:val="top"/>
          </w:tcPr>
          <w:p w14:paraId="07604818">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0.07</w:t>
            </w:r>
          </w:p>
        </w:tc>
        <w:tc>
          <w:tcPr>
            <w:tcW w:w="1962" w:type="dxa"/>
            <w:noWrap w:val="0"/>
            <w:vAlign w:val="top"/>
          </w:tcPr>
          <w:p w14:paraId="5DFDF6F3">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57.55</w:t>
            </w:r>
          </w:p>
        </w:tc>
        <w:tc>
          <w:tcPr>
            <w:tcW w:w="1953" w:type="dxa"/>
            <w:noWrap w:val="0"/>
            <w:vAlign w:val="top"/>
          </w:tcPr>
          <w:p w14:paraId="65BC9BC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0.31</w:t>
            </w:r>
          </w:p>
        </w:tc>
      </w:tr>
      <w:tr w14:paraId="4BAA4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257" w:type="dxa"/>
            <w:noWrap w:val="0"/>
            <w:vAlign w:val="top"/>
          </w:tcPr>
          <w:p w14:paraId="06850C09">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5000</w:t>
            </w:r>
          </w:p>
        </w:tc>
        <w:tc>
          <w:tcPr>
            <w:tcW w:w="1794" w:type="dxa"/>
            <w:noWrap w:val="0"/>
            <w:vAlign w:val="top"/>
          </w:tcPr>
          <w:p w14:paraId="1BD6DAD6">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73.45</w:t>
            </w:r>
          </w:p>
        </w:tc>
        <w:tc>
          <w:tcPr>
            <w:tcW w:w="1964" w:type="dxa"/>
            <w:noWrap w:val="0"/>
            <w:vAlign w:val="top"/>
          </w:tcPr>
          <w:p w14:paraId="27ACA96D">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0.05</w:t>
            </w:r>
          </w:p>
        </w:tc>
        <w:tc>
          <w:tcPr>
            <w:tcW w:w="1962" w:type="dxa"/>
            <w:noWrap w:val="0"/>
            <w:vAlign w:val="top"/>
          </w:tcPr>
          <w:p w14:paraId="7CD0332B">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70.66</w:t>
            </w:r>
          </w:p>
        </w:tc>
        <w:tc>
          <w:tcPr>
            <w:tcW w:w="1953" w:type="dxa"/>
            <w:noWrap w:val="0"/>
            <w:vAlign w:val="top"/>
          </w:tcPr>
          <w:p w14:paraId="5AE956DA">
            <w:pPr>
              <w:widowControl w:val="0"/>
              <w:spacing w:before="48" w:after="0" w:line="240" w:lineRule="auto"/>
              <w:ind w:left="0" w:right="44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0.24</w:t>
            </w:r>
          </w:p>
        </w:tc>
      </w:tr>
    </w:tbl>
    <w:p w14:paraId="20370278">
      <w:pPr>
        <w:widowControl w:val="0"/>
        <w:spacing w:before="4" w:after="0" w:line="240" w:lineRule="auto"/>
        <w:ind w:left="0" w:right="0"/>
        <w:jc w:val="left"/>
        <w:rPr>
          <w:rFonts w:ascii="Times New Roman" w:hAnsi="Times New Roman" w:eastAsia="宋体" w:cs="Times New Roman"/>
          <w:sz w:val="6"/>
          <w:szCs w:val="24"/>
          <w:lang w:val="zh-CN" w:eastAsia="zh-CN" w:bidi="zh-CN"/>
        </w:rPr>
      </w:pPr>
    </w:p>
    <w:p w14:paraId="153ABCBF">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根据预测结果，在本评价设定的风险事故情形及气象条件下预测浓度达到不同毒性终点浓度的最大影响范围见下表：</w:t>
      </w:r>
    </w:p>
    <w:p w14:paraId="5AF1D788">
      <w:pPr>
        <w:keepNext w:val="0"/>
        <w:keepLines w:val="0"/>
        <w:pageBreakBefore w:val="0"/>
        <w:widowControl w:val="0"/>
        <w:spacing w:after="0" w:line="360" w:lineRule="auto"/>
        <w:ind w:left="0" w:right="0"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7.4</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 xml:space="preserve">3 </w:t>
      </w:r>
      <w:r>
        <w:rPr>
          <w:rFonts w:ascii="Times New Roman" w:hAnsi="Times New Roman" w:eastAsia="宋体" w:cs="Times New Roman"/>
          <w:b/>
          <w:bCs/>
          <w:sz w:val="24"/>
          <w:szCs w:val="24"/>
          <w:lang w:val="zh-CN" w:eastAsia="zh-CN" w:bidi="zh-CN"/>
        </w:rPr>
        <w:t>稳定度 D 类甲醛泄漏风险事故毒性终点浓度最大影响范围一览表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2602"/>
        <w:gridCol w:w="1254"/>
        <w:gridCol w:w="2209"/>
        <w:gridCol w:w="2472"/>
      </w:tblGrid>
      <w:tr w14:paraId="03B233B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856" w:type="dxa"/>
            <w:gridSpan w:val="2"/>
            <w:noWrap w:val="0"/>
            <w:vAlign w:val="top"/>
          </w:tcPr>
          <w:p w14:paraId="0E6272D0">
            <w:pPr>
              <w:widowControl w:val="0"/>
              <w:spacing w:before="24" w:after="0" w:line="240" w:lineRule="auto"/>
              <w:ind w:left="1710" w:right="1679"/>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阈值</w:t>
            </w:r>
          </w:p>
        </w:tc>
        <w:tc>
          <w:tcPr>
            <w:tcW w:w="2209" w:type="dxa"/>
            <w:noWrap w:val="0"/>
            <w:vAlign w:val="top"/>
          </w:tcPr>
          <w:p w14:paraId="1C2F18B6">
            <w:pPr>
              <w:widowControl w:val="0"/>
              <w:spacing w:before="24" w:after="0" w:line="240" w:lineRule="auto"/>
              <w:ind w:left="376" w:right="343"/>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最大半宽（m）</w:t>
            </w:r>
          </w:p>
        </w:tc>
        <w:tc>
          <w:tcPr>
            <w:tcW w:w="2472" w:type="dxa"/>
            <w:noWrap w:val="0"/>
            <w:vAlign w:val="top"/>
          </w:tcPr>
          <w:p w14:paraId="4096AD61">
            <w:pPr>
              <w:widowControl w:val="0"/>
              <w:spacing w:before="24" w:after="0" w:line="240" w:lineRule="auto"/>
              <w:ind w:left="296" w:right="269"/>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最大影响距离（m）</w:t>
            </w:r>
          </w:p>
        </w:tc>
      </w:tr>
      <w:tr w14:paraId="38F603F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602" w:type="dxa"/>
            <w:noWrap w:val="0"/>
            <w:vAlign w:val="top"/>
          </w:tcPr>
          <w:p w14:paraId="76FB9B1A">
            <w:pPr>
              <w:widowControl w:val="0"/>
              <w:spacing w:before="23" w:after="0" w:line="240" w:lineRule="auto"/>
              <w:ind w:left="185" w:right="0"/>
              <w:jc w:val="left"/>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 级大气毒性终点浓度值</w:t>
            </w:r>
          </w:p>
        </w:tc>
        <w:tc>
          <w:tcPr>
            <w:tcW w:w="1254" w:type="dxa"/>
            <w:noWrap w:val="0"/>
            <w:vAlign w:val="top"/>
          </w:tcPr>
          <w:p w14:paraId="32F8CE29">
            <w:pPr>
              <w:widowControl w:val="0"/>
              <w:spacing w:before="37" w:after="0" w:line="240" w:lineRule="auto"/>
              <w:ind w:left="196" w:right="167"/>
              <w:jc w:val="center"/>
              <w:rPr>
                <w:rFonts w:ascii="Times New Roman" w:hAnsi="Times New Roman" w:eastAsia="宋体" w:cs="Times New Roman"/>
                <w:sz w:val="13"/>
                <w:szCs w:val="22"/>
                <w:lang w:val="zh-CN" w:eastAsia="zh-CN" w:bidi="zh-CN"/>
              </w:rPr>
            </w:pPr>
            <w:r>
              <w:rPr>
                <w:rFonts w:ascii="Times New Roman" w:hAnsi="Times New Roman" w:eastAsia="宋体" w:cs="Times New Roman"/>
                <w:sz w:val="21"/>
                <w:szCs w:val="22"/>
                <w:lang w:val="zh-CN" w:eastAsia="zh-CN" w:bidi="zh-CN"/>
              </w:rPr>
              <w:t>69mg/m</w:t>
            </w:r>
            <w:r>
              <w:rPr>
                <w:rFonts w:ascii="Times New Roman" w:hAnsi="Times New Roman" w:eastAsia="宋体" w:cs="Times New Roman"/>
                <w:position w:val="7"/>
                <w:sz w:val="13"/>
                <w:szCs w:val="22"/>
                <w:lang w:val="zh-CN" w:eastAsia="zh-CN" w:bidi="zh-CN"/>
              </w:rPr>
              <w:t>3</w:t>
            </w:r>
          </w:p>
        </w:tc>
        <w:tc>
          <w:tcPr>
            <w:tcW w:w="2209" w:type="dxa"/>
            <w:noWrap w:val="0"/>
            <w:vAlign w:val="top"/>
          </w:tcPr>
          <w:p w14:paraId="64A8A4F3">
            <w:pPr>
              <w:widowControl w:val="0"/>
              <w:spacing w:before="23" w:after="0" w:line="240" w:lineRule="auto"/>
              <w:ind w:left="28"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无</w:t>
            </w:r>
          </w:p>
        </w:tc>
        <w:tc>
          <w:tcPr>
            <w:tcW w:w="2472" w:type="dxa"/>
            <w:noWrap w:val="0"/>
            <w:vAlign w:val="top"/>
          </w:tcPr>
          <w:p w14:paraId="6D339C50">
            <w:pPr>
              <w:widowControl w:val="0"/>
              <w:spacing w:before="23" w:after="0" w:line="240" w:lineRule="auto"/>
              <w:ind w:left="22"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无</w:t>
            </w:r>
          </w:p>
        </w:tc>
      </w:tr>
      <w:tr w14:paraId="7DED7ED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2602" w:type="dxa"/>
            <w:noWrap w:val="0"/>
            <w:vAlign w:val="top"/>
          </w:tcPr>
          <w:p w14:paraId="0BD2BF46">
            <w:pPr>
              <w:widowControl w:val="0"/>
              <w:spacing w:before="22" w:after="0" w:line="240" w:lineRule="auto"/>
              <w:ind w:left="185" w:right="0"/>
              <w:jc w:val="left"/>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 级大气毒性终点浓度值</w:t>
            </w:r>
          </w:p>
        </w:tc>
        <w:tc>
          <w:tcPr>
            <w:tcW w:w="1254" w:type="dxa"/>
            <w:noWrap w:val="0"/>
            <w:vAlign w:val="top"/>
          </w:tcPr>
          <w:p w14:paraId="11C1A2BD">
            <w:pPr>
              <w:widowControl w:val="0"/>
              <w:spacing w:before="36" w:after="0" w:line="240" w:lineRule="auto"/>
              <w:ind w:left="196" w:right="167"/>
              <w:jc w:val="center"/>
              <w:rPr>
                <w:rFonts w:ascii="Times New Roman" w:hAnsi="Times New Roman" w:eastAsia="宋体" w:cs="Times New Roman"/>
                <w:sz w:val="13"/>
                <w:szCs w:val="22"/>
                <w:lang w:val="zh-CN" w:eastAsia="zh-CN" w:bidi="zh-CN"/>
              </w:rPr>
            </w:pPr>
            <w:r>
              <w:rPr>
                <w:rFonts w:ascii="Times New Roman" w:hAnsi="Times New Roman" w:eastAsia="宋体" w:cs="Times New Roman"/>
                <w:sz w:val="21"/>
                <w:szCs w:val="22"/>
                <w:lang w:val="zh-CN" w:eastAsia="zh-CN" w:bidi="zh-CN"/>
              </w:rPr>
              <w:t>17mg/m</w:t>
            </w:r>
            <w:r>
              <w:rPr>
                <w:rFonts w:ascii="Times New Roman" w:hAnsi="Times New Roman" w:eastAsia="宋体" w:cs="Times New Roman"/>
                <w:position w:val="7"/>
                <w:sz w:val="13"/>
                <w:szCs w:val="22"/>
                <w:lang w:val="zh-CN" w:eastAsia="zh-CN" w:bidi="zh-CN"/>
              </w:rPr>
              <w:t>3</w:t>
            </w:r>
          </w:p>
        </w:tc>
        <w:tc>
          <w:tcPr>
            <w:tcW w:w="2209" w:type="dxa"/>
            <w:noWrap w:val="0"/>
            <w:vAlign w:val="top"/>
          </w:tcPr>
          <w:p w14:paraId="66EF06D9">
            <w:pPr>
              <w:widowControl w:val="0"/>
              <w:spacing w:before="36" w:after="0" w:line="240" w:lineRule="auto"/>
              <w:ind w:left="29"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w:t>
            </w:r>
          </w:p>
        </w:tc>
        <w:tc>
          <w:tcPr>
            <w:tcW w:w="2472" w:type="dxa"/>
            <w:noWrap w:val="0"/>
            <w:vAlign w:val="top"/>
          </w:tcPr>
          <w:p w14:paraId="7A3943D9">
            <w:pPr>
              <w:widowControl w:val="0"/>
              <w:spacing w:before="36" w:after="0" w:line="240" w:lineRule="auto"/>
              <w:ind w:left="292" w:right="269"/>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130</w:t>
            </w:r>
          </w:p>
        </w:tc>
      </w:tr>
    </w:tbl>
    <w:p w14:paraId="4F6EF551">
      <w:pPr>
        <w:widowControl w:val="0"/>
        <w:spacing w:before="8" w:after="0" w:line="240" w:lineRule="auto"/>
        <w:ind w:left="0" w:right="0"/>
        <w:jc w:val="left"/>
        <w:rPr>
          <w:rFonts w:ascii="Times New Roman" w:hAnsi="Times New Roman" w:eastAsia="宋体" w:cs="Times New Roman"/>
          <w:sz w:val="10"/>
          <w:szCs w:val="24"/>
          <w:lang w:val="zh-CN" w:eastAsia="zh-CN" w:bidi="zh-CN"/>
        </w:rPr>
      </w:pPr>
    </w:p>
    <w:p w14:paraId="0BACB3BF">
      <w:pPr>
        <w:widowControl w:val="0"/>
        <w:tabs>
          <w:tab w:val="left" w:pos="2265"/>
        </w:tabs>
        <w:spacing w:before="74" w:after="28" w:line="240" w:lineRule="auto"/>
        <w:ind w:right="0" w:firstLine="482"/>
        <w:jc w:val="left"/>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7.4</w:t>
      </w:r>
      <w:r>
        <w:rPr>
          <w:rFonts w:ascii="Times New Roman" w:hAnsi="Times New Roman" w:eastAsia="宋体" w:cs="Times New Roman"/>
          <w:b/>
          <w:bCs/>
          <w:sz w:val="24"/>
          <w:szCs w:val="24"/>
          <w:lang w:val="zh-CN" w:eastAsia="zh-CN" w:bidi="zh-CN"/>
        </w:rPr>
        <w:t>-</w:t>
      </w:r>
      <w:r>
        <w:rPr>
          <w:rFonts w:hint="eastAsia" w:ascii="Times New Roman" w:hAnsi="Times New Roman" w:eastAsia="宋体" w:cs="Times New Roman"/>
          <w:b/>
          <w:bCs/>
          <w:sz w:val="24"/>
          <w:szCs w:val="24"/>
          <w:lang w:val="en-US" w:eastAsia="zh-CN" w:bidi="zh-CN"/>
        </w:rPr>
        <w:t xml:space="preserve">4 </w:t>
      </w:r>
      <w:r>
        <w:rPr>
          <w:rFonts w:ascii="Times New Roman" w:hAnsi="Times New Roman" w:eastAsia="宋体" w:cs="Times New Roman"/>
          <w:b/>
          <w:bCs/>
          <w:sz w:val="24"/>
          <w:szCs w:val="24"/>
          <w:lang w:val="zh-CN" w:eastAsia="zh-CN" w:bidi="zh-CN"/>
        </w:rPr>
        <w:t>稳定度</w:t>
      </w:r>
      <w:r>
        <w:rPr>
          <w:rFonts w:ascii="Times New Roman" w:hAnsi="Times New Roman" w:eastAsia="宋体" w:cs="Times New Roman"/>
          <w:b/>
          <w:bCs/>
          <w:spacing w:val="-60"/>
          <w:sz w:val="24"/>
          <w:szCs w:val="24"/>
          <w:lang w:val="zh-CN" w:eastAsia="zh-CN" w:bidi="zh-CN"/>
        </w:rPr>
        <w:t xml:space="preserve"> </w:t>
      </w:r>
      <w:r>
        <w:rPr>
          <w:rFonts w:ascii="Times New Roman" w:hAnsi="Times New Roman" w:eastAsia="宋体" w:cs="Times New Roman"/>
          <w:b/>
          <w:bCs/>
          <w:sz w:val="24"/>
          <w:szCs w:val="24"/>
          <w:lang w:val="zh-CN" w:eastAsia="zh-CN" w:bidi="zh-CN"/>
        </w:rPr>
        <w:t>F 类甲醛泄漏风险事故毒性终点浓度最大影响范围一览表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2699"/>
        <w:gridCol w:w="1254"/>
        <w:gridCol w:w="2209"/>
        <w:gridCol w:w="2570"/>
      </w:tblGrid>
      <w:tr w14:paraId="5C4B457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953" w:type="dxa"/>
            <w:gridSpan w:val="2"/>
            <w:noWrap w:val="0"/>
            <w:vAlign w:val="top"/>
          </w:tcPr>
          <w:p w14:paraId="410214B4">
            <w:pPr>
              <w:widowControl w:val="0"/>
              <w:spacing w:before="22" w:after="0" w:line="240" w:lineRule="auto"/>
              <w:ind w:left="1807" w:right="1679"/>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阈值</w:t>
            </w:r>
          </w:p>
        </w:tc>
        <w:tc>
          <w:tcPr>
            <w:tcW w:w="2209" w:type="dxa"/>
            <w:noWrap w:val="0"/>
            <w:vAlign w:val="top"/>
          </w:tcPr>
          <w:p w14:paraId="0A9214EB">
            <w:pPr>
              <w:widowControl w:val="0"/>
              <w:spacing w:before="22" w:after="0" w:line="240" w:lineRule="auto"/>
              <w:ind w:left="376" w:right="343"/>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最大半宽（m）</w:t>
            </w:r>
          </w:p>
        </w:tc>
        <w:tc>
          <w:tcPr>
            <w:tcW w:w="2570" w:type="dxa"/>
            <w:noWrap w:val="0"/>
            <w:vAlign w:val="top"/>
          </w:tcPr>
          <w:p w14:paraId="6555BE4B">
            <w:pPr>
              <w:widowControl w:val="0"/>
              <w:spacing w:before="22" w:after="0" w:line="240" w:lineRule="auto"/>
              <w:ind w:left="297" w:right="365"/>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最大影响距离（m）</w:t>
            </w:r>
          </w:p>
        </w:tc>
      </w:tr>
      <w:tr w14:paraId="646C819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699" w:type="dxa"/>
            <w:noWrap w:val="0"/>
            <w:vAlign w:val="center"/>
          </w:tcPr>
          <w:p w14:paraId="3E36B548">
            <w:pPr>
              <w:widowControl w:val="0"/>
              <w:spacing w:before="24" w:after="0" w:line="240" w:lineRule="auto"/>
              <w:ind w:right="134"/>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1 级大气毒性终点浓度值</w:t>
            </w:r>
          </w:p>
        </w:tc>
        <w:tc>
          <w:tcPr>
            <w:tcW w:w="1254" w:type="dxa"/>
            <w:noWrap w:val="0"/>
            <w:vAlign w:val="top"/>
          </w:tcPr>
          <w:p w14:paraId="3AA371EA">
            <w:pPr>
              <w:widowControl w:val="0"/>
              <w:spacing w:before="38" w:after="0" w:line="240" w:lineRule="auto"/>
              <w:ind w:left="196" w:right="167"/>
              <w:jc w:val="center"/>
              <w:rPr>
                <w:rFonts w:ascii="Times New Roman" w:hAnsi="Times New Roman" w:eastAsia="宋体" w:cs="Times New Roman"/>
                <w:sz w:val="13"/>
                <w:szCs w:val="22"/>
                <w:lang w:val="zh-CN" w:eastAsia="zh-CN" w:bidi="zh-CN"/>
              </w:rPr>
            </w:pPr>
            <w:r>
              <w:rPr>
                <w:rFonts w:ascii="Times New Roman" w:hAnsi="Times New Roman" w:eastAsia="宋体" w:cs="Times New Roman"/>
                <w:sz w:val="21"/>
                <w:szCs w:val="22"/>
                <w:lang w:val="zh-CN" w:eastAsia="zh-CN" w:bidi="zh-CN"/>
              </w:rPr>
              <w:t>69mg/m</w:t>
            </w:r>
            <w:r>
              <w:rPr>
                <w:rFonts w:ascii="Times New Roman" w:hAnsi="Times New Roman" w:eastAsia="宋体" w:cs="Times New Roman"/>
                <w:position w:val="7"/>
                <w:sz w:val="13"/>
                <w:szCs w:val="22"/>
                <w:lang w:val="zh-CN" w:eastAsia="zh-CN" w:bidi="zh-CN"/>
              </w:rPr>
              <w:t>3</w:t>
            </w:r>
          </w:p>
        </w:tc>
        <w:tc>
          <w:tcPr>
            <w:tcW w:w="2209" w:type="dxa"/>
            <w:noWrap w:val="0"/>
            <w:vAlign w:val="top"/>
          </w:tcPr>
          <w:p w14:paraId="663EA8B1">
            <w:pPr>
              <w:widowControl w:val="0"/>
              <w:spacing w:before="24" w:after="0" w:line="240" w:lineRule="auto"/>
              <w:ind w:left="28"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无</w:t>
            </w:r>
          </w:p>
        </w:tc>
        <w:tc>
          <w:tcPr>
            <w:tcW w:w="2570" w:type="dxa"/>
            <w:noWrap w:val="0"/>
            <w:vAlign w:val="top"/>
          </w:tcPr>
          <w:p w14:paraId="2F017F22">
            <w:pPr>
              <w:widowControl w:val="0"/>
              <w:spacing w:before="24" w:after="0" w:line="240" w:lineRule="auto"/>
              <w:ind w:left="0" w:right="73"/>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无</w:t>
            </w:r>
          </w:p>
        </w:tc>
      </w:tr>
      <w:tr w14:paraId="40A4176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2699" w:type="dxa"/>
            <w:noWrap w:val="0"/>
            <w:vAlign w:val="center"/>
          </w:tcPr>
          <w:p w14:paraId="20BB2E07">
            <w:pPr>
              <w:widowControl w:val="0"/>
              <w:spacing w:before="23" w:after="0" w:line="240" w:lineRule="auto"/>
              <w:ind w:right="134"/>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 级大气毒性终点浓度值</w:t>
            </w:r>
          </w:p>
        </w:tc>
        <w:tc>
          <w:tcPr>
            <w:tcW w:w="1254" w:type="dxa"/>
            <w:noWrap w:val="0"/>
            <w:vAlign w:val="top"/>
          </w:tcPr>
          <w:p w14:paraId="097103CE">
            <w:pPr>
              <w:widowControl w:val="0"/>
              <w:spacing w:before="37" w:after="0" w:line="240" w:lineRule="auto"/>
              <w:ind w:left="196" w:right="167"/>
              <w:jc w:val="center"/>
              <w:rPr>
                <w:rFonts w:ascii="Times New Roman" w:hAnsi="Times New Roman" w:eastAsia="宋体" w:cs="Times New Roman"/>
                <w:sz w:val="13"/>
                <w:szCs w:val="22"/>
                <w:lang w:val="zh-CN" w:eastAsia="zh-CN" w:bidi="zh-CN"/>
              </w:rPr>
            </w:pPr>
            <w:r>
              <w:rPr>
                <w:rFonts w:ascii="Times New Roman" w:hAnsi="Times New Roman" w:eastAsia="宋体" w:cs="Times New Roman"/>
                <w:sz w:val="21"/>
                <w:szCs w:val="22"/>
                <w:lang w:val="zh-CN" w:eastAsia="zh-CN" w:bidi="zh-CN"/>
              </w:rPr>
              <w:t>17mg/m</w:t>
            </w:r>
            <w:r>
              <w:rPr>
                <w:rFonts w:ascii="Times New Roman" w:hAnsi="Times New Roman" w:eastAsia="宋体" w:cs="Times New Roman"/>
                <w:position w:val="7"/>
                <w:sz w:val="13"/>
                <w:szCs w:val="22"/>
                <w:lang w:val="zh-CN" w:eastAsia="zh-CN" w:bidi="zh-CN"/>
              </w:rPr>
              <w:t>3</w:t>
            </w:r>
          </w:p>
        </w:tc>
        <w:tc>
          <w:tcPr>
            <w:tcW w:w="2209" w:type="dxa"/>
            <w:noWrap w:val="0"/>
            <w:vAlign w:val="top"/>
          </w:tcPr>
          <w:p w14:paraId="42F11FDF">
            <w:pPr>
              <w:widowControl w:val="0"/>
              <w:spacing w:before="37" w:after="0" w:line="240" w:lineRule="auto"/>
              <w:ind w:left="29" w:right="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8</w:t>
            </w:r>
          </w:p>
        </w:tc>
        <w:tc>
          <w:tcPr>
            <w:tcW w:w="2570" w:type="dxa"/>
            <w:noWrap w:val="0"/>
            <w:vAlign w:val="top"/>
          </w:tcPr>
          <w:p w14:paraId="1FE23883">
            <w:pPr>
              <w:widowControl w:val="0"/>
              <w:spacing w:before="37" w:after="0" w:line="240" w:lineRule="auto"/>
              <w:ind w:left="293" w:right="365"/>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260</w:t>
            </w:r>
          </w:p>
        </w:tc>
      </w:tr>
    </w:tbl>
    <w:p w14:paraId="00FCC381">
      <w:pPr>
        <w:widowControl w:val="0"/>
        <w:spacing w:before="0" w:after="0" w:line="240" w:lineRule="auto"/>
        <w:ind w:left="0" w:right="0"/>
        <w:jc w:val="left"/>
        <w:rPr>
          <w:rFonts w:ascii="Times New Roman" w:hAnsi="Times New Roman" w:eastAsia="宋体" w:cs="Times New Roman"/>
          <w:sz w:val="20"/>
          <w:szCs w:val="24"/>
          <w:lang w:val="zh-CN" w:eastAsia="zh-CN" w:bidi="zh-CN"/>
        </w:rPr>
      </w:pPr>
    </w:p>
    <w:p w14:paraId="0DFE81FA">
      <w:pPr>
        <w:keepNext w:val="0"/>
        <w:keepLines w:val="0"/>
        <w:pageBreakBefore w:val="0"/>
        <w:widowControl w:val="0"/>
        <w:spacing w:after="0" w:line="360" w:lineRule="auto"/>
        <w:ind w:left="0"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根据预测结果，由预测结果可知，最常见气象条件下甲醛储罐泄漏甲醛气体大气毒性终点浓度-2（17mg/m³）的最远影响距离约 130m，到达时间为 1.31min，无大气毒性终点浓度-1（69mg/m³）的情况出现。最不利气象条件下甲醛储罐泄漏甲醛气体大气毒性终点浓度-2（17mg/m³）的最远影响距离约 260m，到达时间为2.33min</w:t>
      </w:r>
      <w:r>
        <w:rPr>
          <w:rFonts w:hint="eastAsia" w:ascii="Times New Roman" w:hAnsi="Times New Roman" w:eastAsia="宋体" w:cs="Times New Roman"/>
          <w:sz w:val="24"/>
          <w:szCs w:val="24"/>
          <w:lang w:val="zh-CN" w:eastAsia="zh-CN" w:bidi="zh-CN"/>
        </w:rPr>
        <w:t>，</w:t>
      </w:r>
      <w:r>
        <w:rPr>
          <w:rFonts w:ascii="Times New Roman" w:hAnsi="Times New Roman" w:eastAsia="宋体" w:cs="Times New Roman"/>
          <w:sz w:val="24"/>
          <w:szCs w:val="24"/>
          <w:lang w:val="zh-CN" w:eastAsia="zh-CN" w:bidi="zh-CN"/>
        </w:rPr>
        <w:t>无大气毒性终点浓度-1（69mg/m³）的情况出现。</w:t>
      </w:r>
    </w:p>
    <w:p w14:paraId="2D416E28">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根据预测结果，影响范</w:t>
      </w:r>
      <w:r>
        <w:rPr>
          <w:rFonts w:ascii="Times New Roman" w:hAnsi="Times New Roman" w:eastAsia="宋体" w:cs="Times New Roman"/>
          <w:color w:val="000000"/>
          <w:sz w:val="24"/>
          <w:szCs w:val="24"/>
          <w:lang w:val="zh-CN" w:eastAsia="zh-CN" w:bidi="zh-CN"/>
        </w:rPr>
        <w:t>围内主要敏感点有</w:t>
      </w:r>
      <w:r>
        <w:rPr>
          <w:rFonts w:hint="eastAsia" w:ascii="Times New Roman" w:hAnsi="Times New Roman" w:eastAsia="宋体" w:cs="Times New Roman"/>
          <w:color w:val="000000"/>
          <w:sz w:val="24"/>
          <w:szCs w:val="24"/>
          <w:lang w:val="en-US" w:eastAsia="zh-CN" w:bidi="zh-CN"/>
        </w:rPr>
        <w:t>东南</w:t>
      </w:r>
      <w:r>
        <w:rPr>
          <w:rFonts w:ascii="Times New Roman" w:hAnsi="Times New Roman" w:eastAsia="宋体" w:cs="Times New Roman"/>
          <w:color w:val="000000"/>
          <w:sz w:val="24"/>
          <w:szCs w:val="24"/>
          <w:lang w:val="zh-CN" w:eastAsia="zh-CN" w:bidi="zh-CN"/>
        </w:rPr>
        <w:t xml:space="preserve">面 </w:t>
      </w:r>
      <w:r>
        <w:rPr>
          <w:rFonts w:hint="eastAsia" w:ascii="Times New Roman" w:hAnsi="Times New Roman" w:eastAsia="宋体" w:cs="Times New Roman"/>
          <w:color w:val="000000"/>
          <w:sz w:val="24"/>
          <w:szCs w:val="24"/>
          <w:lang w:val="en-US" w:eastAsia="zh-CN" w:bidi="zh-CN"/>
        </w:rPr>
        <w:t>90</w:t>
      </w:r>
      <w:r>
        <w:rPr>
          <w:rFonts w:ascii="Times New Roman" w:hAnsi="Times New Roman" w:eastAsia="宋体" w:cs="Times New Roman"/>
          <w:color w:val="000000"/>
          <w:sz w:val="24"/>
          <w:szCs w:val="24"/>
          <w:lang w:val="zh-CN" w:eastAsia="zh-CN" w:bidi="zh-CN"/>
        </w:rPr>
        <w:t>m 的</w:t>
      </w:r>
      <w:r>
        <w:rPr>
          <w:rFonts w:hint="eastAsia" w:eastAsia="宋体"/>
          <w:color w:val="000000"/>
          <w:sz w:val="24"/>
          <w:szCs w:val="24"/>
          <w:lang w:val="en-US" w:eastAsia="zh-CN"/>
        </w:rPr>
        <w:t>中东灰窑新村</w:t>
      </w:r>
      <w:r>
        <w:rPr>
          <w:rFonts w:ascii="Times New Roman" w:hAnsi="Times New Roman" w:eastAsia="宋体" w:cs="Times New Roman"/>
          <w:color w:val="000000"/>
          <w:sz w:val="24"/>
          <w:szCs w:val="24"/>
          <w:lang w:val="zh-CN" w:eastAsia="zh-CN" w:bidi="zh-CN"/>
        </w:rPr>
        <w:t>，当发生甲醛储罐泄漏情况，应及时通知周边群众，并向当天厂界上风向方向疏散撤离，减轻泄漏事故造成的影响，避免发生人员伤亡事件。</w:t>
      </w:r>
    </w:p>
    <w:p w14:paraId="6644B4BD">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hint="eastAsia" w:ascii="Times New Roman" w:hAnsi="Times New Roman" w:eastAsia="宋体" w:cs="Times New Roman"/>
          <w:sz w:val="24"/>
          <w:szCs w:val="24"/>
          <w:lang w:val="zh-CN" w:eastAsia="zh-CN" w:bidi="zh-CN"/>
        </w:rPr>
        <w:t>（</w:t>
      </w:r>
      <w:r>
        <w:rPr>
          <w:rFonts w:hint="eastAsia" w:ascii="Times New Roman" w:hAnsi="Times New Roman" w:eastAsia="宋体" w:cs="Times New Roman"/>
          <w:sz w:val="24"/>
          <w:szCs w:val="24"/>
          <w:lang w:val="en-US" w:eastAsia="zh-CN" w:bidi="zh-CN"/>
        </w:rPr>
        <w:t>2</w:t>
      </w:r>
      <w:r>
        <w:rPr>
          <w:rFonts w:hint="eastAsia" w:ascii="Times New Roman" w:hAnsi="Times New Roman" w:eastAsia="宋体" w:cs="Times New Roman"/>
          <w:sz w:val="24"/>
          <w:szCs w:val="24"/>
          <w:lang w:val="zh-CN" w:eastAsia="zh-CN" w:bidi="zh-CN"/>
        </w:rPr>
        <w:t>）</w:t>
      </w:r>
      <w:r>
        <w:rPr>
          <w:rFonts w:ascii="Times New Roman" w:hAnsi="Times New Roman" w:eastAsia="宋体" w:cs="Times New Roman"/>
          <w:sz w:val="24"/>
          <w:szCs w:val="24"/>
          <w:lang w:val="zh-CN" w:eastAsia="zh-CN" w:bidi="zh-CN"/>
        </w:rPr>
        <w:t>有毒有害物质在地表水环境中的运移扩散</w:t>
      </w:r>
    </w:p>
    <w:p w14:paraId="638A412D">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根据前文可知，项目外排废水为员工的生活污水，项目废水排放为间接排放， 地表水等级为三级B，因此本项目地表水环境风险评价不需要预测，只对其进行影响分析。</w:t>
      </w:r>
    </w:p>
    <w:p w14:paraId="5850537E">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危险化学品泄漏较轻的情况，即罐体或管路出现腐蚀穿孔、阀兰密封件漏等， 少量甲醛浸漏或点滴。立即停止物料输送，并关闭相应阀门，储罐区泄漏的甲醛应控制在灌区围堰内，防止其外流；若为生产车间管道等泄漏，安排专业人员全部回收到贮罐。危险化学品泄漏较重的情况，即罐体出现裂缝、危险化学品泄漏出围堰或管路爆裂等，泄漏量较大。立即疏散周边人员，防止危险化学品发生泄漏引发火灾爆炸事故，同时关闭厂内雨水排口。围堰积甲醛的量逐渐增多，应关闭相应阀门，立即停止物料输送；立即安排专业人员回收危险化学品，期间杜绝火源。甲醛具有挥发性，大量甲醛泄漏也造成较大量的挥发，为减少大气污染，采用水枪或消防水带向甲醛蒸气云喷射雾状水，加速气体向高空扩散，使其在安全地带扩散， 同时产生大量被污染水，进入厂区的应急池内，严禁排入外环境。若发生火灾爆炸事故，在火灾救援中产生的消防废水，进入厂区的</w:t>
      </w:r>
      <w:r>
        <w:rPr>
          <w:rFonts w:hint="eastAsia" w:ascii="Times New Roman" w:hAnsi="Times New Roman" w:eastAsia="宋体" w:cs="Times New Roman"/>
          <w:sz w:val="24"/>
          <w:szCs w:val="24"/>
          <w:lang w:val="en-US" w:eastAsia="zh-CN" w:bidi="zh-CN"/>
        </w:rPr>
        <w:t>初期雨水收集池</w:t>
      </w:r>
      <w:r>
        <w:rPr>
          <w:rFonts w:ascii="Times New Roman" w:hAnsi="Times New Roman" w:eastAsia="宋体" w:cs="Times New Roman"/>
          <w:sz w:val="24"/>
          <w:szCs w:val="24"/>
          <w:lang w:val="zh-CN" w:eastAsia="zh-CN" w:bidi="zh-CN"/>
        </w:rPr>
        <w:t>，关闭厂内雨水排口</w:t>
      </w:r>
      <w:r>
        <w:rPr>
          <w:rFonts w:hint="eastAsia" w:ascii="Times New Roman" w:hAnsi="Times New Roman" w:eastAsia="宋体" w:cs="Times New Roman"/>
          <w:sz w:val="24"/>
          <w:szCs w:val="24"/>
          <w:lang w:val="zh-CN" w:eastAsia="zh-CN" w:bidi="zh-CN"/>
        </w:rPr>
        <w:t>，</w:t>
      </w:r>
      <w:r>
        <w:rPr>
          <w:rFonts w:ascii="Times New Roman" w:hAnsi="Times New Roman" w:eastAsia="宋体" w:cs="Times New Roman"/>
          <w:sz w:val="24"/>
          <w:szCs w:val="24"/>
          <w:lang w:val="zh-CN" w:eastAsia="zh-CN" w:bidi="zh-CN"/>
        </w:rPr>
        <w:t>严禁排入外环境。如果厂区发生储罐泄漏事故，立即采取相应的防控措施， 避免危险物质进入地表水体，对周围地表水的影响不大。</w:t>
      </w:r>
    </w:p>
    <w:p w14:paraId="417E7C51">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hint="eastAsia" w:ascii="Times New Roman" w:hAnsi="Times New Roman" w:eastAsia="宋体" w:cs="Times New Roman"/>
          <w:sz w:val="24"/>
          <w:szCs w:val="24"/>
          <w:lang w:val="zh-CN" w:eastAsia="zh-CN" w:bidi="zh-CN"/>
        </w:rPr>
        <w:t>（</w:t>
      </w:r>
      <w:r>
        <w:rPr>
          <w:rFonts w:hint="eastAsia" w:ascii="Times New Roman" w:hAnsi="Times New Roman" w:eastAsia="宋体" w:cs="Times New Roman"/>
          <w:sz w:val="24"/>
          <w:szCs w:val="24"/>
          <w:lang w:val="en-US" w:eastAsia="zh-CN" w:bidi="zh-CN"/>
        </w:rPr>
        <w:t>3</w:t>
      </w:r>
      <w:r>
        <w:rPr>
          <w:rFonts w:hint="eastAsia" w:ascii="Times New Roman" w:hAnsi="Times New Roman" w:eastAsia="宋体" w:cs="Times New Roman"/>
          <w:sz w:val="24"/>
          <w:szCs w:val="24"/>
          <w:lang w:val="zh-CN" w:eastAsia="zh-CN" w:bidi="zh-CN"/>
        </w:rPr>
        <w:t>）</w:t>
      </w:r>
      <w:r>
        <w:rPr>
          <w:rFonts w:ascii="Times New Roman" w:hAnsi="Times New Roman" w:eastAsia="宋体" w:cs="Times New Roman"/>
          <w:sz w:val="24"/>
          <w:szCs w:val="24"/>
          <w:lang w:val="zh-CN" w:eastAsia="zh-CN" w:bidi="zh-CN"/>
        </w:rPr>
        <w:t>有毒有害物质在地下水环境中的运移扩散</w:t>
      </w:r>
    </w:p>
    <w:p w14:paraId="0A7BDCAA">
      <w:pPr>
        <w:keepNext w:val="0"/>
        <w:keepLines w:val="0"/>
        <w:pageBreakBefore w:val="0"/>
        <w:widowControl w:val="0"/>
        <w:spacing w:after="0" w:line="360" w:lineRule="auto"/>
        <w:ind w:right="0" w:firstLine="48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当甲醛储罐突发污水泄漏事故，污水以平面瞬时点源注入地下含水层中，从而造成地下水污染，甲醛污染因子随时间沿地下水径流方向及周边弥散运移，污染影响面积随时间的增加而扩大，由于受地下水稀释作用，各污染因子浓度则随时间的增加而降低。地下水污染影响范围主要分布于场区及场区至下游</w:t>
      </w:r>
      <w:r>
        <w:rPr>
          <w:rFonts w:hint="eastAsia" w:ascii="Times New Roman" w:hAnsi="Times New Roman" w:eastAsia="宋体" w:cs="Times New Roman"/>
          <w:sz w:val="24"/>
          <w:szCs w:val="24"/>
          <w:lang w:val="zh-CN" w:eastAsia="zh-CN" w:bidi="zh-CN"/>
        </w:rPr>
        <w:t>芒市大河</w:t>
      </w:r>
      <w:r>
        <w:rPr>
          <w:rFonts w:ascii="Times New Roman" w:hAnsi="Times New Roman" w:eastAsia="宋体" w:cs="Times New Roman"/>
          <w:sz w:val="24"/>
          <w:szCs w:val="24"/>
          <w:lang w:val="zh-CN" w:eastAsia="zh-CN" w:bidi="zh-CN"/>
        </w:rPr>
        <w:t>地下水径流排泄地段，影响面积相对较小， 但由于场区地下水运移及弥散速率较慢，污染因子将长期运移于污染源附近，对场区地下水污染影响较大。结合场区包气带的防污性能、含水层易污染特征等综合分析，在厂区范围内，由于污水量较大，污染物浓度较高，地下水的自净稀释能力有限，地下水污染程度划分为严重区；随着地下水径流汇水面积的增大，水量增多，地下水的自净稀释能力随之得到加强，且含水层对污水有一定的吸附作用，污染物浓度得以降低，因此将厂区至下游</w:t>
      </w:r>
      <w:r>
        <w:rPr>
          <w:rFonts w:hint="eastAsia" w:ascii="Times New Roman" w:hAnsi="Times New Roman" w:eastAsia="宋体" w:cs="Times New Roman"/>
          <w:sz w:val="24"/>
          <w:szCs w:val="24"/>
          <w:lang w:val="zh-CN" w:eastAsia="zh-CN" w:bidi="zh-CN"/>
        </w:rPr>
        <w:t>芒市大河</w:t>
      </w:r>
      <w:r>
        <w:rPr>
          <w:rFonts w:ascii="Times New Roman" w:hAnsi="Times New Roman" w:eastAsia="宋体" w:cs="Times New Roman"/>
          <w:sz w:val="24"/>
          <w:szCs w:val="24"/>
          <w:lang w:val="zh-CN" w:eastAsia="zh-CN" w:bidi="zh-CN"/>
        </w:rPr>
        <w:t>内的地下水径流区划分为地下水污染程度中等区；</w:t>
      </w:r>
      <w:r>
        <w:rPr>
          <w:rFonts w:hint="eastAsia" w:ascii="Times New Roman" w:hAnsi="Times New Roman" w:eastAsia="宋体" w:cs="Times New Roman"/>
          <w:sz w:val="24"/>
          <w:szCs w:val="24"/>
          <w:lang w:val="zh-CN" w:eastAsia="zh-CN" w:bidi="zh-CN"/>
        </w:rPr>
        <w:t>芒市大河</w:t>
      </w:r>
      <w:r>
        <w:rPr>
          <w:rFonts w:ascii="Times New Roman" w:hAnsi="Times New Roman" w:eastAsia="宋体" w:cs="Times New Roman"/>
          <w:sz w:val="24"/>
          <w:szCs w:val="24"/>
          <w:lang w:val="zh-CN" w:eastAsia="zh-CN" w:bidi="zh-CN"/>
        </w:rPr>
        <w:t>流量大，自净稀释能力强，将其划分为污染一般区，评价范围内的其他地段为非污染区。</w:t>
      </w:r>
    </w:p>
    <w:bookmarkEnd w:id="198"/>
    <w:p w14:paraId="5DA9D752">
      <w:pPr>
        <w:pStyle w:val="187"/>
        <w:keepNext/>
        <w:keepLines/>
        <w:pageBreakBefore w:val="0"/>
        <w:widowControl/>
        <w:rPr>
          <w:rFonts w:ascii="Times New Roman" w:hAnsi="Times New Roman" w:eastAsia="宋体" w:cs="Times New Roman"/>
          <w:sz w:val="25"/>
          <w:szCs w:val="24"/>
          <w:lang w:val="zh-CN" w:eastAsia="zh-CN" w:bidi="zh-CN"/>
        </w:rPr>
      </w:pPr>
      <w:bookmarkStart w:id="199" w:name="4.2.7.5.环境风险管理"/>
      <w:bookmarkStart w:id="200" w:name="_Toc823"/>
      <w:r>
        <w:rPr>
          <w:rFonts w:hint="eastAsia" w:ascii="Times New Roman" w:hAnsi="Times New Roman"/>
          <w:bCs/>
          <w:color w:val="000000"/>
          <w:lang w:val="en-US" w:eastAsia="zh-CN"/>
        </w:rPr>
        <w:t>7.5</w:t>
      </w:r>
      <w:r>
        <w:rPr>
          <w:rFonts w:ascii="Times New Roman" w:hAnsi="Times New Roman"/>
          <w:bCs/>
          <w:color w:val="000000"/>
          <w:lang w:val="zh-CN" w:eastAsia="zh-CN"/>
        </w:rPr>
        <w:t>环境风险管理</w:t>
      </w:r>
      <w:bookmarkEnd w:id="199"/>
    </w:p>
    <w:p w14:paraId="397E9FA3">
      <w:pPr>
        <w:keepNext w:val="0"/>
        <w:keepLines w:val="0"/>
        <w:pageBreakBefore w:val="0"/>
        <w:widowControl/>
        <w:suppressLineNumbers w:val="0"/>
        <w:jc w:val="both"/>
        <w:rPr>
          <w:rFonts w:ascii="Times New Roman" w:hAnsi="Times New Roman" w:eastAsia="宋体" w:cs="Times New Roman"/>
          <w:b/>
          <w:bCs/>
          <w:color w:val="000000"/>
          <w:sz w:val="24"/>
          <w:szCs w:val="24"/>
          <w:lang w:val="zh-CN" w:eastAsia="zh-CN" w:bidi="ar"/>
        </w:rPr>
      </w:pPr>
      <w:r>
        <w:rPr>
          <w:rFonts w:ascii="Times New Roman" w:hAnsi="Times New Roman" w:eastAsia="宋体" w:cs="Times New Roman"/>
          <w:b/>
          <w:bCs/>
          <w:color w:val="000000"/>
          <w:sz w:val="24"/>
          <w:szCs w:val="24"/>
          <w:lang w:val="zh-CN" w:eastAsia="zh-CN" w:bidi="ar"/>
        </w:rPr>
        <w:t>（一）环境风险管理目标</w:t>
      </w:r>
    </w:p>
    <w:p w14:paraId="1CA6ACD0">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建设单位环境管理部门根据项目实际情况制定环境保护管理制度，负责企业内容日常的环保管理。同时，建设单位环境管理部门特别注重风险防范的监督管理， 一旦发现环境风险隐患，有权现场处理。出现应急情况，环境管理部门迅速做出初步处理，做好各项应急措施。</w:t>
      </w:r>
    </w:p>
    <w:p w14:paraId="4631C086">
      <w:pPr>
        <w:keepNext w:val="0"/>
        <w:keepLines w:val="0"/>
        <w:pageBreakBefore w:val="0"/>
        <w:widowControl/>
        <w:suppressLineNumbers w:val="0"/>
        <w:jc w:val="both"/>
        <w:rPr>
          <w:rFonts w:ascii="Times New Roman" w:hAnsi="Times New Roman" w:eastAsia="宋体" w:cs="Times New Roman"/>
          <w:b/>
          <w:bCs/>
          <w:color w:val="000000"/>
          <w:sz w:val="24"/>
          <w:szCs w:val="24"/>
          <w:lang w:val="zh-CN" w:eastAsia="zh-CN" w:bidi="ar"/>
        </w:rPr>
      </w:pPr>
      <w:r>
        <w:rPr>
          <w:rFonts w:ascii="Times New Roman" w:hAnsi="Times New Roman" w:eastAsia="宋体" w:cs="Times New Roman"/>
          <w:b/>
          <w:bCs/>
          <w:color w:val="000000"/>
          <w:sz w:val="24"/>
          <w:szCs w:val="24"/>
          <w:lang w:val="zh-CN" w:eastAsia="zh-CN" w:bidi="ar"/>
        </w:rPr>
        <w:t>（二）环境风险防范措施</w:t>
      </w:r>
    </w:p>
    <w:p w14:paraId="1F4BE622">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en-US" w:eastAsia="zh-CN" w:bidi="ar"/>
        </w:rPr>
        <w:t>1</w:t>
      </w:r>
      <w:r>
        <w:rPr>
          <w:rFonts w:ascii="Times New Roman" w:hAnsi="Times New Roman" w:eastAsia="宋体" w:cs="Times New Roman"/>
          <w:color w:val="000000"/>
          <w:sz w:val="24"/>
          <w:szCs w:val="24"/>
          <w:lang w:val="zh-CN" w:eastAsia="zh-CN" w:bidi="ar"/>
        </w:rPr>
        <w:t>）大气环境风险防范措施</w:t>
      </w:r>
    </w:p>
    <w:p w14:paraId="68122341">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项目采用可靠、有效的废气的处理措施，从技术上分析是可行的。但由于某些意外情况或管理不善也会出现事故排放，如废气处理设施的抽风系统发生故障，则会造成车间的污染物无法及时抽出车间，进而影响车间的操作人员的健康；如果净化塔装置发生故障，会造成废气直排入空气环境中。</w:t>
      </w:r>
    </w:p>
    <w:p w14:paraId="0DAFB006">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为确保废气事故排放不发生，建设单位应采取相应的事故性防范保护措施：各生产环节严格执行生产管理的有关规定，加强设备的检修及保养，提高管理人员素质，并设置集齐事故应急措施及管理制度，确保设备长期处于良好状态，使设备达到预期的处理效果。</w:t>
      </w:r>
    </w:p>
    <w:p w14:paraId="5EB472CB">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现场作业人员定时记录废气处理状况，如对吸收塔、抽风系统等设备进行点检工作，并派专人巡视，遇不良工作状况立即停止车间相关作业，维修正常后再开始工作，杜绝事故性废气排放，并及时呈报建设单位相关负责人。待检修完毕再通知生产车间相关工序。</w:t>
      </w:r>
    </w:p>
    <w:p w14:paraId="090F0790">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当发生泄漏情况产生有毒气体，应及时通知周边群众进行疏散，厂区内工作人员按照厂区疏散路线进行撤离，减轻泄漏事故对周围环境造成的影响，避免发生人员伤亡事件。</w:t>
      </w:r>
    </w:p>
    <w:p w14:paraId="7CB00701">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hint="eastAsia" w:ascii="Times New Roman" w:hAnsi="Times New Roman" w:eastAsia="宋体" w:cs="Times New Roman"/>
          <w:color w:val="000000"/>
          <w:sz w:val="24"/>
          <w:szCs w:val="24"/>
          <w:lang w:val="zh-CN" w:eastAsia="zh-CN" w:bidi="ar"/>
        </w:rPr>
        <w:t>（</w:t>
      </w:r>
      <w:r>
        <w:rPr>
          <w:rFonts w:hint="eastAsia" w:ascii="Times New Roman" w:hAnsi="Times New Roman" w:eastAsia="宋体" w:cs="Times New Roman"/>
          <w:color w:val="000000"/>
          <w:sz w:val="24"/>
          <w:szCs w:val="24"/>
          <w:lang w:val="en-US" w:eastAsia="zh-CN" w:bidi="ar"/>
        </w:rPr>
        <w:t>2</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事故废水环境风险防范措施</w:t>
      </w:r>
    </w:p>
    <w:p w14:paraId="5E08E4B1">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本项目建设一个危险化学品储罐区，主要用于储存甲醛、苯酚等原料，罐区设置围堰，罐区围堰 26m×10m，高</w:t>
      </w:r>
      <w:r>
        <w:rPr>
          <w:rFonts w:hint="eastAsia" w:ascii="Times New Roman" w:hAnsi="Times New Roman" w:eastAsia="宋体" w:cs="Times New Roman"/>
          <w:color w:val="000000"/>
          <w:sz w:val="24"/>
          <w:szCs w:val="24"/>
          <w:lang w:val="en-US" w:eastAsia="zh-CN" w:bidi="ar"/>
        </w:rPr>
        <w:t>1.2</w:t>
      </w:r>
      <w:r>
        <w:rPr>
          <w:rFonts w:ascii="Times New Roman" w:hAnsi="Times New Roman" w:eastAsia="宋体" w:cs="Times New Roman"/>
          <w:color w:val="000000"/>
          <w:sz w:val="24"/>
          <w:szCs w:val="24"/>
          <w:lang w:val="zh-CN" w:eastAsia="zh-CN" w:bidi="ar"/>
        </w:rPr>
        <w:t>m，罐区有效容积350m</w:t>
      </w:r>
      <w:r>
        <w:rPr>
          <w:rFonts w:ascii="Times New Roman" w:hAnsi="Times New Roman" w:eastAsia="宋体" w:cs="Times New Roman"/>
          <w:color w:val="000000"/>
          <w:sz w:val="24"/>
          <w:szCs w:val="24"/>
          <w:vertAlign w:val="superscript"/>
          <w:lang w:val="zh-CN" w:eastAsia="zh-CN" w:bidi="ar"/>
        </w:rPr>
        <w:t>3</w:t>
      </w:r>
      <w:r>
        <w:rPr>
          <w:rFonts w:ascii="Times New Roman" w:hAnsi="Times New Roman" w:eastAsia="宋体" w:cs="Times New Roman"/>
          <w:color w:val="000000"/>
          <w:sz w:val="24"/>
          <w:szCs w:val="24"/>
          <w:lang w:val="zh-CN" w:eastAsia="zh-CN" w:bidi="ar"/>
        </w:rPr>
        <w:t>。储罐区设置围堰， 可以满足储罐区最大储罐泄漏液态物料收集的需要，避免储罐区泄漏物料漫流进入雨水管网和外环境。储罐区设置雨水、消防水切换装置，防止初期雨水、消防水进入外环境。</w:t>
      </w:r>
      <w:r>
        <w:rPr>
          <w:rFonts w:hint="eastAsia" w:ascii="Times New Roman" w:hAnsi="Times New Roman" w:eastAsia="宋体" w:cs="Times New Roman"/>
          <w:color w:val="000000"/>
          <w:sz w:val="24"/>
          <w:szCs w:val="24"/>
          <w:lang w:val="en-US" w:eastAsia="zh-CN" w:bidi="ar"/>
        </w:rPr>
        <w:t>建议</w:t>
      </w:r>
      <w:r>
        <w:rPr>
          <w:rFonts w:ascii="Times New Roman" w:hAnsi="Times New Roman" w:eastAsia="宋体" w:cs="Times New Roman"/>
          <w:color w:val="000000"/>
          <w:sz w:val="24"/>
          <w:szCs w:val="24"/>
          <w:lang w:val="zh-CN" w:eastAsia="zh-CN" w:bidi="ar"/>
        </w:rPr>
        <w:t>罐区围堰与厂区</w:t>
      </w:r>
      <w:r>
        <w:rPr>
          <w:rFonts w:hint="eastAsia" w:ascii="Times New Roman" w:hAnsi="Times New Roman" w:eastAsia="宋体" w:cs="Times New Roman"/>
          <w:color w:val="000000"/>
          <w:sz w:val="24"/>
          <w:szCs w:val="24"/>
          <w:lang w:val="en-US" w:eastAsia="zh-CN" w:bidi="ar"/>
        </w:rPr>
        <w:t>初期雨水收集池</w:t>
      </w:r>
      <w:r>
        <w:rPr>
          <w:rFonts w:ascii="Times New Roman" w:hAnsi="Times New Roman" w:eastAsia="宋体" w:cs="Times New Roman"/>
          <w:color w:val="000000"/>
          <w:sz w:val="24"/>
          <w:szCs w:val="24"/>
          <w:lang w:val="zh-CN" w:eastAsia="zh-CN" w:bidi="ar"/>
        </w:rPr>
        <w:t>相连，万一发生罐区事故扩大，罐区围堰容纳不了的消防废水</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可就近进入</w:t>
      </w:r>
      <w:r>
        <w:rPr>
          <w:rFonts w:hint="eastAsia" w:ascii="Times New Roman" w:hAnsi="Times New Roman" w:eastAsia="宋体" w:cs="Times New Roman"/>
          <w:color w:val="000000"/>
          <w:sz w:val="24"/>
          <w:szCs w:val="24"/>
          <w:lang w:val="en-US" w:eastAsia="zh-CN" w:bidi="ar"/>
        </w:rPr>
        <w:t>初期雨水收集池（兼顾事故应急池）</w:t>
      </w:r>
      <w:r>
        <w:rPr>
          <w:rFonts w:ascii="Times New Roman" w:hAnsi="Times New Roman" w:eastAsia="宋体" w:cs="Times New Roman"/>
          <w:color w:val="000000"/>
          <w:sz w:val="24"/>
          <w:szCs w:val="24"/>
          <w:lang w:val="zh-CN" w:eastAsia="zh-CN" w:bidi="ar"/>
        </w:rPr>
        <w:t>。</w:t>
      </w:r>
    </w:p>
    <w:p w14:paraId="53B20FEF">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项目配备 1 个</w:t>
      </w:r>
      <w:r>
        <w:rPr>
          <w:rFonts w:hint="eastAsia" w:ascii="Times New Roman" w:hAnsi="Times New Roman" w:eastAsia="宋体" w:cs="Times New Roman"/>
          <w:color w:val="000000"/>
          <w:sz w:val="24"/>
          <w:szCs w:val="24"/>
          <w:lang w:val="en-US" w:eastAsia="zh-CN" w:bidi="ar"/>
        </w:rPr>
        <w:t>初期雨水收集池</w:t>
      </w:r>
      <w:r>
        <w:rPr>
          <w:rFonts w:ascii="Times New Roman" w:hAnsi="Times New Roman" w:eastAsia="宋体" w:cs="Times New Roman"/>
          <w:color w:val="000000"/>
          <w:sz w:val="24"/>
          <w:szCs w:val="24"/>
          <w:lang w:val="zh-CN" w:eastAsia="zh-CN" w:bidi="ar"/>
        </w:rPr>
        <w:t>，在事故发生时，通过管网将事故水（消防时被污染的冷却水、消防水、泄漏的甲醛、苯酚等）直接引到</w:t>
      </w:r>
      <w:r>
        <w:rPr>
          <w:rFonts w:hint="eastAsia" w:ascii="Times New Roman" w:hAnsi="Times New Roman" w:eastAsia="宋体" w:cs="Times New Roman"/>
          <w:color w:val="000000"/>
          <w:sz w:val="24"/>
          <w:szCs w:val="24"/>
          <w:lang w:val="en-US" w:eastAsia="zh-CN" w:bidi="ar"/>
        </w:rPr>
        <w:t>初期雨水收集池</w:t>
      </w:r>
      <w:r>
        <w:rPr>
          <w:rFonts w:ascii="Times New Roman" w:hAnsi="Times New Roman" w:eastAsia="宋体" w:cs="Times New Roman"/>
          <w:color w:val="000000"/>
          <w:sz w:val="24"/>
          <w:szCs w:val="24"/>
          <w:lang w:val="zh-CN" w:eastAsia="zh-CN" w:bidi="ar"/>
        </w:rPr>
        <w:t>，</w:t>
      </w:r>
      <w:r>
        <w:rPr>
          <w:rFonts w:hint="eastAsia" w:ascii="Times New Roman" w:hAnsi="Times New Roman" w:eastAsia="宋体" w:cs="Times New Roman"/>
          <w:color w:val="000000"/>
          <w:sz w:val="24"/>
          <w:szCs w:val="24"/>
          <w:lang w:val="en-US" w:eastAsia="zh-CN" w:bidi="ar"/>
        </w:rPr>
        <w:t>初期雨水收集池</w:t>
      </w:r>
      <w:r>
        <w:rPr>
          <w:rFonts w:ascii="Times New Roman" w:hAnsi="Times New Roman" w:eastAsia="宋体" w:cs="Times New Roman"/>
          <w:color w:val="000000"/>
          <w:sz w:val="24"/>
          <w:szCs w:val="24"/>
          <w:lang w:val="zh-CN" w:eastAsia="zh-CN" w:bidi="ar"/>
        </w:rPr>
        <w:t>容积为</w:t>
      </w:r>
      <w:r>
        <w:rPr>
          <w:rFonts w:hint="eastAsia" w:ascii="Times New Roman" w:hAnsi="Times New Roman" w:eastAsia="宋体" w:cs="Times New Roman"/>
          <w:color w:val="000000"/>
          <w:sz w:val="24"/>
          <w:szCs w:val="24"/>
          <w:lang w:val="en-US" w:eastAsia="zh-CN" w:bidi="ar"/>
        </w:rPr>
        <w:t>150</w:t>
      </w:r>
      <w:r>
        <w:rPr>
          <w:rFonts w:ascii="Times New Roman" w:hAnsi="Times New Roman" w:eastAsia="宋体" w:cs="Times New Roman"/>
          <w:color w:val="000000"/>
          <w:sz w:val="24"/>
          <w:szCs w:val="24"/>
          <w:lang w:val="zh-CN" w:eastAsia="zh-CN" w:bidi="ar"/>
        </w:rPr>
        <w:t>m</w:t>
      </w:r>
      <w:r>
        <w:rPr>
          <w:rFonts w:ascii="Times New Roman" w:hAnsi="Times New Roman" w:eastAsia="宋体" w:cs="Times New Roman"/>
          <w:color w:val="000000"/>
          <w:sz w:val="24"/>
          <w:szCs w:val="24"/>
          <w:vertAlign w:val="superscript"/>
          <w:lang w:val="zh-CN" w:eastAsia="zh-CN" w:bidi="ar"/>
        </w:rPr>
        <w:t>3</w:t>
      </w:r>
      <w:r>
        <w:rPr>
          <w:rFonts w:ascii="Times New Roman" w:hAnsi="Times New Roman" w:eastAsia="宋体" w:cs="Times New Roman"/>
          <w:color w:val="000000"/>
          <w:sz w:val="24"/>
          <w:szCs w:val="24"/>
          <w:lang w:val="zh-CN" w:eastAsia="zh-CN" w:bidi="ar"/>
        </w:rPr>
        <w:t>。当事故结束后消防废水再委托有资质单位处理。</w:t>
      </w:r>
    </w:p>
    <w:p w14:paraId="4AF2BC91">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hint="eastAsia" w:ascii="Times New Roman" w:hAnsi="Times New Roman" w:eastAsia="宋体" w:cs="Times New Roman"/>
          <w:color w:val="000000"/>
          <w:sz w:val="24"/>
          <w:szCs w:val="24"/>
          <w:lang w:val="zh-CN" w:eastAsia="zh-CN" w:bidi="ar"/>
        </w:rPr>
        <w:t>（</w:t>
      </w:r>
      <w:r>
        <w:rPr>
          <w:rFonts w:hint="eastAsia" w:ascii="Times New Roman" w:hAnsi="Times New Roman" w:eastAsia="宋体" w:cs="Times New Roman"/>
          <w:color w:val="000000"/>
          <w:sz w:val="24"/>
          <w:szCs w:val="24"/>
          <w:lang w:val="en-US" w:eastAsia="zh-CN" w:bidi="ar"/>
        </w:rPr>
        <w:t>3</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地下水环境风险防范措施</w:t>
      </w:r>
    </w:p>
    <w:p w14:paraId="54D30A0A">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厂内地面均采用水泥硬化，并在罐区围堰范围内地表进行防腐防渗处理；建立地下水环境监测管理体系，制定地下水环境影响跟踪监测计划，以便及时发现问题采取措施。</w:t>
      </w:r>
    </w:p>
    <w:p w14:paraId="302527BC">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hint="eastAsia" w:ascii="Times New Roman" w:hAnsi="Times New Roman" w:eastAsia="宋体" w:cs="Times New Roman"/>
          <w:color w:val="000000"/>
          <w:sz w:val="24"/>
          <w:szCs w:val="24"/>
          <w:lang w:val="zh-CN" w:eastAsia="zh-CN" w:bidi="ar"/>
        </w:rPr>
        <w:t>（</w:t>
      </w:r>
      <w:r>
        <w:rPr>
          <w:rFonts w:hint="eastAsia" w:ascii="Times New Roman" w:hAnsi="Times New Roman" w:eastAsia="宋体" w:cs="Times New Roman"/>
          <w:color w:val="000000"/>
          <w:sz w:val="24"/>
          <w:szCs w:val="24"/>
          <w:lang w:val="en-US" w:eastAsia="zh-CN" w:bidi="ar"/>
        </w:rPr>
        <w:t>4</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风险监控及应急监测系统</w:t>
      </w:r>
    </w:p>
    <w:p w14:paraId="6E075E45">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在生产车间和罐区装设甲醛泄漏报警联动装置，在各个可能产生可燃性气体的罐区和车间，实时监控甲醛泄漏情况，设置可燃性气体浓度检测报警器，对可燃性气体浓度进行检测，超过设定浓度报警，一旦发现泄漏报警，立即自动停产检查、检修，立即截断污染源，防止泄漏事态扩散。</w:t>
      </w:r>
    </w:p>
    <w:p w14:paraId="32991C2D">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安装储罐实时监控系统：所有储罐均安装有远传液位变送器及现场液位计，对液位进行实时显示；所有储罐液位均与 DCS 生产控制系统连接，对液位实时状况进行显示，并设置有液位高低、超高、超低声光报警；所有危险部位均安装有可燃气体探测报警系统，并与 DCS 生产控制系统连接，设置有声光报警。</w:t>
      </w:r>
    </w:p>
    <w:p w14:paraId="261A8D29">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罐区的设备及管道设置静电接地、避雷设施，储罐区设置消防水喷淋设施、火灾报警系统；储罐区装卸站的进出口分开设置，装卸车位之前的距离不小于 4m，装卸车位与储罐之间的距离不应小于 5m，装卸车位与泵的距离不小于 8m。在储罐区和汽车装卸站台入口设置静电栓，操作人员进入前，必须通过紧握静电栓导走人体所带的静电。</w:t>
      </w:r>
    </w:p>
    <w:p w14:paraId="5B251558">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储罐区储罐设置相应的安全附件，如呼吸阀、阻火器等，设置液位高低位报警装置，温度超限报警装置以及压力超限报警装置。现场设置明显物料标识，说明危险内容等。</w:t>
      </w:r>
    </w:p>
    <w:p w14:paraId="0DC8B790">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hint="eastAsia" w:ascii="Times New Roman" w:hAnsi="Times New Roman" w:eastAsia="宋体" w:cs="Times New Roman"/>
          <w:color w:val="000000"/>
          <w:sz w:val="24"/>
          <w:szCs w:val="24"/>
          <w:lang w:val="zh-CN" w:eastAsia="zh-CN" w:bidi="ar"/>
        </w:rPr>
        <w:t>（</w:t>
      </w:r>
      <w:r>
        <w:rPr>
          <w:rFonts w:hint="eastAsia" w:ascii="Times New Roman" w:hAnsi="Times New Roman" w:eastAsia="宋体" w:cs="Times New Roman"/>
          <w:color w:val="000000"/>
          <w:sz w:val="24"/>
          <w:szCs w:val="24"/>
          <w:lang w:val="en-US" w:eastAsia="zh-CN" w:bidi="ar"/>
        </w:rPr>
        <w:t>5</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火灾事故风险防控与应急措施</w:t>
      </w:r>
    </w:p>
    <w:p w14:paraId="481A441A">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企业已严格按《建筑设计防火规范》 (GB50016-2006) 进行危险区域划，设置有总容量为</w:t>
      </w:r>
      <w:r>
        <w:rPr>
          <w:rFonts w:hint="eastAsia" w:ascii="Times New Roman" w:hAnsi="Times New Roman" w:eastAsia="宋体" w:cs="Times New Roman"/>
          <w:color w:val="000000"/>
          <w:sz w:val="24"/>
          <w:szCs w:val="24"/>
          <w:lang w:val="en-US" w:eastAsia="zh-CN" w:bidi="ar"/>
        </w:rPr>
        <w:t>600</w:t>
      </w:r>
      <w:r>
        <w:rPr>
          <w:rFonts w:ascii="Times New Roman" w:hAnsi="Times New Roman" w:eastAsia="宋体" w:cs="Times New Roman"/>
          <w:color w:val="000000"/>
          <w:sz w:val="24"/>
          <w:szCs w:val="24"/>
          <w:lang w:val="zh-CN" w:eastAsia="zh-CN" w:bidi="ar"/>
        </w:rPr>
        <w:t>m</w:t>
      </w:r>
      <w:r>
        <w:rPr>
          <w:rFonts w:ascii="Times New Roman" w:hAnsi="Times New Roman" w:eastAsia="宋体" w:cs="Times New Roman"/>
          <w:color w:val="000000"/>
          <w:sz w:val="24"/>
          <w:szCs w:val="24"/>
          <w:vertAlign w:val="superscript"/>
          <w:lang w:val="zh-CN" w:eastAsia="zh-CN" w:bidi="ar"/>
        </w:rPr>
        <w:t>3</w:t>
      </w:r>
      <w:r>
        <w:rPr>
          <w:rFonts w:ascii="Times New Roman" w:hAnsi="Times New Roman" w:eastAsia="宋体" w:cs="Times New Roman"/>
          <w:color w:val="000000"/>
          <w:sz w:val="24"/>
          <w:szCs w:val="24"/>
          <w:lang w:val="zh-CN" w:eastAsia="zh-CN" w:bidi="ar"/>
        </w:rPr>
        <w:t xml:space="preserve"> 的消防水池，能完全容纳火灾事故产生的消防废水。厂区按消防部门的要求，设置完备的消防系统</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设置消防管理机构</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设有充足消防水源、消防器材和畅通的消防车道、各建筑物距离符合火灾防护距离要求。</w:t>
      </w:r>
    </w:p>
    <w:p w14:paraId="43BAA29F">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厂区内应做好应急物资储备，配置消毒面具、防护服、防护手套等应急物资,若发生泄漏事故，可用于现场的个人防护。企业制定有规范的安全管理制度，定期组织相关人员培训学习，并严格落实执行。</w:t>
      </w:r>
    </w:p>
    <w:p w14:paraId="31142B1B">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hint="eastAsia" w:ascii="Times New Roman" w:hAnsi="Times New Roman" w:eastAsia="宋体" w:cs="Times New Roman"/>
          <w:color w:val="000000"/>
          <w:sz w:val="24"/>
          <w:szCs w:val="24"/>
          <w:lang w:val="zh-CN" w:eastAsia="zh-CN" w:bidi="ar"/>
        </w:rPr>
        <w:t>（</w:t>
      </w:r>
      <w:r>
        <w:rPr>
          <w:rFonts w:hint="eastAsia" w:ascii="Times New Roman" w:hAnsi="Times New Roman" w:eastAsia="宋体" w:cs="Times New Roman"/>
          <w:color w:val="000000"/>
          <w:sz w:val="24"/>
          <w:szCs w:val="24"/>
          <w:lang w:val="en-US" w:eastAsia="zh-CN" w:bidi="ar"/>
        </w:rPr>
        <w:t>6</w:t>
      </w:r>
      <w:r>
        <w:rPr>
          <w:rFonts w:hint="eastAsia" w:ascii="Times New Roman" w:hAnsi="Times New Roman" w:eastAsia="宋体" w:cs="Times New Roman"/>
          <w:color w:val="000000"/>
          <w:sz w:val="24"/>
          <w:szCs w:val="24"/>
          <w:lang w:val="zh-CN" w:eastAsia="zh-CN" w:bidi="ar"/>
        </w:rPr>
        <w:t>）</w:t>
      </w:r>
      <w:r>
        <w:rPr>
          <w:rFonts w:ascii="Times New Roman" w:hAnsi="Times New Roman" w:eastAsia="宋体" w:cs="Times New Roman"/>
          <w:color w:val="000000"/>
          <w:sz w:val="24"/>
          <w:szCs w:val="24"/>
          <w:lang w:val="zh-CN" w:eastAsia="zh-CN" w:bidi="ar"/>
        </w:rPr>
        <w:t>工艺系统风险防范措施</w:t>
      </w:r>
    </w:p>
    <w:p w14:paraId="19E12DFF">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本项目采用工艺技术经国内众多生产企业使用，安全可靠。危险储罐区物料装卸：槽车卸车采用密闭卸车方式。危险储罐区物料装卸采用独立的泵。储罐物料通过管道直接运送到生产车间，全过程密闭安全。</w:t>
      </w:r>
    </w:p>
    <w:p w14:paraId="41D44ED3">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本项目有危险和有害物料的生产过程和原料输送全部采用机械化密闭操作，基本实现远程和隔离操作。</w:t>
      </w:r>
    </w:p>
    <w:p w14:paraId="5A0B6789">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本项目对关键设备的工艺参数设计有效可靠的现场仪表进行检测、显示，计量槽下设置计量称，储罐排空管道上设置阻火器，废气排空管上设置雨帽等设施。液体物料采用泵经密闭管道进行输送，密闭操作。</w:t>
      </w:r>
    </w:p>
    <w:p w14:paraId="4078D9B0">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合理选择管道直径，控制物料在管道内的流速 4-5m/s，避免因流速过快冲蚀管道。设备、管道要有足够的腐蚀裕量，保证在设计有效期内的安全储存。设备安装于钢砼基础上，基础高 0.2m。</w:t>
      </w:r>
    </w:p>
    <w:p w14:paraId="57EE2E03">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储罐进料采用顶部进料方式，在储罐顶部设进料口，将卸车进料管口伸入液面以下，距离罐底 200mm~600mm，管口处罐底设防冲板。储罐进出口管线与储罐相接处采用金属软管连接，防止储罐与地面管架基础沉降不同时，对管线的应力破坏。离心泵、真空泵等设备出口设有止回阀，防止停机时液位回来冲击损坏泵叶轮。</w:t>
      </w:r>
    </w:p>
    <w:p w14:paraId="76777A39">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工艺设备、管道等根据流程、生产操作、安装要求进行分层高低布置，静设备布置在平台上，动设备布置在地面，设备安装基础采取减振措施。生产设备的电机选用防爆电机，避免因电火花引起燃爆事故。关键转动设备（如泵等）均设备机， 以确保装置安全生产。装卸泵区设置挡雨棚，以防止雨水锈蚀设备。低压蒸汽管、循环水管等在进入车间前均需设置切断阀。低压蒸汽管上设流量计、就地压力表和温度计、安全阀。</w:t>
      </w:r>
    </w:p>
    <w:p w14:paraId="46839C71">
      <w:pPr>
        <w:keepNext w:val="0"/>
        <w:keepLines w:val="0"/>
        <w:pageBreakBefore w:val="0"/>
        <w:widowControl/>
        <w:suppressLineNumbers w:val="0"/>
        <w:jc w:val="both"/>
        <w:rPr>
          <w:rFonts w:ascii="Times New Roman" w:hAnsi="Times New Roman" w:eastAsia="宋体" w:cs="Times New Roman"/>
          <w:color w:val="000000"/>
          <w:sz w:val="24"/>
          <w:szCs w:val="24"/>
          <w:lang w:val="zh-CN" w:eastAsia="zh-CN" w:bidi="ar"/>
        </w:rPr>
      </w:pPr>
      <w:r>
        <w:rPr>
          <w:rFonts w:ascii="Times New Roman" w:hAnsi="Times New Roman" w:eastAsia="宋体" w:cs="Times New Roman"/>
          <w:color w:val="000000"/>
          <w:sz w:val="24"/>
          <w:szCs w:val="24"/>
          <w:lang w:val="zh-CN" w:eastAsia="zh-CN" w:bidi="ar"/>
        </w:rPr>
        <w:t>危险储罐区设置防火堤，防火堤内设置隔堤将泵区与罐区隔离。防火堤、隔堤采用不燃材质砌筑，内涂防腐涂料。防火堤高 1.2m，隔堤高 0.5m。</w:t>
      </w:r>
    </w:p>
    <w:p w14:paraId="5E5C162C">
      <w:pPr>
        <w:keepNext w:val="0"/>
        <w:keepLines w:val="0"/>
        <w:widowControl/>
        <w:suppressLineNumbers w:val="0"/>
        <w:jc w:val="left"/>
        <w:rPr>
          <w:rFonts w:ascii="宋体" w:hAnsi="宋体" w:eastAsia="宋体" w:cs="宋体"/>
          <w:b/>
          <w:bCs/>
          <w:color w:val="000000"/>
          <w:sz w:val="24"/>
          <w:szCs w:val="24"/>
          <w:lang w:val="zh-CN" w:eastAsia="zh-CN" w:bidi="ar"/>
        </w:rPr>
      </w:pPr>
      <w:r>
        <w:rPr>
          <w:rFonts w:ascii="宋体" w:hAnsi="宋体" w:eastAsia="宋体" w:cs="宋体"/>
          <w:b/>
          <w:bCs/>
          <w:color w:val="000000"/>
          <w:sz w:val="24"/>
          <w:szCs w:val="24"/>
          <w:lang w:val="zh-CN" w:eastAsia="zh-CN" w:bidi="ar"/>
        </w:rPr>
        <w:t>（二）突发环境事件应急预案</w:t>
      </w:r>
    </w:p>
    <w:p w14:paraId="68C017DE">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项目应按照《企业突发环境事件风险评估指南（试行）》相关要求，另行编制扩建后相应的企业突发环境事件应急预案，并按照《企业事业单位突发环境事件应急预案备案管理办法（试行）》的通知（环发〔2015〕4 号）进行备案。应急预案编制内容应报告预案适用范围、环境事件分类与分级、组织机构与职责、监控和预警、应急</w:t>
      </w:r>
      <w:r>
        <w:rPr>
          <w:rFonts w:hint="eastAsia" w:ascii="宋体" w:hAnsi="宋体" w:eastAsia="宋体" w:cs="宋体"/>
          <w:color w:val="000000"/>
          <w:sz w:val="24"/>
          <w:szCs w:val="24"/>
          <w:lang w:val="en-US" w:eastAsia="zh-CN" w:bidi="ar"/>
        </w:rPr>
        <w:t>响应</w:t>
      </w:r>
      <w:r>
        <w:rPr>
          <w:rFonts w:ascii="宋体" w:hAnsi="宋体" w:eastAsia="宋体" w:cs="宋体"/>
          <w:color w:val="000000"/>
          <w:sz w:val="24"/>
          <w:szCs w:val="24"/>
          <w:lang w:val="en-US" w:eastAsia="zh-CN" w:bidi="ar"/>
        </w:rPr>
        <w:t>、应急保障、善后处置、预案管理与演练等。</w:t>
      </w:r>
    </w:p>
    <w:p w14:paraId="381C720F">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一、应急计划对象</w:t>
      </w:r>
    </w:p>
    <w:p w14:paraId="5A66EFBF">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危险目标：危险化学品原料储罐区及生产设施。</w:t>
      </w:r>
    </w:p>
    <w:p w14:paraId="06EB9617">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二、 应急组织机构、</w:t>
      </w:r>
      <w:r>
        <w:rPr>
          <w:rFonts w:hint="eastAsia" w:ascii="宋体" w:hAnsi="宋体" w:eastAsia="宋体" w:cs="宋体"/>
          <w:color w:val="000000"/>
          <w:sz w:val="24"/>
          <w:szCs w:val="24"/>
          <w:lang w:val="en-US" w:eastAsia="zh-CN" w:bidi="ar"/>
        </w:rPr>
        <w:t>人员</w:t>
      </w:r>
    </w:p>
    <w:p w14:paraId="1133EE54">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由厂区负责入担任事故应急救援领导组长，负责预案的制定和修订；指挥事故现场救援工作；向上级汇报和向公众通报事故情况。组织事故调查，总结救援工作经验教训。符合要求。</w:t>
      </w:r>
    </w:p>
    <w:p w14:paraId="6050A144">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副组长协助总指挥负责应急救援行动的具体工作和日常的安全教育工作。</w:t>
      </w:r>
    </w:p>
    <w:p w14:paraId="4DA085BE">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三、应急救援保障</w:t>
      </w:r>
    </w:p>
    <w:p w14:paraId="7D0EC7C8">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1、内部保障：厂区按安全和消防要求配备有充足的灭火器材干粉灭火器、劳动防护用品等。</w:t>
      </w:r>
    </w:p>
    <w:p w14:paraId="1315FFA1">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2、外部保障：急救医疗电话：120 报警电话：110    火警电话：119</w:t>
      </w:r>
    </w:p>
    <w:p w14:paraId="04E4A24B">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 xml:space="preserve"> 四、监测、抢险、救援、控制措施</w:t>
      </w:r>
    </w:p>
    <w:p w14:paraId="2879A2BA">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根据事故类型，启动公司抢险、救援、控制措施。按照专业规程进行现场危害因素监测工作。</w:t>
      </w:r>
    </w:p>
    <w:p w14:paraId="7B939EC4">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五、</w:t>
      </w:r>
      <w:r>
        <w:rPr>
          <w:rFonts w:hint="eastAsia" w:ascii="宋体" w:hAnsi="宋体" w:eastAsia="宋体" w:cs="宋体"/>
          <w:color w:val="000000"/>
          <w:sz w:val="24"/>
          <w:szCs w:val="24"/>
          <w:lang w:val="en-US" w:eastAsia="zh-CN" w:bidi="ar"/>
        </w:rPr>
        <w:t>人员</w:t>
      </w:r>
      <w:r>
        <w:rPr>
          <w:rFonts w:ascii="宋体" w:hAnsi="宋体" w:eastAsia="宋体" w:cs="宋体"/>
          <w:color w:val="000000"/>
          <w:sz w:val="24"/>
          <w:szCs w:val="24"/>
          <w:lang w:val="en-US" w:eastAsia="zh-CN" w:bidi="ar"/>
        </w:rPr>
        <w:t>紧急撤离、疏散，应急剂量控制、撤离组织计划</w:t>
      </w:r>
    </w:p>
    <w:p w14:paraId="42C53B0E">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发生危险事故后立即设立警戒区域，所有非救援</w:t>
      </w:r>
      <w:r>
        <w:rPr>
          <w:rFonts w:hint="eastAsia" w:ascii="宋体" w:hAnsi="宋体" w:eastAsia="宋体" w:cs="宋体"/>
          <w:color w:val="000000"/>
          <w:sz w:val="24"/>
          <w:szCs w:val="24"/>
          <w:lang w:val="en-US" w:eastAsia="zh-CN" w:bidi="ar"/>
        </w:rPr>
        <w:t>人员</w:t>
      </w:r>
      <w:r>
        <w:rPr>
          <w:rFonts w:ascii="宋体" w:hAnsi="宋体" w:eastAsia="宋体" w:cs="宋体"/>
          <w:color w:val="000000"/>
          <w:sz w:val="24"/>
          <w:szCs w:val="24"/>
          <w:lang w:val="en-US" w:eastAsia="zh-CN" w:bidi="ar"/>
        </w:rPr>
        <w:t>疏散到安全区域。由专入警戒危险区域出入口，除消防、应急处理</w:t>
      </w:r>
      <w:r>
        <w:rPr>
          <w:rFonts w:hint="eastAsia" w:ascii="宋体" w:hAnsi="宋体" w:eastAsia="宋体" w:cs="宋体"/>
          <w:color w:val="000000"/>
          <w:sz w:val="24"/>
          <w:szCs w:val="24"/>
          <w:lang w:val="en-US" w:eastAsia="zh-CN" w:bidi="ar"/>
        </w:rPr>
        <w:t>人员</w:t>
      </w:r>
      <w:r>
        <w:rPr>
          <w:rFonts w:ascii="宋体" w:hAnsi="宋体" w:eastAsia="宋体" w:cs="宋体"/>
          <w:color w:val="000000"/>
          <w:sz w:val="24"/>
          <w:szCs w:val="24"/>
          <w:lang w:val="en-US" w:eastAsia="zh-CN" w:bidi="ar"/>
        </w:rPr>
        <w:t>及车辆外禁止进入事故现场。进入警戒区域</w:t>
      </w:r>
      <w:r>
        <w:rPr>
          <w:rFonts w:hint="eastAsia" w:ascii="宋体" w:hAnsi="宋体" w:eastAsia="宋体" w:cs="宋体"/>
          <w:color w:val="000000"/>
          <w:sz w:val="24"/>
          <w:szCs w:val="24"/>
          <w:lang w:val="en-US" w:eastAsia="zh-CN" w:bidi="ar"/>
        </w:rPr>
        <w:t>人员</w:t>
      </w:r>
      <w:r>
        <w:rPr>
          <w:rFonts w:ascii="宋体" w:hAnsi="宋体" w:eastAsia="宋体" w:cs="宋体"/>
          <w:color w:val="000000"/>
          <w:sz w:val="24"/>
          <w:szCs w:val="24"/>
          <w:lang w:val="en-US" w:eastAsia="zh-CN" w:bidi="ar"/>
        </w:rPr>
        <w:t>必须穿戴防护用品。若事故恶化，所有抢救</w:t>
      </w:r>
      <w:r>
        <w:rPr>
          <w:rFonts w:hint="eastAsia" w:ascii="宋体" w:hAnsi="宋体" w:eastAsia="宋体" w:cs="宋体"/>
          <w:color w:val="000000"/>
          <w:sz w:val="24"/>
          <w:szCs w:val="24"/>
          <w:lang w:val="en-US" w:eastAsia="zh-CN" w:bidi="ar"/>
        </w:rPr>
        <w:t>人员</w:t>
      </w:r>
      <w:r>
        <w:rPr>
          <w:rFonts w:ascii="宋体" w:hAnsi="宋体" w:eastAsia="宋体" w:cs="宋体"/>
          <w:color w:val="000000"/>
          <w:sz w:val="24"/>
          <w:szCs w:val="24"/>
          <w:lang w:val="en-US" w:eastAsia="zh-CN" w:bidi="ar"/>
        </w:rPr>
        <w:t>要紧急疏散，撤离到安全区域。</w:t>
      </w:r>
    </w:p>
    <w:p w14:paraId="23AFE116">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六、报警、汇报、上报机制</w:t>
      </w:r>
    </w:p>
    <w:p w14:paraId="78C23B6C">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事发车间的现场</w:t>
      </w:r>
      <w:r>
        <w:rPr>
          <w:rFonts w:hint="eastAsia" w:ascii="宋体" w:hAnsi="宋体" w:eastAsia="宋体" w:cs="宋体"/>
          <w:color w:val="000000"/>
          <w:sz w:val="24"/>
          <w:szCs w:val="24"/>
          <w:lang w:val="en-US" w:eastAsia="zh-CN" w:bidi="ar"/>
        </w:rPr>
        <w:t>人员</w:t>
      </w:r>
      <w:r>
        <w:rPr>
          <w:rFonts w:ascii="宋体" w:hAnsi="宋体" w:eastAsia="宋体" w:cs="宋体"/>
          <w:color w:val="000000"/>
          <w:sz w:val="24"/>
          <w:szCs w:val="24"/>
          <w:lang w:val="en-US" w:eastAsia="zh-CN" w:bidi="ar"/>
        </w:rPr>
        <w:t>应马上向生产调度室报警，并启动车间应急预案，展开自救。</w:t>
      </w:r>
    </w:p>
    <w:p w14:paraId="7F8D1FB0">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调度在接到报警后视事故情况报告指挥部，指挥部判断是否启动本预案，如需启动本预案及时通知各专业队火速赶赴现场。</w:t>
      </w:r>
    </w:p>
    <w:p w14:paraId="70811F37">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指挥部根据事故类别迅速向政府相关部门报告。</w:t>
      </w:r>
    </w:p>
    <w:p w14:paraId="3CBCBC77">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报警和通讯一般应包括以下内容：</w:t>
      </w:r>
    </w:p>
    <w:p w14:paraId="027E30EC">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事故发生时间、地点、化学品种类、数量、事故类型（火灾、爆炸、泄漏）、周边情况等。</w:t>
      </w:r>
    </w:p>
    <w:p w14:paraId="19ECEA30">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必要的补充：事故可能持续的时间；健康危害与必要的医疗措施；对方应注意的措施，如疏散；联系入姓名和电话等。</w:t>
      </w:r>
    </w:p>
    <w:p w14:paraId="2356D2F5">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七、环境事故应急救援关闭程序与恢复措施。</w:t>
      </w:r>
    </w:p>
    <w:p w14:paraId="6FAABD6A">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事故发生后立即控制事故区域的边界和</w:t>
      </w:r>
      <w:r>
        <w:rPr>
          <w:rFonts w:hint="eastAsia" w:ascii="宋体" w:hAnsi="宋体" w:eastAsia="宋体" w:cs="宋体"/>
          <w:color w:val="000000"/>
          <w:sz w:val="24"/>
          <w:szCs w:val="24"/>
          <w:lang w:val="en-US" w:eastAsia="zh-CN" w:bidi="ar"/>
        </w:rPr>
        <w:t>人员</w:t>
      </w:r>
      <w:r>
        <w:rPr>
          <w:rFonts w:ascii="宋体" w:hAnsi="宋体" w:eastAsia="宋体" w:cs="宋体"/>
          <w:color w:val="000000"/>
          <w:sz w:val="24"/>
          <w:szCs w:val="24"/>
          <w:lang w:val="en-US" w:eastAsia="zh-CN" w:bidi="ar"/>
        </w:rPr>
        <w:t>车辆进出。</w:t>
      </w:r>
    </w:p>
    <w:p w14:paraId="462A55EE">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事故处理完毕，要撤离警示标志。将周围环境恢复原状。对事故造成的危害进行监测、处置，直至符合国家环境保护标准。</w:t>
      </w:r>
    </w:p>
    <w:p w14:paraId="45D7403F">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八、 应急培训计划</w:t>
      </w:r>
    </w:p>
    <w:p w14:paraId="36113350">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定期进行应急技能培训，包括设备运用、险情排除、自救和互救等方法。每年进行演练不少于 1 次，包括演习后评估以及评估后的岗位培训。</w:t>
      </w:r>
    </w:p>
    <w:p w14:paraId="2BC68433">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九、公众教育和信息</w:t>
      </w:r>
    </w:p>
    <w:p w14:paraId="47F987CA">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指挥部负责向周边公众进行安全教育。事故发生后指挥部负责事故信息的发布工作。建立完备的环境信息平台，定期向社会公布企业环境信息，接受公众监督。</w:t>
      </w:r>
    </w:p>
    <w:p w14:paraId="41642110">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十、应急预案联动机制</w:t>
      </w:r>
    </w:p>
    <w:p w14:paraId="1B6C3C9D">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项目可与当地政府及相关部门以及项目附近企业、村寨的应急预案相衔接，建立联动机制，加强区域应急物资调配管理，构建区域环境风险联控机制。</w:t>
      </w:r>
    </w:p>
    <w:p w14:paraId="23EA803E">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为防治企业发生连锁事故，应建立单位自救、企业互救与社会救援相结合的区域联防联动机制，这是事故发生后能够控制事态扩大的有效举措。建立联防联动三级快速响应机制。一旦发生事故，本企业立即处置并通知相邻联防企业，一方面做好自身防范，另一方面做好互相救援工作；相邻联防企业接到互救报警电话， 应立即参加互救应急救援；企业首先应判断事故是否可以靠自救和互救及时控制， 否则立即上报上级，启动市级紧急救援预案。</w:t>
      </w:r>
    </w:p>
    <w:p w14:paraId="796A329C">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项目应急预案应与芒市应急预案有效衔接，主要包括应急组织机构、人员的衔接，预案分级响应的衔接，应急救援保障衔接，应急培训计划的衔接，公众教育的衔接，风险防范措施的衔接，形成三级架构应急预案体系。</w:t>
      </w:r>
    </w:p>
    <w:bookmarkEnd w:id="200"/>
    <w:p w14:paraId="618F2659">
      <w:pPr>
        <w:pStyle w:val="187"/>
        <w:rPr>
          <w:rFonts w:hint="eastAsia" w:ascii="Times New Roman" w:hAnsi="Times New Roman"/>
          <w:bCs/>
          <w:color w:val="000000"/>
          <w:lang w:val="en-US" w:eastAsia="zh-CN"/>
        </w:rPr>
      </w:pPr>
      <w:bookmarkStart w:id="201" w:name="4.2.7.6.环境风险评价小结"/>
      <w:bookmarkStart w:id="202" w:name="_Toc409"/>
      <w:r>
        <w:rPr>
          <w:rFonts w:hint="eastAsia" w:ascii="Times New Roman" w:hAnsi="Times New Roman"/>
          <w:bCs/>
          <w:color w:val="000000"/>
          <w:lang w:val="en-US" w:eastAsia="zh-CN"/>
        </w:rPr>
        <w:t>7.6环境风险防范措施投资</w:t>
      </w:r>
      <w:bookmarkEnd w:id="201"/>
    </w:p>
    <w:p w14:paraId="6A53885A">
      <w:pPr>
        <w:spacing w:line="360" w:lineRule="auto"/>
        <w:ind w:firstLine="482"/>
        <w:jc w:val="center"/>
        <w:rPr>
          <w:rFonts w:ascii="Times New Roman" w:hAnsi="Times New Roman" w:eastAsia="宋体" w:cs="Times New Roman"/>
          <w:b/>
          <w:sz w:val="24"/>
          <w:szCs w:val="24"/>
          <w:lang w:val="en-US" w:eastAsia="zh-CN" w:bidi="ar-SA"/>
        </w:rPr>
      </w:pPr>
      <w:bookmarkStart w:id="203" w:name="_Hlk1392377"/>
      <w:r>
        <w:rPr>
          <w:rFonts w:ascii="Times New Roman" w:hAnsi="Times New Roman" w:eastAsia="宋体" w:cs="Times New Roman"/>
          <w:b/>
          <w:sz w:val="24"/>
          <w:szCs w:val="24"/>
          <w:lang w:val="en-US" w:eastAsia="zh-CN" w:bidi="ar-SA"/>
        </w:rPr>
        <w:t>表</w:t>
      </w:r>
      <w:r>
        <w:rPr>
          <w:rFonts w:hint="eastAsia" w:ascii="Times New Roman" w:hAnsi="Times New Roman" w:eastAsia="宋体" w:cs="Times New Roman"/>
          <w:b/>
          <w:sz w:val="24"/>
          <w:szCs w:val="24"/>
          <w:lang w:val="en-US" w:eastAsia="zh-CN" w:bidi="ar-SA"/>
        </w:rPr>
        <w:t>7.6</w:t>
      </w:r>
      <w:r>
        <w:rPr>
          <w:rFonts w:ascii="Times New Roman" w:hAnsi="Times New Roman" w:eastAsia="宋体" w:cs="Times New Roman"/>
          <w:b/>
          <w:sz w:val="24"/>
          <w:szCs w:val="24"/>
          <w:lang w:val="en-US" w:eastAsia="zh-CN" w:bidi="ar-SA"/>
        </w:rPr>
        <w:t xml:space="preserve"> </w:t>
      </w:r>
      <w:r>
        <w:rPr>
          <w:rFonts w:hint="eastAsia" w:ascii="Times New Roman" w:hAnsi="Times New Roman" w:eastAsia="宋体" w:cs="Times New Roman"/>
          <w:b/>
          <w:sz w:val="24"/>
          <w:szCs w:val="24"/>
          <w:lang w:val="en-US" w:eastAsia="zh-CN" w:bidi="ar-SA"/>
        </w:rPr>
        <w:t xml:space="preserve">-1 </w:t>
      </w:r>
      <w:r>
        <w:rPr>
          <w:rFonts w:ascii="Times New Roman" w:hAnsi="Times New Roman" w:eastAsia="宋体" w:cs="Times New Roman"/>
          <w:b/>
          <w:sz w:val="24"/>
          <w:szCs w:val="24"/>
          <w:lang w:val="en-US" w:eastAsia="zh-CN" w:bidi="ar-SA"/>
        </w:rPr>
        <w:t>环境风险</w:t>
      </w:r>
      <w:r>
        <w:rPr>
          <w:rFonts w:hint="eastAsia" w:ascii="Times New Roman" w:hAnsi="Times New Roman" w:eastAsia="宋体" w:cs="Times New Roman"/>
          <w:b/>
          <w:sz w:val="24"/>
          <w:szCs w:val="24"/>
          <w:lang w:val="en-US" w:eastAsia="zh-CN" w:bidi="ar-SA"/>
        </w:rPr>
        <w:t>防范措施投资估算一览表</w:t>
      </w:r>
    </w:p>
    <w:bookmarkEnd w:id="202"/>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500"/>
        <w:gridCol w:w="5668"/>
        <w:gridCol w:w="1134"/>
      </w:tblGrid>
      <w:tr w14:paraId="4826C73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500" w:type="dxa"/>
            <w:noWrap w:val="0"/>
            <w:vAlign w:val="center"/>
          </w:tcPr>
          <w:p w14:paraId="4C34E213">
            <w:pPr>
              <w:spacing w:line="360" w:lineRule="auto"/>
              <w:ind w:firstLine="198"/>
              <w:jc w:val="center"/>
              <w:rPr>
                <w:rFonts w:ascii="宋体" w:hAnsi="Courier New" w:eastAsia="宋体" w:cs="Courier New"/>
                <w:b/>
                <w:sz w:val="21"/>
                <w:szCs w:val="24"/>
                <w:lang w:val="en-US" w:eastAsia="zh-CN" w:bidi="ar-SA"/>
              </w:rPr>
            </w:pPr>
            <w:r>
              <w:rPr>
                <w:rFonts w:hint="eastAsia" w:ascii="宋体" w:hAnsi="Courier New" w:eastAsia="宋体" w:cs="Courier New"/>
                <w:b/>
                <w:sz w:val="21"/>
                <w:szCs w:val="24"/>
                <w:lang w:val="en-US" w:eastAsia="zh-CN" w:bidi="ar-SA"/>
              </w:rPr>
              <w:t>设施名称</w:t>
            </w:r>
          </w:p>
        </w:tc>
        <w:tc>
          <w:tcPr>
            <w:tcW w:w="5668" w:type="dxa"/>
            <w:noWrap w:val="0"/>
            <w:vAlign w:val="center"/>
          </w:tcPr>
          <w:p w14:paraId="427C4320">
            <w:pPr>
              <w:spacing w:line="360" w:lineRule="auto"/>
              <w:ind w:firstLine="198"/>
              <w:jc w:val="center"/>
              <w:rPr>
                <w:rFonts w:hint="eastAsia" w:ascii="宋体" w:hAnsi="Courier New" w:eastAsia="宋体" w:cs="Courier New"/>
                <w:b/>
                <w:sz w:val="21"/>
                <w:szCs w:val="24"/>
                <w:lang w:val="en-US" w:eastAsia="zh-CN" w:bidi="ar-SA"/>
              </w:rPr>
            </w:pPr>
            <w:r>
              <w:rPr>
                <w:rFonts w:hint="eastAsia" w:ascii="宋体" w:hAnsi="Courier New" w:eastAsia="宋体" w:cs="Courier New"/>
                <w:b/>
                <w:sz w:val="21"/>
                <w:szCs w:val="24"/>
                <w:lang w:val="en-US" w:eastAsia="zh-CN" w:bidi="ar-SA"/>
              </w:rPr>
              <w:t>治理措施</w:t>
            </w:r>
          </w:p>
        </w:tc>
        <w:tc>
          <w:tcPr>
            <w:tcW w:w="1134" w:type="dxa"/>
            <w:noWrap w:val="0"/>
            <w:vAlign w:val="center"/>
          </w:tcPr>
          <w:p w14:paraId="660A10C6">
            <w:pPr>
              <w:spacing w:line="360" w:lineRule="auto"/>
              <w:ind w:firstLine="0"/>
              <w:jc w:val="center"/>
              <w:rPr>
                <w:rFonts w:ascii="宋体" w:hAnsi="Courier New" w:eastAsia="宋体" w:cs="Courier New"/>
                <w:b/>
                <w:sz w:val="21"/>
                <w:szCs w:val="24"/>
                <w:lang w:val="en-US" w:eastAsia="zh-CN" w:bidi="ar-SA"/>
              </w:rPr>
            </w:pPr>
            <w:r>
              <w:rPr>
                <w:rFonts w:hint="eastAsia" w:ascii="宋体" w:hAnsi="Courier New" w:eastAsia="宋体" w:cs="Courier New"/>
                <w:b/>
                <w:sz w:val="21"/>
                <w:szCs w:val="24"/>
                <w:lang w:val="en-US" w:eastAsia="zh-CN" w:bidi="ar-SA"/>
              </w:rPr>
              <w:t>投资估算（万元）</w:t>
            </w:r>
          </w:p>
        </w:tc>
      </w:tr>
      <w:tr w14:paraId="009CE49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500" w:type="dxa"/>
            <w:noWrap w:val="0"/>
            <w:vAlign w:val="center"/>
          </w:tcPr>
          <w:p w14:paraId="0AE5FEBC">
            <w:pPr>
              <w:spacing w:line="360" w:lineRule="auto"/>
              <w:ind w:firstLine="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事故废水收集</w:t>
            </w:r>
          </w:p>
          <w:p w14:paraId="072A0235">
            <w:pPr>
              <w:spacing w:line="360" w:lineRule="auto"/>
              <w:ind w:firstLine="0"/>
              <w:jc w:val="center"/>
              <w:rPr>
                <w:rFonts w:hint="eastAsia"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设施</w:t>
            </w:r>
          </w:p>
        </w:tc>
        <w:tc>
          <w:tcPr>
            <w:tcW w:w="5668" w:type="dxa"/>
            <w:noWrap w:val="0"/>
            <w:vAlign w:val="center"/>
          </w:tcPr>
          <w:p w14:paraId="01FBA601">
            <w:pPr>
              <w:spacing w:line="360" w:lineRule="auto"/>
              <w:ind w:firstLine="199"/>
              <w:jc w:val="center"/>
              <w:rPr>
                <w:rFonts w:ascii="宋体" w:hAnsi="Courier New" w:eastAsia="宋体" w:cs="Courier New"/>
                <w:sz w:val="21"/>
                <w:szCs w:val="24"/>
                <w:lang w:val="en-US" w:eastAsia="zh-CN" w:bidi="ar-SA"/>
              </w:rPr>
            </w:pPr>
            <w:r>
              <w:rPr>
                <w:rFonts w:hint="eastAsia" w:ascii="宋体" w:hAnsi="Courier New" w:eastAsia="宋体" w:cs="Courier New"/>
                <w:sz w:val="21"/>
                <w:szCs w:val="24"/>
                <w:lang w:val="en-US" w:eastAsia="zh-CN" w:bidi="ar-SA"/>
              </w:rPr>
              <w:t>初期雨水收集池容积150</w:t>
            </w:r>
            <w:r>
              <w:rPr>
                <w:rFonts w:ascii="宋体" w:hAnsi="Courier New" w:eastAsia="宋体" w:cs="Courier New"/>
                <w:sz w:val="21"/>
                <w:szCs w:val="24"/>
                <w:lang w:val="en-US" w:eastAsia="zh-CN" w:bidi="ar-SA"/>
              </w:rPr>
              <w:t>m</w:t>
            </w:r>
            <w:r>
              <w:rPr>
                <w:rFonts w:ascii="宋体" w:hAnsi="Courier New" w:eastAsia="宋体" w:cs="Courier New"/>
                <w:sz w:val="21"/>
                <w:szCs w:val="24"/>
                <w:vertAlign w:val="superscript"/>
                <w:lang w:val="en-US" w:eastAsia="zh-CN" w:bidi="ar-SA"/>
              </w:rPr>
              <w:t>3</w:t>
            </w:r>
            <w:r>
              <w:rPr>
                <w:rFonts w:hint="eastAsia" w:ascii="宋体" w:hAnsi="Courier New" w:eastAsia="宋体" w:cs="Courier New"/>
                <w:sz w:val="21"/>
                <w:szCs w:val="24"/>
                <w:vertAlign w:val="baseline"/>
                <w:lang w:val="en-US" w:eastAsia="zh-CN" w:bidi="ar-SA"/>
              </w:rPr>
              <w:t>；并备有应急罐1个，容积60t</w:t>
            </w:r>
          </w:p>
        </w:tc>
        <w:tc>
          <w:tcPr>
            <w:tcW w:w="1134" w:type="dxa"/>
            <w:noWrap w:val="0"/>
            <w:vAlign w:val="center"/>
          </w:tcPr>
          <w:p w14:paraId="05F97496">
            <w:pPr>
              <w:spacing w:line="360" w:lineRule="auto"/>
              <w:ind w:firstLine="0"/>
              <w:jc w:val="center"/>
              <w:rPr>
                <w:rFonts w:ascii="宋体" w:hAnsi="Courier New" w:eastAsia="宋体" w:cs="Courier New"/>
                <w:sz w:val="21"/>
                <w:szCs w:val="24"/>
                <w:lang w:val="en-US" w:eastAsia="zh-CN" w:bidi="ar-SA"/>
              </w:rPr>
            </w:pPr>
            <w:r>
              <w:rPr>
                <w:rFonts w:hint="eastAsia" w:ascii="宋体" w:hAnsi="Courier New" w:eastAsia="宋体" w:cs="Courier New"/>
                <w:sz w:val="21"/>
                <w:szCs w:val="24"/>
                <w:lang w:val="en-US" w:eastAsia="zh-CN" w:bidi="ar-SA"/>
              </w:rPr>
              <w:t>5</w:t>
            </w:r>
          </w:p>
        </w:tc>
      </w:tr>
      <w:tr w14:paraId="4F62E64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633" w:hRule="atLeast"/>
          <w:jc w:val="center"/>
        </w:trPr>
        <w:tc>
          <w:tcPr>
            <w:tcW w:w="1500" w:type="dxa"/>
            <w:noWrap w:val="0"/>
            <w:vAlign w:val="center"/>
          </w:tcPr>
          <w:p w14:paraId="5DEA5EC1">
            <w:pPr>
              <w:spacing w:line="360" w:lineRule="auto"/>
              <w:ind w:firstLine="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防渗工程</w:t>
            </w:r>
          </w:p>
        </w:tc>
        <w:tc>
          <w:tcPr>
            <w:tcW w:w="5668" w:type="dxa"/>
            <w:noWrap w:val="0"/>
            <w:vAlign w:val="center"/>
          </w:tcPr>
          <w:p w14:paraId="6AE75ADF">
            <w:pPr>
              <w:spacing w:line="360" w:lineRule="auto"/>
              <w:ind w:firstLine="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建设单位委托有防渗工程设计、施工资质的单位，对</w:t>
            </w:r>
            <w:r>
              <w:rPr>
                <w:rFonts w:hint="eastAsia" w:ascii="宋体" w:hAnsi="Courier New" w:eastAsia="宋体" w:cs="Courier New"/>
                <w:sz w:val="21"/>
                <w:szCs w:val="24"/>
                <w:lang w:val="en-US" w:eastAsia="zh-CN" w:bidi="ar-SA"/>
              </w:rPr>
              <w:t>制胶车间</w:t>
            </w:r>
            <w:r>
              <w:rPr>
                <w:rFonts w:ascii="宋体" w:hAnsi="Courier New" w:eastAsia="宋体" w:cs="Courier New"/>
                <w:sz w:val="21"/>
                <w:szCs w:val="24"/>
                <w:lang w:val="en-US" w:eastAsia="zh-CN" w:bidi="ar-SA"/>
              </w:rPr>
              <w:t>、</w:t>
            </w:r>
            <w:r>
              <w:rPr>
                <w:rFonts w:hint="eastAsia" w:ascii="宋体" w:hAnsi="Courier New" w:eastAsia="宋体" w:cs="Courier New"/>
                <w:sz w:val="21"/>
                <w:szCs w:val="24"/>
                <w:lang w:val="en-US" w:eastAsia="zh-CN" w:bidi="ar-SA"/>
              </w:rPr>
              <w:t>事故应急池（罐）</w:t>
            </w:r>
            <w:r>
              <w:rPr>
                <w:rFonts w:ascii="宋体" w:hAnsi="Courier New" w:eastAsia="宋体" w:cs="Courier New"/>
                <w:sz w:val="21"/>
                <w:szCs w:val="24"/>
                <w:lang w:val="en-US" w:eastAsia="zh-CN" w:bidi="ar-SA"/>
              </w:rPr>
              <w:t>等</w:t>
            </w:r>
            <w:r>
              <w:rPr>
                <w:rFonts w:hint="eastAsia" w:ascii="宋体" w:hAnsi="Courier New" w:eastAsia="宋体" w:cs="Courier New"/>
                <w:sz w:val="21"/>
                <w:szCs w:val="24"/>
                <w:lang w:val="en-US" w:eastAsia="zh-CN" w:bidi="ar-SA"/>
              </w:rPr>
              <w:t>、</w:t>
            </w:r>
            <w:r>
              <w:rPr>
                <w:rFonts w:ascii="宋体" w:hAnsi="Courier New" w:eastAsia="宋体" w:cs="Courier New"/>
                <w:sz w:val="21"/>
                <w:szCs w:val="24"/>
                <w:lang w:val="en-US" w:eastAsia="zh-CN" w:bidi="ar-SA"/>
              </w:rPr>
              <w:t>危废暂存间等位置进行重点防渗，防渗能力达到至少等效 6m 厚粘土层（渗透系数≤10</w:t>
            </w:r>
            <w:r>
              <w:rPr>
                <w:rFonts w:ascii="宋体" w:hAnsi="Courier New" w:eastAsia="宋体" w:cs="Courier New"/>
                <w:sz w:val="21"/>
                <w:szCs w:val="24"/>
                <w:vertAlign w:val="superscript"/>
                <w:lang w:val="en-US" w:eastAsia="zh-CN" w:bidi="ar-SA"/>
              </w:rPr>
              <w:t>-7</w:t>
            </w:r>
            <w:r>
              <w:rPr>
                <w:rFonts w:ascii="宋体" w:hAnsi="Courier New" w:eastAsia="宋体" w:cs="Courier New"/>
                <w:sz w:val="21"/>
                <w:szCs w:val="24"/>
                <w:lang w:val="en-US" w:eastAsia="zh-CN" w:bidi="ar-SA"/>
              </w:rPr>
              <w:t>cm/s），或 2mm 厚高密度聚乙烯，或至少 2mm 厚的其它人工材料，渗透系数≤10</w:t>
            </w:r>
            <w:r>
              <w:rPr>
                <w:rFonts w:ascii="宋体" w:hAnsi="Courier New" w:eastAsia="宋体" w:cs="Courier New"/>
                <w:sz w:val="21"/>
                <w:szCs w:val="24"/>
                <w:vertAlign w:val="superscript"/>
                <w:lang w:val="en-US" w:eastAsia="zh-CN" w:bidi="ar-SA"/>
              </w:rPr>
              <w:t>-10</w:t>
            </w:r>
            <w:r>
              <w:rPr>
                <w:rFonts w:ascii="宋体" w:hAnsi="Courier New" w:eastAsia="宋体" w:cs="Courier New"/>
                <w:sz w:val="21"/>
                <w:szCs w:val="24"/>
                <w:lang w:val="en-US" w:eastAsia="zh-CN" w:bidi="ar-SA"/>
              </w:rPr>
              <w:t>cm/s</w:t>
            </w:r>
          </w:p>
        </w:tc>
        <w:tc>
          <w:tcPr>
            <w:tcW w:w="1134" w:type="dxa"/>
            <w:noWrap w:val="0"/>
            <w:vAlign w:val="center"/>
          </w:tcPr>
          <w:p w14:paraId="2E3D35C8">
            <w:pPr>
              <w:spacing w:line="360" w:lineRule="auto"/>
              <w:ind w:firstLine="0"/>
              <w:jc w:val="center"/>
              <w:rPr>
                <w:rFonts w:ascii="宋体" w:hAnsi="Courier New" w:eastAsia="宋体" w:cs="Courier New"/>
                <w:sz w:val="21"/>
                <w:szCs w:val="24"/>
                <w:lang w:val="en-US" w:eastAsia="zh-CN" w:bidi="ar-SA"/>
              </w:rPr>
            </w:pPr>
          </w:p>
          <w:p w14:paraId="7962819D">
            <w:pPr>
              <w:spacing w:line="360" w:lineRule="auto"/>
              <w:ind w:firstLine="0"/>
              <w:jc w:val="center"/>
              <w:rPr>
                <w:rFonts w:ascii="宋体" w:hAnsi="Courier New" w:eastAsia="宋体" w:cs="Courier New"/>
                <w:sz w:val="21"/>
                <w:szCs w:val="24"/>
                <w:lang w:val="en-US" w:eastAsia="zh-CN" w:bidi="ar-SA"/>
              </w:rPr>
            </w:pPr>
            <w:r>
              <w:rPr>
                <w:rFonts w:hint="eastAsia" w:ascii="宋体" w:hAnsi="Courier New" w:eastAsia="宋体" w:cs="Courier New"/>
                <w:sz w:val="21"/>
                <w:szCs w:val="24"/>
                <w:lang w:val="en-US" w:eastAsia="zh-CN" w:bidi="ar-SA"/>
              </w:rPr>
              <w:t>10</w:t>
            </w:r>
          </w:p>
        </w:tc>
      </w:tr>
      <w:tr w14:paraId="751F8FA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1500" w:type="dxa"/>
            <w:noWrap w:val="0"/>
            <w:vAlign w:val="center"/>
          </w:tcPr>
          <w:p w14:paraId="7617100E">
            <w:pPr>
              <w:spacing w:line="360" w:lineRule="auto"/>
              <w:ind w:firstLine="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应急预案编制</w:t>
            </w:r>
          </w:p>
        </w:tc>
        <w:tc>
          <w:tcPr>
            <w:tcW w:w="5668" w:type="dxa"/>
            <w:noWrap w:val="0"/>
            <w:vAlign w:val="center"/>
          </w:tcPr>
          <w:p w14:paraId="523F0C20">
            <w:pPr>
              <w:spacing w:line="360" w:lineRule="auto"/>
              <w:ind w:firstLine="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委托编制机构编制突发环境事件应急预案，并落实相关组织机构、应急设施，设备与器材等</w:t>
            </w:r>
          </w:p>
        </w:tc>
        <w:tc>
          <w:tcPr>
            <w:tcW w:w="1134" w:type="dxa"/>
            <w:noWrap w:val="0"/>
            <w:vAlign w:val="center"/>
          </w:tcPr>
          <w:p w14:paraId="117CD5C8">
            <w:pPr>
              <w:spacing w:line="360" w:lineRule="auto"/>
              <w:ind w:firstLine="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5</w:t>
            </w:r>
          </w:p>
        </w:tc>
      </w:tr>
      <w:tr w14:paraId="4C9AEC5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500" w:type="dxa"/>
            <w:noWrap w:val="0"/>
            <w:vAlign w:val="center"/>
          </w:tcPr>
          <w:p w14:paraId="5319A4FF">
            <w:pPr>
              <w:spacing w:line="360" w:lineRule="auto"/>
              <w:ind w:firstLine="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合计</w:t>
            </w:r>
          </w:p>
        </w:tc>
        <w:tc>
          <w:tcPr>
            <w:tcW w:w="5668" w:type="dxa"/>
            <w:noWrap w:val="0"/>
            <w:vAlign w:val="center"/>
          </w:tcPr>
          <w:p w14:paraId="2FA1E909">
            <w:pPr>
              <w:spacing w:line="360" w:lineRule="auto"/>
              <w:ind w:firstLine="420"/>
              <w:jc w:val="center"/>
              <w:rPr>
                <w:rFonts w:ascii="宋体" w:hAnsi="Courier New" w:eastAsia="宋体" w:cs="Courier New"/>
                <w:sz w:val="21"/>
                <w:szCs w:val="24"/>
                <w:lang w:val="en-US" w:eastAsia="zh-CN" w:bidi="ar-SA"/>
              </w:rPr>
            </w:pPr>
            <w:r>
              <w:rPr>
                <w:rFonts w:ascii="宋体" w:hAnsi="Courier New" w:eastAsia="宋体" w:cs="Courier New"/>
                <w:sz w:val="21"/>
                <w:szCs w:val="24"/>
                <w:lang w:val="en-US" w:eastAsia="zh-CN" w:bidi="ar-SA"/>
              </w:rPr>
              <w:t>/</w:t>
            </w:r>
          </w:p>
        </w:tc>
        <w:tc>
          <w:tcPr>
            <w:tcW w:w="1134" w:type="dxa"/>
            <w:noWrap w:val="0"/>
            <w:vAlign w:val="center"/>
          </w:tcPr>
          <w:p w14:paraId="73399BC5">
            <w:pPr>
              <w:spacing w:line="360" w:lineRule="auto"/>
              <w:ind w:firstLine="0"/>
              <w:jc w:val="center"/>
              <w:rPr>
                <w:rFonts w:ascii="宋体" w:hAnsi="Courier New" w:eastAsia="宋体" w:cs="Courier New"/>
                <w:sz w:val="21"/>
                <w:szCs w:val="24"/>
                <w:lang w:val="en-US" w:eastAsia="zh-CN" w:bidi="ar-SA"/>
              </w:rPr>
            </w:pPr>
            <w:r>
              <w:rPr>
                <w:rFonts w:hint="eastAsia" w:ascii="宋体" w:hAnsi="Courier New" w:eastAsia="宋体" w:cs="Courier New"/>
                <w:sz w:val="21"/>
                <w:szCs w:val="24"/>
                <w:lang w:val="en-US" w:eastAsia="zh-CN" w:bidi="ar-SA"/>
              </w:rPr>
              <w:t>20</w:t>
            </w:r>
          </w:p>
        </w:tc>
      </w:tr>
    </w:tbl>
    <w:p w14:paraId="663F6933">
      <w:pPr>
        <w:pStyle w:val="187"/>
        <w:rPr>
          <w:rFonts w:ascii="Times New Roman" w:hAnsi="Times New Roman"/>
          <w:bCs/>
          <w:color w:val="000000"/>
          <w:lang w:val="zh-CN" w:eastAsia="zh-CN"/>
        </w:rPr>
      </w:pPr>
      <w:bookmarkStart w:id="204" w:name="_Toc2627"/>
      <w:r>
        <w:rPr>
          <w:rFonts w:hint="eastAsia" w:ascii="Times New Roman" w:hAnsi="Times New Roman"/>
          <w:bCs/>
          <w:color w:val="000000"/>
          <w:lang w:val="en-US" w:eastAsia="zh-CN"/>
        </w:rPr>
        <w:t>7.7</w:t>
      </w:r>
      <w:r>
        <w:rPr>
          <w:rFonts w:ascii="Times New Roman" w:hAnsi="Times New Roman"/>
          <w:bCs/>
          <w:color w:val="000000"/>
          <w:lang w:val="zh-CN" w:eastAsia="zh-CN"/>
        </w:rPr>
        <w:t>环境风险评价小结</w:t>
      </w:r>
      <w:bookmarkEnd w:id="203"/>
    </w:p>
    <w:p w14:paraId="704017F0">
      <w:pPr>
        <w:keepNext w:val="0"/>
        <w:keepLines w:val="0"/>
        <w:widowControl/>
        <w:suppressLineNumbers w:val="0"/>
        <w:jc w:val="left"/>
        <w:rPr>
          <w:rFonts w:ascii="宋体" w:hAnsi="宋体" w:eastAsia="宋体" w:cs="宋体"/>
          <w:color w:val="000000"/>
          <w:sz w:val="24"/>
          <w:szCs w:val="24"/>
          <w:lang w:val="en-US" w:eastAsia="zh-CN" w:bidi="ar"/>
        </w:rPr>
      </w:pPr>
      <w:r>
        <w:rPr>
          <w:rFonts w:ascii="宋体" w:hAnsi="宋体" w:eastAsia="宋体" w:cs="宋体"/>
          <w:color w:val="000000"/>
          <w:sz w:val="24"/>
          <w:szCs w:val="24"/>
          <w:lang w:val="en-US" w:eastAsia="zh-CN" w:bidi="ar"/>
        </w:rPr>
        <w:t>综上分析，项目选取甲醛储罐的泄漏事故作为最大可信事故。项目生产工艺技术成熟，在生产过程中，严格按照安全生产规范操作，严格管理厂区存在的风险物质，可减小风险事故的发生概率。根据项目预测结果及分析，在发生环境风险事故时，建设单位立即相应环境风险应急预案，采取有效的风险防范措施，控制事态扩大，项目环境风险在可控范围内。</w:t>
      </w:r>
    </w:p>
    <w:p w14:paraId="317242E5">
      <w:pPr>
        <w:widowControl w:val="0"/>
        <w:spacing w:before="0" w:after="0" w:line="240" w:lineRule="auto"/>
        <w:ind w:left="0" w:right="0" w:firstLine="0"/>
        <w:jc w:val="left"/>
        <w:rPr>
          <w:rFonts w:ascii="Times New Roman" w:hAnsi="Times New Roman" w:eastAsia="宋体" w:cs="Times New Roman"/>
          <w:sz w:val="22"/>
          <w:szCs w:val="22"/>
          <w:lang w:val="zh-CN" w:bidi="zh-CN"/>
        </w:rPr>
      </w:pPr>
    </w:p>
    <w:bookmarkEnd w:id="204"/>
    <w:p w14:paraId="16B309B9">
      <w:pPr>
        <w:pStyle w:val="2"/>
        <w:ind w:firstLine="439"/>
        <w:rPr>
          <w:sz w:val="24"/>
          <w:szCs w:val="24"/>
        </w:rPr>
      </w:pPr>
    </w:p>
    <w:p w14:paraId="2B8108D1">
      <w:pPr>
        <w:pStyle w:val="2"/>
        <w:ind w:firstLine="439"/>
        <w:rPr>
          <w:sz w:val="24"/>
          <w:szCs w:val="24"/>
        </w:rPr>
      </w:pPr>
    </w:p>
    <w:p w14:paraId="7AACF1D2">
      <w:pPr>
        <w:pStyle w:val="2"/>
        <w:ind w:firstLine="439"/>
        <w:rPr>
          <w:sz w:val="24"/>
          <w:szCs w:val="24"/>
        </w:rPr>
      </w:pPr>
    </w:p>
    <w:p w14:paraId="729683D2">
      <w:pPr>
        <w:pStyle w:val="2"/>
        <w:ind w:firstLine="439"/>
        <w:rPr>
          <w:sz w:val="24"/>
          <w:szCs w:val="24"/>
        </w:rPr>
      </w:pPr>
    </w:p>
    <w:p w14:paraId="2FCB2D88">
      <w:pPr>
        <w:pStyle w:val="2"/>
        <w:ind w:firstLine="439"/>
        <w:rPr>
          <w:sz w:val="24"/>
          <w:szCs w:val="24"/>
        </w:rPr>
      </w:pPr>
    </w:p>
    <w:p w14:paraId="5860085B">
      <w:pPr>
        <w:pStyle w:val="2"/>
        <w:ind w:firstLine="439"/>
        <w:rPr>
          <w:sz w:val="24"/>
          <w:szCs w:val="24"/>
        </w:rPr>
      </w:pPr>
    </w:p>
    <w:p w14:paraId="6E96CD7B">
      <w:pPr>
        <w:pStyle w:val="2"/>
        <w:ind w:firstLine="439"/>
        <w:rPr>
          <w:sz w:val="24"/>
          <w:szCs w:val="24"/>
        </w:rPr>
      </w:pPr>
    </w:p>
    <w:p w14:paraId="1D7B374B">
      <w:pPr>
        <w:pStyle w:val="186"/>
        <w:ind w:firstLine="0"/>
        <w:rPr>
          <w:rFonts w:hint="eastAsia"/>
        </w:rPr>
      </w:pPr>
      <w:bookmarkStart w:id="205" w:name="_Toc335320867"/>
      <w:bookmarkStart w:id="206" w:name="_Toc418954617"/>
      <w:bookmarkStart w:id="207" w:name="_Toc2056"/>
      <w:r>
        <w:rPr>
          <w:rFonts w:hint="eastAsia"/>
        </w:rPr>
        <w:t>第</w:t>
      </w:r>
      <w:r>
        <w:rPr>
          <w:rFonts w:hint="eastAsia"/>
          <w:lang w:val="en-US" w:eastAsia="zh-CN"/>
        </w:rPr>
        <w:t>八</w:t>
      </w:r>
      <w:r>
        <w:rPr>
          <w:rFonts w:hint="eastAsia"/>
        </w:rPr>
        <w:t xml:space="preserve">章  </w:t>
      </w:r>
      <w:bookmarkEnd w:id="205"/>
      <w:bookmarkEnd w:id="206"/>
      <w:r>
        <w:rPr>
          <w:rFonts w:hint="eastAsia"/>
        </w:rPr>
        <w:t>环境保护措施及其可行性论证</w:t>
      </w:r>
      <w:bookmarkEnd w:id="207"/>
    </w:p>
    <w:p w14:paraId="7CFAE4A9">
      <w:pPr>
        <w:pStyle w:val="187"/>
        <w:rPr>
          <w:rFonts w:ascii="Times New Roman" w:hAnsi="Times New Roman"/>
        </w:rPr>
      </w:pPr>
      <w:bookmarkStart w:id="208" w:name="_Toc286775638"/>
      <w:bookmarkStart w:id="209" w:name="_Toc418954618"/>
      <w:bookmarkStart w:id="210" w:name="_Toc275001012"/>
      <w:bookmarkStart w:id="211" w:name="_Toc286776441"/>
      <w:bookmarkStart w:id="212" w:name="_Toc335320869"/>
      <w:bookmarkStart w:id="213" w:name="_Toc309142665"/>
      <w:bookmarkStart w:id="214" w:name="_Toc7648"/>
      <w:r>
        <w:rPr>
          <w:rFonts w:hint="eastAsia" w:ascii="Times New Roman" w:hAnsi="Times New Roman"/>
          <w:lang w:val="en-US" w:eastAsia="zh-CN"/>
        </w:rPr>
        <w:t>8</w:t>
      </w:r>
      <w:r>
        <w:rPr>
          <w:rFonts w:hint="eastAsia" w:ascii="Times New Roman" w:hAnsi="Times New Roman"/>
        </w:rPr>
        <w:t>.1 施工期环境保护措施</w:t>
      </w:r>
      <w:bookmarkEnd w:id="208"/>
      <w:bookmarkEnd w:id="209"/>
      <w:bookmarkEnd w:id="210"/>
      <w:bookmarkEnd w:id="211"/>
      <w:bookmarkEnd w:id="212"/>
      <w:bookmarkEnd w:id="213"/>
      <w:r>
        <w:rPr>
          <w:rFonts w:hint="eastAsia" w:ascii="Times New Roman" w:hAnsi="Times New Roman"/>
        </w:rPr>
        <w:t>分析</w:t>
      </w:r>
      <w:bookmarkEnd w:id="214"/>
    </w:p>
    <w:p w14:paraId="10B3E412">
      <w:pPr>
        <w:ind w:firstLine="0"/>
        <w:contextualSpacing/>
        <w:outlineLvl w:val="2"/>
        <w:rPr>
          <w:rFonts w:hint="eastAsia" w:eastAsia="黑体"/>
          <w:sz w:val="28"/>
          <w:szCs w:val="28"/>
        </w:rPr>
      </w:pPr>
      <w:bookmarkStart w:id="215" w:name="_Toc1502"/>
      <w:r>
        <w:rPr>
          <w:rFonts w:hint="eastAsia" w:eastAsia="黑体"/>
          <w:sz w:val="28"/>
          <w:szCs w:val="28"/>
          <w:lang w:val="en-US" w:eastAsia="zh-CN"/>
        </w:rPr>
        <w:t>8.</w:t>
      </w:r>
      <w:r>
        <w:rPr>
          <w:rFonts w:hint="eastAsia" w:eastAsia="黑体"/>
          <w:sz w:val="28"/>
          <w:szCs w:val="28"/>
        </w:rPr>
        <w:t>1.1</w:t>
      </w:r>
      <w:r>
        <w:rPr>
          <w:rFonts w:eastAsia="黑体"/>
          <w:sz w:val="28"/>
          <w:szCs w:val="28"/>
        </w:rPr>
        <w:t>大气污染防治措施</w:t>
      </w:r>
    </w:p>
    <w:p w14:paraId="0FAE38B0">
      <w:pPr>
        <w:pStyle w:val="219"/>
        <w:spacing w:after="0" w:line="360" w:lineRule="auto"/>
        <w:ind w:firstLine="480"/>
        <w:jc w:val="both"/>
        <w:rPr>
          <w:sz w:val="24"/>
          <w:szCs w:val="24"/>
        </w:rPr>
      </w:pPr>
      <w:r>
        <w:rPr>
          <w:rFonts w:hint="eastAsia"/>
          <w:sz w:val="24"/>
          <w:szCs w:val="24"/>
          <w:lang w:eastAsia="zh-CN"/>
        </w:rPr>
        <w:t>（</w:t>
      </w:r>
      <w:r>
        <w:rPr>
          <w:rFonts w:hint="eastAsia"/>
          <w:sz w:val="24"/>
          <w:szCs w:val="24"/>
          <w:lang w:val="en-US" w:eastAsia="zh-CN"/>
        </w:rPr>
        <w:t>1</w:t>
      </w:r>
      <w:r>
        <w:rPr>
          <w:rFonts w:hint="eastAsia"/>
          <w:sz w:val="24"/>
          <w:szCs w:val="24"/>
        </w:rPr>
        <w:t>）</w:t>
      </w:r>
      <w:r>
        <w:rPr>
          <w:sz w:val="24"/>
          <w:szCs w:val="24"/>
        </w:rPr>
        <w:t>建设单位在运输或作业中扬尘过程中洒水降尘，物料堆放要规整，土石方、建筑垃圾及时清运出场。</w:t>
      </w:r>
    </w:p>
    <w:p w14:paraId="4CA466CE">
      <w:pPr>
        <w:pStyle w:val="219"/>
        <w:spacing w:after="0" w:line="360" w:lineRule="auto"/>
        <w:ind w:firstLine="480"/>
        <w:jc w:val="both"/>
        <w:rPr>
          <w:rFonts w:eastAsia="ArialMT"/>
          <w:sz w:val="24"/>
          <w:szCs w:val="24"/>
        </w:rPr>
      </w:pPr>
      <w:r>
        <w:rPr>
          <w:rFonts w:hint="eastAsia" w:eastAsia="ArialMT"/>
          <w:sz w:val="24"/>
          <w:szCs w:val="24"/>
          <w:lang w:eastAsia="zh-CN"/>
        </w:rPr>
        <w:t>（</w:t>
      </w:r>
      <w:r>
        <w:rPr>
          <w:rFonts w:hint="eastAsia" w:eastAsia="ArialMT"/>
          <w:sz w:val="24"/>
          <w:szCs w:val="24"/>
          <w:lang w:val="en-US" w:eastAsia="zh-CN"/>
        </w:rPr>
        <w:t>2</w:t>
      </w:r>
      <w:r>
        <w:rPr>
          <w:rFonts w:hint="eastAsia" w:eastAsia="ArialMT"/>
          <w:sz w:val="24"/>
          <w:szCs w:val="24"/>
          <w:lang w:eastAsia="zh-CN"/>
        </w:rPr>
        <w:t>）</w:t>
      </w:r>
      <w:r>
        <w:rPr>
          <w:rFonts w:eastAsia="ArialMT"/>
          <w:sz w:val="24"/>
          <w:szCs w:val="24"/>
        </w:rPr>
        <w:t>粉尘、扬尘、燃油产生的污染物对人体健康有害，对受影响的施工人员应做好劳动保护，配备防尘劳保用品，如口罩、风镜等。</w:t>
      </w:r>
    </w:p>
    <w:p w14:paraId="78F52FBE">
      <w:pPr>
        <w:pStyle w:val="219"/>
        <w:spacing w:after="0" w:line="360" w:lineRule="auto"/>
        <w:ind w:firstLine="480"/>
        <w:jc w:val="both"/>
        <w:rPr>
          <w:rFonts w:hint="eastAsia"/>
          <w:sz w:val="24"/>
          <w:szCs w:val="24"/>
        </w:rPr>
      </w:pPr>
      <w:r>
        <w:rPr>
          <w:rFonts w:hint="eastAsia" w:eastAsia="ArialMT"/>
          <w:sz w:val="24"/>
          <w:szCs w:val="24"/>
          <w:lang w:eastAsia="zh-CN"/>
        </w:rPr>
        <w:t>（</w:t>
      </w:r>
      <w:r>
        <w:rPr>
          <w:rFonts w:hint="eastAsia" w:eastAsia="ArialMT"/>
          <w:sz w:val="24"/>
          <w:szCs w:val="24"/>
          <w:lang w:val="en-US" w:eastAsia="zh-CN"/>
        </w:rPr>
        <w:t>3</w:t>
      </w:r>
      <w:r>
        <w:rPr>
          <w:rFonts w:hint="eastAsia" w:eastAsia="ArialMT"/>
          <w:sz w:val="24"/>
          <w:szCs w:val="24"/>
          <w:lang w:eastAsia="zh-CN"/>
        </w:rPr>
        <w:t>）</w:t>
      </w:r>
      <w:r>
        <w:rPr>
          <w:sz w:val="24"/>
          <w:szCs w:val="24"/>
        </w:rPr>
        <w:t>运输车辆进入施工场地要限速行驶，建筑材料运输时应加盖篷布遮盖。</w:t>
      </w:r>
    </w:p>
    <w:p w14:paraId="7B03ABDF">
      <w:pPr>
        <w:pStyle w:val="413"/>
        <w:spacing w:after="0" w:afterAutospacing="0" w:line="360" w:lineRule="auto"/>
        <w:ind w:firstLine="480"/>
        <w:jc w:val="both"/>
        <w:rPr>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int="eastAsia"/>
          <w:sz w:val="24"/>
          <w:szCs w:val="24"/>
        </w:rPr>
        <w:t>粉尘逸散性的工程材料、砂石或废弃物，应当集中堆置于工地区域避风处，并采取下列扬尘防范措施：</w:t>
      </w:r>
      <w:r>
        <w:rPr>
          <w:sz w:val="24"/>
          <w:szCs w:val="24"/>
        </w:rPr>
        <w:t>1.</w:t>
      </w:r>
      <w:r>
        <w:rPr>
          <w:rFonts w:hint="eastAsia"/>
          <w:sz w:val="24"/>
          <w:szCs w:val="24"/>
        </w:rPr>
        <w:t>覆盖篷布；</w:t>
      </w:r>
      <w:r>
        <w:rPr>
          <w:sz w:val="24"/>
          <w:szCs w:val="24"/>
        </w:rPr>
        <w:t>2.</w:t>
      </w:r>
      <w:r>
        <w:rPr>
          <w:rFonts w:hint="eastAsia"/>
          <w:sz w:val="24"/>
          <w:szCs w:val="24"/>
        </w:rPr>
        <w:t>定期洒水降尘；</w:t>
      </w:r>
      <w:r>
        <w:rPr>
          <w:sz w:val="24"/>
          <w:szCs w:val="24"/>
        </w:rPr>
        <w:t>3.</w:t>
      </w:r>
      <w:r>
        <w:rPr>
          <w:rFonts w:hint="eastAsia"/>
          <w:sz w:val="24"/>
          <w:szCs w:val="24"/>
        </w:rPr>
        <w:t>袋装。</w:t>
      </w:r>
      <w:r>
        <w:rPr>
          <w:sz w:val="24"/>
          <w:szCs w:val="24"/>
        </w:rPr>
        <w:t>粉状物料场所尽量</w:t>
      </w:r>
      <w:r>
        <w:rPr>
          <w:rFonts w:hint="eastAsia"/>
          <w:sz w:val="24"/>
          <w:szCs w:val="24"/>
        </w:rPr>
        <w:t>远离关心点，</w:t>
      </w:r>
      <w:r>
        <w:rPr>
          <w:sz w:val="24"/>
          <w:szCs w:val="24"/>
        </w:rPr>
        <w:t>减少堆放时间</w:t>
      </w:r>
      <w:r>
        <w:rPr>
          <w:rFonts w:hint="eastAsia"/>
          <w:sz w:val="24"/>
          <w:szCs w:val="24"/>
        </w:rPr>
        <w:t>及堆存量。</w:t>
      </w:r>
    </w:p>
    <w:p w14:paraId="2E437D74">
      <w:pPr>
        <w:spacing w:line="360" w:lineRule="auto"/>
        <w:ind w:firstLine="480"/>
        <w:rPr>
          <w:rFonts w:hint="eastAsia"/>
          <w:sz w:val="24"/>
          <w:szCs w:val="24"/>
        </w:rPr>
      </w:pPr>
      <w:r>
        <w:rPr>
          <w:rFonts w:hint="eastAsia"/>
          <w:sz w:val="24"/>
          <w:szCs w:val="24"/>
          <w:lang w:eastAsia="zh-CN"/>
        </w:rPr>
        <w:t>（</w:t>
      </w:r>
      <w:r>
        <w:rPr>
          <w:rFonts w:hint="eastAsia"/>
          <w:sz w:val="24"/>
          <w:szCs w:val="24"/>
          <w:lang w:val="en-US" w:eastAsia="zh-CN"/>
        </w:rPr>
        <w:t>5</w:t>
      </w:r>
      <w:r>
        <w:rPr>
          <w:rFonts w:hint="eastAsia"/>
          <w:sz w:val="24"/>
          <w:szCs w:val="24"/>
          <w:lang w:eastAsia="zh-CN"/>
        </w:rPr>
        <w:t>）</w:t>
      </w:r>
      <w:r>
        <w:rPr>
          <w:sz w:val="24"/>
          <w:szCs w:val="24"/>
        </w:rPr>
        <w:t>加强施工管理，提倡文明施工、集中施工、快速施工。尽量缩短工期，减少施工废气的影响面与影响时间</w:t>
      </w:r>
      <w:r>
        <w:rPr>
          <w:rFonts w:hint="eastAsia"/>
          <w:sz w:val="24"/>
          <w:szCs w:val="24"/>
        </w:rPr>
        <w:t>。</w:t>
      </w:r>
    </w:p>
    <w:p w14:paraId="62715BD1">
      <w:pPr>
        <w:pStyle w:val="2"/>
        <w:ind w:firstLine="480"/>
        <w:rPr>
          <w:rFonts w:hint="eastAsia"/>
          <w:sz w:val="24"/>
          <w:szCs w:val="24"/>
        </w:rPr>
      </w:pPr>
      <w:r>
        <w:rPr>
          <w:sz w:val="24"/>
          <w:szCs w:val="24"/>
        </w:rPr>
        <w:t>根据类似工程及实践经验，上述大气污染防治措施简单有效，是施工场地经常采用的措施，在经济上可行。总之，切实落实好这些措施，施工场地扬尘对环境的影响将会大大降低，对周围敏感目标的影响也将得到最大限度的降低，其对环境的影响也将随施工的结束而消失。</w:t>
      </w:r>
    </w:p>
    <w:p w14:paraId="7BCC7D11">
      <w:pPr>
        <w:ind w:firstLine="0"/>
        <w:contextualSpacing/>
        <w:outlineLvl w:val="2"/>
        <w:rPr>
          <w:rFonts w:hint="eastAsia" w:eastAsia="黑体"/>
          <w:sz w:val="28"/>
          <w:szCs w:val="28"/>
        </w:rPr>
      </w:pPr>
      <w:r>
        <w:rPr>
          <w:rFonts w:hint="eastAsia" w:eastAsia="黑体"/>
          <w:sz w:val="28"/>
          <w:szCs w:val="28"/>
          <w:lang w:val="en-US" w:eastAsia="zh-CN"/>
        </w:rPr>
        <w:t>8</w:t>
      </w:r>
      <w:r>
        <w:rPr>
          <w:rFonts w:hint="eastAsia" w:eastAsia="黑体"/>
          <w:sz w:val="28"/>
          <w:szCs w:val="28"/>
        </w:rPr>
        <w:t>.1.2</w:t>
      </w:r>
      <w:r>
        <w:rPr>
          <w:rFonts w:eastAsia="黑体"/>
          <w:sz w:val="28"/>
          <w:szCs w:val="28"/>
        </w:rPr>
        <w:t>水污染防治措施</w:t>
      </w:r>
    </w:p>
    <w:p w14:paraId="7FE76CC3">
      <w:pPr>
        <w:keepNext w:val="0"/>
        <w:keepLines w:val="0"/>
        <w:pageBreakBefore w:val="0"/>
        <w:numPr>
          <w:ilvl w:val="0"/>
          <w:numId w:val="0"/>
        </w:numPr>
        <w:spacing w:line="360" w:lineRule="auto"/>
        <w:ind w:firstLine="480"/>
        <w:rPr>
          <w:rFonts w:hint="eastAsia"/>
          <w:color w:val="252525"/>
          <w:sz w:val="24"/>
          <w:szCs w:val="24"/>
          <w:lang w:val="en-US" w:eastAsia="zh-CN"/>
        </w:rPr>
      </w:pPr>
      <w:r>
        <w:rPr>
          <w:rFonts w:hint="eastAsia"/>
          <w:color w:val="252525"/>
          <w:sz w:val="24"/>
          <w:szCs w:val="24"/>
          <w:lang w:eastAsia="zh-CN"/>
        </w:rPr>
        <w:t>（</w:t>
      </w:r>
      <w:r>
        <w:rPr>
          <w:rFonts w:hint="eastAsia"/>
          <w:color w:val="252525"/>
          <w:sz w:val="24"/>
          <w:szCs w:val="24"/>
          <w:lang w:val="en-US" w:eastAsia="zh-CN"/>
        </w:rPr>
        <w:t>1</w:t>
      </w:r>
      <w:r>
        <w:rPr>
          <w:rFonts w:hint="eastAsia"/>
          <w:color w:val="252525"/>
          <w:sz w:val="24"/>
          <w:szCs w:val="24"/>
          <w:lang w:eastAsia="zh-CN"/>
        </w:rPr>
        <w:t>）</w:t>
      </w:r>
      <w:r>
        <w:rPr>
          <w:rFonts w:hint="eastAsia"/>
          <w:color w:val="252525"/>
          <w:sz w:val="24"/>
          <w:szCs w:val="24"/>
        </w:rPr>
        <w:t>施工人员产生</w:t>
      </w:r>
      <w:r>
        <w:rPr>
          <w:color w:val="252525"/>
          <w:sz w:val="24"/>
          <w:szCs w:val="24"/>
        </w:rPr>
        <w:t>的清洁废水</w:t>
      </w:r>
      <w:r>
        <w:rPr>
          <w:rFonts w:hint="eastAsia"/>
          <w:color w:val="252525"/>
          <w:sz w:val="24"/>
          <w:szCs w:val="24"/>
        </w:rPr>
        <w:t>，可排入</w:t>
      </w:r>
      <w:r>
        <w:rPr>
          <w:rFonts w:hint="eastAsia"/>
          <w:color w:val="252525"/>
          <w:sz w:val="24"/>
          <w:szCs w:val="24"/>
          <w:lang w:val="en-US" w:eastAsia="zh-CN"/>
        </w:rPr>
        <w:t>厂区内现有的化粪池处理达标排入城市市政污水管网，最终排入芒市污水处理厂。</w:t>
      </w:r>
    </w:p>
    <w:p w14:paraId="13847E69">
      <w:pPr>
        <w:keepNext w:val="0"/>
        <w:keepLines w:val="0"/>
        <w:pageBreakBefore w:val="0"/>
        <w:numPr>
          <w:ilvl w:val="0"/>
          <w:numId w:val="0"/>
        </w:numPr>
        <w:spacing w:line="360" w:lineRule="auto"/>
        <w:ind w:firstLine="480"/>
        <w:rPr>
          <w:sz w:val="24"/>
        </w:rPr>
      </w:pPr>
      <w:r>
        <w:rPr>
          <w:rFonts w:hint="eastAsia"/>
          <w:color w:val="252525"/>
          <w:sz w:val="24"/>
          <w:szCs w:val="24"/>
          <w:lang w:eastAsia="zh-CN"/>
        </w:rPr>
        <w:t>（</w:t>
      </w:r>
      <w:r>
        <w:rPr>
          <w:rFonts w:hint="eastAsia"/>
          <w:color w:val="252525"/>
          <w:sz w:val="24"/>
          <w:szCs w:val="24"/>
          <w:lang w:val="en-US" w:eastAsia="zh-CN"/>
        </w:rPr>
        <w:t>2</w:t>
      </w:r>
      <w:r>
        <w:rPr>
          <w:rFonts w:hint="eastAsia"/>
          <w:color w:val="252525"/>
          <w:sz w:val="24"/>
          <w:szCs w:val="24"/>
          <w:lang w:eastAsia="zh-CN"/>
        </w:rPr>
        <w:t>）</w:t>
      </w:r>
      <w:r>
        <w:rPr>
          <w:rFonts w:hint="eastAsia"/>
          <w:color w:val="252525"/>
          <w:sz w:val="24"/>
          <w:szCs w:val="24"/>
        </w:rPr>
        <w:t>由于项目施工开挖</w:t>
      </w:r>
      <w:r>
        <w:rPr>
          <w:color w:val="252525"/>
          <w:sz w:val="24"/>
          <w:szCs w:val="24"/>
        </w:rPr>
        <w:t>区域较小，</w:t>
      </w:r>
      <w:r>
        <w:rPr>
          <w:rFonts w:hint="eastAsia"/>
          <w:color w:val="252525"/>
          <w:sz w:val="24"/>
          <w:szCs w:val="24"/>
        </w:rPr>
        <w:t>故</w:t>
      </w:r>
      <w:r>
        <w:rPr>
          <w:color w:val="252525"/>
          <w:sz w:val="24"/>
          <w:szCs w:val="24"/>
        </w:rPr>
        <w:t>暴雨径流量极少，</w:t>
      </w:r>
      <w:r>
        <w:rPr>
          <w:rFonts w:hint="eastAsia"/>
          <w:color w:val="252525"/>
          <w:sz w:val="24"/>
          <w:szCs w:val="24"/>
        </w:rPr>
        <w:t>经场地现有的生产废水沉淀池收集后回用于施工场地洒水降尘。</w:t>
      </w:r>
    </w:p>
    <w:p w14:paraId="0E818AE0">
      <w:pPr>
        <w:keepNext w:val="0"/>
        <w:keepLines w:val="0"/>
        <w:pageBreakBefore w:val="0"/>
        <w:spacing w:line="360" w:lineRule="auto"/>
        <w:ind w:left="0" w:firstLine="480"/>
        <w:jc w:val="left"/>
        <w:rPr>
          <w:sz w:val="24"/>
          <w:szCs w:val="24"/>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sz w:val="24"/>
          <w:szCs w:val="24"/>
        </w:rPr>
        <w:t>开挖土石方需回填的就近堆放在开挖基坑两侧。雨天对开挖的土石方进行遮盖，减少水土流失避免对地表水体造成污染。</w:t>
      </w:r>
    </w:p>
    <w:p w14:paraId="54018745">
      <w:pPr>
        <w:pStyle w:val="413"/>
        <w:keepNext w:val="0"/>
        <w:keepLines w:val="0"/>
        <w:pageBreakBefore w:val="0"/>
        <w:spacing w:after="0" w:afterAutospacing="0" w:line="360" w:lineRule="auto"/>
        <w:ind w:left="0" w:firstLine="480"/>
        <w:rPr>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sz w:val="24"/>
          <w:szCs w:val="24"/>
        </w:rPr>
        <w:t>尽量选用先进的设备、机械，以有效地减少跑、冒、滴、漏的数量及机械维修次数，从而减少含油污水的产生量。</w:t>
      </w:r>
    </w:p>
    <w:p w14:paraId="047DDE86">
      <w:pPr>
        <w:keepNext w:val="0"/>
        <w:keepLines w:val="0"/>
        <w:pageBreakBefore w:val="0"/>
        <w:ind w:left="0" w:firstLine="480"/>
      </w:pPr>
      <w:r>
        <w:rPr>
          <w:rFonts w:hint="eastAsia"/>
          <w:sz w:val="24"/>
          <w:szCs w:val="24"/>
          <w:lang w:eastAsia="zh-CN"/>
        </w:rPr>
        <w:t>（</w:t>
      </w:r>
      <w:r>
        <w:rPr>
          <w:rFonts w:hint="eastAsia"/>
          <w:sz w:val="24"/>
          <w:szCs w:val="24"/>
          <w:lang w:val="en-US" w:eastAsia="zh-CN"/>
        </w:rPr>
        <w:t>5</w:t>
      </w:r>
      <w:r>
        <w:rPr>
          <w:rFonts w:hint="eastAsia"/>
          <w:sz w:val="24"/>
          <w:szCs w:val="24"/>
          <w:lang w:eastAsia="zh-CN"/>
        </w:rPr>
        <w:t>）</w:t>
      </w:r>
      <w:r>
        <w:rPr>
          <w:sz w:val="24"/>
          <w:szCs w:val="24"/>
        </w:rPr>
        <w:t>本环评要求施工中车辆维修、清洗到社会车辆维修清洗中心维修清洗。</w:t>
      </w:r>
    </w:p>
    <w:p w14:paraId="3A4FA4EF">
      <w:pPr>
        <w:pStyle w:val="2"/>
        <w:ind w:firstLine="480"/>
        <w:rPr>
          <w:rFonts w:hint="eastAsia"/>
          <w:sz w:val="24"/>
          <w:szCs w:val="24"/>
        </w:rPr>
      </w:pPr>
      <w:r>
        <w:rPr>
          <w:sz w:val="24"/>
          <w:szCs w:val="24"/>
        </w:rPr>
        <w:t>总之，以上措施简单有效，经济可行，切实落实好这些措施，将不会对附近的地表水体造成污染，其对环境的影响也将随施工的结束而消失。</w:t>
      </w:r>
    </w:p>
    <w:p w14:paraId="5E9B7B8A">
      <w:pPr>
        <w:ind w:firstLine="0"/>
        <w:contextualSpacing/>
        <w:outlineLvl w:val="2"/>
        <w:rPr>
          <w:rFonts w:hint="eastAsia" w:eastAsia="黑体"/>
          <w:sz w:val="28"/>
          <w:szCs w:val="28"/>
        </w:rPr>
      </w:pPr>
      <w:bookmarkStart w:id="216" w:name="_Hlk1393537"/>
      <w:r>
        <w:rPr>
          <w:rFonts w:hint="eastAsia" w:eastAsia="黑体"/>
          <w:sz w:val="28"/>
          <w:szCs w:val="28"/>
          <w:lang w:val="en-US" w:eastAsia="zh-CN"/>
        </w:rPr>
        <w:t>8</w:t>
      </w:r>
      <w:r>
        <w:rPr>
          <w:rFonts w:hint="eastAsia" w:eastAsia="黑体"/>
          <w:sz w:val="28"/>
          <w:szCs w:val="28"/>
        </w:rPr>
        <w:t>.1.3</w:t>
      </w:r>
      <w:r>
        <w:rPr>
          <w:rFonts w:eastAsia="黑体"/>
          <w:sz w:val="28"/>
          <w:szCs w:val="28"/>
        </w:rPr>
        <w:t>噪声污染防治措施</w:t>
      </w:r>
    </w:p>
    <w:bookmarkEnd w:id="215"/>
    <w:p w14:paraId="4205F91A">
      <w:pPr>
        <w:ind w:firstLine="480"/>
        <w:rPr>
          <w:rFonts w:hint="eastAsia"/>
        </w:rPr>
      </w:pPr>
      <w:r>
        <w:rPr>
          <w:rFonts w:hint="eastAsia"/>
        </w:rPr>
        <w:t>（1）施工期间，施工车辆出入施工现场时应低速、禁鸣。</w:t>
      </w:r>
    </w:p>
    <w:p w14:paraId="05281178">
      <w:pPr>
        <w:widowControl/>
        <w:spacing w:line="360" w:lineRule="auto"/>
        <w:ind w:firstLine="420"/>
        <w:jc w:val="both"/>
        <w:rPr>
          <w:rFonts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（2）</w:t>
      </w:r>
      <w:r>
        <w:rPr>
          <w:rFonts w:ascii="Times New Roman" w:hAnsi="Times New Roman" w:eastAsia="宋体" w:cs="Times New Roman"/>
          <w:sz w:val="24"/>
          <w:szCs w:val="24"/>
          <w:lang w:val="en-US" w:eastAsia="zh-CN" w:bidi="ar-SA"/>
        </w:rPr>
        <w:t>选用低噪声设备和施工工艺，加强检查、维护和保养机械设备，保持润滑；在不影响施工情况下将噪声设备尽量不集中安排施工；</w:t>
      </w:r>
    </w:p>
    <w:p w14:paraId="4A851C40">
      <w:pPr>
        <w:widowControl/>
        <w:spacing w:line="360" w:lineRule="auto"/>
        <w:ind w:firstLine="420"/>
        <w:jc w:val="both"/>
        <w:rPr>
          <w:rFonts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（3）</w:t>
      </w:r>
      <w:r>
        <w:rPr>
          <w:rFonts w:ascii="Times New Roman" w:hAnsi="Times New Roman" w:eastAsia="宋体" w:cs="Times New Roman"/>
          <w:sz w:val="24"/>
          <w:szCs w:val="24"/>
          <w:lang w:val="en-US" w:eastAsia="zh-CN" w:bidi="ar-SA"/>
        </w:rPr>
        <w:t>合理布置机械设备，尽量远离保护目标一侧布置；</w:t>
      </w:r>
    </w:p>
    <w:p w14:paraId="4F32B3AA">
      <w:pPr>
        <w:widowControl/>
        <w:spacing w:line="360" w:lineRule="auto"/>
        <w:ind w:firstLine="420"/>
        <w:jc w:val="both"/>
        <w:rPr>
          <w:rFonts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（4）</w:t>
      </w:r>
      <w:r>
        <w:rPr>
          <w:rFonts w:ascii="Times New Roman" w:hAnsi="Times New Roman" w:eastAsia="宋体" w:cs="Times New Roman"/>
          <w:sz w:val="24"/>
          <w:szCs w:val="24"/>
          <w:lang w:val="en-US" w:eastAsia="zh-CN" w:bidi="ar-SA"/>
        </w:rPr>
        <w:t>合理规划施工时间，优化施工方案；禁止在夜间22时至次日6时、中午12:00至14:00进行建筑施工作业；</w:t>
      </w:r>
    </w:p>
    <w:p w14:paraId="6660B2BF">
      <w:pPr>
        <w:ind w:firstLine="480"/>
      </w:pPr>
      <w:r>
        <w:rPr>
          <w:rFonts w:hint="eastAsia" w:ascii="Times New Roman" w:hAnsi="Times New Roman" w:eastAsia="宋体" w:cs="Times New Roman"/>
          <w:sz w:val="24"/>
          <w:szCs w:val="24"/>
          <w:lang w:val="en-US" w:eastAsia="zh-CN" w:bidi="ar-SA"/>
        </w:rPr>
        <w:t>（5）</w:t>
      </w:r>
      <w:r>
        <w:rPr>
          <w:rFonts w:ascii="Times New Roman" w:hAnsi="Times New Roman" w:eastAsia="宋体" w:cs="Times New Roman"/>
          <w:sz w:val="24"/>
          <w:szCs w:val="24"/>
          <w:lang w:val="en-US" w:eastAsia="zh-CN" w:bidi="ar-SA"/>
        </w:rPr>
        <w:t>加强施工人员环保意识教育及宣传，文明施工，避免因施工噪声产生纠纷。</w:t>
      </w:r>
    </w:p>
    <w:p w14:paraId="19E61586">
      <w:pPr>
        <w:pStyle w:val="2"/>
        <w:ind w:firstLine="480"/>
        <w:rPr>
          <w:rFonts w:ascii="Times New Roman" w:hAnsi="Times New Roman" w:cs="Times New Roman"/>
          <w:sz w:val="24"/>
          <w:szCs w:val="24"/>
        </w:rPr>
      </w:pPr>
      <w:r>
        <w:rPr>
          <w:rFonts w:ascii="Times New Roman" w:hAnsi="Times New Roman" w:cs="Times New Roman"/>
          <w:sz w:val="24"/>
          <w:szCs w:val="24"/>
        </w:rPr>
        <w:t>采取措施后，施工各阶段的场界噪声符合《建筑施工场界环境噪声排放标准》（GB12523-2011）中的规定，采取的措施是可行的。施工期相对于运营期而言其影响是短暂的，一旦施工活动结束，施工噪声影响也就随之结束。</w:t>
      </w:r>
    </w:p>
    <w:p w14:paraId="1D4280A7">
      <w:pPr>
        <w:ind w:firstLine="0"/>
        <w:contextualSpacing/>
        <w:outlineLvl w:val="2"/>
        <w:rPr>
          <w:rFonts w:hint="eastAsia" w:eastAsia="黑体"/>
          <w:sz w:val="28"/>
          <w:szCs w:val="28"/>
        </w:rPr>
      </w:pPr>
      <w:r>
        <w:rPr>
          <w:rFonts w:hint="eastAsia" w:eastAsia="黑体"/>
          <w:sz w:val="28"/>
          <w:szCs w:val="28"/>
          <w:lang w:val="en-US" w:eastAsia="zh-CN"/>
        </w:rPr>
        <w:t>8</w:t>
      </w:r>
      <w:r>
        <w:rPr>
          <w:rFonts w:hint="eastAsia" w:eastAsia="黑体"/>
          <w:sz w:val="28"/>
          <w:szCs w:val="28"/>
        </w:rPr>
        <w:t>.1.4</w:t>
      </w:r>
      <w:r>
        <w:rPr>
          <w:rFonts w:eastAsia="黑体"/>
          <w:sz w:val="28"/>
          <w:szCs w:val="28"/>
        </w:rPr>
        <w:t>施工期固体废弃物管理措施</w:t>
      </w:r>
    </w:p>
    <w:p w14:paraId="66E56422">
      <w:pPr>
        <w:keepNext w:val="0"/>
        <w:keepLines w:val="0"/>
        <w:pageBreakBefore w:val="0"/>
        <w:widowControl/>
        <w:spacing w:line="360" w:lineRule="auto"/>
        <w:ind w:firstLine="480"/>
        <w:jc w:val="left"/>
        <w:rPr>
          <w:rFonts w:hint="eastAsia"/>
          <w:color w:val="000000"/>
          <w:sz w:val="24"/>
          <w:szCs w:val="24"/>
        </w:rPr>
      </w:pPr>
      <w:r>
        <w:rPr>
          <w:rFonts w:hint="eastAsia"/>
          <w:color w:val="000000"/>
          <w:sz w:val="24"/>
          <w:szCs w:val="24"/>
          <w:lang w:eastAsia="zh-CN"/>
        </w:rPr>
        <w:t>（</w:t>
      </w:r>
      <w:r>
        <w:rPr>
          <w:rFonts w:hint="eastAsia"/>
          <w:color w:val="000000"/>
          <w:sz w:val="24"/>
          <w:szCs w:val="24"/>
          <w:lang w:val="en-US" w:eastAsia="zh-CN"/>
        </w:rPr>
        <w:t>1</w:t>
      </w:r>
      <w:r>
        <w:rPr>
          <w:rFonts w:hint="eastAsia"/>
          <w:color w:val="000000"/>
          <w:sz w:val="24"/>
          <w:szCs w:val="24"/>
          <w:lang w:eastAsia="zh-CN"/>
        </w:rPr>
        <w:t>）</w:t>
      </w:r>
      <w:r>
        <w:rPr>
          <w:color w:val="000000"/>
          <w:sz w:val="24"/>
          <w:szCs w:val="24"/>
        </w:rPr>
        <w:t>规范施工期间施工车辆在物料运输过程中的操作，不得在运输过程中沿途丢弃、遗撒固体废物，以免造成物料泄漏，给区域环境卫生带来不良影响，避免形成道路扬尘二次污染。</w:t>
      </w:r>
    </w:p>
    <w:p w14:paraId="76713394">
      <w:pPr>
        <w:keepNext w:val="0"/>
        <w:keepLines w:val="0"/>
        <w:pageBreakBefore w:val="0"/>
        <w:widowControl/>
        <w:spacing w:line="360" w:lineRule="auto"/>
        <w:ind w:firstLine="480"/>
        <w:jc w:val="left"/>
        <w:rPr>
          <w:rFonts w:hint="eastAsia"/>
          <w:color w:val="000000"/>
          <w:sz w:val="24"/>
          <w:szCs w:val="24"/>
        </w:rPr>
      </w:pPr>
      <w:r>
        <w:rPr>
          <w:rFonts w:hint="eastAsia"/>
          <w:color w:val="000000"/>
          <w:sz w:val="24"/>
          <w:szCs w:val="24"/>
          <w:lang w:eastAsia="zh-CN"/>
        </w:rPr>
        <w:t>（</w:t>
      </w:r>
      <w:r>
        <w:rPr>
          <w:rFonts w:hint="eastAsia"/>
          <w:color w:val="000000"/>
          <w:sz w:val="24"/>
          <w:szCs w:val="24"/>
          <w:lang w:val="en-US" w:eastAsia="zh-CN"/>
        </w:rPr>
        <w:t>2</w:t>
      </w:r>
      <w:r>
        <w:rPr>
          <w:rFonts w:hint="eastAsia"/>
          <w:color w:val="000000"/>
          <w:sz w:val="24"/>
          <w:szCs w:val="24"/>
          <w:lang w:eastAsia="zh-CN"/>
        </w:rPr>
        <w:t>）</w:t>
      </w:r>
      <w:r>
        <w:rPr>
          <w:color w:val="000000"/>
          <w:sz w:val="24"/>
          <w:szCs w:val="24"/>
        </w:rPr>
        <w:t>对收集、贮存、运输、处置固体废物的设施、设备和场所，应当加强管理和维护，保证其正常运行和使用。</w:t>
      </w:r>
    </w:p>
    <w:p w14:paraId="234096D8">
      <w:pPr>
        <w:keepNext w:val="0"/>
        <w:keepLines w:val="0"/>
        <w:pageBreakBefore w:val="0"/>
        <w:widowControl/>
        <w:spacing w:line="360" w:lineRule="auto"/>
        <w:ind w:firstLine="480"/>
        <w:jc w:val="left"/>
        <w:rPr>
          <w:rFonts w:hint="eastAsia"/>
          <w:color w:val="000000"/>
          <w:sz w:val="24"/>
          <w:szCs w:val="24"/>
        </w:rPr>
      </w:pPr>
      <w:r>
        <w:rPr>
          <w:rFonts w:hint="eastAsia"/>
          <w:color w:val="000000"/>
          <w:sz w:val="24"/>
          <w:szCs w:val="24"/>
          <w:lang w:eastAsia="zh-CN"/>
        </w:rPr>
        <w:t>（</w:t>
      </w:r>
      <w:r>
        <w:rPr>
          <w:rFonts w:hint="eastAsia"/>
          <w:color w:val="000000"/>
          <w:sz w:val="24"/>
          <w:szCs w:val="24"/>
          <w:lang w:val="en-US" w:eastAsia="zh-CN"/>
        </w:rPr>
        <w:t>3</w:t>
      </w:r>
      <w:r>
        <w:rPr>
          <w:rFonts w:hint="eastAsia"/>
          <w:color w:val="000000"/>
          <w:sz w:val="24"/>
          <w:szCs w:val="24"/>
          <w:lang w:eastAsia="zh-CN"/>
        </w:rPr>
        <w:t>）</w:t>
      </w:r>
      <w:r>
        <w:rPr>
          <w:color w:val="000000"/>
          <w:sz w:val="24"/>
          <w:szCs w:val="24"/>
        </w:rPr>
        <w:t>工程完工后，将工地及周围环境清理整洁，做到工完、料净、场地洁。</w:t>
      </w:r>
    </w:p>
    <w:p w14:paraId="5F60AF78">
      <w:pPr>
        <w:keepNext w:val="0"/>
        <w:keepLines w:val="0"/>
        <w:pageBreakBefore w:val="0"/>
        <w:widowControl/>
        <w:spacing w:line="360" w:lineRule="auto"/>
        <w:ind w:firstLine="495"/>
        <w:rPr>
          <w:rFonts w:hint="eastAsia"/>
          <w:color w:val="000000"/>
          <w:sz w:val="24"/>
          <w:szCs w:val="24"/>
        </w:rPr>
      </w:pPr>
      <w:r>
        <w:rPr>
          <w:rFonts w:hint="eastAsia"/>
          <w:color w:val="000000"/>
          <w:sz w:val="24"/>
          <w:szCs w:val="24"/>
          <w:lang w:eastAsia="zh-CN"/>
        </w:rPr>
        <w:t>（</w:t>
      </w:r>
      <w:r>
        <w:rPr>
          <w:rFonts w:hint="eastAsia"/>
          <w:color w:val="000000"/>
          <w:sz w:val="24"/>
          <w:szCs w:val="24"/>
          <w:lang w:val="en-US" w:eastAsia="zh-CN"/>
        </w:rPr>
        <w:t>4</w:t>
      </w:r>
      <w:r>
        <w:rPr>
          <w:rFonts w:hint="eastAsia"/>
          <w:color w:val="000000"/>
          <w:sz w:val="24"/>
          <w:szCs w:val="24"/>
          <w:lang w:eastAsia="zh-CN"/>
        </w:rPr>
        <w:t>）</w:t>
      </w:r>
      <w:r>
        <w:rPr>
          <w:rFonts w:hint="eastAsia"/>
          <w:color w:val="000000"/>
          <w:sz w:val="24"/>
          <w:szCs w:val="24"/>
        </w:rPr>
        <w:t>施工过程中产生的建筑垃圾，其中能回收利用的进行回收利用，不能回收利用部分，</w:t>
      </w:r>
      <w:r>
        <w:rPr>
          <w:color w:val="000000"/>
          <w:sz w:val="24"/>
          <w:szCs w:val="24"/>
        </w:rPr>
        <w:t>全部</w:t>
      </w:r>
      <w:r>
        <w:rPr>
          <w:rFonts w:hint="eastAsia"/>
          <w:color w:val="000000"/>
          <w:sz w:val="24"/>
          <w:szCs w:val="24"/>
        </w:rPr>
        <w:t>清运至当地建设部门的指定的地方集中堆存。</w:t>
      </w:r>
    </w:p>
    <w:p w14:paraId="06A0A3DF">
      <w:pPr>
        <w:pStyle w:val="2"/>
        <w:keepNext w:val="0"/>
        <w:keepLines w:val="0"/>
        <w:pageBreakBefore w:val="0"/>
        <w:widowControl/>
        <w:ind w:firstLine="480"/>
        <w:rPr>
          <w:color w:val="000000"/>
          <w:sz w:val="24"/>
          <w:szCs w:val="24"/>
        </w:rPr>
      </w:pPr>
      <w:r>
        <w:rPr>
          <w:color w:val="000000"/>
          <w:sz w:val="24"/>
          <w:szCs w:val="24"/>
        </w:rPr>
        <w:t>通过以上分析，项目施工期固体废物均得到妥善处置，不会对周围环境造成影响。</w:t>
      </w:r>
    </w:p>
    <w:p w14:paraId="3D0C4F71">
      <w:pPr>
        <w:ind w:firstLine="0"/>
        <w:contextualSpacing/>
        <w:outlineLvl w:val="2"/>
        <w:rPr>
          <w:rFonts w:hint="eastAsia" w:eastAsia="黑体"/>
          <w:sz w:val="28"/>
          <w:szCs w:val="28"/>
        </w:rPr>
      </w:pPr>
      <w:r>
        <w:rPr>
          <w:rFonts w:hint="eastAsia" w:eastAsia="黑体"/>
          <w:sz w:val="28"/>
          <w:szCs w:val="28"/>
          <w:lang w:val="en-US" w:eastAsia="zh-CN"/>
        </w:rPr>
        <w:t>8</w:t>
      </w:r>
      <w:r>
        <w:rPr>
          <w:rFonts w:hint="eastAsia" w:eastAsia="黑体"/>
          <w:sz w:val="28"/>
          <w:szCs w:val="28"/>
        </w:rPr>
        <w:t>.1.5</w:t>
      </w:r>
      <w:r>
        <w:rPr>
          <w:rFonts w:eastAsia="黑体"/>
          <w:sz w:val="28"/>
          <w:szCs w:val="28"/>
        </w:rPr>
        <w:t>生态环境保护措施</w:t>
      </w:r>
    </w:p>
    <w:p w14:paraId="3436D426">
      <w:pPr>
        <w:spacing w:line="360" w:lineRule="auto"/>
        <w:ind w:firstLine="480"/>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sz w:val="24"/>
          <w:szCs w:val="24"/>
        </w:rPr>
        <w:t>加强</w:t>
      </w:r>
      <w:r>
        <w:rPr>
          <w:rFonts w:hint="eastAsia"/>
          <w:sz w:val="24"/>
          <w:szCs w:val="24"/>
        </w:rPr>
        <w:t>用地</w:t>
      </w:r>
      <w:r>
        <w:rPr>
          <w:sz w:val="24"/>
          <w:szCs w:val="24"/>
        </w:rPr>
        <w:t>规划范围内的土地资源与临时占地的管理与保护，精心设计，合理规划布局，严禁计划外占地，严禁不合理堆放。</w:t>
      </w:r>
    </w:p>
    <w:p w14:paraId="517F6770">
      <w:pPr>
        <w:spacing w:line="360" w:lineRule="auto"/>
        <w:ind w:firstLine="480"/>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sz w:val="24"/>
          <w:szCs w:val="24"/>
        </w:rPr>
        <w:t>合理安排工期，尽可能避开暴雨季节进行大规模土石方开挖与回填，避免雨水对地表土壤的冲刷和破坏</w:t>
      </w:r>
      <w:r>
        <w:rPr>
          <w:rFonts w:hint="eastAsia"/>
          <w:sz w:val="24"/>
          <w:szCs w:val="24"/>
        </w:rPr>
        <w:t>，</w:t>
      </w:r>
      <w:r>
        <w:rPr>
          <w:sz w:val="24"/>
          <w:szCs w:val="24"/>
        </w:rPr>
        <w:t>对弃渣应及时清运。</w:t>
      </w:r>
    </w:p>
    <w:p w14:paraId="1FD9E359">
      <w:pPr>
        <w:spacing w:line="360" w:lineRule="auto"/>
        <w:ind w:firstLine="480"/>
        <w:rPr>
          <w:sz w:val="24"/>
          <w:szCs w:val="24"/>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sz w:val="24"/>
          <w:szCs w:val="24"/>
        </w:rPr>
        <w:t>合理选择施工工序，在堆放临时渣料时，把易产生水土流失的表层土堆放在场地中间，开挖产生的块石堆放在其周围，起临时拦挡作用，严禁随意弃置。</w:t>
      </w:r>
    </w:p>
    <w:p w14:paraId="046FA124">
      <w:pPr>
        <w:pStyle w:val="2"/>
        <w:ind w:firstLine="480"/>
        <w:rPr>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sz w:val="24"/>
          <w:szCs w:val="24"/>
        </w:rPr>
        <w:t>建筑垃圾必须外运到指定的地点并合理处置，杜绝随意堆放或引发水土流失。</w:t>
      </w:r>
    </w:p>
    <w:p w14:paraId="7B96D29E">
      <w:pPr>
        <w:pStyle w:val="2"/>
        <w:ind w:firstLine="480"/>
        <w:rPr>
          <w:rFonts w:hint="eastAsia"/>
          <w:sz w:val="24"/>
          <w:szCs w:val="24"/>
        </w:rPr>
      </w:pPr>
      <w:r>
        <w:rPr>
          <w:sz w:val="24"/>
          <w:szCs w:val="24"/>
        </w:rPr>
        <w:t>以上措施是一般施工过程采取的办法，从操作上是可行。</w:t>
      </w:r>
    </w:p>
    <w:p w14:paraId="70DB4D68">
      <w:pPr>
        <w:ind w:firstLine="0"/>
        <w:contextualSpacing/>
        <w:outlineLvl w:val="2"/>
        <w:rPr>
          <w:rFonts w:hint="eastAsia" w:eastAsia="黑体"/>
          <w:sz w:val="28"/>
          <w:szCs w:val="28"/>
        </w:rPr>
      </w:pPr>
      <w:r>
        <w:rPr>
          <w:rFonts w:hint="eastAsia" w:eastAsia="黑体"/>
          <w:sz w:val="28"/>
          <w:szCs w:val="28"/>
          <w:lang w:val="en-US" w:eastAsia="zh-CN"/>
        </w:rPr>
        <w:t>8</w:t>
      </w:r>
      <w:r>
        <w:rPr>
          <w:rFonts w:hint="eastAsia" w:eastAsia="黑体"/>
          <w:sz w:val="28"/>
          <w:szCs w:val="28"/>
        </w:rPr>
        <w:t>.1.6</w:t>
      </w:r>
      <w:r>
        <w:rPr>
          <w:rFonts w:eastAsia="黑体"/>
          <w:sz w:val="28"/>
          <w:szCs w:val="28"/>
        </w:rPr>
        <w:t>其他保护措施</w:t>
      </w:r>
    </w:p>
    <w:p w14:paraId="5B7A756D">
      <w:pPr>
        <w:ind w:firstLine="480"/>
      </w:pPr>
      <w:r>
        <w:rPr>
          <w:rFonts w:hint="eastAsia"/>
        </w:rPr>
        <w:t>（</w:t>
      </w:r>
      <w:r>
        <w:t>1）施工期间夜间对光源加强管理，在保证施工作业安全的前提下，减少不必要的照明设备，以最大限度减少夜间光污染。</w:t>
      </w:r>
    </w:p>
    <w:p w14:paraId="2199A115">
      <w:pPr>
        <w:ind w:firstLine="480"/>
      </w:pPr>
      <w:r>
        <w:rPr>
          <w:rFonts w:hint="eastAsia"/>
        </w:rPr>
        <w:t>（</w:t>
      </w:r>
      <w:r>
        <w:t>2）加强监督管理，运输车辆采取封闭措施，以避免运输途中土石撒漏，且运输车辆不得超量运载，运输车辆出现场前，应将车辆槽帮和车轮冲洗干净，以避免施工运土石车辆对城市道路的污染。</w:t>
      </w:r>
    </w:p>
    <w:p w14:paraId="01913592">
      <w:pPr>
        <w:ind w:firstLine="480"/>
      </w:pPr>
      <w:r>
        <w:rPr>
          <w:rFonts w:hint="eastAsia"/>
        </w:rPr>
        <w:t>（</w:t>
      </w:r>
      <w:r>
        <w:t>3）对环评报告提出的环境保护措施，以及各级</w:t>
      </w:r>
      <w:r>
        <w:rPr>
          <w:rFonts w:hint="eastAsia"/>
          <w:lang w:eastAsia="zh-CN"/>
        </w:rPr>
        <w:t>生态环境部门</w:t>
      </w:r>
      <w:r>
        <w:t>提出的其他环保要求，在施工过程中应坚决实施。</w:t>
      </w:r>
    </w:p>
    <w:p w14:paraId="7C077FEA">
      <w:pPr>
        <w:ind w:firstLine="480"/>
      </w:pPr>
      <w:r>
        <w:rPr>
          <w:rFonts w:hint="eastAsia"/>
        </w:rPr>
        <w:t>（</w:t>
      </w:r>
      <w:r>
        <w:t>4）项目在建设和营运中应认真执行国家、地方环境保护的有关规定和要求。按照</w:t>
      </w:r>
      <w:r>
        <w:rPr>
          <w:rFonts w:hint="eastAsia"/>
          <w:lang w:eastAsia="zh-CN"/>
        </w:rPr>
        <w:t>生态环境局</w:t>
      </w:r>
      <w:r>
        <w:t>的要求及时反映发生的环保问题，随时接受各级</w:t>
      </w:r>
      <w:r>
        <w:rPr>
          <w:rFonts w:hint="eastAsia"/>
          <w:lang w:eastAsia="zh-CN"/>
        </w:rPr>
        <w:t>生态环境部门</w:t>
      </w:r>
      <w:r>
        <w:t>的检查监督。</w:t>
      </w:r>
    </w:p>
    <w:bookmarkEnd w:id="216"/>
    <w:p w14:paraId="5DB53D28">
      <w:pPr>
        <w:pStyle w:val="187"/>
        <w:rPr>
          <w:rFonts w:hint="eastAsia"/>
          <w:sz w:val="28"/>
          <w:szCs w:val="28"/>
        </w:rPr>
      </w:pPr>
      <w:bookmarkStart w:id="217" w:name="_Toc309142666"/>
      <w:bookmarkStart w:id="218" w:name="_Toc286775639"/>
      <w:bookmarkStart w:id="219" w:name="_Toc286776442"/>
      <w:bookmarkStart w:id="220" w:name="_Toc335320870"/>
      <w:bookmarkStart w:id="221" w:name="_Toc418954619"/>
      <w:bookmarkStart w:id="222" w:name="_Toc27536"/>
      <w:bookmarkStart w:id="223" w:name="_Toc275001013"/>
      <w:r>
        <w:rPr>
          <w:rFonts w:hint="eastAsia" w:ascii="Times New Roman" w:hAnsi="Times New Roman"/>
          <w:lang w:val="en-US" w:eastAsia="zh-CN"/>
        </w:rPr>
        <w:t>8</w:t>
      </w:r>
      <w:r>
        <w:rPr>
          <w:rFonts w:hint="eastAsia" w:ascii="Times New Roman" w:hAnsi="Times New Roman"/>
        </w:rPr>
        <w:t>.2 运营期环境保护措施</w:t>
      </w:r>
      <w:bookmarkEnd w:id="217"/>
      <w:bookmarkEnd w:id="218"/>
      <w:bookmarkEnd w:id="219"/>
      <w:bookmarkEnd w:id="220"/>
      <w:bookmarkEnd w:id="221"/>
      <w:r>
        <w:rPr>
          <w:rFonts w:hint="eastAsia"/>
          <w:sz w:val="28"/>
          <w:szCs w:val="28"/>
        </w:rPr>
        <w:t>及其可行性论证</w:t>
      </w:r>
      <w:bookmarkEnd w:id="222"/>
    </w:p>
    <w:bookmarkEnd w:id="223"/>
    <w:p w14:paraId="6BD2B5D2">
      <w:pPr>
        <w:ind w:firstLine="0"/>
        <w:contextualSpacing/>
        <w:outlineLvl w:val="2"/>
        <w:rPr>
          <w:rFonts w:hint="eastAsia" w:eastAsia="黑体"/>
          <w:color w:val="000000"/>
          <w:sz w:val="28"/>
          <w:szCs w:val="28"/>
        </w:rPr>
      </w:pPr>
      <w:bookmarkStart w:id="224" w:name="_Toc335320874"/>
      <w:bookmarkStart w:id="225" w:name="_Toc419123942"/>
      <w:r>
        <w:rPr>
          <w:rFonts w:hint="eastAsia" w:eastAsia="黑体"/>
          <w:color w:val="000000"/>
          <w:sz w:val="28"/>
          <w:szCs w:val="28"/>
          <w:lang w:val="en-US" w:eastAsia="zh-CN"/>
        </w:rPr>
        <w:t>8</w:t>
      </w:r>
      <w:r>
        <w:rPr>
          <w:rFonts w:hint="eastAsia" w:eastAsia="黑体"/>
          <w:color w:val="000000"/>
          <w:sz w:val="28"/>
          <w:szCs w:val="28"/>
        </w:rPr>
        <w:t>.2.1</w:t>
      </w:r>
      <w:r>
        <w:rPr>
          <w:rFonts w:eastAsia="黑体"/>
          <w:color w:val="000000"/>
          <w:sz w:val="28"/>
          <w:szCs w:val="28"/>
        </w:rPr>
        <w:t>大气污染防治措施</w:t>
      </w:r>
    </w:p>
    <w:p w14:paraId="78515E08">
      <w:pPr>
        <w:widowControl w:val="0"/>
        <w:numPr>
          <w:ilvl w:val="0"/>
          <w:numId w:val="11"/>
        </w:numPr>
        <w:ind w:firstLine="480"/>
        <w:rPr>
          <w:rFonts w:hint="eastAsia"/>
          <w:color w:val="000000"/>
          <w:lang w:val="en-US" w:eastAsia="zh-CN"/>
        </w:rPr>
      </w:pPr>
      <w:r>
        <w:rPr>
          <w:rFonts w:hint="eastAsia" w:ascii="Times New Roman" w:hAnsi="宋体" w:eastAsia="Times New Roman" w:cs="宋体"/>
          <w:color w:val="000000"/>
          <w:sz w:val="24"/>
          <w:szCs w:val="24"/>
          <w:lang w:val="en-US" w:eastAsia="zh-CN" w:bidi="zh-CN"/>
        </w:rPr>
        <w:t>目前在刨片区仅环刨机设置1套旋风除尘器，后期经过整改后将旋风除尘器更换为布袋收尘装置，无呈组织排放；其余刨片机在出料口增设自制的小型布袋除尘器，除尘效率为99%，可满足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表2中无组织颗粒物排放限值1.0mg/m</w:t>
      </w:r>
      <w:r>
        <w:rPr>
          <w:rFonts w:hint="eastAsia" w:eastAsia="宋体"/>
          <w:color w:val="000000"/>
          <w:sz w:val="24"/>
          <w:szCs w:val="24"/>
          <w:vertAlign w:val="superscript"/>
          <w:lang w:val="en-US" w:eastAsia="zh-CN"/>
        </w:rPr>
        <w:t>3</w:t>
      </w:r>
      <w:r>
        <w:rPr>
          <w:rFonts w:hint="eastAsia" w:eastAsia="宋体"/>
          <w:color w:val="000000"/>
          <w:sz w:val="24"/>
          <w:szCs w:val="24"/>
          <w:lang w:val="en-US" w:eastAsia="zh-CN"/>
        </w:rPr>
        <w:t>的限值。</w:t>
      </w:r>
    </w:p>
    <w:p w14:paraId="51896183">
      <w:pPr>
        <w:widowControl w:val="0"/>
        <w:numPr>
          <w:ilvl w:val="0"/>
          <w:numId w:val="11"/>
        </w:numPr>
        <w:ind w:firstLine="480"/>
        <w:rPr>
          <w:color w:val="000000"/>
        </w:rPr>
      </w:pPr>
      <w:r>
        <w:rPr>
          <w:rFonts w:hint="eastAsia" w:ascii="Times New Roman" w:hAnsi="宋体" w:eastAsia="Times New Roman" w:cs="宋体"/>
          <w:color w:val="000000"/>
          <w:sz w:val="24"/>
          <w:szCs w:val="24"/>
          <w:lang w:val="en-US" w:eastAsia="zh-CN" w:bidi="zh-CN"/>
        </w:rPr>
        <w:t>干燥粉尘经风管收集后进入现有的旋风除尘器，旋风除尘器除尘效率为70%，本环评要求建设方在旋风除尘器后端增加一套布袋除尘器进一步处理，布袋除尘器的除尘效率约99%，则总除尘效率为99.7%，经过布袋除尘器处理后，粉尘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表2中颗粒物最高允许排放浓度限值120mg/m</w:t>
      </w:r>
      <w:r>
        <w:rPr>
          <w:rFonts w:hint="eastAsia" w:eastAsia="宋体"/>
          <w:color w:val="000000"/>
          <w:sz w:val="24"/>
          <w:szCs w:val="24"/>
          <w:vertAlign w:val="superscript"/>
          <w:lang w:val="en-US" w:eastAsia="zh-CN"/>
        </w:rPr>
        <w:t>3</w:t>
      </w:r>
      <w:r>
        <w:rPr>
          <w:rFonts w:hint="eastAsia" w:eastAsia="宋体"/>
          <w:color w:val="000000"/>
          <w:sz w:val="24"/>
          <w:szCs w:val="24"/>
          <w:vertAlign w:val="baseline"/>
          <w:lang w:val="en-US" w:eastAsia="zh-CN"/>
        </w:rPr>
        <w:t>，</w:t>
      </w:r>
      <w:r>
        <w:rPr>
          <w:rFonts w:hint="eastAsia" w:ascii="Times New Roman" w:hAnsi="宋体" w:eastAsia="Times New Roman" w:cs="宋体"/>
          <w:color w:val="000000"/>
          <w:sz w:val="24"/>
          <w:szCs w:val="24"/>
          <w:lang w:val="en-US" w:eastAsia="zh-CN" w:bidi="zh-CN"/>
        </w:rPr>
        <w:t>处理后的粉尘由管道引至屋顶排放，排放口高度为15m。（</w:t>
      </w:r>
      <w:r>
        <w:rPr>
          <w:rFonts w:hint="eastAsia"/>
          <w:color w:val="000000"/>
          <w:sz w:val="24"/>
          <w:szCs w:val="22"/>
          <w:lang w:val="en-US" w:eastAsia="zh-CN"/>
        </w:rPr>
        <w:t>排气筒编号P1</w:t>
      </w:r>
      <w:r>
        <w:rPr>
          <w:rFonts w:hint="eastAsia" w:ascii="Times New Roman" w:hAnsi="宋体" w:eastAsia="Times New Roman" w:cs="宋体"/>
          <w:color w:val="000000"/>
          <w:sz w:val="24"/>
          <w:szCs w:val="24"/>
          <w:lang w:val="en-US" w:eastAsia="zh-CN" w:bidi="zh-CN"/>
        </w:rPr>
        <w:t>）</w:t>
      </w:r>
    </w:p>
    <w:p w14:paraId="492C3A54">
      <w:pPr>
        <w:pStyle w:val="452"/>
        <w:ind w:firstLine="480"/>
        <w:rPr>
          <w:color w:val="000000"/>
          <w:sz w:val="24"/>
          <w:szCs w:val="22"/>
          <w:lang w:val="en-US" w:eastAsia="zh-CN"/>
        </w:rPr>
      </w:pPr>
      <w:r>
        <w:rPr>
          <w:rFonts w:hint="eastAsia"/>
          <w:color w:val="000000"/>
          <w:sz w:val="24"/>
          <w:szCs w:val="22"/>
          <w:lang w:val="en-US" w:eastAsia="zh-CN"/>
        </w:rPr>
        <w:t>（3）环评建议筛分工序粉尘采用风管引至干燥段的布袋除尘器合并处理，除尘效率为99%，外排粉尘</w:t>
      </w:r>
      <w:r>
        <w:rPr>
          <w:rFonts w:hint="eastAsia" w:ascii="Times New Roman" w:hAnsi="宋体" w:eastAsia="Times New Roman" w:cs="宋体"/>
          <w:sz w:val="24"/>
          <w:szCs w:val="24"/>
          <w:lang w:val="en-US" w:eastAsia="zh-CN" w:bidi="zh-CN"/>
        </w:rPr>
        <w:t>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表2中颗粒物最高允许排放浓度限值120mg/m</w:t>
      </w:r>
      <w:r>
        <w:rPr>
          <w:rFonts w:hint="eastAsia" w:eastAsia="宋体"/>
          <w:color w:val="000000"/>
          <w:sz w:val="24"/>
          <w:szCs w:val="24"/>
          <w:vertAlign w:val="superscript"/>
          <w:lang w:val="en-US" w:eastAsia="zh-CN"/>
        </w:rPr>
        <w:t>3</w:t>
      </w:r>
      <w:r>
        <w:rPr>
          <w:rFonts w:hint="eastAsia" w:eastAsia="宋体"/>
          <w:color w:val="000000"/>
          <w:sz w:val="24"/>
          <w:szCs w:val="24"/>
          <w:vertAlign w:val="baseline"/>
          <w:lang w:val="en-US" w:eastAsia="zh-CN"/>
        </w:rPr>
        <w:t>，</w:t>
      </w:r>
      <w:r>
        <w:rPr>
          <w:rFonts w:hint="eastAsia"/>
          <w:color w:val="000000"/>
          <w:sz w:val="24"/>
          <w:szCs w:val="22"/>
          <w:lang w:val="en-US" w:eastAsia="zh-CN"/>
        </w:rPr>
        <w:t>处理后的粉尘通过15m高排气筒排放。（排气筒编号P1）</w:t>
      </w:r>
    </w:p>
    <w:p w14:paraId="58C7024D">
      <w:pPr>
        <w:pStyle w:val="452"/>
        <w:ind w:firstLine="480"/>
        <w:rPr>
          <w:color w:val="000000"/>
          <w:sz w:val="24"/>
          <w:szCs w:val="22"/>
          <w:lang w:val="en-US" w:eastAsia="zh-CN"/>
        </w:rPr>
      </w:pPr>
      <w:r>
        <w:rPr>
          <w:rFonts w:hint="eastAsia"/>
          <w:color w:val="000000"/>
          <w:sz w:val="24"/>
          <w:szCs w:val="22"/>
          <w:lang w:val="en-US" w:eastAsia="zh-CN"/>
        </w:rPr>
        <w:t>（4）目前采用1套旋风除尘器+8m高排气筒，本次环评建议将经旋风除尘后的粉尘引至干燥段增设的布袋除尘器合并处理，总除尘效率为99.7%，处理后的粉尘</w:t>
      </w:r>
      <w:r>
        <w:rPr>
          <w:rFonts w:hint="eastAsia" w:ascii="Times New Roman" w:hAnsi="宋体" w:eastAsia="Times New Roman" w:cs="宋体"/>
          <w:sz w:val="24"/>
          <w:szCs w:val="24"/>
          <w:lang w:val="en-US" w:eastAsia="zh-CN" w:bidi="zh-CN"/>
        </w:rPr>
        <w:t>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表2中颗粒物最高允许排放浓度限值120mg/m</w:t>
      </w:r>
      <w:r>
        <w:rPr>
          <w:rFonts w:hint="eastAsia" w:eastAsia="宋体"/>
          <w:color w:val="000000"/>
          <w:sz w:val="24"/>
          <w:szCs w:val="24"/>
          <w:vertAlign w:val="superscript"/>
          <w:lang w:val="en-US" w:eastAsia="zh-CN"/>
        </w:rPr>
        <w:t>3</w:t>
      </w:r>
      <w:r>
        <w:rPr>
          <w:rFonts w:hint="eastAsia" w:eastAsia="宋体"/>
          <w:color w:val="000000"/>
          <w:sz w:val="24"/>
          <w:szCs w:val="24"/>
          <w:vertAlign w:val="baseline"/>
          <w:lang w:val="en-US" w:eastAsia="zh-CN"/>
        </w:rPr>
        <w:t>，</w:t>
      </w:r>
      <w:r>
        <w:rPr>
          <w:rFonts w:hint="eastAsia"/>
          <w:color w:val="000000"/>
          <w:sz w:val="24"/>
          <w:szCs w:val="22"/>
          <w:lang w:val="en-US" w:eastAsia="zh-CN"/>
        </w:rPr>
        <w:t>处理后的粉尘通过15m高排气筒排放。（排气筒编号P1）</w:t>
      </w:r>
    </w:p>
    <w:p w14:paraId="7ABF9E8B">
      <w:pPr>
        <w:keepNext w:val="0"/>
        <w:keepLines w:val="0"/>
        <w:pageBreakBefore w:val="0"/>
        <w:widowControl w:val="0"/>
        <w:numPr>
          <w:ilvl w:val="0"/>
          <w:numId w:val="0"/>
        </w:numPr>
        <w:ind w:firstLine="480"/>
        <w:rPr>
          <w:color w:val="000000"/>
          <w:sz w:val="24"/>
          <w:szCs w:val="24"/>
        </w:rPr>
      </w:pPr>
      <w:r>
        <w:rPr>
          <w:rFonts w:hint="eastAsia"/>
          <w:color w:val="000000"/>
          <w:sz w:val="24"/>
          <w:szCs w:val="24"/>
          <w:lang w:val="en-US" w:eastAsia="zh-CN"/>
        </w:rPr>
        <w:t>（5）目前建设方已经设置1套正压布袋除尘器（1备1用）对该部分粉尘进行收集净化处理，</w:t>
      </w:r>
      <w:r>
        <w:rPr>
          <w:rFonts w:hint="eastAsia" w:ascii="Times New Roman" w:hAnsi="宋体" w:eastAsia="Times New Roman" w:cs="宋体"/>
          <w:sz w:val="24"/>
          <w:szCs w:val="24"/>
          <w:lang w:val="en-US" w:eastAsia="zh-CN" w:bidi="zh-CN"/>
        </w:rPr>
        <w:t>可满足</w:t>
      </w:r>
      <w:r>
        <w:rPr>
          <w:rFonts w:hint="eastAsia"/>
          <w:color w:val="000000"/>
          <w:sz w:val="24"/>
          <w:szCs w:val="24"/>
        </w:rPr>
        <w:t>《大气污染物综合排放标准》（GB16297</w:t>
      </w:r>
      <w:r>
        <w:rPr>
          <w:rFonts w:hint="eastAsia" w:eastAsia="宋体"/>
          <w:color w:val="000000"/>
          <w:sz w:val="24"/>
          <w:szCs w:val="24"/>
          <w:lang w:val="en-US" w:eastAsia="zh-CN"/>
        </w:rPr>
        <w:t>-</w:t>
      </w:r>
      <w:r>
        <w:rPr>
          <w:rFonts w:hint="eastAsia"/>
          <w:color w:val="000000"/>
          <w:sz w:val="24"/>
          <w:szCs w:val="24"/>
        </w:rPr>
        <w:t>1996）</w:t>
      </w:r>
      <w:r>
        <w:rPr>
          <w:rFonts w:hint="eastAsia" w:eastAsia="宋体"/>
          <w:color w:val="000000"/>
          <w:sz w:val="24"/>
          <w:szCs w:val="24"/>
          <w:lang w:val="en-US" w:eastAsia="zh-CN"/>
        </w:rPr>
        <w:t>表2中无组织颗粒物排放限值1.0mg/m</w:t>
      </w:r>
      <w:r>
        <w:rPr>
          <w:rFonts w:hint="eastAsia" w:eastAsia="宋体"/>
          <w:color w:val="000000"/>
          <w:sz w:val="24"/>
          <w:szCs w:val="24"/>
          <w:vertAlign w:val="superscript"/>
          <w:lang w:val="en-US" w:eastAsia="zh-CN"/>
        </w:rPr>
        <w:t>3</w:t>
      </w:r>
      <w:r>
        <w:rPr>
          <w:rFonts w:hint="eastAsia" w:eastAsia="宋体"/>
          <w:color w:val="000000"/>
          <w:sz w:val="24"/>
          <w:szCs w:val="24"/>
          <w:lang w:val="en-US" w:eastAsia="zh-CN"/>
        </w:rPr>
        <w:t>的限值。</w:t>
      </w:r>
    </w:p>
    <w:p w14:paraId="71C0F28C">
      <w:pPr>
        <w:pStyle w:val="315"/>
        <w:keepNext w:val="0"/>
        <w:keepLines w:val="0"/>
        <w:pageBreakBefore w:val="0"/>
        <w:rPr>
          <w:rFonts w:hAnsi="宋体" w:eastAsia="宋体"/>
          <w:color w:val="000000"/>
          <w:sz w:val="24"/>
          <w:szCs w:val="24"/>
          <w:lang w:val="en-US" w:eastAsia="zh-CN"/>
        </w:rPr>
      </w:pPr>
      <w:r>
        <w:rPr>
          <w:rFonts w:hint="eastAsia" w:eastAsia="宋体"/>
          <w:color w:val="000000"/>
          <w:sz w:val="24"/>
          <w:szCs w:val="24"/>
          <w:lang w:eastAsia="zh-CN"/>
        </w:rPr>
        <w:t>（</w:t>
      </w:r>
      <w:r>
        <w:rPr>
          <w:rFonts w:hint="eastAsia" w:eastAsia="宋体"/>
          <w:color w:val="000000"/>
          <w:sz w:val="24"/>
          <w:szCs w:val="24"/>
          <w:lang w:val="en-US" w:eastAsia="zh-CN"/>
        </w:rPr>
        <w:t>6</w:t>
      </w:r>
      <w:r>
        <w:rPr>
          <w:rFonts w:hint="eastAsia" w:eastAsia="宋体"/>
          <w:color w:val="000000"/>
          <w:sz w:val="24"/>
          <w:szCs w:val="24"/>
          <w:lang w:eastAsia="zh-CN"/>
        </w:rPr>
        <w:t>）</w:t>
      </w:r>
      <w:r>
        <w:rPr>
          <w:rFonts w:hint="eastAsia" w:eastAsia="宋体"/>
          <w:color w:val="000000"/>
          <w:sz w:val="24"/>
          <w:szCs w:val="24"/>
          <w:lang w:val="en-US" w:eastAsia="zh-CN"/>
        </w:rPr>
        <w:t>板材生产热压、贴面工序</w:t>
      </w:r>
      <w:r>
        <w:rPr>
          <w:rFonts w:hint="eastAsia"/>
          <w:color w:val="000000"/>
          <w:sz w:val="24"/>
          <w:szCs w:val="24"/>
          <w:lang w:val="en-US" w:eastAsia="zh-CN"/>
        </w:rPr>
        <w:t>环评要求增设</w:t>
      </w:r>
      <w:r>
        <w:rPr>
          <w:rFonts w:hint="eastAsia" w:ascii="Times New Roman" w:hAnsi="Times New Roman" w:eastAsia="宋体" w:cs="Times New Roman"/>
          <w:bCs w:val="0"/>
          <w:color w:val="000000"/>
          <w:sz w:val="24"/>
          <w:szCs w:val="24"/>
          <w:lang w:val="en-US" w:eastAsia="zh-CN" w:bidi="ar-SA"/>
        </w:rPr>
        <w:t>1套UV光催化活性炭吸附一体设备收集废气，风量为10000m</w:t>
      </w:r>
      <w:r>
        <w:rPr>
          <w:rFonts w:hint="eastAsia" w:ascii="Times New Roman" w:hAnsi="Times New Roman" w:eastAsia="宋体" w:cs="Times New Roman"/>
          <w:bCs w:val="0"/>
          <w:color w:val="000000"/>
          <w:sz w:val="24"/>
          <w:szCs w:val="24"/>
          <w:vertAlign w:val="superscript"/>
          <w:lang w:val="en-US" w:eastAsia="zh-CN" w:bidi="ar-SA"/>
        </w:rPr>
        <w:t>3</w:t>
      </w:r>
      <w:r>
        <w:rPr>
          <w:rFonts w:hint="eastAsia" w:ascii="Times New Roman" w:hAnsi="Times New Roman" w:eastAsia="宋体" w:cs="Times New Roman"/>
          <w:bCs w:val="0"/>
          <w:color w:val="000000"/>
          <w:sz w:val="24"/>
          <w:szCs w:val="24"/>
          <w:lang w:val="en-US" w:eastAsia="zh-CN" w:bidi="ar-SA"/>
        </w:rPr>
        <w:t>/h，处理后废气通过1根</w:t>
      </w:r>
      <w:r>
        <w:rPr>
          <w:rFonts w:hint="eastAsia" w:ascii="Times New Roman" w:hAnsi="Times New Roman" w:eastAsia="宋体" w:cs="Times New Roman"/>
          <w:color w:val="000000"/>
          <w:sz w:val="24"/>
          <w:szCs w:val="24"/>
          <w:lang w:val="en-US" w:eastAsia="zh-CN" w:bidi="ar-SA"/>
        </w:rPr>
        <w:t>15m高排气筒</w:t>
      </w:r>
      <w:r>
        <w:rPr>
          <w:rFonts w:hint="eastAsia"/>
          <w:color w:val="000000"/>
          <w:sz w:val="24"/>
          <w:szCs w:val="24"/>
          <w:lang w:val="en-US" w:eastAsia="zh-CN"/>
        </w:rPr>
        <w:t>排放（编号P2）。净化效率为90%，经过净化处理后的各污染物</w:t>
      </w:r>
      <w:r>
        <w:rPr>
          <w:rFonts w:hint="eastAsia"/>
          <w:color w:val="000000"/>
          <w:sz w:val="24"/>
          <w:szCs w:val="24"/>
          <w:vertAlign w:val="baseline"/>
          <w:lang w:val="en-US" w:eastAsia="zh-CN"/>
        </w:rPr>
        <w:t>能够满足</w:t>
      </w:r>
      <w:r>
        <w:rPr>
          <w:rFonts w:hint="eastAsia" w:ascii="Calibri" w:hAnsi="Calibri" w:eastAsia="宋体" w:cs="Calibri"/>
          <w:color w:val="000000"/>
          <w:sz w:val="24"/>
          <w:szCs w:val="24"/>
          <w:lang w:val="en-US" w:eastAsia="zh-CN"/>
        </w:rPr>
        <w:t>《大气污染物综合排放标准》（GB16297-1996）表2甲醛</w:t>
      </w:r>
      <w:r>
        <w:rPr>
          <w:rFonts w:ascii="Arial" w:hAnsi="Arial" w:eastAsia="宋体" w:cs="Arial"/>
          <w:color w:val="000000"/>
          <w:sz w:val="24"/>
          <w:szCs w:val="24"/>
          <w:lang w:val="en-US" w:eastAsia="zh-CN"/>
        </w:rPr>
        <w:t>≤</w:t>
      </w:r>
      <w:r>
        <w:rPr>
          <w:rFonts w:hint="eastAsia" w:ascii="Calibri" w:hAnsi="Calibri" w:eastAsia="宋体" w:cs="Calibri"/>
          <w:color w:val="000000"/>
          <w:sz w:val="24"/>
          <w:szCs w:val="24"/>
          <w:lang w:val="en-US" w:eastAsia="zh-CN"/>
        </w:rPr>
        <w:t>25</w:t>
      </w:r>
      <w:r>
        <w:rPr>
          <w:rFonts w:hint="eastAsia"/>
          <w:color w:val="000000"/>
          <w:sz w:val="24"/>
          <w:szCs w:val="24"/>
          <w:lang w:val="en-US" w:eastAsia="zh-CN"/>
        </w:rPr>
        <w:t>mg/m</w:t>
      </w:r>
      <w:r>
        <w:rPr>
          <w:rFonts w:hint="eastAsia"/>
          <w:color w:val="000000"/>
          <w:sz w:val="24"/>
          <w:szCs w:val="24"/>
          <w:vertAlign w:val="superscript"/>
          <w:lang w:val="en-US" w:eastAsia="zh-CN"/>
        </w:rPr>
        <w:t>3</w:t>
      </w:r>
      <w:r>
        <w:rPr>
          <w:rFonts w:hint="eastAsia" w:ascii="Calibri" w:hAnsi="Calibri" w:eastAsia="宋体" w:cs="Calibri"/>
          <w:color w:val="000000"/>
          <w:sz w:val="24"/>
          <w:szCs w:val="24"/>
          <w:lang w:val="en-US" w:eastAsia="zh-CN"/>
        </w:rPr>
        <w:t>、酚类</w:t>
      </w:r>
      <w:r>
        <w:rPr>
          <w:rFonts w:ascii="Arial" w:hAnsi="Arial" w:eastAsia="宋体" w:cs="Arial"/>
          <w:color w:val="000000"/>
          <w:sz w:val="24"/>
          <w:szCs w:val="24"/>
          <w:lang w:val="en-US" w:eastAsia="zh-CN"/>
        </w:rPr>
        <w:t>≤</w:t>
      </w:r>
      <w:r>
        <w:rPr>
          <w:rFonts w:hint="eastAsia" w:ascii="Calibri" w:hAnsi="Calibri" w:eastAsia="宋体" w:cs="Calibri"/>
          <w:color w:val="000000"/>
          <w:sz w:val="24"/>
          <w:szCs w:val="24"/>
          <w:lang w:val="en-US" w:eastAsia="zh-CN"/>
        </w:rPr>
        <w:t>100</w:t>
      </w:r>
      <w:r>
        <w:rPr>
          <w:rFonts w:hint="eastAsia"/>
          <w:color w:val="000000"/>
          <w:sz w:val="24"/>
          <w:szCs w:val="24"/>
          <w:lang w:val="en-US" w:eastAsia="zh-CN"/>
        </w:rPr>
        <w:t>mg/m</w:t>
      </w:r>
      <w:r>
        <w:rPr>
          <w:rFonts w:hint="eastAsia"/>
          <w:color w:val="000000"/>
          <w:sz w:val="24"/>
          <w:szCs w:val="24"/>
          <w:vertAlign w:val="superscript"/>
          <w:lang w:val="en-US" w:eastAsia="zh-CN"/>
        </w:rPr>
        <w:t>3</w:t>
      </w:r>
      <w:r>
        <w:rPr>
          <w:rFonts w:hint="eastAsia"/>
          <w:color w:val="000000"/>
          <w:sz w:val="24"/>
          <w:szCs w:val="24"/>
          <w:vertAlign w:val="baseline"/>
          <w:lang w:val="en-US" w:eastAsia="zh-CN"/>
        </w:rPr>
        <w:t>、非甲烷总烃</w:t>
      </w:r>
      <w:r>
        <w:rPr>
          <w:rFonts w:ascii="Arial" w:hAnsi="Arial" w:eastAsia="宋体" w:cs="Arial"/>
          <w:color w:val="000000"/>
          <w:sz w:val="24"/>
          <w:szCs w:val="24"/>
          <w:lang w:val="en-US" w:eastAsia="zh-CN"/>
        </w:rPr>
        <w:t>≤</w:t>
      </w:r>
      <w:r>
        <w:rPr>
          <w:rFonts w:hint="eastAsia" w:ascii="Calibri" w:hAnsi="Calibri" w:eastAsia="宋体" w:cs="Calibri"/>
          <w:color w:val="000000"/>
          <w:sz w:val="24"/>
          <w:szCs w:val="24"/>
          <w:lang w:val="en-US" w:eastAsia="zh-CN"/>
        </w:rPr>
        <w:t>120</w:t>
      </w:r>
      <w:r>
        <w:rPr>
          <w:rFonts w:hint="eastAsia"/>
          <w:color w:val="000000"/>
          <w:sz w:val="24"/>
          <w:szCs w:val="24"/>
          <w:lang w:val="en-US" w:eastAsia="zh-CN"/>
        </w:rPr>
        <w:t>mg/m</w:t>
      </w:r>
      <w:r>
        <w:rPr>
          <w:rFonts w:hint="eastAsia"/>
          <w:color w:val="000000"/>
          <w:sz w:val="24"/>
          <w:szCs w:val="24"/>
          <w:vertAlign w:val="superscript"/>
          <w:lang w:val="en-US" w:eastAsia="zh-CN"/>
        </w:rPr>
        <w:t>3</w:t>
      </w:r>
      <w:r>
        <w:rPr>
          <w:rFonts w:hint="eastAsia" w:ascii="Calibri" w:hAnsi="Calibri" w:eastAsia="宋体" w:cs="Calibri"/>
          <w:color w:val="000000"/>
          <w:sz w:val="24"/>
          <w:szCs w:val="24"/>
          <w:lang w:val="en-US" w:eastAsia="zh-CN"/>
        </w:rPr>
        <w:t>标准限值。</w:t>
      </w:r>
    </w:p>
    <w:p w14:paraId="5A390594">
      <w:pPr>
        <w:keepNext w:val="0"/>
        <w:keepLines w:val="0"/>
        <w:pageBreakBefore w:val="0"/>
        <w:ind w:firstLine="480"/>
        <w:rPr>
          <w:rFonts w:hint="eastAsia"/>
          <w:color w:val="000000"/>
          <w:sz w:val="24"/>
          <w:szCs w:val="24"/>
        </w:rPr>
      </w:pPr>
      <w:r>
        <w:rPr>
          <w:rFonts w:hint="eastAsia" w:eastAsia="宋体"/>
          <w:color w:val="000000"/>
          <w:sz w:val="24"/>
          <w:szCs w:val="24"/>
          <w:lang w:eastAsia="zh-CN"/>
        </w:rPr>
        <w:t>（</w:t>
      </w:r>
      <w:r>
        <w:rPr>
          <w:rFonts w:hint="eastAsia" w:eastAsia="宋体"/>
          <w:color w:val="000000"/>
          <w:sz w:val="24"/>
          <w:szCs w:val="24"/>
          <w:lang w:val="en-US" w:eastAsia="zh-CN"/>
        </w:rPr>
        <w:t>7</w:t>
      </w:r>
      <w:r>
        <w:rPr>
          <w:rFonts w:hint="eastAsia" w:eastAsia="宋体"/>
          <w:color w:val="000000"/>
          <w:sz w:val="24"/>
          <w:szCs w:val="24"/>
          <w:lang w:eastAsia="zh-CN"/>
        </w:rPr>
        <w:t>）</w:t>
      </w:r>
      <w:r>
        <w:rPr>
          <w:rFonts w:hint="eastAsia" w:eastAsia="宋体"/>
          <w:color w:val="000000"/>
          <w:sz w:val="24"/>
          <w:szCs w:val="24"/>
          <w:lang w:val="en-US" w:eastAsia="zh-CN"/>
        </w:rPr>
        <w:t>供热系统</w:t>
      </w:r>
      <w:r>
        <w:rPr>
          <w:rFonts w:hint="eastAsia"/>
          <w:color w:val="000000"/>
          <w:sz w:val="24"/>
          <w:szCs w:val="24"/>
          <w:lang w:val="en-US" w:eastAsia="zh-CN"/>
        </w:rPr>
        <w:t>增设1套电离捕捉器，并将热载体炉的现有25m排气筒增高至45m；后期将6t/h锅炉、热载体炉水膜除尘器处理后的烟气引入增设的1套电离捕捉器进行集中处理，通过45m排气筒。（排气筒编号P3）外排烟气中各污染物均满足</w:t>
      </w:r>
      <w:r>
        <w:rPr>
          <w:rFonts w:hint="eastAsia"/>
          <w:color w:val="000000"/>
          <w:sz w:val="24"/>
          <w:szCs w:val="24"/>
        </w:rPr>
        <w:t>《锅炉大气污染物排放标准》（GB13271－2014）中表2规定的大气污染物排放限值，烟尘排放浓度≤50mg/m</w:t>
      </w:r>
      <w:r>
        <w:rPr>
          <w:rFonts w:hint="eastAsia"/>
          <w:color w:val="000000"/>
          <w:sz w:val="24"/>
          <w:szCs w:val="24"/>
          <w:vertAlign w:val="superscript"/>
        </w:rPr>
        <w:t>3</w:t>
      </w:r>
      <w:r>
        <w:rPr>
          <w:rFonts w:hint="eastAsia"/>
          <w:color w:val="000000"/>
          <w:sz w:val="24"/>
          <w:szCs w:val="24"/>
        </w:rPr>
        <w:t>；NO</w:t>
      </w:r>
      <w:r>
        <w:rPr>
          <w:rFonts w:hint="eastAsia"/>
          <w:color w:val="000000"/>
          <w:sz w:val="24"/>
          <w:szCs w:val="24"/>
          <w:vertAlign w:val="subscript"/>
        </w:rPr>
        <w:t>X</w:t>
      </w:r>
      <w:r>
        <w:rPr>
          <w:rFonts w:hint="eastAsia"/>
          <w:color w:val="000000"/>
          <w:sz w:val="24"/>
          <w:szCs w:val="24"/>
        </w:rPr>
        <w:t>排放浓度≤300mg/m</w:t>
      </w:r>
      <w:r>
        <w:rPr>
          <w:rFonts w:hint="eastAsia"/>
          <w:color w:val="000000"/>
          <w:sz w:val="24"/>
          <w:szCs w:val="24"/>
          <w:vertAlign w:val="superscript"/>
        </w:rPr>
        <w:t>3</w:t>
      </w:r>
      <w:r>
        <w:rPr>
          <w:rFonts w:hint="eastAsia"/>
          <w:color w:val="000000"/>
          <w:sz w:val="24"/>
          <w:szCs w:val="24"/>
        </w:rPr>
        <w:t>；SO</w:t>
      </w:r>
      <w:r>
        <w:rPr>
          <w:rFonts w:hint="eastAsia"/>
          <w:color w:val="000000"/>
          <w:sz w:val="24"/>
          <w:szCs w:val="24"/>
          <w:vertAlign w:val="subscript"/>
        </w:rPr>
        <w:t>2</w:t>
      </w:r>
      <w:r>
        <w:rPr>
          <w:rFonts w:hint="eastAsia"/>
          <w:color w:val="000000"/>
          <w:sz w:val="24"/>
          <w:szCs w:val="24"/>
        </w:rPr>
        <w:t>排放浓度≤300mg/m</w:t>
      </w:r>
      <w:r>
        <w:rPr>
          <w:rFonts w:hint="eastAsia"/>
          <w:color w:val="000000"/>
          <w:sz w:val="24"/>
          <w:szCs w:val="24"/>
          <w:vertAlign w:val="superscript"/>
        </w:rPr>
        <w:t>3</w:t>
      </w:r>
      <w:r>
        <w:rPr>
          <w:rFonts w:hint="eastAsia"/>
          <w:color w:val="000000"/>
          <w:sz w:val="24"/>
          <w:szCs w:val="24"/>
        </w:rPr>
        <w:t>。</w:t>
      </w:r>
    </w:p>
    <w:p w14:paraId="1FDB88B5">
      <w:pPr>
        <w:ind w:right="192" w:firstLine="480"/>
        <w:rPr>
          <w:rFonts w:eastAsia="宋体"/>
          <w:szCs w:val="24"/>
          <w:lang w:val="en-US" w:eastAsia="zh-CN"/>
        </w:rPr>
      </w:pPr>
      <w:r>
        <w:rPr>
          <w:rFonts w:hint="eastAsia" w:ascii="Times New Roman" w:hAnsi="Times New Roman" w:eastAsia="宋体" w:cs="Times New Roman"/>
          <w:sz w:val="24"/>
          <w:szCs w:val="24"/>
          <w:lang w:val="en-US" w:eastAsia="zh-CN"/>
        </w:rPr>
        <w:t>（8）目前项</w:t>
      </w:r>
      <w:r>
        <w:rPr>
          <w:rFonts w:hint="eastAsia" w:ascii="Times New Roman" w:hAnsi="Times New Roman" w:eastAsia="宋体" w:cs="Times New Roman"/>
          <w:color w:val="FF0000"/>
          <w:sz w:val="24"/>
          <w:szCs w:val="24"/>
          <w:lang w:val="en-US" w:eastAsia="zh-CN"/>
        </w:rPr>
        <w:t>目制胶生产线设置有冷凝器，制胶废气呈无组织排放，与热压、贴面工序共用1套</w:t>
      </w:r>
      <w:r>
        <w:rPr>
          <w:rFonts w:hint="eastAsia" w:ascii="Times New Roman" w:hAnsi="Times New Roman" w:eastAsia="宋体" w:cs="Times New Roman"/>
          <w:bCs w:val="0"/>
          <w:color w:val="FF0000"/>
          <w:sz w:val="24"/>
          <w:szCs w:val="24"/>
          <w:lang w:val="en-US" w:eastAsia="zh-CN" w:bidi="ar-SA"/>
        </w:rPr>
        <w:t>UV光催化活性炭吸附一体设备收集废气，处理后废气通过1根</w:t>
      </w:r>
      <w:r>
        <w:rPr>
          <w:rFonts w:hint="eastAsia" w:ascii="Times New Roman" w:hAnsi="Times New Roman" w:eastAsia="宋体" w:cs="Times New Roman"/>
          <w:color w:val="FF0000"/>
          <w:sz w:val="24"/>
          <w:szCs w:val="24"/>
          <w:lang w:val="en-US" w:eastAsia="zh-CN" w:bidi="ar-SA"/>
        </w:rPr>
        <w:t>15m高排气筒</w:t>
      </w:r>
      <w:r>
        <w:rPr>
          <w:rFonts w:hint="eastAsia" w:ascii="Times New Roman" w:hAnsi="Times New Roman" w:eastAsia="宋体" w:cs="Times New Roman"/>
          <w:color w:val="FF0000"/>
          <w:sz w:val="24"/>
          <w:szCs w:val="24"/>
          <w:lang w:val="en-US" w:eastAsia="zh-CN"/>
        </w:rPr>
        <w:t>排放（编号P2）</w:t>
      </w:r>
      <w:r>
        <w:rPr>
          <w:rFonts w:hint="eastAsia" w:ascii="Times New Roman" w:hAnsi="Times New Roman" w:eastAsia="宋体" w:cs="Times New Roman"/>
          <w:sz w:val="24"/>
          <w:szCs w:val="24"/>
          <w:lang w:val="en-US" w:eastAsia="zh-CN"/>
        </w:rPr>
        <w:t>，外排废气可满足</w:t>
      </w:r>
      <w:r>
        <w:rPr>
          <w:rFonts w:ascii="Times New Roman" w:hAnsi="Times New Roman" w:eastAsia="宋体" w:cs="Times New Roman"/>
          <w:szCs w:val="22"/>
          <w:lang w:val="zh-CN" w:eastAsia="zh-CN"/>
        </w:rPr>
        <w:t>《合成树脂工业污染物排放标准》（GB31572-2015）</w:t>
      </w:r>
      <w:r>
        <w:rPr>
          <w:rFonts w:hint="eastAsia" w:ascii="Times New Roman" w:hAnsi="Times New Roman" w:eastAsia="宋体" w:cs="Times New Roman"/>
          <w:szCs w:val="22"/>
          <w:lang w:val="en-US" w:eastAsia="zh-CN"/>
        </w:rPr>
        <w:t>表4排放限值。</w:t>
      </w:r>
    </w:p>
    <w:p w14:paraId="193464FE">
      <w:pPr>
        <w:spacing w:line="360" w:lineRule="auto"/>
        <w:ind w:firstLine="480"/>
        <w:rPr>
          <w:rFonts w:hint="eastAsia" w:hAnsi="宋体"/>
          <w:color w:val="000000"/>
          <w:sz w:val="24"/>
          <w:szCs w:val="24"/>
        </w:rPr>
      </w:pPr>
      <w:r>
        <w:rPr>
          <w:rFonts w:hint="eastAsia" w:hAnsi="宋体"/>
          <w:color w:val="000000"/>
          <w:sz w:val="24"/>
          <w:szCs w:val="24"/>
        </w:rPr>
        <w:t>（</w:t>
      </w:r>
      <w:r>
        <w:rPr>
          <w:rFonts w:hint="eastAsia" w:hAnsi="宋体"/>
          <w:color w:val="000000"/>
          <w:sz w:val="24"/>
          <w:szCs w:val="24"/>
          <w:lang w:val="en-US" w:eastAsia="zh-CN"/>
        </w:rPr>
        <w:t>9</w:t>
      </w:r>
      <w:r>
        <w:rPr>
          <w:rFonts w:hint="eastAsia" w:hAnsi="宋体"/>
          <w:color w:val="000000"/>
          <w:sz w:val="24"/>
          <w:szCs w:val="24"/>
        </w:rPr>
        <w:t>）</w:t>
      </w:r>
      <w:r>
        <w:rPr>
          <w:rFonts w:hint="eastAsia" w:hAnsi="宋体" w:eastAsia="宋体"/>
          <w:color w:val="000000"/>
          <w:sz w:val="24"/>
          <w:szCs w:val="24"/>
          <w:lang w:val="en-US" w:eastAsia="zh-CN"/>
        </w:rPr>
        <w:t>断竹及板材加工其他工序要求</w:t>
      </w:r>
      <w:r>
        <w:rPr>
          <w:rFonts w:ascii="Times New Roman" w:hAnsi="Times New Roman" w:eastAsia="宋体" w:cs="Times New Roman"/>
          <w:bCs/>
          <w:color w:val="000000"/>
          <w:spacing w:val="8"/>
          <w:sz w:val="24"/>
          <w:szCs w:val="24"/>
        </w:rPr>
        <w:t>设置顶棚、细小物料采用管道或密闭输送带进行输送</w:t>
      </w:r>
      <w:r>
        <w:rPr>
          <w:rFonts w:hint="eastAsia" w:ascii="Times New Roman" w:hAnsi="Times New Roman" w:eastAsia="宋体" w:cs="Times New Roman"/>
          <w:bCs/>
          <w:color w:val="000000"/>
          <w:spacing w:val="8"/>
          <w:sz w:val="24"/>
          <w:szCs w:val="24"/>
          <w:lang w:eastAsia="zh-CN"/>
        </w:rPr>
        <w:t>，</w:t>
      </w:r>
      <w:r>
        <w:rPr>
          <w:rFonts w:hint="eastAsia" w:ascii="Times New Roman" w:hAnsi="Times New Roman" w:eastAsia="宋体" w:cs="Times New Roman"/>
          <w:bCs/>
          <w:color w:val="000000"/>
          <w:spacing w:val="8"/>
          <w:sz w:val="24"/>
          <w:szCs w:val="24"/>
          <w:lang w:val="en-US" w:eastAsia="zh-CN"/>
        </w:rPr>
        <w:t>减少无组织粉尘的排放</w:t>
      </w:r>
      <w:r>
        <w:rPr>
          <w:rFonts w:hint="eastAsia" w:ascii="Times New Roman" w:hAnsi="Times New Roman" w:eastAsia="宋体" w:cs="Times New Roman"/>
          <w:bCs/>
          <w:color w:val="000000"/>
          <w:spacing w:val="8"/>
          <w:sz w:val="24"/>
          <w:szCs w:val="24"/>
          <w:lang w:eastAsia="zh-CN"/>
        </w:rPr>
        <w:t>；</w:t>
      </w:r>
      <w:r>
        <w:rPr>
          <w:rFonts w:hint="eastAsia" w:ascii="Times New Roman" w:hAnsi="Times New Roman" w:eastAsia="宋体" w:cs="Times New Roman"/>
          <w:bCs/>
          <w:color w:val="000000"/>
          <w:spacing w:val="8"/>
          <w:sz w:val="24"/>
          <w:szCs w:val="24"/>
          <w:lang w:val="en-US" w:eastAsia="zh-CN"/>
        </w:rPr>
        <w:t>同时</w:t>
      </w:r>
      <w:r>
        <w:rPr>
          <w:rFonts w:hint="eastAsia" w:hAnsi="宋体"/>
          <w:color w:val="000000"/>
          <w:sz w:val="24"/>
          <w:szCs w:val="24"/>
        </w:rPr>
        <w:t>建设方应加强环境管理，对</w:t>
      </w:r>
      <w:r>
        <w:rPr>
          <w:rFonts w:hint="eastAsia" w:hAnsi="宋体"/>
          <w:color w:val="000000"/>
          <w:sz w:val="24"/>
          <w:szCs w:val="24"/>
          <w:lang w:val="en-US" w:eastAsia="zh-CN"/>
        </w:rPr>
        <w:t>各大气污染治理设施</w:t>
      </w:r>
      <w:r>
        <w:rPr>
          <w:rFonts w:hint="eastAsia" w:hAnsi="宋体"/>
          <w:color w:val="000000"/>
          <w:sz w:val="24"/>
          <w:szCs w:val="24"/>
        </w:rPr>
        <w:t>进行定期检修与维护，杜绝事故情况出现。</w:t>
      </w:r>
    </w:p>
    <w:p w14:paraId="1B0B57BB">
      <w:pPr>
        <w:spacing w:line="360" w:lineRule="auto"/>
        <w:ind w:firstLine="480"/>
        <w:rPr>
          <w:rFonts w:hint="eastAsia" w:hAnsi="宋体"/>
          <w:color w:val="000000"/>
          <w:sz w:val="24"/>
          <w:szCs w:val="24"/>
        </w:rPr>
      </w:pPr>
      <w:r>
        <w:rPr>
          <w:rFonts w:hint="eastAsia" w:hAnsi="宋体"/>
          <w:color w:val="000000"/>
          <w:sz w:val="24"/>
          <w:szCs w:val="24"/>
        </w:rPr>
        <w:t>（</w:t>
      </w:r>
      <w:r>
        <w:rPr>
          <w:rFonts w:hint="eastAsia" w:hAnsi="宋体"/>
          <w:color w:val="000000"/>
          <w:sz w:val="24"/>
          <w:szCs w:val="24"/>
          <w:lang w:val="en-US" w:eastAsia="zh-CN"/>
        </w:rPr>
        <w:t>10</w:t>
      </w:r>
      <w:r>
        <w:rPr>
          <w:rFonts w:hint="eastAsia" w:hAnsi="宋体"/>
          <w:color w:val="000000"/>
          <w:sz w:val="24"/>
          <w:szCs w:val="24"/>
        </w:rPr>
        <w:t>）</w:t>
      </w:r>
      <w:r>
        <w:rPr>
          <w:rFonts w:hint="eastAsia" w:hAnsi="宋体"/>
          <w:color w:val="FF0000"/>
          <w:sz w:val="24"/>
          <w:szCs w:val="24"/>
          <w:lang w:val="en-US" w:eastAsia="zh-CN"/>
        </w:rPr>
        <w:t>加强管理，</w:t>
      </w:r>
      <w:r>
        <w:rPr>
          <w:rFonts w:hint="eastAsia" w:hAnsi="宋体"/>
          <w:color w:val="FF0000"/>
          <w:sz w:val="24"/>
          <w:szCs w:val="24"/>
          <w:lang w:val="zh-CN" w:eastAsia="zh-CN"/>
        </w:rPr>
        <w:t>定期检查</w:t>
      </w:r>
      <w:r>
        <w:rPr>
          <w:rFonts w:hint="eastAsia" w:hAnsi="宋体"/>
          <w:color w:val="FF0000"/>
          <w:sz w:val="24"/>
          <w:szCs w:val="24"/>
          <w:lang w:val="en-US" w:eastAsia="zh-CN"/>
        </w:rPr>
        <w:t>甲醛</w:t>
      </w:r>
      <w:r>
        <w:rPr>
          <w:rFonts w:hint="eastAsia" w:hAnsi="宋体"/>
          <w:color w:val="FF0000"/>
          <w:sz w:val="24"/>
          <w:szCs w:val="24"/>
          <w:lang w:val="zh-CN" w:eastAsia="zh-CN"/>
        </w:rPr>
        <w:t>储罐、反应釜等设备情况，</w:t>
      </w:r>
      <w:r>
        <w:rPr>
          <w:rFonts w:hint="eastAsia" w:hAnsi="宋体"/>
          <w:color w:val="FF0000"/>
          <w:sz w:val="24"/>
          <w:szCs w:val="24"/>
          <w:lang w:val="en-US" w:eastAsia="zh-CN"/>
        </w:rPr>
        <w:t>维护好有机废净化处理系统，并加强车间通风及</w:t>
      </w:r>
      <w:r>
        <w:rPr>
          <w:rFonts w:ascii="宋体" w:hAnsi="宋体"/>
          <w:color w:val="FF0000"/>
          <w:sz w:val="24"/>
        </w:rPr>
        <w:t>员工个人防护措施，如佩戴防毒口罩或其他等效防护措施</w:t>
      </w:r>
      <w:r>
        <w:rPr>
          <w:rFonts w:hint="eastAsia" w:ascii="宋体" w:hAnsi="宋体"/>
          <w:color w:val="FF0000"/>
          <w:sz w:val="24"/>
          <w:lang w:eastAsia="zh-CN"/>
        </w:rPr>
        <w:t>；</w:t>
      </w:r>
      <w:r>
        <w:rPr>
          <w:rFonts w:hint="eastAsia" w:hAnsi="宋体"/>
          <w:color w:val="FF0000"/>
          <w:sz w:val="24"/>
          <w:szCs w:val="24"/>
          <w:lang w:val="en-US" w:eastAsia="zh-CN"/>
        </w:rPr>
        <w:t>做好竹子原料的妥善堆存，避免雨水浸泡，厂界异味</w:t>
      </w:r>
      <w:r>
        <w:rPr>
          <w:rFonts w:hint="eastAsia" w:hAnsi="宋体"/>
          <w:color w:val="FF0000"/>
          <w:sz w:val="24"/>
          <w:szCs w:val="24"/>
        </w:rPr>
        <w:t>达到《恶臭污染物排放标准》（GB14554-93）二级标准限值</w:t>
      </w:r>
      <w:r>
        <w:rPr>
          <w:rFonts w:hint="eastAsia" w:hAnsi="宋体"/>
          <w:color w:val="FF0000"/>
          <w:sz w:val="24"/>
          <w:szCs w:val="24"/>
          <w:lang w:eastAsia="zh-CN"/>
        </w:rPr>
        <w:t>，</w:t>
      </w:r>
      <w:r>
        <w:rPr>
          <w:rFonts w:hint="eastAsia" w:hAnsi="宋体"/>
          <w:color w:val="FF0000"/>
          <w:sz w:val="24"/>
          <w:szCs w:val="24"/>
          <w:lang w:val="en-US" w:eastAsia="zh-CN"/>
        </w:rPr>
        <w:t>异味不明显</w:t>
      </w:r>
      <w:r>
        <w:rPr>
          <w:rFonts w:hint="eastAsia" w:hAnsi="宋体"/>
          <w:color w:val="FF0000"/>
          <w:sz w:val="24"/>
          <w:szCs w:val="24"/>
        </w:rPr>
        <w:t>，对周围空气环境的影响较小。</w:t>
      </w:r>
    </w:p>
    <w:p w14:paraId="062FFAD2">
      <w:pPr>
        <w:spacing w:line="360" w:lineRule="auto"/>
        <w:ind w:firstLine="480"/>
        <w:rPr>
          <w:rFonts w:hint="eastAsia" w:hAnsi="宋体"/>
          <w:color w:val="000000"/>
          <w:sz w:val="24"/>
          <w:szCs w:val="24"/>
        </w:rPr>
      </w:pPr>
      <w:r>
        <w:rPr>
          <w:rFonts w:hint="eastAsia"/>
        </w:rPr>
        <w:t>（</w:t>
      </w:r>
      <w:r>
        <w:rPr>
          <w:rFonts w:hint="eastAsia" w:eastAsia="宋体"/>
          <w:lang w:val="en-US" w:eastAsia="zh-CN"/>
        </w:rPr>
        <w:t>11</w:t>
      </w:r>
      <w:r>
        <w:rPr>
          <w:rFonts w:hint="eastAsia"/>
        </w:rPr>
        <w:t>）</w:t>
      </w:r>
      <w:r>
        <w:rPr>
          <w:color w:val="000000"/>
          <w:sz w:val="24"/>
          <w:szCs w:val="24"/>
        </w:rPr>
        <w:t>发电机放置</w:t>
      </w:r>
      <w:r>
        <w:rPr>
          <w:rFonts w:hint="eastAsia"/>
          <w:color w:val="000000"/>
          <w:sz w:val="24"/>
          <w:szCs w:val="24"/>
          <w:lang w:eastAsia="zh-CN"/>
        </w:rPr>
        <w:t>发电机房</w:t>
      </w:r>
      <w:r>
        <w:rPr>
          <w:color w:val="000000"/>
          <w:sz w:val="24"/>
          <w:szCs w:val="24"/>
        </w:rPr>
        <w:t>内，</w:t>
      </w:r>
      <w:r>
        <w:rPr>
          <w:rFonts w:hint="eastAsia"/>
          <w:color w:val="000000"/>
          <w:sz w:val="24"/>
          <w:szCs w:val="24"/>
          <w:lang w:eastAsia="zh-CN"/>
        </w:rPr>
        <w:t>属于</w:t>
      </w:r>
      <w:r>
        <w:rPr>
          <w:color w:val="000000"/>
          <w:sz w:val="24"/>
          <w:szCs w:val="24"/>
        </w:rPr>
        <w:t>单独设备间，发电机产生的燃烧废气经自带有废气过滤装置，过滤后</w:t>
      </w:r>
      <w:r>
        <w:rPr>
          <w:rFonts w:hAnsi="宋体"/>
          <w:color w:val="000000"/>
          <w:sz w:val="24"/>
          <w:szCs w:val="24"/>
        </w:rPr>
        <w:t>发电机</w:t>
      </w:r>
      <w:r>
        <w:rPr>
          <w:rFonts w:hint="eastAsia" w:hAnsi="宋体"/>
          <w:color w:val="000000"/>
          <w:sz w:val="24"/>
          <w:szCs w:val="24"/>
        </w:rPr>
        <w:t>的废气经过排风管道引至设备间外，通过大气扩散、绿化吸附</w:t>
      </w:r>
      <w:r>
        <w:rPr>
          <w:rFonts w:hint="eastAsia"/>
          <w:color w:val="000000"/>
          <w:sz w:val="24"/>
          <w:szCs w:val="24"/>
        </w:rPr>
        <w:t>，</w:t>
      </w:r>
      <w:r>
        <w:rPr>
          <w:rFonts w:hAnsi="宋体"/>
          <w:color w:val="000000"/>
          <w:sz w:val="24"/>
          <w:szCs w:val="24"/>
        </w:rPr>
        <w:t>外排废气对环境影响较小。</w:t>
      </w:r>
    </w:p>
    <w:p w14:paraId="0388179B">
      <w:pPr>
        <w:widowControl w:val="0"/>
        <w:ind w:firstLine="480"/>
      </w:pPr>
      <w:r>
        <w:rPr>
          <w:rFonts w:hint="eastAsia" w:eastAsia="宋体"/>
          <w:lang w:eastAsia="zh-CN"/>
        </w:rPr>
        <w:t>（</w:t>
      </w:r>
      <w:r>
        <w:rPr>
          <w:rFonts w:hint="eastAsia" w:eastAsia="宋体"/>
          <w:lang w:val="en-US" w:eastAsia="zh-CN"/>
        </w:rPr>
        <w:t>12</w:t>
      </w:r>
      <w:r>
        <w:rPr>
          <w:rFonts w:hint="eastAsia" w:eastAsia="宋体"/>
          <w:lang w:eastAsia="zh-CN"/>
        </w:rPr>
        <w:t>）</w:t>
      </w:r>
      <w:r>
        <w:rPr>
          <w:rFonts w:hint="eastAsia"/>
        </w:rPr>
        <w:t>要求企业</w:t>
      </w:r>
      <w:r>
        <w:t>安装</w:t>
      </w:r>
      <w:r>
        <w:rPr>
          <w:rFonts w:hint="eastAsia"/>
        </w:rPr>
        <w:t>1套合格的</w:t>
      </w:r>
      <w:r>
        <w:t>油烟净化</w:t>
      </w:r>
      <w:r>
        <w:rPr>
          <w:rFonts w:hint="eastAsia"/>
        </w:rPr>
        <w:t>装置（净化率达60%以上）</w:t>
      </w:r>
      <w:r>
        <w:t>，油烟经过净化后</w:t>
      </w:r>
      <w:r>
        <w:rPr>
          <w:rFonts w:hint="eastAsia"/>
        </w:rPr>
        <w:t>引至食堂的屋顶排放</w:t>
      </w:r>
      <w:r>
        <w:t>，达到《饮食业油烟排放标准</w:t>
      </w:r>
      <w:r>
        <w:rPr>
          <w:rFonts w:hint="eastAsia"/>
        </w:rPr>
        <w:t>（试行）</w:t>
      </w:r>
      <w:r>
        <w:t>》</w:t>
      </w:r>
      <w:r>
        <w:rPr>
          <w:rFonts w:hint="eastAsia"/>
        </w:rPr>
        <w:t>（</w:t>
      </w:r>
      <w:r>
        <w:t>GB18483-2001</w:t>
      </w:r>
      <w:r>
        <w:rPr>
          <w:rFonts w:hint="eastAsia"/>
        </w:rPr>
        <w:t>）</w:t>
      </w:r>
      <w:r>
        <w:t>要求</w:t>
      </w:r>
      <w:r>
        <w:rPr>
          <w:rFonts w:hint="eastAsia"/>
        </w:rPr>
        <w:t>，对周围大气环境影响不大。</w:t>
      </w:r>
    </w:p>
    <w:p w14:paraId="6DCAF1A6">
      <w:pPr>
        <w:pStyle w:val="2"/>
        <w:ind w:firstLine="480"/>
        <w:rPr>
          <w:rFonts w:ascii="Times New Roman" w:hAnsi="Times New Roman" w:cs="Times New Roman"/>
          <w:sz w:val="24"/>
          <w:szCs w:val="20"/>
        </w:rPr>
      </w:pPr>
      <w:r>
        <w:rPr>
          <w:rFonts w:hint="eastAsia" w:ascii="Times New Roman" w:hAnsi="Times New Roman" w:cs="Times New Roman"/>
          <w:sz w:val="24"/>
          <w:szCs w:val="20"/>
        </w:rPr>
        <w:t>（</w:t>
      </w:r>
      <w:r>
        <w:rPr>
          <w:rFonts w:hint="eastAsia" w:ascii="Times New Roman" w:hAnsi="Times New Roman" w:eastAsia="宋体" w:cs="Times New Roman"/>
          <w:sz w:val="24"/>
          <w:szCs w:val="20"/>
          <w:lang w:val="en-US" w:eastAsia="zh-CN"/>
        </w:rPr>
        <w:t>13</w:t>
      </w:r>
      <w:r>
        <w:rPr>
          <w:rFonts w:hint="eastAsia" w:ascii="Times New Roman" w:hAnsi="Times New Roman" w:cs="Times New Roman"/>
          <w:sz w:val="24"/>
          <w:szCs w:val="20"/>
        </w:rPr>
        <w:t>）对进行车辆进行管理，并加强厂区绿化，对汽车尾气进行吸附。</w:t>
      </w:r>
    </w:p>
    <w:p w14:paraId="737F5A7A">
      <w:pPr>
        <w:pStyle w:val="2"/>
        <w:ind w:firstLine="480"/>
        <w:rPr>
          <w:rFonts w:hint="eastAsia" w:ascii="Times New Roman" w:hAnsi="Times New Roman" w:cs="Times New Roman"/>
          <w:sz w:val="24"/>
          <w:szCs w:val="20"/>
        </w:rPr>
      </w:pPr>
      <w:r>
        <w:rPr>
          <w:rFonts w:hint="eastAsia" w:ascii="Times New Roman" w:hAnsi="Times New Roman" w:cs="Times New Roman"/>
          <w:sz w:val="24"/>
          <w:szCs w:val="20"/>
        </w:rPr>
        <w:t>经过预测分析，本项目废气按照环评提出的防治措施后，对周围环境影响不大，措施有效可行。</w:t>
      </w:r>
    </w:p>
    <w:p w14:paraId="16A67711">
      <w:pPr>
        <w:ind w:firstLine="0"/>
        <w:contextualSpacing/>
        <w:outlineLvl w:val="2"/>
        <w:rPr>
          <w:rFonts w:eastAsia="黑体"/>
          <w:sz w:val="28"/>
          <w:szCs w:val="28"/>
        </w:rPr>
      </w:pPr>
      <w:r>
        <w:rPr>
          <w:rFonts w:hint="eastAsia" w:eastAsia="黑体"/>
          <w:sz w:val="28"/>
          <w:szCs w:val="28"/>
          <w:lang w:val="en-US" w:eastAsia="zh-CN"/>
        </w:rPr>
        <w:t>8</w:t>
      </w:r>
      <w:r>
        <w:rPr>
          <w:rFonts w:hint="eastAsia" w:eastAsia="黑体"/>
          <w:sz w:val="28"/>
          <w:szCs w:val="28"/>
        </w:rPr>
        <w:t>.2.2水污染防治措施</w:t>
      </w:r>
    </w:p>
    <w:p w14:paraId="6A68EC12">
      <w:pPr>
        <w:pStyle w:val="282"/>
      </w:pPr>
      <w:r>
        <w:rPr>
          <w:rFonts w:hint="eastAsia"/>
          <w:lang w:val="en-US" w:eastAsia="zh-CN"/>
        </w:rPr>
        <w:t>8</w:t>
      </w:r>
      <w:r>
        <w:t>.2.2.</w:t>
      </w:r>
      <w:r>
        <w:rPr>
          <w:rFonts w:hint="eastAsia"/>
        </w:rPr>
        <w:t>1废水污染</w:t>
      </w:r>
      <w:r>
        <w:t>控制措施</w:t>
      </w:r>
    </w:p>
    <w:p w14:paraId="0C9EB1FD">
      <w:pPr>
        <w:keepNext w:val="0"/>
        <w:keepLines w:val="0"/>
        <w:pageBreakBefore w:val="0"/>
        <w:widowControl w:val="0"/>
        <w:numPr>
          <w:ilvl w:val="0"/>
          <w:numId w:val="12"/>
        </w:numPr>
        <w:spacing w:line="360" w:lineRule="auto"/>
        <w:ind w:firstLine="480"/>
        <w:jc w:val="both"/>
        <w:rPr>
          <w:rFonts w:hint="eastAsia" w:ascii="Times New Roman" w:hAnsi="Times New Roman"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bidi="ar-SA"/>
        </w:rPr>
        <w:t>项目设置1座消防水池（容积为600m</w:t>
      </w:r>
      <w:r>
        <w:rPr>
          <w:rFonts w:hint="eastAsia" w:ascii="Times New Roman" w:hAnsi="Times New Roman" w:eastAsia="宋体" w:cs="Times New Roman"/>
          <w:color w:val="000000"/>
          <w:sz w:val="24"/>
          <w:szCs w:val="24"/>
          <w:vertAlign w:val="superscript"/>
          <w:lang w:val="en-US" w:eastAsia="zh-CN" w:bidi="ar-SA"/>
        </w:rPr>
        <w:t>3</w:t>
      </w:r>
      <w:r>
        <w:rPr>
          <w:rFonts w:hint="eastAsia" w:ascii="Times New Roman" w:hAnsi="Times New Roman" w:eastAsia="宋体" w:cs="Times New Roman"/>
          <w:color w:val="000000"/>
          <w:sz w:val="24"/>
          <w:szCs w:val="24"/>
          <w:lang w:val="en-US" w:eastAsia="zh-CN" w:bidi="ar-SA"/>
        </w:rPr>
        <w:t>），除了具有消防功能外，可完全保证制胶车间设备冷却使用，</w:t>
      </w:r>
      <w:r>
        <w:rPr>
          <w:rFonts w:hint="eastAsia" w:ascii="Times New Roman" w:hAnsi="Times New Roman" w:cs="Times New Roman"/>
          <w:color w:val="000000"/>
          <w:sz w:val="24"/>
          <w:szCs w:val="24"/>
          <w:lang w:val="en-US" w:eastAsia="zh-CN"/>
        </w:rPr>
        <w:t>项目设备冷却水循环使用，只补充不排。</w:t>
      </w:r>
    </w:p>
    <w:p w14:paraId="3EF70EAA">
      <w:pPr>
        <w:keepNext w:val="0"/>
        <w:keepLines w:val="0"/>
        <w:pageBreakBefore w:val="0"/>
        <w:widowControl w:val="0"/>
        <w:numPr>
          <w:ilvl w:val="0"/>
          <w:numId w:val="12"/>
        </w:numPr>
        <w:spacing w:line="360" w:lineRule="auto"/>
        <w:ind w:firstLine="48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cs="Times New Roman"/>
          <w:color w:val="000000"/>
          <w:sz w:val="24"/>
          <w:szCs w:val="24"/>
          <w:lang w:val="en-US" w:eastAsia="zh-CN"/>
        </w:rPr>
        <w:t>调胶设备清洗废水及制胶脱水全部收集后回用于制胶用水，不外排，脱水直接进入脱水罐返回生产使用；设备清洗废水考虑每次水量较少，因此不再做暂存收集，要求每次设备清洗完后，采用收集桶收集后，直接返回制胶车间回用。</w:t>
      </w:r>
    </w:p>
    <w:p w14:paraId="6BA9E1EB">
      <w:pPr>
        <w:keepNext w:val="0"/>
        <w:keepLines w:val="0"/>
        <w:pageBreakBefore w:val="0"/>
        <w:widowControl w:val="0"/>
        <w:spacing w:line="360" w:lineRule="auto"/>
        <w:ind w:firstLine="48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cs="Times New Roman"/>
          <w:color w:val="000000"/>
          <w:sz w:val="24"/>
          <w:szCs w:val="24"/>
          <w:lang w:val="en-US" w:eastAsia="zh-CN"/>
        </w:rPr>
        <w:t>（3）项目软水制备系统硬水作为水膜除尘器用水，不外排。</w:t>
      </w:r>
      <w:r>
        <w:rPr>
          <w:rFonts w:hint="eastAsia" w:ascii="Times New Roman" w:hAnsi="Times New Roman" w:eastAsia="宋体" w:cs="Times New Roman"/>
          <w:color w:val="000000"/>
          <w:sz w:val="24"/>
          <w:szCs w:val="24"/>
          <w:lang w:val="en-US" w:eastAsia="zh-CN" w:bidi="ar-SA"/>
        </w:rPr>
        <w:t>为了满足沉淀池水力停留时间不宜小于0.5h且能够顾储存1d的水量，</w:t>
      </w:r>
      <w:r>
        <w:rPr>
          <w:rFonts w:ascii="Times New Roman" w:hAnsi="Times New Roman" w:cs="Times New Roman"/>
          <w:color w:val="000000"/>
          <w:sz w:val="24"/>
          <w:szCs w:val="24"/>
        </w:rPr>
        <w:t>设备旁的</w:t>
      </w:r>
      <w:r>
        <w:rPr>
          <w:rFonts w:hint="eastAsia" w:ascii="Times New Roman" w:hAnsi="Times New Roman" w:cs="Times New Roman"/>
          <w:color w:val="000000"/>
          <w:sz w:val="24"/>
          <w:szCs w:val="24"/>
          <w:lang w:val="en-US" w:eastAsia="zh-CN"/>
        </w:rPr>
        <w:t>循环</w:t>
      </w:r>
      <w:r>
        <w:rPr>
          <w:rFonts w:ascii="Times New Roman" w:hAnsi="Times New Roman" w:cs="Times New Roman"/>
          <w:color w:val="000000"/>
          <w:sz w:val="24"/>
          <w:szCs w:val="24"/>
        </w:rPr>
        <w:t>水池</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分别容积为10m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、43m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bidi="ar-SA"/>
        </w:rPr>
        <w:t>可以满足循环水储存量。</w:t>
      </w:r>
    </w:p>
    <w:p w14:paraId="012F9034">
      <w:pPr>
        <w:ind w:firstLine="480"/>
        <w:rPr>
          <w:rFonts w:hint="eastAsia"/>
          <w:color w:val="000000"/>
          <w:lang w:val="en-US" w:eastAsia="zh-CN"/>
        </w:rPr>
      </w:pPr>
      <w:r>
        <w:rPr>
          <w:rFonts w:hint="eastAsia" w:ascii="Times New Roman" w:hAnsi="Times New Roman" w:eastAsia="宋体" w:cs="Times New Roman"/>
          <w:color w:val="000000"/>
          <w:sz w:val="24"/>
          <w:szCs w:val="24"/>
          <w:lang w:val="en-US" w:eastAsia="zh-CN" w:bidi="ar-SA"/>
        </w:rPr>
        <w:t>（4）</w:t>
      </w:r>
      <w:r>
        <w:rPr>
          <w:rFonts w:hint="eastAsia"/>
          <w:color w:val="000000"/>
          <w:lang w:val="en-US" w:eastAsia="zh-CN"/>
        </w:rPr>
        <w:t>环评要求在食堂出水口增设1个8m</w:t>
      </w:r>
      <w:r>
        <w:rPr>
          <w:rFonts w:hint="eastAsia"/>
          <w:color w:val="000000"/>
          <w:vertAlign w:val="superscript"/>
          <w:lang w:val="en-US" w:eastAsia="zh-CN"/>
        </w:rPr>
        <w:t>3</w:t>
      </w:r>
      <w:r>
        <w:rPr>
          <w:rFonts w:hint="eastAsia"/>
          <w:color w:val="000000"/>
          <w:lang w:val="en-US" w:eastAsia="zh-CN"/>
        </w:rPr>
        <w:t>隔油池进行隔油预处理后，同其他生活污水排入现有的化粪池（6座，总容积80m</w:t>
      </w:r>
      <w:r>
        <w:rPr>
          <w:rFonts w:hint="eastAsia"/>
          <w:color w:val="000000"/>
          <w:vertAlign w:val="superscript"/>
          <w:lang w:val="en-US" w:eastAsia="zh-CN"/>
        </w:rPr>
        <w:t>3</w:t>
      </w:r>
      <w:r>
        <w:rPr>
          <w:rFonts w:hint="eastAsia"/>
          <w:color w:val="000000"/>
          <w:lang w:val="en-US" w:eastAsia="zh-CN"/>
        </w:rPr>
        <w:t>）进行处理后</w:t>
      </w:r>
      <w:r>
        <w:rPr>
          <w:rFonts w:hint="eastAsia" w:ascii="Times New Roman" w:hAnsi="Times New Roman" w:eastAsia="宋体" w:cs="Times New Roman"/>
          <w:color w:val="000000"/>
          <w:sz w:val="24"/>
          <w:lang w:val="en-US" w:eastAsia="zh-CN"/>
        </w:rPr>
        <w:t>，</w:t>
      </w:r>
      <w:r>
        <w:rPr>
          <w:rFonts w:ascii="Times New Roman" w:hAnsi="Times New Roman" w:eastAsia="宋体" w:cs="Times New Roman"/>
          <w:color w:val="000000"/>
          <w:sz w:val="24"/>
          <w:lang w:val="en-US" w:eastAsia="zh-CN"/>
        </w:rPr>
        <w:t>外排废</w:t>
      </w:r>
      <w:r>
        <w:rPr>
          <w:rFonts w:ascii="Times New Roman" w:hAnsi="Times New Roman" w:eastAsia="宋体" w:cs="Times New Roman"/>
          <w:color w:val="000000"/>
          <w:sz w:val="24"/>
        </w:rPr>
        <w:t>水</w:t>
      </w:r>
      <w:r>
        <w:rPr>
          <w:rFonts w:hint="eastAsia" w:ascii="Times New Roman" w:hAnsi="Times New Roman" w:eastAsia="宋体" w:cs="Times New Roman"/>
          <w:color w:val="000000"/>
          <w:sz w:val="24"/>
          <w:lang w:val="en-US" w:eastAsia="zh-CN"/>
        </w:rPr>
        <w:t>满足</w:t>
      </w:r>
      <w:r>
        <w:rPr>
          <w:rFonts w:ascii="Times New Roman" w:hAnsi="Times New Roman" w:eastAsia="宋体" w:cs="Times New Roman"/>
          <w:color w:val="000000"/>
          <w:sz w:val="24"/>
        </w:rPr>
        <w:t>《污水综合排放标准》（GB8978-1996）表4三级标准和《污水排入城镇下水道水质标准》（GB/T 31962-2015）表</w:t>
      </w:r>
      <w:r>
        <w:rPr>
          <w:rFonts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B等级标准</w:t>
      </w:r>
      <w:r>
        <w:rPr>
          <w:rFonts w:hint="eastAsia" w:ascii="Times New Roman" w:hAnsi="Times New Roman" w:eastAsia="宋体" w:cs="Times New Roman"/>
          <w:color w:val="000000"/>
          <w:sz w:val="24"/>
          <w:lang w:eastAsia="zh-CN"/>
        </w:rPr>
        <w:t>，</w:t>
      </w:r>
      <w:r>
        <w:rPr>
          <w:rFonts w:hint="eastAsia"/>
          <w:color w:val="000000"/>
          <w:lang w:val="en-US" w:eastAsia="zh-CN"/>
        </w:rPr>
        <w:t>进入城市市政污水管网，最终排入芒市污水处理厂处理。</w:t>
      </w:r>
    </w:p>
    <w:p w14:paraId="77F1C6A1">
      <w:pPr>
        <w:ind w:firstLine="480"/>
        <w:rPr>
          <w:color w:val="000000"/>
          <w:sz w:val="24"/>
          <w:szCs w:val="24"/>
        </w:rPr>
      </w:pPr>
      <w:r>
        <w:rPr>
          <w:rFonts w:hint="eastAsia"/>
          <w:color w:val="000000"/>
          <w:sz w:val="24"/>
          <w:szCs w:val="24"/>
        </w:rPr>
        <w:t>（</w:t>
      </w:r>
      <w:r>
        <w:rPr>
          <w:rFonts w:hint="eastAsia" w:eastAsia="宋体"/>
          <w:color w:val="000000"/>
          <w:sz w:val="24"/>
          <w:szCs w:val="24"/>
          <w:lang w:val="en-US" w:eastAsia="zh-CN"/>
        </w:rPr>
        <w:t>5</w:t>
      </w:r>
      <w:r>
        <w:rPr>
          <w:rFonts w:hint="eastAsia"/>
          <w:color w:val="000000"/>
          <w:sz w:val="24"/>
          <w:szCs w:val="24"/>
        </w:rPr>
        <w:t>）</w:t>
      </w:r>
      <w:r>
        <w:rPr>
          <w:rFonts w:hint="eastAsia" w:eastAsia="宋体"/>
          <w:color w:val="000000"/>
          <w:sz w:val="24"/>
          <w:szCs w:val="24"/>
          <w:lang w:val="en-US" w:eastAsia="zh-CN"/>
        </w:rPr>
        <w:t>完善雨污分流系统，</w:t>
      </w:r>
      <w:r>
        <w:rPr>
          <w:rFonts w:ascii="Times New Roman" w:hAnsi="Times New Roman" w:cs="Times New Roman"/>
          <w:color w:val="000000"/>
          <w:sz w:val="24"/>
          <w:szCs w:val="24"/>
          <w:lang w:val="en-US" w:eastAsia="zh-CN"/>
        </w:rPr>
        <w:t>本环评建议</w:t>
      </w:r>
      <w:r>
        <w:rPr>
          <w:rFonts w:ascii="Times New Roman" w:hAnsi="Times New Roman" w:cs="Times New Roman"/>
          <w:color w:val="000000"/>
          <w:sz w:val="24"/>
          <w:szCs w:val="24"/>
          <w:lang w:val="zh-CN" w:eastAsia="zh-CN"/>
        </w:rPr>
        <w:t>项目</w:t>
      </w:r>
      <w:r>
        <w:rPr>
          <w:rFonts w:ascii="Times New Roman" w:hAnsi="Times New Roman" w:cs="Times New Roman"/>
          <w:color w:val="000000"/>
          <w:sz w:val="24"/>
          <w:szCs w:val="24"/>
          <w:lang w:val="en-US" w:eastAsia="zh-CN"/>
        </w:rPr>
        <w:t>增设</w:t>
      </w:r>
      <w:r>
        <w:rPr>
          <w:rFonts w:ascii="Times New Roman" w:hAnsi="Times New Roman" w:cs="Times New Roman"/>
          <w:color w:val="000000"/>
          <w:sz w:val="24"/>
          <w:szCs w:val="24"/>
          <w:lang w:val="zh-CN" w:eastAsia="zh-CN"/>
        </w:rPr>
        <w:t>初期雨水池，容量</w:t>
      </w:r>
      <w:r>
        <w:rPr>
          <w:rFonts w:ascii="Times New Roman" w:hAnsi="Times New Roman" w:cs="Times New Roman"/>
          <w:color w:val="000000"/>
          <w:sz w:val="24"/>
          <w:szCs w:val="24"/>
          <w:lang w:val="en-US" w:eastAsia="zh-CN"/>
        </w:rPr>
        <w:t>初步定</w:t>
      </w:r>
      <w:r>
        <w:rPr>
          <w:rFonts w:ascii="Times New Roman" w:hAnsi="Times New Roman" w:cs="Times New Roman"/>
          <w:color w:val="000000"/>
          <w:sz w:val="24"/>
          <w:szCs w:val="24"/>
          <w:lang w:val="zh-CN" w:eastAsia="zh-CN"/>
        </w:rPr>
        <w:t>为</w:t>
      </w:r>
      <w:r>
        <w:rPr>
          <w:rFonts w:ascii="Times New Roman" w:hAnsi="Times New Roman" w:cs="Times New Roman"/>
          <w:color w:val="000000"/>
          <w:sz w:val="24"/>
          <w:szCs w:val="24"/>
          <w:lang w:val="en-US" w:eastAsia="zh-CN"/>
        </w:rPr>
        <w:t>150</w:t>
      </w:r>
      <w:r>
        <w:rPr>
          <w:rFonts w:ascii="Times New Roman" w:hAnsi="Times New Roman" w:cs="Times New Roman"/>
          <w:color w:val="000000"/>
          <w:sz w:val="24"/>
          <w:szCs w:val="24"/>
          <w:lang w:val="zh-CN" w:eastAsia="zh-CN"/>
        </w:rPr>
        <w:t>m</w:t>
      </w:r>
      <w:r>
        <w:rPr>
          <w:rFonts w:hint="eastAsia" w:ascii="Times New Roman" w:hAnsi="Times New Roman" w:cs="Times New Roman"/>
          <w:color w:val="000000"/>
          <w:sz w:val="24"/>
          <w:szCs w:val="24"/>
          <w:vertAlign w:val="superscript"/>
          <w:lang w:val="en-US" w:eastAsia="zh-CN"/>
        </w:rPr>
        <w:t>3</w:t>
      </w:r>
      <w:r>
        <w:rPr>
          <w:rFonts w:ascii="Times New Roman" w:hAnsi="Times New Roman" w:cs="Times New Roman"/>
          <w:color w:val="000000"/>
          <w:sz w:val="24"/>
          <w:szCs w:val="24"/>
          <w:lang w:val="zh-CN" w:eastAsia="zh-CN"/>
        </w:rPr>
        <w:t>，可满足单次降雨的初期雨水存量，初期雨水经沉淀处理后与其他雨水外排周围的雨水沟渠，减少场地经雨水冲刷污染物排放量。</w:t>
      </w:r>
    </w:p>
    <w:p w14:paraId="0DC979A4">
      <w:pPr>
        <w:pStyle w:val="282"/>
        <w:rPr>
          <w:color w:val="000000"/>
        </w:rPr>
      </w:pPr>
      <w:r>
        <w:rPr>
          <w:rFonts w:hint="eastAsia"/>
          <w:lang w:val="en-US" w:eastAsia="zh-CN"/>
        </w:rPr>
        <w:t>8</w:t>
      </w:r>
      <w:r>
        <w:rPr>
          <w:rFonts w:hint="eastAsia"/>
        </w:rPr>
        <w:t>.2</w:t>
      </w:r>
      <w:r>
        <w:rPr>
          <w:rFonts w:hint="eastAsia"/>
          <w:color w:val="000000"/>
        </w:rPr>
        <w:t>.</w:t>
      </w:r>
      <w:r>
        <w:rPr>
          <w:color w:val="000000"/>
        </w:rPr>
        <w:t>2.3</w:t>
      </w:r>
      <w:r>
        <w:rPr>
          <w:rFonts w:hint="eastAsia"/>
          <w:color w:val="000000"/>
        </w:rPr>
        <w:t>地下水污染防治措施</w:t>
      </w:r>
    </w:p>
    <w:p w14:paraId="3DF5CCC2">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为避免生产中污水泄漏污染地下水，须采取以下措施。</w:t>
      </w:r>
    </w:p>
    <w:p w14:paraId="3A4CEBFD">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（1）源头控制措施</w:t>
      </w:r>
    </w:p>
    <w:p w14:paraId="14605A56">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包括在工艺、管道、设备、污水收集及处理构筑物采取相应措施，防止和降低污染物跑、冒、滴、漏，将污染物泄漏的环境风险事故降低到最低程度；管线敷设尽量采用</w:t>
      </w:r>
    </w:p>
    <w:p w14:paraId="7ADF8DC7">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“可视化”原则，即管道尽可能地上或架空敷设，以利于污染物泄漏“早发现、早处理”，减少由于埋地管道泄漏未及时处理造成的地下水污染。</w:t>
      </w:r>
    </w:p>
    <w:p w14:paraId="5BCF54A1">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（2）末端控制措施</w:t>
      </w:r>
    </w:p>
    <w:p w14:paraId="19CBA8B5">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包括在项目</w:t>
      </w:r>
      <w:r>
        <w:rPr>
          <w:rFonts w:hint="eastAsia" w:ascii="Times New Roman" w:hAnsi="Times New Roman" w:cs="Times New Roman"/>
          <w:color w:val="000000"/>
          <w:sz w:val="24"/>
          <w:szCs w:val="24"/>
        </w:rPr>
        <w:t>生产</w:t>
      </w:r>
      <w:r>
        <w:rPr>
          <w:rFonts w:ascii="Times New Roman" w:hAnsi="Times New Roman" w:cs="Times New Roman"/>
          <w:color w:val="000000"/>
          <w:sz w:val="24"/>
          <w:szCs w:val="24"/>
        </w:rPr>
        <w:t>车间、污水处理设施（含</w:t>
      </w:r>
      <w:r>
        <w:rPr>
          <w:rFonts w:hint="eastAsia" w:ascii="Times New Roman" w:hAnsi="Times New Roman" w:eastAsia="宋体" w:cs="Times New Roman"/>
          <w:color w:val="000000"/>
          <w:sz w:val="24"/>
          <w:szCs w:val="24"/>
          <w:lang w:val="en-US" w:eastAsia="zh-CN"/>
        </w:rPr>
        <w:t>初期雨水收集池</w:t>
      </w:r>
      <w:r>
        <w:rPr>
          <w:rFonts w:ascii="Times New Roman" w:hAnsi="Times New Roman" w:cs="Times New Roman"/>
          <w:color w:val="000000"/>
          <w:sz w:val="24"/>
          <w:szCs w:val="24"/>
        </w:rPr>
        <w:t>等）、</w:t>
      </w:r>
      <w:r>
        <w:rPr>
          <w:rFonts w:hint="eastAsia" w:ascii="Times New Roman" w:hAnsi="Times New Roman" w:cs="Times New Roman"/>
          <w:color w:val="000000"/>
          <w:sz w:val="24"/>
          <w:szCs w:val="24"/>
        </w:rPr>
        <w:t>一般固废暂存池、</w:t>
      </w:r>
      <w:r>
        <w:rPr>
          <w:rFonts w:ascii="Times New Roman" w:hAnsi="Times New Roman" w:cs="Times New Roman"/>
          <w:color w:val="000000"/>
          <w:sz w:val="24"/>
          <w:szCs w:val="24"/>
        </w:rPr>
        <w:t>危废暂存间等污染区的地面进行防渗处理，防止洒落地面的污染物下渗，并把滞留在地面的污染物收集起来集中处置。采用污染防治区和非污染防治区防渗措施有区别的分区防渗措施。</w:t>
      </w:r>
    </w:p>
    <w:p w14:paraId="5CA0A6B7">
      <w:pPr>
        <w:pStyle w:val="2"/>
        <w:numPr>
          <w:ilvl w:val="0"/>
          <w:numId w:val="0"/>
        </w:numPr>
        <w:ind w:firstLine="480"/>
        <w:rPr>
          <w:rFonts w:ascii="Times New Roman" w:hAnsi="Times New Roman"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eastAsia="zh-CN"/>
        </w:rPr>
        <w:t>）</w:t>
      </w:r>
      <w:r>
        <w:rPr>
          <w:rFonts w:ascii="Times New Roman" w:hAnsi="Times New Roman" w:cs="Times New Roman"/>
          <w:color w:val="000000"/>
          <w:sz w:val="24"/>
          <w:szCs w:val="24"/>
        </w:rPr>
        <w:t>按照 HJ610-2016《环境影响评价技术导则 地下水环境》关于地下水的污染防控要求，地下水污染防渗分区分为重点防渗区、一般防渗区、简单防渗区。由于本项目可能发生的污染源涉及埋地的污水处理设施</w:t>
      </w:r>
      <w:r>
        <w:rPr>
          <w:rFonts w:hint="eastAsia" w:ascii="Times New Roman" w:hAnsi="Times New Roman" w:cs="Times New Roman"/>
          <w:color w:val="000000"/>
          <w:sz w:val="24"/>
          <w:szCs w:val="24"/>
        </w:rPr>
        <w:t>、</w:t>
      </w:r>
      <w:r>
        <w:rPr>
          <w:rFonts w:hint="eastAsia" w:ascii="Times New Roman" w:hAnsi="Times New Roman" w:eastAsia="宋体" w:cs="Times New Roman"/>
          <w:color w:val="000000"/>
          <w:sz w:val="24"/>
          <w:szCs w:val="24"/>
          <w:lang w:val="en-US" w:eastAsia="zh-CN"/>
        </w:rPr>
        <w:t>甲醛储罐</w:t>
      </w:r>
      <w:r>
        <w:rPr>
          <w:rFonts w:ascii="Times New Roman" w:hAnsi="Times New Roman" w:cs="Times New Roman"/>
          <w:color w:val="000000"/>
          <w:sz w:val="24"/>
          <w:szCs w:val="24"/>
        </w:rPr>
        <w:t>等，对地下水环境有污染物的物料泄漏后不能及时发现和处理，则项目</w:t>
      </w:r>
      <w:r>
        <w:rPr>
          <w:rFonts w:hint="eastAsia" w:ascii="Times New Roman" w:hAnsi="Times New Roman" w:cs="Times New Roman"/>
          <w:color w:val="000000"/>
          <w:sz w:val="24"/>
          <w:szCs w:val="24"/>
          <w:lang w:val="en-US" w:eastAsia="zh-CN"/>
        </w:rPr>
        <w:t>制胶</w:t>
      </w:r>
      <w:r>
        <w:rPr>
          <w:rFonts w:ascii="Times New Roman" w:hAnsi="Times New Roman" w:cs="Times New Roman"/>
          <w:color w:val="000000"/>
          <w:sz w:val="24"/>
          <w:szCs w:val="24"/>
        </w:rPr>
        <w:t>车间</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污水处理设施</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含</w:t>
      </w:r>
      <w:r>
        <w:rPr>
          <w:rFonts w:hint="eastAsia" w:ascii="Times New Roman" w:hAnsi="Times New Roman" w:eastAsia="宋体" w:cs="Times New Roman"/>
          <w:color w:val="000000"/>
          <w:sz w:val="24"/>
          <w:szCs w:val="24"/>
          <w:lang w:val="en-US" w:eastAsia="zh-CN"/>
        </w:rPr>
        <w:t>初期雨水收集池</w:t>
      </w:r>
      <w:r>
        <w:rPr>
          <w:rFonts w:ascii="Times New Roman" w:hAnsi="Times New Roman" w:cs="Times New Roman"/>
          <w:color w:val="000000"/>
          <w:sz w:val="24"/>
          <w:szCs w:val="24"/>
        </w:rPr>
        <w:t>等）、危废暂存间等污染区的地面应全部按照重点防渗区进行防渗处理</w:t>
      </w:r>
      <w:r>
        <w:rPr>
          <w:rFonts w:hint="eastAsia" w:ascii="Times New Roman" w:hAnsi="Times New Roman" w:cs="Times New Roman"/>
          <w:color w:val="000000"/>
          <w:sz w:val="24"/>
          <w:szCs w:val="24"/>
        </w:rPr>
        <w:t>；同时</w:t>
      </w:r>
      <w:r>
        <w:rPr>
          <w:rFonts w:hint="eastAsia" w:ascii="Times New Roman" w:hAnsi="Times New Roman" w:eastAsia="宋体" w:cs="Times New Roman"/>
          <w:color w:val="000000"/>
          <w:sz w:val="24"/>
          <w:szCs w:val="24"/>
          <w:lang w:val="en-US" w:eastAsia="zh-CN"/>
        </w:rPr>
        <w:t>甲醛</w:t>
      </w:r>
      <w:r>
        <w:rPr>
          <w:rFonts w:hint="eastAsia" w:ascii="Times New Roman" w:hAnsi="Times New Roman" w:cs="Times New Roman"/>
          <w:color w:val="000000"/>
          <w:sz w:val="24"/>
          <w:szCs w:val="24"/>
        </w:rPr>
        <w:t>要求设置导流沟及围堰，发生</w:t>
      </w:r>
      <w:r>
        <w:rPr>
          <w:rFonts w:hint="eastAsia" w:ascii="Times New Roman" w:hAnsi="Times New Roman" w:cs="Times New Roman"/>
          <w:color w:val="000000"/>
          <w:sz w:val="24"/>
          <w:szCs w:val="24"/>
          <w:lang w:eastAsia="zh-CN"/>
        </w:rPr>
        <w:t>泄漏事故</w:t>
      </w:r>
      <w:r>
        <w:rPr>
          <w:rFonts w:hint="eastAsia" w:ascii="Times New Roman" w:hAnsi="Times New Roman" w:cs="Times New Roman"/>
          <w:color w:val="000000"/>
          <w:sz w:val="24"/>
          <w:szCs w:val="24"/>
        </w:rPr>
        <w:t>将废液引至应急池(罐）</w:t>
      </w:r>
      <w:r>
        <w:rPr>
          <w:rFonts w:ascii="Times New Roman" w:hAnsi="Times New Roman" w:cs="Times New Roman"/>
          <w:color w:val="000000"/>
          <w:sz w:val="24"/>
          <w:szCs w:val="24"/>
        </w:rPr>
        <w:t>。防渗层为防渗层为至少等效 6m 厚粘土层，渗透系数≤10</w:t>
      </w:r>
      <w:r>
        <w:rPr>
          <w:rFonts w:ascii="Times New Roman" w:hAnsi="Times New Roman" w:cs="Times New Roman"/>
          <w:color w:val="000000"/>
          <w:sz w:val="24"/>
          <w:szCs w:val="24"/>
          <w:vertAlign w:val="superscript"/>
        </w:rPr>
        <w:t>-7</w:t>
      </w:r>
      <w:r>
        <w:rPr>
          <w:rFonts w:ascii="Times New Roman" w:hAnsi="Times New Roman" w:cs="Times New Roman"/>
          <w:color w:val="000000"/>
          <w:sz w:val="24"/>
          <w:szCs w:val="24"/>
        </w:rPr>
        <w:t>cm/s，或 2mm 厚高密度聚乙烯，或至少 2mm 厚的其它人工材料，渗透系数≤10</w:t>
      </w:r>
      <w:r>
        <w:rPr>
          <w:rFonts w:ascii="Times New Roman" w:hAnsi="Times New Roman" w:cs="Times New Roman"/>
          <w:color w:val="000000"/>
          <w:sz w:val="24"/>
          <w:szCs w:val="24"/>
          <w:vertAlign w:val="superscript"/>
        </w:rPr>
        <w:t>-10</w:t>
      </w:r>
      <w:r>
        <w:rPr>
          <w:rFonts w:ascii="Times New Roman" w:hAnsi="Times New Roman" w:cs="Times New Roman"/>
          <w:color w:val="000000"/>
          <w:sz w:val="24"/>
          <w:szCs w:val="24"/>
        </w:rPr>
        <w:t>cm/s。</w:t>
      </w:r>
      <w:r>
        <w:rPr>
          <w:rFonts w:hint="eastAsia" w:ascii="Times New Roman" w:hAnsi="Times New Roman" w:cs="Times New Roman"/>
          <w:color w:val="000000"/>
          <w:sz w:val="24"/>
          <w:szCs w:val="24"/>
          <w:lang w:val="en-US" w:eastAsia="zh-CN"/>
        </w:rPr>
        <w:t>板材生产车间及</w:t>
      </w:r>
      <w:r>
        <w:rPr>
          <w:rFonts w:ascii="Times New Roman" w:hAnsi="Times New Roman" w:cs="Times New Roman"/>
          <w:color w:val="000000"/>
          <w:sz w:val="24"/>
          <w:szCs w:val="24"/>
        </w:rPr>
        <w:t>一般工业固废暂存区可按照一般防渗区进行防渗处理，其他区域可按照简单防渗区进行防渗处理。</w:t>
      </w:r>
    </w:p>
    <w:p w14:paraId="70F9C9EC">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 xml:space="preserve">具体的分区情况和防渗要求见表 </w:t>
      </w:r>
      <w:r>
        <w:rPr>
          <w:rFonts w:hint="eastAsia" w:ascii="Times New Roman" w:hAnsi="Times New Roman" w:eastAsia="宋体" w:cs="Times New Roman"/>
          <w:color w:val="000000"/>
          <w:sz w:val="24"/>
          <w:szCs w:val="24"/>
          <w:lang w:val="en-US" w:eastAsia="zh-CN"/>
        </w:rPr>
        <w:t>8.2</w:t>
      </w:r>
      <w:r>
        <w:rPr>
          <w:rFonts w:hint="eastAsia" w:ascii="Times New Roman" w:hAnsi="Times New Roman" w:cs="Times New Roman"/>
          <w:color w:val="000000"/>
          <w:sz w:val="24"/>
          <w:szCs w:val="24"/>
        </w:rPr>
        <w:t>-1</w:t>
      </w:r>
      <w:r>
        <w:rPr>
          <w:rFonts w:ascii="Times New Roman" w:hAnsi="Times New Roman" w:cs="Times New Roman"/>
          <w:color w:val="000000"/>
          <w:sz w:val="24"/>
          <w:szCs w:val="24"/>
        </w:rPr>
        <w:t>。</w:t>
      </w:r>
    </w:p>
    <w:p w14:paraId="52AF0426">
      <w:pPr>
        <w:pStyle w:val="2"/>
        <w:ind w:firstLine="482"/>
        <w:jc w:val="center"/>
        <w:rPr>
          <w:rFonts w:hint="eastAsia" w:ascii="Times New Roman" w:hAnsi="Times New Roman" w:cs="Times New Roman"/>
          <w:b/>
          <w:color w:val="000000"/>
          <w:sz w:val="24"/>
          <w:szCs w:val="24"/>
        </w:rPr>
      </w:pPr>
      <w:r>
        <w:rPr>
          <w:rFonts w:ascii="Times New Roman" w:hAnsi="Times New Roman" w:cs="Times New Roman"/>
          <w:b/>
          <w:color w:val="000000"/>
          <w:sz w:val="24"/>
          <w:szCs w:val="24"/>
        </w:rPr>
        <w:t>表</w:t>
      </w:r>
      <w:r>
        <w:rPr>
          <w:rFonts w:hint="eastAsia" w:ascii="Times New Roman" w:hAnsi="Times New Roman" w:eastAsia="宋体" w:cs="Times New Roman"/>
          <w:b/>
          <w:color w:val="000000"/>
          <w:sz w:val="24"/>
          <w:szCs w:val="24"/>
          <w:lang w:val="en-US" w:eastAsia="zh-CN"/>
        </w:rPr>
        <w:t>8.2-1</w:t>
      </w:r>
      <w:r>
        <w:rPr>
          <w:rFonts w:ascii="Times New Roman" w:hAnsi="Times New Roman" w:cs="Times New Roman"/>
          <w:b/>
          <w:bCs/>
          <w:color w:val="000000"/>
          <w:sz w:val="24"/>
          <w:szCs w:val="24"/>
        </w:rPr>
        <w:tab/>
      </w:r>
      <w:r>
        <w:rPr>
          <w:rFonts w:ascii="Times New Roman" w:hAnsi="Times New Roman" w:cs="Times New Roman"/>
          <w:b/>
          <w:color w:val="000000"/>
          <w:sz w:val="24"/>
          <w:szCs w:val="24"/>
        </w:rPr>
        <w:t>项目区分区防渗要求汇总表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149"/>
        <w:gridCol w:w="1529"/>
        <w:gridCol w:w="3400"/>
        <w:gridCol w:w="1575"/>
      </w:tblGrid>
      <w:tr w14:paraId="7A40DAF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706" w:type="dxa"/>
            <w:noWrap w:val="0"/>
            <w:vAlign w:val="center"/>
          </w:tcPr>
          <w:p w14:paraId="61DBC01C">
            <w:pPr>
              <w:pStyle w:val="2"/>
              <w:ind w:firstLine="0"/>
              <w:jc w:val="center"/>
              <w:rPr>
                <w:rFonts w:ascii="Times New Roman" w:hAnsi="Times New Roman" w:cs="Times New Roman"/>
                <w:b/>
                <w:color w:val="000000"/>
                <w:szCs w:val="24"/>
              </w:rPr>
            </w:pPr>
            <w:r>
              <w:rPr>
                <w:rFonts w:ascii="Times New Roman" w:hAnsi="Times New Roman" w:cs="Times New Roman"/>
                <w:b/>
                <w:color w:val="000000"/>
                <w:szCs w:val="24"/>
              </w:rPr>
              <w:t>分区</w:t>
            </w:r>
          </w:p>
        </w:tc>
        <w:tc>
          <w:tcPr>
            <w:tcW w:w="2149" w:type="dxa"/>
            <w:noWrap w:val="0"/>
            <w:vAlign w:val="center"/>
          </w:tcPr>
          <w:p w14:paraId="62C8CDB2">
            <w:pPr>
              <w:pStyle w:val="2"/>
              <w:ind w:firstLine="0"/>
              <w:jc w:val="center"/>
              <w:rPr>
                <w:rFonts w:ascii="Times New Roman" w:hAnsi="Times New Roman" w:cs="Times New Roman"/>
                <w:b/>
                <w:color w:val="000000"/>
                <w:szCs w:val="24"/>
              </w:rPr>
            </w:pPr>
            <w:r>
              <w:rPr>
                <w:rFonts w:ascii="Times New Roman" w:hAnsi="Times New Roman" w:cs="Times New Roman"/>
                <w:b/>
                <w:color w:val="000000"/>
                <w:szCs w:val="24"/>
              </w:rPr>
              <w:t>对应区域</w:t>
            </w:r>
          </w:p>
        </w:tc>
        <w:tc>
          <w:tcPr>
            <w:tcW w:w="1529" w:type="dxa"/>
            <w:noWrap w:val="0"/>
            <w:vAlign w:val="center"/>
          </w:tcPr>
          <w:p w14:paraId="74483686">
            <w:pPr>
              <w:pStyle w:val="2"/>
              <w:ind w:firstLine="0"/>
              <w:jc w:val="center"/>
              <w:rPr>
                <w:rFonts w:ascii="Times New Roman" w:hAnsi="Times New Roman" w:cs="Times New Roman"/>
                <w:b/>
                <w:color w:val="000000"/>
                <w:szCs w:val="24"/>
              </w:rPr>
            </w:pPr>
            <w:r>
              <w:rPr>
                <w:rFonts w:ascii="Times New Roman" w:hAnsi="Times New Roman" w:cs="Times New Roman"/>
                <w:b/>
                <w:color w:val="000000"/>
                <w:szCs w:val="24"/>
              </w:rPr>
              <w:t>主要污染物</w:t>
            </w:r>
          </w:p>
        </w:tc>
        <w:tc>
          <w:tcPr>
            <w:tcW w:w="3400" w:type="dxa"/>
            <w:noWrap w:val="0"/>
            <w:vAlign w:val="center"/>
          </w:tcPr>
          <w:p w14:paraId="4746776C">
            <w:pPr>
              <w:pStyle w:val="2"/>
              <w:ind w:firstLine="0"/>
              <w:jc w:val="center"/>
              <w:rPr>
                <w:rFonts w:ascii="Times New Roman" w:hAnsi="Times New Roman" w:cs="Times New Roman"/>
                <w:b/>
                <w:color w:val="000000"/>
                <w:szCs w:val="24"/>
              </w:rPr>
            </w:pPr>
            <w:r>
              <w:rPr>
                <w:rFonts w:ascii="Times New Roman" w:hAnsi="Times New Roman" w:cs="Times New Roman"/>
                <w:b/>
                <w:color w:val="000000"/>
                <w:szCs w:val="24"/>
              </w:rPr>
              <w:t>防渗要求</w:t>
            </w:r>
          </w:p>
        </w:tc>
        <w:tc>
          <w:tcPr>
            <w:tcW w:w="1575" w:type="dxa"/>
            <w:noWrap w:val="0"/>
            <w:vAlign w:val="center"/>
          </w:tcPr>
          <w:p w14:paraId="4BD06D70">
            <w:pPr>
              <w:pStyle w:val="2"/>
              <w:ind w:firstLine="0"/>
              <w:jc w:val="center"/>
              <w:rPr>
                <w:rFonts w:ascii="Times New Roman" w:hAnsi="Times New Roman" w:cs="Times New Roman"/>
                <w:b/>
                <w:color w:val="000000"/>
                <w:szCs w:val="24"/>
              </w:rPr>
            </w:pPr>
            <w:r>
              <w:rPr>
                <w:rFonts w:ascii="Times New Roman" w:hAnsi="Times New Roman" w:cs="Times New Roman"/>
                <w:b/>
                <w:color w:val="000000"/>
                <w:szCs w:val="24"/>
              </w:rPr>
              <w:t>依据</w:t>
            </w:r>
          </w:p>
        </w:tc>
      </w:tr>
      <w:tr w14:paraId="0AABB56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706" w:type="dxa"/>
            <w:vMerge w:val="restart"/>
            <w:noWrap w:val="0"/>
            <w:vAlign w:val="center"/>
          </w:tcPr>
          <w:p w14:paraId="40B7976F">
            <w:pPr>
              <w:pStyle w:val="2"/>
              <w:ind w:firstLine="0"/>
              <w:jc w:val="center"/>
              <w:rPr>
                <w:rFonts w:ascii="Times New Roman" w:hAnsi="Times New Roman" w:cs="Times New Roman"/>
                <w:color w:val="000000"/>
                <w:szCs w:val="24"/>
              </w:rPr>
            </w:pPr>
          </w:p>
          <w:p w14:paraId="34A8C777">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重点防渗区</w:t>
            </w:r>
          </w:p>
        </w:tc>
        <w:tc>
          <w:tcPr>
            <w:tcW w:w="2149" w:type="dxa"/>
            <w:noWrap w:val="0"/>
            <w:vAlign w:val="center"/>
          </w:tcPr>
          <w:p w14:paraId="32E524C3">
            <w:pPr>
              <w:pStyle w:val="2"/>
              <w:ind w:firstLine="0"/>
              <w:jc w:val="center"/>
              <w:rPr>
                <w:rFonts w:hint="eastAsia" w:ascii="Times New Roman" w:hAnsi="Times New Roman" w:eastAsia="宋体" w:cs="Times New Roman"/>
                <w:color w:val="000000"/>
                <w:szCs w:val="24"/>
                <w:lang w:eastAsia="zh-CN"/>
              </w:rPr>
            </w:pPr>
            <w:r>
              <w:rPr>
                <w:rFonts w:hint="eastAsia" w:ascii="Times New Roman" w:hAnsi="Times New Roman" w:cs="Times New Roman"/>
                <w:color w:val="000000"/>
                <w:szCs w:val="24"/>
                <w:lang w:val="en-US" w:eastAsia="zh-CN"/>
              </w:rPr>
              <w:t>制胶</w:t>
            </w:r>
            <w:r>
              <w:rPr>
                <w:rFonts w:ascii="Times New Roman" w:hAnsi="Times New Roman" w:cs="Times New Roman"/>
                <w:color w:val="000000"/>
                <w:szCs w:val="24"/>
              </w:rPr>
              <w:t>车间</w:t>
            </w:r>
          </w:p>
        </w:tc>
        <w:tc>
          <w:tcPr>
            <w:tcW w:w="1529" w:type="dxa"/>
            <w:vMerge w:val="restart"/>
            <w:noWrap w:val="0"/>
            <w:vAlign w:val="center"/>
          </w:tcPr>
          <w:p w14:paraId="2E212CE5">
            <w:pPr>
              <w:pStyle w:val="2"/>
              <w:ind w:firstLine="0"/>
              <w:jc w:val="center"/>
              <w:rPr>
                <w:rFonts w:ascii="Times New Roman" w:hAnsi="Times New Roman" w:cs="Times New Roman"/>
                <w:color w:val="000000"/>
                <w:szCs w:val="24"/>
              </w:rPr>
            </w:pPr>
          </w:p>
          <w:p w14:paraId="6D5D1B98">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COD、BOD</w:t>
            </w:r>
            <w:r>
              <w:rPr>
                <w:rFonts w:ascii="Times New Roman" w:hAnsi="Times New Roman" w:cs="Times New Roman"/>
                <w:color w:val="000000"/>
                <w:szCs w:val="24"/>
                <w:vertAlign w:val="subscript"/>
              </w:rPr>
              <w:t>5</w:t>
            </w:r>
            <w:r>
              <w:rPr>
                <w:rFonts w:ascii="Times New Roman" w:hAnsi="Times New Roman" w:cs="Times New Roman"/>
                <w:color w:val="000000"/>
                <w:szCs w:val="24"/>
              </w:rPr>
              <w:t>、</w:t>
            </w:r>
          </w:p>
          <w:p w14:paraId="3AE01DE9">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 xml:space="preserve">SS </w:t>
            </w:r>
          </w:p>
        </w:tc>
        <w:tc>
          <w:tcPr>
            <w:tcW w:w="3400" w:type="dxa"/>
            <w:vMerge w:val="restart"/>
            <w:noWrap w:val="0"/>
            <w:vAlign w:val="center"/>
          </w:tcPr>
          <w:p w14:paraId="7BD88B61">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基础必须防渗，防渗层为至少等效6m 厚粘土层（渗透系数≤10</w:t>
            </w:r>
            <w:r>
              <w:rPr>
                <w:rFonts w:ascii="Times New Roman" w:hAnsi="Times New Roman" w:cs="Times New Roman"/>
                <w:color w:val="000000"/>
                <w:szCs w:val="24"/>
                <w:vertAlign w:val="superscript"/>
              </w:rPr>
              <w:t>-7</w:t>
            </w:r>
            <w:r>
              <w:rPr>
                <w:rFonts w:ascii="Times New Roman" w:hAnsi="Times New Roman" w:cs="Times New Roman"/>
                <w:color w:val="000000"/>
                <w:szCs w:val="24"/>
              </w:rPr>
              <w:t>cm/s），或 2mm 厚高密度聚乙烯，或至少 2mm 厚的其它人工材料，渗透系数≤10</w:t>
            </w:r>
            <w:r>
              <w:rPr>
                <w:rFonts w:ascii="Times New Roman" w:hAnsi="Times New Roman" w:cs="Times New Roman"/>
                <w:color w:val="000000"/>
                <w:szCs w:val="24"/>
                <w:vertAlign w:val="superscript"/>
              </w:rPr>
              <w:t>-10</w:t>
            </w:r>
            <w:r>
              <w:rPr>
                <w:rFonts w:ascii="Times New Roman" w:hAnsi="Times New Roman" w:cs="Times New Roman"/>
                <w:color w:val="000000"/>
                <w:szCs w:val="24"/>
              </w:rPr>
              <w:t>cm/s</w:t>
            </w:r>
            <w:r>
              <w:rPr>
                <w:rFonts w:hint="eastAsia" w:ascii="Times New Roman" w:hAnsi="Times New Roman" w:cs="Times New Roman"/>
                <w:color w:val="000000"/>
                <w:szCs w:val="24"/>
              </w:rPr>
              <w:t>；同时</w:t>
            </w:r>
            <w:r>
              <w:rPr>
                <w:rFonts w:hint="eastAsia" w:ascii="Times New Roman" w:hAnsi="Times New Roman" w:eastAsia="宋体" w:cs="Times New Roman"/>
                <w:color w:val="000000"/>
                <w:szCs w:val="24"/>
                <w:lang w:val="en-US" w:eastAsia="zh-CN"/>
              </w:rPr>
              <w:t>甲醛储罐</w:t>
            </w:r>
            <w:r>
              <w:rPr>
                <w:rFonts w:hint="eastAsia" w:ascii="Times New Roman" w:hAnsi="Times New Roman" w:cs="Times New Roman"/>
                <w:color w:val="000000"/>
                <w:szCs w:val="24"/>
              </w:rPr>
              <w:t>要求设置导流沟及围堰，按照防渗层的要求进行防渗施工建设</w:t>
            </w:r>
          </w:p>
        </w:tc>
        <w:tc>
          <w:tcPr>
            <w:tcW w:w="1575" w:type="dxa"/>
            <w:vMerge w:val="restart"/>
            <w:noWrap w:val="0"/>
            <w:vAlign w:val="center"/>
          </w:tcPr>
          <w:p w14:paraId="62A894AD">
            <w:pPr>
              <w:pStyle w:val="2"/>
              <w:ind w:firstLine="0"/>
              <w:jc w:val="center"/>
              <w:rPr>
                <w:rFonts w:ascii="Times New Roman" w:hAnsi="Times New Roman" w:cs="Times New Roman"/>
                <w:color w:val="000000"/>
                <w:szCs w:val="24"/>
              </w:rPr>
            </w:pPr>
          </w:p>
          <w:p w14:paraId="3422D9CC">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参照HJ610-2016 防渗要求</w:t>
            </w:r>
          </w:p>
        </w:tc>
      </w:tr>
      <w:tr w14:paraId="67831FC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706" w:type="dxa"/>
            <w:vMerge w:val="continue"/>
            <w:noWrap w:val="0"/>
            <w:vAlign w:val="center"/>
          </w:tcPr>
          <w:p w14:paraId="532288DA">
            <w:pPr>
              <w:pStyle w:val="2"/>
              <w:ind w:firstLine="0"/>
              <w:jc w:val="center"/>
              <w:rPr>
                <w:rFonts w:ascii="Times New Roman" w:hAnsi="Times New Roman" w:cs="Times New Roman"/>
                <w:color w:val="000000"/>
                <w:szCs w:val="24"/>
              </w:rPr>
            </w:pPr>
          </w:p>
        </w:tc>
        <w:tc>
          <w:tcPr>
            <w:tcW w:w="2149" w:type="dxa"/>
            <w:noWrap w:val="0"/>
            <w:vAlign w:val="center"/>
          </w:tcPr>
          <w:p w14:paraId="1A10C028">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污水处理设施（</w:t>
            </w:r>
            <w:r>
              <w:rPr>
                <w:rFonts w:hint="eastAsia" w:ascii="Times New Roman" w:hAnsi="Times New Roman" w:eastAsia="宋体" w:cs="Times New Roman"/>
                <w:color w:val="000000"/>
                <w:szCs w:val="24"/>
                <w:lang w:val="en-US" w:eastAsia="zh-CN"/>
              </w:rPr>
              <w:t>初期雨水收集池</w:t>
            </w:r>
            <w:r>
              <w:rPr>
                <w:rFonts w:ascii="Times New Roman" w:hAnsi="Times New Roman" w:cs="Times New Roman"/>
                <w:color w:val="000000"/>
                <w:szCs w:val="24"/>
              </w:rPr>
              <w:t>）</w:t>
            </w:r>
          </w:p>
        </w:tc>
        <w:tc>
          <w:tcPr>
            <w:tcW w:w="1529" w:type="dxa"/>
            <w:vMerge w:val="continue"/>
            <w:noWrap w:val="0"/>
            <w:vAlign w:val="center"/>
          </w:tcPr>
          <w:p w14:paraId="7080A837">
            <w:pPr>
              <w:pStyle w:val="2"/>
              <w:ind w:firstLine="0"/>
              <w:jc w:val="center"/>
              <w:rPr>
                <w:rFonts w:ascii="Times New Roman" w:hAnsi="Times New Roman" w:cs="Times New Roman"/>
                <w:color w:val="000000"/>
                <w:szCs w:val="24"/>
              </w:rPr>
            </w:pPr>
          </w:p>
        </w:tc>
        <w:tc>
          <w:tcPr>
            <w:tcW w:w="3400" w:type="dxa"/>
            <w:vMerge w:val="continue"/>
            <w:noWrap w:val="0"/>
            <w:vAlign w:val="center"/>
          </w:tcPr>
          <w:p w14:paraId="220A0D39">
            <w:pPr>
              <w:pStyle w:val="2"/>
              <w:ind w:firstLine="0"/>
              <w:jc w:val="center"/>
              <w:rPr>
                <w:rFonts w:ascii="Times New Roman" w:hAnsi="Times New Roman" w:cs="Times New Roman"/>
                <w:color w:val="000000"/>
                <w:szCs w:val="24"/>
              </w:rPr>
            </w:pPr>
          </w:p>
        </w:tc>
        <w:tc>
          <w:tcPr>
            <w:tcW w:w="1575" w:type="dxa"/>
            <w:vMerge w:val="continue"/>
            <w:noWrap w:val="0"/>
            <w:vAlign w:val="center"/>
          </w:tcPr>
          <w:p w14:paraId="7BAC46B5">
            <w:pPr>
              <w:pStyle w:val="2"/>
              <w:ind w:firstLine="0"/>
              <w:jc w:val="center"/>
              <w:rPr>
                <w:rFonts w:ascii="Times New Roman" w:hAnsi="Times New Roman" w:cs="Times New Roman"/>
                <w:color w:val="000000"/>
                <w:szCs w:val="24"/>
              </w:rPr>
            </w:pPr>
          </w:p>
        </w:tc>
      </w:tr>
      <w:tr w14:paraId="067B54E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506" w:hRule="atLeast"/>
          <w:jc w:val="center"/>
        </w:trPr>
        <w:tc>
          <w:tcPr>
            <w:tcW w:w="706" w:type="dxa"/>
            <w:vMerge w:val="continue"/>
            <w:noWrap w:val="0"/>
            <w:vAlign w:val="center"/>
          </w:tcPr>
          <w:p w14:paraId="2D73D912">
            <w:pPr>
              <w:pStyle w:val="2"/>
              <w:ind w:firstLine="0"/>
              <w:jc w:val="center"/>
              <w:rPr>
                <w:rFonts w:ascii="Times New Roman" w:hAnsi="Times New Roman" w:cs="Times New Roman"/>
                <w:color w:val="000000"/>
                <w:szCs w:val="24"/>
              </w:rPr>
            </w:pPr>
          </w:p>
        </w:tc>
        <w:tc>
          <w:tcPr>
            <w:tcW w:w="2149" w:type="dxa"/>
            <w:noWrap w:val="0"/>
            <w:vAlign w:val="center"/>
          </w:tcPr>
          <w:p w14:paraId="613AF0DF">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危废暂存间</w:t>
            </w:r>
          </w:p>
          <w:p w14:paraId="729B1B00">
            <w:pPr>
              <w:pStyle w:val="2"/>
              <w:ind w:firstLine="0"/>
              <w:jc w:val="center"/>
              <w:rPr>
                <w:rFonts w:ascii="Times New Roman" w:hAnsi="Times New Roman" w:cs="Times New Roman"/>
                <w:color w:val="000000"/>
                <w:szCs w:val="24"/>
              </w:rPr>
            </w:pPr>
          </w:p>
        </w:tc>
        <w:tc>
          <w:tcPr>
            <w:tcW w:w="1529" w:type="dxa"/>
            <w:noWrap w:val="0"/>
            <w:vAlign w:val="center"/>
          </w:tcPr>
          <w:p w14:paraId="3AD6619B">
            <w:pPr>
              <w:pStyle w:val="2"/>
              <w:ind w:firstLine="0"/>
              <w:jc w:val="center"/>
              <w:rPr>
                <w:rFonts w:ascii="Times New Roman" w:hAnsi="Times New Roman" w:eastAsia="宋体" w:cs="Times New Roman"/>
                <w:color w:val="000000"/>
                <w:szCs w:val="24"/>
                <w:lang w:val="en-US" w:eastAsia="zh-CN"/>
              </w:rPr>
            </w:pPr>
            <w:r>
              <w:rPr>
                <w:rFonts w:ascii="Times New Roman" w:hAnsi="Times New Roman" w:cs="Times New Roman"/>
                <w:color w:val="000000"/>
                <w:szCs w:val="24"/>
              </w:rPr>
              <w:t>废机油</w:t>
            </w:r>
            <w:r>
              <w:rPr>
                <w:rFonts w:hint="eastAsia" w:ascii="Times New Roman" w:hAnsi="Times New Roman" w:eastAsia="宋体" w:cs="Times New Roman"/>
                <w:color w:val="000000"/>
                <w:szCs w:val="24"/>
                <w:lang w:eastAsia="zh-CN"/>
              </w:rPr>
              <w:t>、</w:t>
            </w:r>
            <w:r>
              <w:rPr>
                <w:rFonts w:hint="eastAsia" w:ascii="Times New Roman" w:hAnsi="Times New Roman" w:eastAsia="宋体" w:cs="Times New Roman"/>
                <w:color w:val="000000"/>
                <w:szCs w:val="24"/>
                <w:lang w:val="en-US" w:eastAsia="zh-CN"/>
              </w:rPr>
              <w:t>甲醛、苯酚等</w:t>
            </w:r>
          </w:p>
        </w:tc>
        <w:tc>
          <w:tcPr>
            <w:tcW w:w="3400" w:type="dxa"/>
            <w:vMerge w:val="continue"/>
            <w:noWrap w:val="0"/>
            <w:vAlign w:val="center"/>
          </w:tcPr>
          <w:p w14:paraId="11BA432C">
            <w:pPr>
              <w:pStyle w:val="2"/>
              <w:ind w:firstLine="0"/>
              <w:jc w:val="center"/>
              <w:rPr>
                <w:rFonts w:ascii="Times New Roman" w:hAnsi="Times New Roman" w:cs="Times New Roman"/>
                <w:color w:val="000000"/>
                <w:szCs w:val="24"/>
              </w:rPr>
            </w:pPr>
          </w:p>
        </w:tc>
        <w:tc>
          <w:tcPr>
            <w:tcW w:w="1575" w:type="dxa"/>
            <w:noWrap w:val="0"/>
            <w:vAlign w:val="center"/>
          </w:tcPr>
          <w:p w14:paraId="0564768B">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GB18597-2001</w:t>
            </w:r>
          </w:p>
        </w:tc>
      </w:tr>
      <w:tr w14:paraId="0311B71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79" w:hRule="atLeast"/>
          <w:jc w:val="center"/>
        </w:trPr>
        <w:tc>
          <w:tcPr>
            <w:tcW w:w="706" w:type="dxa"/>
            <w:noWrap w:val="0"/>
            <w:vAlign w:val="center"/>
          </w:tcPr>
          <w:p w14:paraId="51FCE6A2">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一般防渗区</w:t>
            </w:r>
          </w:p>
        </w:tc>
        <w:tc>
          <w:tcPr>
            <w:tcW w:w="2149" w:type="dxa"/>
            <w:noWrap w:val="0"/>
            <w:vAlign w:val="center"/>
          </w:tcPr>
          <w:p w14:paraId="718369AE">
            <w:pPr>
              <w:pStyle w:val="2"/>
              <w:ind w:firstLine="0"/>
              <w:jc w:val="center"/>
              <w:rPr>
                <w:rFonts w:ascii="Times New Roman" w:hAnsi="Times New Roman" w:cs="Times New Roman"/>
                <w:color w:val="000000"/>
                <w:szCs w:val="24"/>
              </w:rPr>
            </w:pPr>
            <w:r>
              <w:rPr>
                <w:rFonts w:hint="eastAsia" w:ascii="Times New Roman" w:hAnsi="Times New Roman" w:cs="Times New Roman"/>
                <w:color w:val="000000"/>
                <w:szCs w:val="24"/>
                <w:lang w:val="en-US" w:eastAsia="zh-CN"/>
              </w:rPr>
              <w:t>板材生产车间及一</w:t>
            </w:r>
            <w:r>
              <w:rPr>
                <w:rFonts w:ascii="Times New Roman" w:hAnsi="Times New Roman" w:cs="Times New Roman"/>
                <w:color w:val="000000"/>
                <w:szCs w:val="24"/>
              </w:rPr>
              <w:t>般工业固废暂存区</w:t>
            </w:r>
          </w:p>
        </w:tc>
        <w:tc>
          <w:tcPr>
            <w:tcW w:w="1529" w:type="dxa"/>
            <w:noWrap w:val="0"/>
            <w:vAlign w:val="center"/>
          </w:tcPr>
          <w:p w14:paraId="2F10B87D">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w:t>
            </w:r>
          </w:p>
        </w:tc>
        <w:tc>
          <w:tcPr>
            <w:tcW w:w="3400" w:type="dxa"/>
            <w:noWrap w:val="0"/>
            <w:vAlign w:val="center"/>
          </w:tcPr>
          <w:p w14:paraId="413BE108">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采用天然或人工材料构筑防渗层， 厚度相当于渗透系数 10</w:t>
            </w:r>
            <w:r>
              <w:rPr>
                <w:rFonts w:ascii="Times New Roman" w:hAnsi="Times New Roman" w:cs="Times New Roman"/>
                <w:color w:val="000000"/>
                <w:szCs w:val="24"/>
                <w:vertAlign w:val="superscript"/>
              </w:rPr>
              <w:t>-7</w:t>
            </w:r>
            <w:r>
              <w:rPr>
                <w:rFonts w:ascii="Times New Roman" w:hAnsi="Times New Roman" w:cs="Times New Roman"/>
                <w:color w:val="000000"/>
                <w:szCs w:val="24"/>
              </w:rPr>
              <w:t>cm/s 和厚度 1.5m 的粘土层的防渗性能</w:t>
            </w:r>
          </w:p>
        </w:tc>
        <w:tc>
          <w:tcPr>
            <w:tcW w:w="1575" w:type="dxa"/>
            <w:noWrap w:val="0"/>
            <w:vAlign w:val="center"/>
          </w:tcPr>
          <w:p w14:paraId="280EB502">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参照GB18599-2001Ⅱ类场要求</w:t>
            </w:r>
          </w:p>
        </w:tc>
      </w:tr>
      <w:tr w14:paraId="027CAA3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62" w:hRule="atLeast"/>
          <w:jc w:val="center"/>
        </w:trPr>
        <w:tc>
          <w:tcPr>
            <w:tcW w:w="706" w:type="dxa"/>
            <w:noWrap w:val="0"/>
            <w:vAlign w:val="center"/>
          </w:tcPr>
          <w:p w14:paraId="17896E7B">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简单防渗区</w:t>
            </w:r>
          </w:p>
        </w:tc>
        <w:tc>
          <w:tcPr>
            <w:tcW w:w="2149" w:type="dxa"/>
            <w:noWrap w:val="0"/>
            <w:vAlign w:val="center"/>
          </w:tcPr>
          <w:p w14:paraId="44A8CC48">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其他区域</w:t>
            </w:r>
          </w:p>
        </w:tc>
        <w:tc>
          <w:tcPr>
            <w:tcW w:w="1529" w:type="dxa"/>
            <w:noWrap w:val="0"/>
            <w:vAlign w:val="center"/>
          </w:tcPr>
          <w:p w14:paraId="0CE3530C">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w:t>
            </w:r>
          </w:p>
        </w:tc>
        <w:tc>
          <w:tcPr>
            <w:tcW w:w="3400" w:type="dxa"/>
            <w:noWrap w:val="0"/>
            <w:vAlign w:val="center"/>
          </w:tcPr>
          <w:p w14:paraId="772E7E9D">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地面硬化</w:t>
            </w:r>
          </w:p>
        </w:tc>
        <w:tc>
          <w:tcPr>
            <w:tcW w:w="1575" w:type="dxa"/>
            <w:noWrap w:val="0"/>
            <w:vAlign w:val="center"/>
          </w:tcPr>
          <w:p w14:paraId="5078AAE0">
            <w:pPr>
              <w:pStyle w:val="2"/>
              <w:ind w:firstLine="0"/>
              <w:jc w:val="center"/>
              <w:rPr>
                <w:rFonts w:ascii="Times New Roman" w:hAnsi="Times New Roman" w:cs="Times New Roman"/>
                <w:color w:val="000000"/>
                <w:szCs w:val="24"/>
              </w:rPr>
            </w:pPr>
            <w:r>
              <w:rPr>
                <w:rFonts w:ascii="Times New Roman" w:hAnsi="Times New Roman" w:cs="Times New Roman"/>
                <w:color w:val="000000"/>
                <w:szCs w:val="24"/>
              </w:rPr>
              <w:t>参照HJ610-2016 防渗要求</w:t>
            </w:r>
          </w:p>
        </w:tc>
      </w:tr>
    </w:tbl>
    <w:p w14:paraId="5E409723">
      <w:pPr>
        <w:pStyle w:val="282"/>
        <w:rPr>
          <w:color w:val="000000"/>
        </w:rPr>
      </w:pPr>
      <w:r>
        <w:rPr>
          <w:rFonts w:hint="eastAsia"/>
          <w:color w:val="000000"/>
          <w:lang w:val="en-US" w:eastAsia="zh-CN"/>
        </w:rPr>
        <w:t>8</w:t>
      </w:r>
      <w:r>
        <w:rPr>
          <w:rFonts w:hint="eastAsia"/>
          <w:color w:val="000000"/>
        </w:rPr>
        <w:t>.2.</w:t>
      </w:r>
      <w:r>
        <w:rPr>
          <w:rFonts w:hint="eastAsia"/>
          <w:color w:val="000000"/>
          <w:lang w:val="en-US" w:eastAsia="zh-CN"/>
        </w:rPr>
        <w:t>2.4</w:t>
      </w:r>
      <w:r>
        <w:rPr>
          <w:color w:val="000000"/>
        </w:rPr>
        <w:t>地下水跟踪监测计划及污染应急预案</w:t>
      </w:r>
    </w:p>
    <w:p w14:paraId="2CF39B4B">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（1）跟踪监测计划</w:t>
      </w:r>
    </w:p>
    <w:p w14:paraId="772C24B3">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为能够及时了解和掌握地下水水质情况，应定期对地下水进行监测，以便及时发现问题，及早采取有效防治措施。本环评提出以下对地下水环境跟踪监测计划：</w:t>
      </w:r>
    </w:p>
    <w:p w14:paraId="62A94248">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①厂区设置</w:t>
      </w:r>
      <w:r>
        <w:rPr>
          <w:rFonts w:hint="eastAsia" w:ascii="Times New Roman" w:hAnsi="Times New Roman" w:eastAsia="宋体" w:cs="Times New Roman"/>
          <w:color w:val="000000"/>
          <w:sz w:val="24"/>
          <w:szCs w:val="24"/>
          <w:lang w:val="en-US" w:eastAsia="zh-CN"/>
        </w:rPr>
        <w:t>1</w:t>
      </w:r>
      <w:r>
        <w:rPr>
          <w:rFonts w:ascii="Times New Roman" w:hAnsi="Times New Roman" w:eastAsia="宋体" w:cs="Times New Roman"/>
          <w:color w:val="000000"/>
          <w:sz w:val="24"/>
          <w:szCs w:val="24"/>
        </w:rPr>
        <w:t>个污染监测井</w:t>
      </w:r>
      <w:r>
        <w:rPr>
          <w:rFonts w:ascii="Times New Roman" w:hAnsi="Times New Roman" w:eastAsia="宋体" w:cs="Times New Roman"/>
          <w:color w:val="000000"/>
          <w:sz w:val="24"/>
          <w:szCs w:val="24"/>
          <w:lang w:val="en-US" w:eastAsia="zh-CN"/>
        </w:rPr>
        <w:t>和</w:t>
      </w:r>
      <w:r>
        <w:rPr>
          <w:rFonts w:hint="eastAsia" w:ascii="Times New Roman" w:hAnsi="Times New Roman" w:eastAsia="宋体" w:cs="Times New Roman"/>
          <w:color w:val="000000"/>
          <w:sz w:val="24"/>
          <w:szCs w:val="24"/>
          <w:lang w:val="en-US" w:eastAsia="zh-CN"/>
        </w:rPr>
        <w:t>北侧80m处的地下水井</w:t>
      </w:r>
      <w:r>
        <w:rPr>
          <w:rFonts w:ascii="Times New Roman" w:hAnsi="Times New Roman" w:eastAsia="宋体" w:cs="Times New Roman"/>
          <w:color w:val="000000"/>
          <w:sz w:val="24"/>
          <w:szCs w:val="24"/>
        </w:rPr>
        <w:t>。</w:t>
      </w:r>
    </w:p>
    <w:p w14:paraId="3E8F2CB0">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②监测项目：</w:t>
      </w:r>
      <w:r>
        <w:rPr>
          <w:color w:val="000000"/>
          <w:sz w:val="24"/>
        </w:rPr>
        <w:t>pH、</w:t>
      </w:r>
      <w:r>
        <w:rPr>
          <w:rFonts w:hint="eastAsia" w:eastAsia="宋体"/>
          <w:color w:val="000000"/>
          <w:sz w:val="24"/>
          <w:lang w:val="en-US" w:eastAsia="zh-CN"/>
        </w:rPr>
        <w:t>耗氧量、总硬度、</w:t>
      </w:r>
      <w:r>
        <w:rPr>
          <w:color w:val="000000"/>
          <w:sz w:val="24"/>
        </w:rPr>
        <w:t>溶解性固体、氨氮、硝酸盐、</w:t>
      </w:r>
      <w:r>
        <w:rPr>
          <w:rFonts w:hint="eastAsia" w:eastAsia="宋体"/>
          <w:color w:val="000000"/>
          <w:sz w:val="24"/>
          <w:lang w:val="en-US" w:eastAsia="zh-CN"/>
        </w:rPr>
        <w:t>氟化物、挥发酚、</w:t>
      </w:r>
      <w:r>
        <w:rPr>
          <w:color w:val="000000"/>
          <w:sz w:val="24"/>
        </w:rPr>
        <w:t>氯化物、铁、锰、镉、砷、汞、铬（六价）、总大肠菌群</w:t>
      </w:r>
      <w:r>
        <w:rPr>
          <w:rFonts w:hint="eastAsia" w:eastAsia="宋体"/>
          <w:color w:val="000000"/>
          <w:sz w:val="24"/>
          <w:lang w:eastAsia="zh-CN"/>
        </w:rPr>
        <w:t>、</w:t>
      </w:r>
      <w:r>
        <w:rPr>
          <w:rFonts w:hint="eastAsia" w:eastAsia="宋体"/>
          <w:color w:val="000000"/>
          <w:sz w:val="24"/>
          <w:lang w:val="en-US" w:eastAsia="zh-CN"/>
        </w:rPr>
        <w:t>甲醛</w:t>
      </w:r>
      <w:r>
        <w:rPr>
          <w:rFonts w:hint="eastAsia" w:eastAsia="宋体"/>
          <w:color w:val="000000"/>
          <w:sz w:val="24"/>
          <w:lang w:eastAsia="zh-CN"/>
        </w:rPr>
        <w:t>。</w:t>
      </w:r>
    </w:p>
    <w:p w14:paraId="4441B5B0">
      <w:pPr>
        <w:pStyle w:val="2"/>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③监测频率：每年监测频率不得少于两次（丰、枯水期），2天/期，每天 1 次。</w:t>
      </w:r>
    </w:p>
    <w:p w14:paraId="6A4C7A1A">
      <w:pPr>
        <w:pStyle w:val="2"/>
        <w:numPr>
          <w:ilvl w:val="0"/>
          <w:numId w:val="13"/>
        </w:numPr>
        <w:ind w:firstLine="480"/>
        <w:rPr>
          <w:color w:val="000000"/>
          <w:sz w:val="24"/>
          <w:szCs w:val="24"/>
        </w:rPr>
      </w:pPr>
      <w:r>
        <w:rPr>
          <w:rFonts w:hint="eastAsia"/>
          <w:color w:val="000000"/>
          <w:sz w:val="24"/>
          <w:szCs w:val="24"/>
        </w:rPr>
        <w:t>污染应急预案</w:t>
      </w:r>
    </w:p>
    <w:p w14:paraId="4F2507E8">
      <w:pPr>
        <w:pStyle w:val="2"/>
        <w:keepNext w:val="0"/>
        <w:keepLines w:val="0"/>
        <w:pageBreakBefore w:val="0"/>
        <w:widowControl/>
        <w:spacing w:line="360" w:lineRule="auto"/>
        <w:ind w:left="0" w:firstLine="480"/>
        <w:jc w:val="both"/>
        <w:rPr>
          <w:rFonts w:hint="eastAsia" w:eastAsia="Calibri"/>
          <w:color w:val="000000"/>
          <w:sz w:val="24"/>
          <w:szCs w:val="24"/>
          <w:lang w:val="zh-CN" w:eastAsia="zh-CN"/>
        </w:rPr>
      </w:pPr>
      <w:r>
        <w:rPr>
          <w:rFonts w:hint="eastAsia"/>
          <w:color w:val="000000"/>
          <w:sz w:val="24"/>
          <w:szCs w:val="24"/>
        </w:rPr>
        <w:t>项目应按国家、地方及行业相关规范要求，</w:t>
      </w:r>
      <w:r>
        <w:rPr>
          <w:rFonts w:hint="eastAsia" w:eastAsia="Calibri"/>
          <w:color w:val="000000"/>
          <w:sz w:val="24"/>
          <w:szCs w:val="24"/>
          <w:lang w:val="zh-CN" w:eastAsia="zh-CN"/>
        </w:rPr>
        <w:t>制定地下水污染应急响应预案，明确污染状况下应采取的控制污染源、切断污染途径等措施。项目生产运营期间，如发生突发性泄漏事故，造成地下水污染，不仅污染环境，对人体造成伤害，因此，对泄漏事故应及时、正确处理，防止事故扩大。泄漏处理一般包括泄漏控制和泄漏物处理两大部分。</w:t>
      </w:r>
    </w:p>
    <w:p w14:paraId="7AB5FCB5">
      <w:pPr>
        <w:pStyle w:val="2"/>
        <w:keepNext w:val="0"/>
        <w:keepLines w:val="0"/>
        <w:pageBreakBefore w:val="0"/>
        <w:widowControl/>
        <w:spacing w:line="360" w:lineRule="auto"/>
        <w:ind w:left="0" w:firstLine="480"/>
        <w:jc w:val="both"/>
        <w:rPr>
          <w:rFonts w:hint="eastAsia" w:eastAsia="Calibri"/>
          <w:color w:val="000000"/>
          <w:sz w:val="24"/>
          <w:szCs w:val="24"/>
          <w:lang w:val="zh-CN" w:eastAsia="zh-CN"/>
        </w:rPr>
      </w:pPr>
      <w:r>
        <w:rPr>
          <w:rFonts w:hint="eastAsia" w:eastAsia="Calibri"/>
          <w:color w:val="000000"/>
          <w:sz w:val="24"/>
          <w:szCs w:val="24"/>
          <w:lang w:val="zh-CN" w:eastAsia="zh-CN"/>
        </w:rPr>
        <w:t>（</w:t>
      </w:r>
      <w:r>
        <w:rPr>
          <w:rFonts w:hint="eastAsia" w:eastAsia="Calibri"/>
          <w:color w:val="000000"/>
          <w:sz w:val="24"/>
          <w:szCs w:val="24"/>
          <w:lang w:val="en-US" w:eastAsia="zh-CN"/>
        </w:rPr>
        <w:t>1</w:t>
      </w:r>
      <w:r>
        <w:rPr>
          <w:rFonts w:hint="eastAsia" w:eastAsia="Calibri"/>
          <w:color w:val="000000"/>
          <w:sz w:val="24"/>
          <w:szCs w:val="24"/>
          <w:lang w:val="zh-CN" w:eastAsia="zh-CN"/>
        </w:rPr>
        <w:t>）泄漏源控制</w:t>
      </w:r>
    </w:p>
    <w:p w14:paraId="12CADE32">
      <w:pPr>
        <w:pStyle w:val="2"/>
        <w:ind w:firstLine="480"/>
        <w:rPr>
          <w:rFonts w:hint="eastAsia" w:eastAsia="Calibri"/>
          <w:color w:val="000000"/>
          <w:sz w:val="24"/>
          <w:szCs w:val="24"/>
          <w:lang w:val="zh-CN" w:eastAsia="zh-CN"/>
        </w:rPr>
      </w:pPr>
      <w:r>
        <w:rPr>
          <w:rFonts w:hint="eastAsia" w:eastAsia="Calibri"/>
          <w:color w:val="000000"/>
          <w:sz w:val="24"/>
          <w:szCs w:val="24"/>
          <w:lang w:val="en-US" w:eastAsia="zh-CN"/>
        </w:rPr>
        <w:t>若</w:t>
      </w:r>
      <w:r>
        <w:rPr>
          <w:rFonts w:hint="eastAsia" w:eastAsia="Calibri"/>
          <w:color w:val="000000"/>
          <w:sz w:val="24"/>
          <w:szCs w:val="24"/>
          <w:lang w:val="zh-CN" w:eastAsia="zh-CN"/>
        </w:rPr>
        <w:t>发生</w:t>
      </w:r>
      <w:r>
        <w:rPr>
          <w:rFonts w:hint="eastAsia" w:eastAsia="Calibri"/>
          <w:color w:val="000000"/>
          <w:sz w:val="24"/>
          <w:szCs w:val="24"/>
          <w:lang w:val="en-US" w:eastAsia="zh-CN"/>
        </w:rPr>
        <w:t>地下水污染</w:t>
      </w:r>
      <w:r>
        <w:rPr>
          <w:rFonts w:hint="eastAsia" w:eastAsia="Calibri"/>
          <w:color w:val="000000"/>
          <w:sz w:val="24"/>
          <w:szCs w:val="24"/>
          <w:lang w:val="zh-CN" w:eastAsia="zh-CN"/>
        </w:rPr>
        <w:t>泄漏</w:t>
      </w:r>
      <w:r>
        <w:rPr>
          <w:rFonts w:hint="eastAsia" w:eastAsia="Calibri"/>
          <w:color w:val="000000"/>
          <w:sz w:val="24"/>
          <w:szCs w:val="24"/>
          <w:lang w:val="en-US" w:eastAsia="zh-CN"/>
        </w:rPr>
        <w:t>污染事故</w:t>
      </w:r>
      <w:r>
        <w:rPr>
          <w:rFonts w:hint="eastAsia" w:eastAsia="Calibri"/>
          <w:color w:val="000000"/>
          <w:sz w:val="24"/>
          <w:szCs w:val="24"/>
          <w:lang w:val="zh-CN" w:eastAsia="zh-CN"/>
        </w:rPr>
        <w:t>，采取措施补</w:t>
      </w:r>
      <w:r>
        <w:rPr>
          <w:rFonts w:hint="eastAsia" w:eastAsia="Calibri"/>
          <w:color w:val="000000"/>
          <w:sz w:val="24"/>
          <w:szCs w:val="24"/>
          <w:lang w:val="en-US" w:eastAsia="zh-CN"/>
        </w:rPr>
        <w:t>修</w:t>
      </w:r>
      <w:r>
        <w:rPr>
          <w:rFonts w:hint="eastAsia" w:eastAsia="Calibri"/>
          <w:color w:val="000000"/>
          <w:sz w:val="24"/>
          <w:szCs w:val="24"/>
          <w:lang w:val="zh-CN" w:eastAsia="zh-CN"/>
        </w:rPr>
        <w:t>和堵塞裂口，制止有害物质的进一步泄漏，</w:t>
      </w:r>
      <w:r>
        <w:rPr>
          <w:rFonts w:hint="eastAsia"/>
          <w:color w:val="000000"/>
          <w:sz w:val="24"/>
          <w:szCs w:val="24"/>
        </w:rPr>
        <w:t>应立即向公司行政管理部门及</w:t>
      </w:r>
      <w:r>
        <w:rPr>
          <w:rFonts w:hint="eastAsia"/>
          <w:color w:val="000000"/>
          <w:sz w:val="24"/>
          <w:szCs w:val="24"/>
          <w:lang w:eastAsia="zh-CN"/>
        </w:rPr>
        <w:t>生态环境部门</w:t>
      </w:r>
      <w:r>
        <w:rPr>
          <w:rFonts w:hint="eastAsia"/>
          <w:color w:val="000000"/>
          <w:sz w:val="24"/>
          <w:szCs w:val="24"/>
        </w:rPr>
        <w:t>报告，调查并确认污染源位置；</w:t>
      </w:r>
      <w:r>
        <w:rPr>
          <w:rFonts w:hint="eastAsia" w:eastAsia="Calibri"/>
          <w:color w:val="000000"/>
          <w:sz w:val="24"/>
          <w:szCs w:val="24"/>
          <w:lang w:val="zh-CN" w:eastAsia="zh-CN"/>
        </w:rPr>
        <w:t>及时通知具有相应处理资质的单位及时清运。</w:t>
      </w:r>
    </w:p>
    <w:p w14:paraId="6D021CE1">
      <w:pPr>
        <w:pStyle w:val="2"/>
        <w:keepNext w:val="0"/>
        <w:keepLines w:val="0"/>
        <w:pageBreakBefore w:val="0"/>
        <w:widowControl/>
        <w:spacing w:line="360" w:lineRule="auto"/>
        <w:ind w:left="0" w:firstLine="480"/>
        <w:jc w:val="both"/>
        <w:rPr>
          <w:rFonts w:hint="eastAsia" w:eastAsia="Calibri"/>
          <w:color w:val="000000"/>
          <w:sz w:val="24"/>
          <w:szCs w:val="24"/>
          <w:lang w:val="zh-CN" w:eastAsia="zh-CN"/>
        </w:rPr>
      </w:pPr>
      <w:r>
        <w:rPr>
          <w:rFonts w:hint="eastAsia" w:eastAsia="Calibri"/>
          <w:color w:val="000000"/>
          <w:sz w:val="24"/>
          <w:szCs w:val="24"/>
          <w:lang w:val="zh-CN" w:eastAsia="zh-CN"/>
        </w:rPr>
        <w:t>（</w:t>
      </w:r>
      <w:r>
        <w:rPr>
          <w:rFonts w:hint="eastAsia" w:eastAsia="Calibri"/>
          <w:color w:val="000000"/>
          <w:sz w:val="24"/>
          <w:szCs w:val="24"/>
          <w:lang w:val="en-US" w:eastAsia="zh-CN"/>
        </w:rPr>
        <w:t>2</w:t>
      </w:r>
      <w:r>
        <w:rPr>
          <w:rFonts w:hint="eastAsia" w:eastAsia="Calibri"/>
          <w:color w:val="000000"/>
          <w:sz w:val="24"/>
          <w:szCs w:val="24"/>
          <w:lang w:val="zh-CN" w:eastAsia="zh-CN"/>
        </w:rPr>
        <w:t>）泄漏物处置</w:t>
      </w:r>
    </w:p>
    <w:p w14:paraId="4AE713F0">
      <w:pPr>
        <w:pStyle w:val="2"/>
        <w:keepNext w:val="0"/>
        <w:keepLines w:val="0"/>
        <w:pageBreakBefore w:val="0"/>
        <w:widowControl/>
        <w:spacing w:line="360" w:lineRule="auto"/>
        <w:ind w:left="0" w:firstLine="480"/>
        <w:jc w:val="both"/>
        <w:rPr>
          <w:rFonts w:hint="eastAsia" w:eastAsia="Calibri"/>
          <w:color w:val="000000"/>
          <w:sz w:val="24"/>
          <w:szCs w:val="24"/>
          <w:lang w:val="zh-CN" w:eastAsia="zh-CN"/>
        </w:rPr>
      </w:pPr>
      <w:r>
        <w:rPr>
          <w:rFonts w:hint="eastAsia" w:eastAsia="Calibri"/>
          <w:color w:val="000000"/>
          <w:sz w:val="24"/>
          <w:szCs w:val="24"/>
          <w:lang w:val="zh-CN" w:eastAsia="zh-CN"/>
        </w:rPr>
        <w:t>现场泄漏物要及时覆盖、收容、稀释、处理，</w:t>
      </w:r>
      <w:r>
        <w:rPr>
          <w:rFonts w:hint="eastAsia"/>
          <w:color w:val="000000"/>
          <w:sz w:val="24"/>
          <w:szCs w:val="24"/>
        </w:rPr>
        <w:t>防止污染物继续渗漏到地下，</w:t>
      </w:r>
      <w:r>
        <w:rPr>
          <w:rFonts w:hint="eastAsia" w:eastAsia="宋体"/>
          <w:color w:val="000000"/>
          <w:sz w:val="24"/>
          <w:szCs w:val="24"/>
          <w:lang w:val="en-US" w:eastAsia="zh-CN"/>
        </w:rPr>
        <w:t>避免</w:t>
      </w:r>
      <w:r>
        <w:rPr>
          <w:rFonts w:hint="eastAsia"/>
          <w:color w:val="000000"/>
          <w:sz w:val="24"/>
          <w:szCs w:val="24"/>
        </w:rPr>
        <w:t>土壤和地下水污染范围扩大</w:t>
      </w:r>
      <w:r>
        <w:rPr>
          <w:rFonts w:hint="eastAsia" w:eastAsia="宋体"/>
          <w:color w:val="000000"/>
          <w:sz w:val="24"/>
          <w:szCs w:val="24"/>
          <w:lang w:eastAsia="zh-CN"/>
        </w:rPr>
        <w:t>，</w:t>
      </w:r>
      <w:r>
        <w:rPr>
          <w:rFonts w:hint="eastAsia" w:eastAsia="Calibri"/>
          <w:color w:val="000000"/>
          <w:sz w:val="24"/>
          <w:szCs w:val="24"/>
          <w:lang w:val="zh-CN" w:eastAsia="zh-CN"/>
        </w:rPr>
        <w:t>使泄漏物得到安全可靠的处置，防止二次事故的发生。</w:t>
      </w:r>
    </w:p>
    <w:p w14:paraId="0697055F">
      <w:pPr>
        <w:pStyle w:val="2"/>
        <w:keepNext w:val="0"/>
        <w:keepLines w:val="0"/>
        <w:pageBreakBefore w:val="0"/>
        <w:widowControl/>
        <w:numPr>
          <w:ilvl w:val="0"/>
          <w:numId w:val="13"/>
        </w:numPr>
        <w:spacing w:line="360" w:lineRule="auto"/>
        <w:ind w:left="0" w:firstLine="480"/>
        <w:jc w:val="both"/>
        <w:rPr>
          <w:rFonts w:hint="eastAsia" w:eastAsia="Calibri"/>
          <w:color w:val="000000"/>
          <w:sz w:val="24"/>
          <w:szCs w:val="24"/>
          <w:lang w:val="zh-CN" w:eastAsia="zh-CN"/>
        </w:rPr>
      </w:pPr>
      <w:r>
        <w:rPr>
          <w:rFonts w:hint="eastAsia" w:eastAsia="Calibri"/>
          <w:color w:val="000000"/>
          <w:sz w:val="24"/>
          <w:szCs w:val="24"/>
          <w:lang w:val="zh-CN" w:eastAsia="zh-CN"/>
        </w:rPr>
        <w:t>围堤堵截：污水泄漏到地面时会四处蔓延扩散，难以收集处理，需要筑堤堵截或者引流到</w:t>
      </w:r>
      <w:r>
        <w:rPr>
          <w:rFonts w:hint="eastAsia" w:eastAsia="Calibri"/>
          <w:color w:val="000000"/>
          <w:sz w:val="24"/>
          <w:szCs w:val="24"/>
          <w:lang w:val="en-US" w:eastAsia="zh-CN"/>
        </w:rPr>
        <w:t>初期雨水收集池（兼顾</w:t>
      </w:r>
      <w:r>
        <w:rPr>
          <w:rFonts w:hint="eastAsia" w:eastAsia="Calibri"/>
          <w:color w:val="000000"/>
          <w:sz w:val="24"/>
          <w:szCs w:val="24"/>
          <w:lang w:val="zh-CN" w:eastAsia="zh-CN"/>
        </w:rPr>
        <w:t>事故应急池</w:t>
      </w:r>
      <w:r>
        <w:rPr>
          <w:rFonts w:hint="eastAsia" w:eastAsia="Calibri"/>
          <w:color w:val="000000"/>
          <w:sz w:val="24"/>
          <w:szCs w:val="24"/>
          <w:lang w:val="en-US" w:eastAsia="zh-CN"/>
        </w:rPr>
        <w:t>）</w:t>
      </w:r>
      <w:r>
        <w:rPr>
          <w:rFonts w:hint="eastAsia" w:eastAsia="Calibri"/>
          <w:color w:val="000000"/>
          <w:sz w:val="24"/>
          <w:szCs w:val="24"/>
          <w:lang w:val="zh-CN" w:eastAsia="zh-CN"/>
        </w:rPr>
        <w:t>，防止污水沿明沟外流从而污染地下水。</w:t>
      </w:r>
    </w:p>
    <w:p w14:paraId="0030D920">
      <w:pPr>
        <w:pStyle w:val="2"/>
        <w:keepNext w:val="0"/>
        <w:keepLines w:val="0"/>
        <w:pageBreakBefore w:val="0"/>
        <w:widowControl/>
        <w:numPr>
          <w:ilvl w:val="0"/>
          <w:numId w:val="0"/>
        </w:numPr>
        <w:spacing w:line="360" w:lineRule="auto"/>
        <w:ind w:left="480"/>
        <w:jc w:val="both"/>
        <w:rPr>
          <w:rFonts w:hint="eastAsia" w:eastAsia="Calibri"/>
          <w:color w:val="000000"/>
          <w:sz w:val="24"/>
          <w:szCs w:val="24"/>
          <w:lang w:val="en-US" w:eastAsia="zh-CN"/>
        </w:rPr>
      </w:pPr>
      <w:r>
        <w:rPr>
          <w:rFonts w:hint="eastAsia" w:eastAsia="Calibri"/>
          <w:color w:val="000000"/>
          <w:sz w:val="24"/>
          <w:szCs w:val="24"/>
          <w:lang w:val="zh-CN" w:eastAsia="zh-CN"/>
        </w:rPr>
        <w:t>（</w:t>
      </w:r>
      <w:r>
        <w:rPr>
          <w:rFonts w:hint="eastAsia" w:eastAsia="Calibri"/>
          <w:color w:val="000000"/>
          <w:sz w:val="24"/>
          <w:szCs w:val="24"/>
          <w:lang w:val="en-US" w:eastAsia="zh-CN"/>
        </w:rPr>
        <w:t>4</w:t>
      </w:r>
      <w:r>
        <w:rPr>
          <w:rFonts w:hint="eastAsia" w:eastAsia="Calibri"/>
          <w:color w:val="000000"/>
          <w:sz w:val="24"/>
          <w:szCs w:val="24"/>
          <w:lang w:val="zh-CN" w:eastAsia="zh-CN"/>
        </w:rPr>
        <w:t>）稀释：采用水枪或消防水大量冲洗，稀释过程中将产生大量被污染水，需引排入</w:t>
      </w:r>
      <w:r>
        <w:rPr>
          <w:rFonts w:hint="eastAsia" w:eastAsia="Calibri"/>
          <w:color w:val="000000"/>
          <w:sz w:val="24"/>
          <w:szCs w:val="24"/>
          <w:lang w:val="en-US" w:eastAsia="zh-CN"/>
        </w:rPr>
        <w:t>初期雨水收集池（兼顾</w:t>
      </w:r>
      <w:r>
        <w:rPr>
          <w:rFonts w:hint="eastAsia" w:eastAsia="Calibri"/>
          <w:color w:val="000000"/>
          <w:sz w:val="24"/>
          <w:szCs w:val="24"/>
          <w:lang w:val="zh-CN" w:eastAsia="zh-CN"/>
        </w:rPr>
        <w:t>事故应急池</w:t>
      </w:r>
      <w:r>
        <w:rPr>
          <w:rFonts w:hint="eastAsia" w:eastAsia="Calibri"/>
          <w:color w:val="000000"/>
          <w:sz w:val="24"/>
          <w:szCs w:val="24"/>
          <w:lang w:val="en-US" w:eastAsia="zh-CN"/>
        </w:rPr>
        <w:t>）。</w:t>
      </w:r>
    </w:p>
    <w:p w14:paraId="214A620B">
      <w:pPr>
        <w:pStyle w:val="2"/>
        <w:ind w:firstLine="480"/>
        <w:rPr>
          <w:rFonts w:hint="eastAsia"/>
          <w:color w:val="000000"/>
          <w:sz w:val="24"/>
          <w:szCs w:val="24"/>
        </w:rPr>
      </w:pPr>
      <w:r>
        <w:rPr>
          <w:rFonts w:hint="eastAsia"/>
          <w:color w:val="000000"/>
          <w:sz w:val="24"/>
          <w:szCs w:val="24"/>
        </w:rPr>
        <w:t>（</w:t>
      </w:r>
      <w:r>
        <w:rPr>
          <w:rFonts w:hint="eastAsia" w:eastAsia="宋体"/>
          <w:color w:val="000000"/>
          <w:sz w:val="24"/>
          <w:szCs w:val="24"/>
          <w:lang w:val="en-US" w:eastAsia="zh-CN"/>
        </w:rPr>
        <w:t>5</w:t>
      </w:r>
      <w:r>
        <w:rPr>
          <w:rFonts w:hint="eastAsia"/>
          <w:color w:val="000000"/>
          <w:sz w:val="24"/>
          <w:szCs w:val="24"/>
        </w:rPr>
        <w:t>）对厂区及周边区域的地下水敏感点进行取样监测，确定水质是否受到影响。如果水质受到影响，应及时通知相关方并立即停用受影响的地下水。</w:t>
      </w:r>
    </w:p>
    <w:p w14:paraId="03113E65">
      <w:pPr>
        <w:ind w:firstLine="0"/>
        <w:contextualSpacing/>
        <w:outlineLvl w:val="2"/>
        <w:rPr>
          <w:rFonts w:hint="eastAsia" w:eastAsia="黑体"/>
          <w:sz w:val="28"/>
          <w:szCs w:val="28"/>
        </w:rPr>
      </w:pPr>
      <w:r>
        <w:rPr>
          <w:rFonts w:hint="eastAsia" w:eastAsia="黑体"/>
          <w:sz w:val="28"/>
          <w:szCs w:val="28"/>
          <w:lang w:val="en-US" w:eastAsia="zh-CN"/>
        </w:rPr>
        <w:t>8</w:t>
      </w:r>
      <w:r>
        <w:rPr>
          <w:rFonts w:hint="eastAsia" w:eastAsia="黑体"/>
          <w:sz w:val="28"/>
          <w:szCs w:val="28"/>
        </w:rPr>
        <w:t>.</w:t>
      </w:r>
      <w:r>
        <w:rPr>
          <w:rFonts w:eastAsia="黑体"/>
          <w:sz w:val="28"/>
          <w:szCs w:val="28"/>
        </w:rPr>
        <w:t>2</w:t>
      </w:r>
      <w:r>
        <w:rPr>
          <w:rFonts w:hint="eastAsia" w:eastAsia="黑体"/>
          <w:sz w:val="28"/>
          <w:szCs w:val="28"/>
        </w:rPr>
        <w:t>.3</w:t>
      </w:r>
      <w:r>
        <w:rPr>
          <w:rFonts w:eastAsia="黑体"/>
          <w:sz w:val="28"/>
          <w:szCs w:val="28"/>
        </w:rPr>
        <w:t>噪声污染防治措施</w:t>
      </w:r>
    </w:p>
    <w:p w14:paraId="297DECC7">
      <w:pPr>
        <w:pStyle w:val="2"/>
        <w:ind w:firstLine="480"/>
        <w:rPr>
          <w:rFonts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目前建设单位已经采取以下噪声防治措施：</w:t>
      </w:r>
    </w:p>
    <w:p w14:paraId="60193CDA">
      <w:pPr>
        <w:pStyle w:val="2"/>
        <w:ind w:firstLine="480"/>
        <w:rPr>
          <w:rFonts w:hint="eastAsia" w:ascii="Times New Roman" w:hAnsi="Times New Roman" w:cs="Times New Roman"/>
          <w:sz w:val="24"/>
          <w:szCs w:val="20"/>
        </w:rPr>
      </w:pPr>
      <w:r>
        <w:rPr>
          <w:rFonts w:hint="eastAsia" w:ascii="Times New Roman" w:hAnsi="Times New Roman" w:cs="Times New Roman"/>
          <w:sz w:val="24"/>
          <w:szCs w:val="20"/>
        </w:rPr>
        <w:t>（1）设备的选型尽可能选用噪声低、震动小的设备，对强噪声设备（如废气净化系统的风机），在支架下面安装橡胶减震设施，风机进出口采用软连接，以减少风管振动，降低噪声；</w:t>
      </w:r>
    </w:p>
    <w:p w14:paraId="1633127F">
      <w:pPr>
        <w:pStyle w:val="2"/>
        <w:ind w:firstLine="480"/>
        <w:rPr>
          <w:rFonts w:hint="eastAsia" w:ascii="Times New Roman" w:hAnsi="Times New Roman" w:cs="Times New Roman"/>
          <w:sz w:val="24"/>
          <w:szCs w:val="20"/>
        </w:rPr>
      </w:pPr>
      <w:r>
        <w:rPr>
          <w:rFonts w:hint="eastAsia" w:ascii="Times New Roman" w:hAnsi="Times New Roman" w:cs="Times New Roman"/>
          <w:sz w:val="24"/>
          <w:szCs w:val="20"/>
        </w:rPr>
        <w:t>（2）尽量合理布置噪声源，将高噪声的设备放置于生产车间中央，远离敏感点一侧；</w:t>
      </w:r>
    </w:p>
    <w:p w14:paraId="54DA4C1D">
      <w:pPr>
        <w:pStyle w:val="2"/>
        <w:ind w:firstLine="480"/>
        <w:rPr>
          <w:rFonts w:ascii="Times New Roman" w:hAnsi="Times New Roman" w:cs="Times New Roman"/>
          <w:sz w:val="24"/>
          <w:szCs w:val="20"/>
        </w:rPr>
      </w:pPr>
      <w:r>
        <w:rPr>
          <w:rFonts w:hint="eastAsia" w:ascii="Times New Roman" w:hAnsi="Times New Roman" w:cs="Times New Roman"/>
          <w:sz w:val="24"/>
          <w:szCs w:val="20"/>
        </w:rPr>
        <w:t>（3）对于传输设备的旋转和传动部分以及接近地面的连轴节，传动轴，皮带轮等均装设防护装置；</w:t>
      </w:r>
    </w:p>
    <w:p w14:paraId="4DE765A2">
      <w:pPr>
        <w:pStyle w:val="2"/>
        <w:ind w:firstLine="480"/>
        <w:rPr>
          <w:rFonts w:ascii="Times New Roman" w:hAnsi="Times New Roman" w:cs="Times New Roman"/>
          <w:sz w:val="24"/>
          <w:szCs w:val="20"/>
        </w:rPr>
      </w:pPr>
      <w:r>
        <w:rPr>
          <w:rFonts w:hint="eastAsia" w:ascii="Times New Roman" w:hAnsi="Times New Roman" w:cs="Times New Roman"/>
          <w:sz w:val="24"/>
          <w:szCs w:val="20"/>
        </w:rPr>
        <w:t>（4）厂界设置2.5m高围墙，加强厂房外的绿化，绿化带有明显的吸声、隔声降噪作用；</w:t>
      </w:r>
      <w:r>
        <w:rPr>
          <w:rFonts w:ascii="Times New Roman" w:hAnsi="Times New Roman" w:cs="Times New Roman"/>
          <w:sz w:val="24"/>
          <w:szCs w:val="20"/>
        </w:rPr>
        <w:t xml:space="preserve"> </w:t>
      </w:r>
    </w:p>
    <w:p w14:paraId="154BDD21">
      <w:pPr>
        <w:pStyle w:val="2"/>
        <w:ind w:firstLine="480"/>
        <w:rPr>
          <w:rFonts w:hint="eastAsia" w:ascii="Times New Roman" w:hAnsi="Times New Roman" w:cs="Times New Roman"/>
          <w:sz w:val="24"/>
          <w:szCs w:val="20"/>
        </w:rPr>
      </w:pPr>
      <w:r>
        <w:rPr>
          <w:rFonts w:hint="eastAsia" w:ascii="Times New Roman" w:hAnsi="Times New Roman" w:cs="Times New Roman"/>
          <w:sz w:val="24"/>
          <w:szCs w:val="20"/>
        </w:rPr>
        <w:t xml:space="preserve"> （5）合理安排工作时间，对高噪声设备的运行，应避免在人群休息时进行，与敏感点工作时间</w:t>
      </w:r>
      <w:r>
        <w:rPr>
          <w:rFonts w:hint="eastAsia" w:ascii="Times New Roman" w:hAnsi="Times New Roman" w:eastAsia="宋体" w:cs="Times New Roman"/>
          <w:sz w:val="24"/>
          <w:szCs w:val="20"/>
          <w:lang w:eastAsia="zh-CN"/>
        </w:rPr>
        <w:t>、</w:t>
      </w:r>
      <w:r>
        <w:rPr>
          <w:rFonts w:hint="eastAsia" w:ascii="Times New Roman" w:hAnsi="Times New Roman" w:eastAsia="宋体" w:cs="Times New Roman"/>
          <w:sz w:val="24"/>
          <w:szCs w:val="20"/>
          <w:lang w:val="en-US" w:eastAsia="zh-CN"/>
        </w:rPr>
        <w:t>休息时间</w:t>
      </w:r>
      <w:r>
        <w:rPr>
          <w:rFonts w:hint="eastAsia" w:ascii="Times New Roman" w:hAnsi="Times New Roman" w:cs="Times New Roman"/>
          <w:sz w:val="24"/>
          <w:szCs w:val="20"/>
        </w:rPr>
        <w:t xml:space="preserve">错开进行，以减少噪声的影响； </w:t>
      </w:r>
    </w:p>
    <w:p w14:paraId="6D39B3AE">
      <w:pPr>
        <w:pStyle w:val="2"/>
        <w:ind w:firstLine="480"/>
        <w:rPr>
          <w:rFonts w:hint="eastAsia" w:ascii="Times New Roman" w:hAnsi="Times New Roman" w:cs="Times New Roman"/>
          <w:sz w:val="24"/>
          <w:szCs w:val="20"/>
        </w:rPr>
      </w:pPr>
      <w:r>
        <w:rPr>
          <w:rFonts w:hint="eastAsia" w:ascii="Times New Roman" w:hAnsi="Times New Roman" w:cs="Times New Roman"/>
          <w:sz w:val="24"/>
          <w:szCs w:val="20"/>
        </w:rPr>
        <w:t>（6）派专人定期对机械设备进行维修管理，保证正常运行，避免故障情况下产生高噪声影响；</w:t>
      </w:r>
    </w:p>
    <w:p w14:paraId="58C3EE0F">
      <w:pPr>
        <w:pStyle w:val="2"/>
        <w:ind w:firstLine="480"/>
        <w:rPr>
          <w:rFonts w:hint="eastAsia" w:ascii="Times New Roman" w:hAnsi="Times New Roman" w:cs="Times New Roman"/>
          <w:sz w:val="24"/>
          <w:szCs w:val="20"/>
        </w:rPr>
      </w:pPr>
      <w:r>
        <w:rPr>
          <w:rFonts w:hint="eastAsia" w:ascii="Times New Roman" w:hAnsi="Times New Roman" w:cs="Times New Roman"/>
          <w:sz w:val="24"/>
          <w:szCs w:val="20"/>
        </w:rPr>
        <w:t>（7）连续接触高噪声源工作人员，应配戴防噪声耳罩或耳塞，以减少噪声、振动对工作人员的影响；</w:t>
      </w:r>
    </w:p>
    <w:p w14:paraId="6C543B42">
      <w:pPr>
        <w:pStyle w:val="2"/>
        <w:ind w:firstLine="480"/>
        <w:rPr>
          <w:rFonts w:ascii="Times New Roman" w:hAnsi="Times New Roman" w:cs="Times New Roman"/>
          <w:sz w:val="24"/>
          <w:szCs w:val="20"/>
        </w:rPr>
      </w:pPr>
      <w:r>
        <w:rPr>
          <w:rFonts w:hint="eastAsia" w:ascii="Times New Roman" w:hAnsi="Times New Roman" w:cs="Times New Roman"/>
          <w:sz w:val="24"/>
          <w:szCs w:val="20"/>
        </w:rPr>
        <w:t>（8）</w:t>
      </w:r>
      <w:r>
        <w:rPr>
          <w:rFonts w:ascii="Times New Roman" w:hAnsi="Times New Roman" w:cs="Times New Roman"/>
          <w:sz w:val="24"/>
          <w:szCs w:val="20"/>
        </w:rPr>
        <w:t>运输车辆出入厂区的时间，应充分考虑到村民的出工劳作和收工作息的时间规律及特点，错开午间和夜间运输，另外进出厂的车辆可以设置禁鸣标志进行控制，车辆在沿线行驶遇敏感保护目标时应采取禁止鸣笛、限制车速等措施，降低噪声对沿线保护目标的影响。</w:t>
      </w:r>
    </w:p>
    <w:p w14:paraId="3FA70749">
      <w:pPr>
        <w:pStyle w:val="2"/>
        <w:ind w:firstLine="480"/>
        <w:rPr>
          <w:rFonts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为了进一步降低噪声对周边敏感点的影响，环评建议，减少高噪声设备同时运行，按照工序需要错开运行；减少高噪声设备夜间运行的频率，避免在夜间开展高噪声设备的运行的工序，可开展低噪声设备运行工序，</w:t>
      </w:r>
      <w:r>
        <w:rPr>
          <w:rFonts w:ascii="Times New Roman" w:hAnsi="Times New Roman" w:eastAsia="宋体" w:cs="Times New Roman"/>
          <w:color w:val="FF0000"/>
          <w:sz w:val="24"/>
          <w:szCs w:val="24"/>
        </w:rPr>
        <w:t>若出现扰民现场，必须</w:t>
      </w:r>
      <w:r>
        <w:rPr>
          <w:rFonts w:hint="eastAsia" w:ascii="Times New Roman" w:hAnsi="Times New Roman" w:eastAsia="宋体" w:cs="Times New Roman"/>
          <w:color w:val="FF0000"/>
          <w:sz w:val="24"/>
          <w:szCs w:val="24"/>
          <w:lang w:val="en-US" w:eastAsia="zh-CN"/>
        </w:rPr>
        <w:t>立刻</w:t>
      </w:r>
      <w:r>
        <w:rPr>
          <w:rFonts w:ascii="Times New Roman" w:hAnsi="Times New Roman" w:eastAsia="宋体" w:cs="Times New Roman"/>
          <w:color w:val="FF0000"/>
          <w:sz w:val="24"/>
          <w:szCs w:val="24"/>
        </w:rPr>
        <w:t>停止高噪声设备的运行</w:t>
      </w:r>
      <w:r>
        <w:rPr>
          <w:rFonts w:ascii="Times New Roman" w:hAnsi="Times New Roman" w:eastAsia="宋体" w:cs="Times New Roman"/>
          <w:color w:val="FF0000"/>
          <w:sz w:val="24"/>
          <w:szCs w:val="24"/>
          <w:lang w:eastAsia="zh-CN"/>
        </w:rPr>
        <w:t>，</w:t>
      </w:r>
      <w:r>
        <w:rPr>
          <w:rFonts w:ascii="Times New Roman" w:hAnsi="Times New Roman" w:eastAsia="宋体" w:cs="Times New Roman"/>
          <w:color w:val="FF0000"/>
          <w:sz w:val="24"/>
          <w:szCs w:val="24"/>
        </w:rPr>
        <w:t>积极配合解决好纠纷问题。</w:t>
      </w:r>
      <w:r>
        <w:rPr>
          <w:rFonts w:hint="eastAsia" w:ascii="Times New Roman" w:hAnsi="Times New Roman" w:eastAsia="宋体" w:cs="Times New Roman"/>
          <w:color w:val="FF0000"/>
          <w:sz w:val="24"/>
          <w:szCs w:val="24"/>
          <w:lang w:val="en-US" w:eastAsia="zh-CN"/>
        </w:rPr>
        <w:t>同时进一步的加强高噪声设备的降噪的措施，比如采取消声器、隔声罩等，可结合实际操作方便的需求进行设置。</w:t>
      </w:r>
    </w:p>
    <w:p w14:paraId="5F9D2AED">
      <w:pPr>
        <w:pStyle w:val="2"/>
        <w:ind w:firstLine="480"/>
        <w:rPr>
          <w:rFonts w:hint="eastAsia" w:ascii="Times New Roman" w:hAnsi="Times New Roman" w:cs="Times New Roman"/>
          <w:color w:val="000000"/>
          <w:sz w:val="24"/>
          <w:szCs w:val="20"/>
        </w:rPr>
      </w:pPr>
      <w:r>
        <w:rPr>
          <w:rFonts w:hint="eastAsia" w:ascii="Times New Roman" w:hAnsi="Times New Roman" w:cs="Times New Roman"/>
          <w:color w:val="000000"/>
          <w:sz w:val="24"/>
          <w:szCs w:val="20"/>
        </w:rPr>
        <w:t>根据预测分析，</w:t>
      </w:r>
      <w:bookmarkStart w:id="226" w:name="_Hlk1400780"/>
      <w:r>
        <w:rPr>
          <w:rFonts w:hint="eastAsia" w:ascii="Times New Roman" w:hAnsi="Times New Roman" w:cs="Times New Roman"/>
          <w:color w:val="000000"/>
          <w:sz w:val="24"/>
          <w:szCs w:val="20"/>
        </w:rPr>
        <w:t>项目各个厂界昼、夜间噪声均</w:t>
      </w:r>
      <w:r>
        <w:rPr>
          <w:rFonts w:ascii="Times New Roman" w:hAnsi="Times New Roman" w:cs="Times New Roman"/>
          <w:color w:val="000000"/>
          <w:sz w:val="24"/>
          <w:szCs w:val="20"/>
        </w:rPr>
        <w:t>能满足《工业企业厂界</w:t>
      </w:r>
      <w:r>
        <w:rPr>
          <w:rFonts w:hint="eastAsia" w:ascii="Times New Roman" w:hAnsi="Times New Roman" w:cs="Times New Roman"/>
          <w:color w:val="000000"/>
          <w:sz w:val="24"/>
          <w:szCs w:val="20"/>
        </w:rPr>
        <w:t>环境</w:t>
      </w:r>
      <w:r>
        <w:rPr>
          <w:rFonts w:ascii="Times New Roman" w:hAnsi="Times New Roman" w:cs="Times New Roman"/>
          <w:color w:val="000000"/>
          <w:sz w:val="24"/>
          <w:szCs w:val="20"/>
        </w:rPr>
        <w:t>噪声</w:t>
      </w:r>
      <w:r>
        <w:rPr>
          <w:rFonts w:hint="eastAsia" w:ascii="Times New Roman" w:hAnsi="Times New Roman" w:cs="Times New Roman"/>
          <w:color w:val="000000"/>
          <w:sz w:val="24"/>
          <w:szCs w:val="20"/>
        </w:rPr>
        <w:t>排放</w:t>
      </w:r>
      <w:r>
        <w:rPr>
          <w:rFonts w:ascii="Times New Roman" w:hAnsi="Times New Roman" w:cs="Times New Roman"/>
          <w:color w:val="000000"/>
          <w:sz w:val="24"/>
          <w:szCs w:val="20"/>
        </w:rPr>
        <w:t>标准》</w:t>
      </w:r>
      <w:r>
        <w:rPr>
          <w:rFonts w:hint="eastAsia" w:ascii="Times New Roman" w:hAnsi="Times New Roman" w:cs="Times New Roman"/>
          <w:color w:val="000000"/>
          <w:sz w:val="24"/>
          <w:szCs w:val="20"/>
        </w:rPr>
        <w:t>（</w:t>
      </w:r>
      <w:r>
        <w:rPr>
          <w:rFonts w:ascii="Times New Roman" w:hAnsi="Times New Roman" w:cs="Times New Roman"/>
          <w:color w:val="000000"/>
          <w:sz w:val="24"/>
          <w:szCs w:val="20"/>
        </w:rPr>
        <w:t>GB12348-</w:t>
      </w:r>
      <w:r>
        <w:rPr>
          <w:rFonts w:hint="eastAsia" w:ascii="Times New Roman" w:hAnsi="Times New Roman" w:cs="Times New Roman"/>
          <w:color w:val="000000"/>
          <w:sz w:val="24"/>
          <w:szCs w:val="20"/>
        </w:rPr>
        <w:t>2008）中2</w:t>
      </w:r>
      <w:r>
        <w:rPr>
          <w:rFonts w:ascii="Times New Roman" w:hAnsi="Times New Roman" w:cs="Times New Roman"/>
          <w:color w:val="000000"/>
          <w:sz w:val="24"/>
          <w:szCs w:val="20"/>
        </w:rPr>
        <w:t>类标准的要求</w:t>
      </w:r>
      <w:r>
        <w:rPr>
          <w:rFonts w:hint="eastAsia" w:ascii="Times New Roman" w:hAnsi="Times New Roman" w:cs="Times New Roman"/>
          <w:color w:val="000000"/>
          <w:sz w:val="24"/>
          <w:szCs w:val="20"/>
        </w:rPr>
        <w:t>，对保护目标影响小，措施可行。</w:t>
      </w:r>
    </w:p>
    <w:bookmarkEnd w:id="224"/>
    <w:p w14:paraId="23E36209">
      <w:pPr>
        <w:ind w:firstLine="0"/>
        <w:contextualSpacing/>
        <w:outlineLvl w:val="2"/>
        <w:rPr>
          <w:rFonts w:eastAsia="黑体"/>
          <w:sz w:val="28"/>
          <w:szCs w:val="28"/>
        </w:rPr>
      </w:pPr>
      <w:r>
        <w:rPr>
          <w:rFonts w:hint="eastAsia" w:eastAsia="黑体"/>
          <w:sz w:val="28"/>
          <w:szCs w:val="28"/>
          <w:lang w:val="en-US" w:eastAsia="zh-CN"/>
        </w:rPr>
        <w:t>8</w:t>
      </w:r>
      <w:r>
        <w:rPr>
          <w:rFonts w:hint="eastAsia" w:eastAsia="黑体"/>
          <w:sz w:val="28"/>
          <w:szCs w:val="28"/>
        </w:rPr>
        <w:t>.2.4固体废物污染防治措施</w:t>
      </w:r>
    </w:p>
    <w:p w14:paraId="6B514047">
      <w:pPr>
        <w:pStyle w:val="282"/>
        <w:rPr>
          <w:rFonts w:hint="eastAsia"/>
        </w:rPr>
      </w:pPr>
      <w:r>
        <w:rPr>
          <w:rFonts w:hint="eastAsia"/>
          <w:lang w:val="en-US" w:eastAsia="zh-CN"/>
        </w:rPr>
        <w:t>8</w:t>
      </w:r>
      <w:r>
        <w:rPr>
          <w:rFonts w:hint="eastAsia"/>
        </w:rPr>
        <w:t>.2.4.1一般工业固废</w:t>
      </w:r>
    </w:p>
    <w:p w14:paraId="6D96861C">
      <w:pPr>
        <w:spacing w:line="360" w:lineRule="auto"/>
        <w:ind w:firstLine="480"/>
        <w:rPr>
          <w:rFonts w:ascii="Times New Roman" w:hAnsi="Times New Roman" w:eastAsia="宋体" w:cs="Times New Roman"/>
          <w:color w:val="000000"/>
          <w:sz w:val="24"/>
          <w:szCs w:val="24"/>
        </w:rPr>
      </w:pPr>
      <w:r>
        <w:rPr>
          <w:rFonts w:hint="eastAsia"/>
          <w:sz w:val="24"/>
          <w:szCs w:val="24"/>
        </w:rPr>
        <w:t>（1）</w:t>
      </w:r>
      <w:r>
        <w:rPr>
          <w:rFonts w:ascii="Times New Roman" w:hAnsi="Times New Roman" w:eastAsia="宋体" w:cs="Times New Roman"/>
          <w:color w:val="000000"/>
          <w:sz w:val="24"/>
          <w:szCs w:val="24"/>
        </w:rPr>
        <w:t>本项目在生产加工过程中产生的废边角料和</w:t>
      </w:r>
      <w:r>
        <w:rPr>
          <w:rFonts w:ascii="Times New Roman" w:hAnsi="Times New Roman" w:eastAsia="宋体" w:cs="Times New Roman"/>
          <w:color w:val="000000"/>
          <w:sz w:val="24"/>
          <w:szCs w:val="24"/>
          <w:lang w:val="en-US" w:eastAsia="zh-CN"/>
        </w:rPr>
        <w:t>竹</w:t>
      </w:r>
      <w:r>
        <w:rPr>
          <w:rFonts w:ascii="Times New Roman" w:hAnsi="Times New Roman" w:eastAsia="宋体" w:cs="Times New Roman"/>
          <w:color w:val="000000"/>
          <w:sz w:val="24"/>
          <w:szCs w:val="24"/>
        </w:rPr>
        <w:t>屑产生量为</w:t>
      </w:r>
      <w:r>
        <w:rPr>
          <w:rFonts w:ascii="Times New Roman" w:hAnsi="Times New Roman" w:eastAsia="宋体" w:cs="Times New Roman"/>
          <w:color w:val="000000"/>
          <w:sz w:val="24"/>
          <w:szCs w:val="24"/>
          <w:lang w:val="en-US" w:eastAsia="zh-CN"/>
        </w:rPr>
        <w:t>9000</w:t>
      </w:r>
      <w:r>
        <w:rPr>
          <w:rFonts w:ascii="Times New Roman" w:hAnsi="Times New Roman" w:eastAsia="宋体" w:cs="Times New Roman"/>
          <w:color w:val="000000"/>
          <w:sz w:val="24"/>
          <w:szCs w:val="24"/>
        </w:rPr>
        <w:t>t/a</w:t>
      </w:r>
      <w:r>
        <w:rPr>
          <w:rFonts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作为厂区内</w:t>
      </w:r>
      <w:r>
        <w:rPr>
          <w:rFonts w:ascii="Times New Roman" w:hAnsi="Times New Roman" w:eastAsia="宋体" w:cs="Times New Roman"/>
          <w:color w:val="000000"/>
          <w:sz w:val="24"/>
          <w:szCs w:val="24"/>
          <w:lang w:val="en-US" w:eastAsia="zh-CN"/>
        </w:rPr>
        <w:t>供热系统</w:t>
      </w:r>
      <w:r>
        <w:rPr>
          <w:rFonts w:ascii="Times New Roman" w:hAnsi="Times New Roman" w:eastAsia="宋体" w:cs="Times New Roman"/>
          <w:color w:val="000000"/>
          <w:sz w:val="24"/>
          <w:szCs w:val="24"/>
        </w:rPr>
        <w:t>燃料使用。</w:t>
      </w:r>
    </w:p>
    <w:p w14:paraId="1322D07F">
      <w:pPr>
        <w:pStyle w:val="2"/>
        <w:keepNext w:val="0"/>
        <w:keepLines w:val="0"/>
        <w:pageBreakBefore w:val="0"/>
        <w:widowControl/>
        <w:numPr>
          <w:ilvl w:val="0"/>
          <w:numId w:val="0"/>
        </w:numPr>
        <w:spacing w:line="360" w:lineRule="auto"/>
        <w:ind w:firstLine="480"/>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val="en-US" w:eastAsia="zh-CN"/>
        </w:rPr>
        <w:t>（2）炉渣主要成分为草木灰，通过人工除渣集中暂存于能源工厂的一角，由附近村民定期清运用于周边农田施肥。</w:t>
      </w:r>
    </w:p>
    <w:p w14:paraId="36D9D671">
      <w:pPr>
        <w:ind w:firstLine="480"/>
        <w:rPr>
          <w:rFonts w:ascii="Times New Roman" w:hAnsi="Times New Roman" w:eastAsia="宋体" w:cs="Times New Roman"/>
          <w:sz w:val="24"/>
          <w:szCs w:val="24"/>
        </w:rPr>
      </w:pP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3</w:t>
      </w:r>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水膜除尘器</w:t>
      </w:r>
      <w:r>
        <w:rPr>
          <w:rFonts w:ascii="Times New Roman" w:hAnsi="Times New Roman" w:eastAsia="宋体" w:cs="Times New Roman"/>
          <w:sz w:val="24"/>
          <w:szCs w:val="24"/>
        </w:rPr>
        <w:t>循环水池沉淀渣同炉渣性质一致，</w:t>
      </w:r>
      <w:r>
        <w:rPr>
          <w:rFonts w:ascii="Times New Roman" w:hAnsi="Times New Roman" w:eastAsia="宋体" w:cs="Times New Roman"/>
          <w:color w:val="000000"/>
          <w:sz w:val="24"/>
          <w:szCs w:val="24"/>
          <w:lang w:eastAsia="zh-CN"/>
        </w:rPr>
        <w:t>由附近村民定期清运用于周边农田施肥</w:t>
      </w:r>
      <w:r>
        <w:rPr>
          <w:rFonts w:ascii="Times New Roman" w:hAnsi="Times New Roman" w:eastAsia="宋体" w:cs="Times New Roman"/>
          <w:sz w:val="24"/>
          <w:szCs w:val="24"/>
        </w:rPr>
        <w:t>。</w:t>
      </w:r>
    </w:p>
    <w:p w14:paraId="02173FE7">
      <w:pPr>
        <w:pStyle w:val="2"/>
        <w:keepNext w:val="0"/>
        <w:keepLines w:val="0"/>
        <w:pageBreakBefore w:val="0"/>
        <w:widowControl/>
        <w:numPr>
          <w:ilvl w:val="0"/>
          <w:numId w:val="0"/>
        </w:numPr>
        <w:spacing w:line="360" w:lineRule="auto"/>
        <w:ind w:firstLine="480"/>
        <w:rPr>
          <w:rFonts w:ascii="Times New Roman" w:hAnsi="Times New Roman" w:eastAsia="宋体" w:cs="Times New Roman"/>
          <w:color w:val="000000"/>
          <w:sz w:val="24"/>
          <w:szCs w:val="24"/>
          <w:lang w:val="en-US" w:eastAsia="zh-CN"/>
        </w:rPr>
      </w:pPr>
      <w:r>
        <w:rPr>
          <w:rFonts w:ascii="Times New Roman" w:hAnsi="Times New Roman" w:eastAsia="宋体" w:cs="Times New Roman"/>
          <w:sz w:val="24"/>
          <w:szCs w:val="24"/>
          <w:lang w:eastAsia="zh-CN"/>
        </w:rPr>
        <w:t>（</w:t>
      </w:r>
      <w:r>
        <w:rPr>
          <w:rFonts w:ascii="Times New Roman" w:hAnsi="Times New Roman" w:eastAsia="宋体" w:cs="Times New Roman"/>
          <w:sz w:val="24"/>
          <w:szCs w:val="24"/>
          <w:lang w:val="en-US" w:eastAsia="zh-CN"/>
        </w:rPr>
        <w:t>4</w:t>
      </w:r>
      <w:r>
        <w:rPr>
          <w:rFonts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项目</w:t>
      </w:r>
      <w:r>
        <w:rPr>
          <w:rFonts w:ascii="Times New Roman" w:hAnsi="Times New Roman" w:eastAsia="宋体" w:cs="Times New Roman"/>
          <w:sz w:val="24"/>
          <w:szCs w:val="24"/>
          <w:lang w:val="en-US" w:eastAsia="zh-CN"/>
        </w:rPr>
        <w:t>板材加工分别采用旋风、布袋除尘</w:t>
      </w:r>
      <w:r>
        <w:rPr>
          <w:rFonts w:ascii="Times New Roman" w:hAnsi="Times New Roman" w:eastAsia="宋体" w:cs="Times New Roman"/>
          <w:color w:val="000000"/>
          <w:sz w:val="24"/>
          <w:szCs w:val="24"/>
          <w:lang w:val="en-US" w:eastAsia="zh-CN"/>
        </w:rPr>
        <w:t>器，则回收粉尘装袋暂存，作为生物质燃料的原料外售。</w:t>
      </w:r>
    </w:p>
    <w:p w14:paraId="7D4F86DA">
      <w:pPr>
        <w:pStyle w:val="380"/>
        <w:keepNext w:val="0"/>
        <w:keepLines w:val="0"/>
        <w:pageBreakBefore w:val="0"/>
        <w:widowControl/>
        <w:spacing w:line="360" w:lineRule="auto"/>
        <w:ind w:firstLine="480"/>
        <w:rPr>
          <w:rFonts w:ascii="Times New Roman" w:hAnsi="Times New Roman" w:eastAsia="宋体" w:cs="Times New Roman"/>
          <w:color w:val="000000"/>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eastAsia="zh-CN"/>
        </w:rPr>
        <w:t>）</w:t>
      </w:r>
      <w:r>
        <w:rPr>
          <w:rFonts w:ascii="Times New Roman" w:hAnsi="Times New Roman" w:eastAsia="宋体" w:cs="Times New Roman"/>
          <w:color w:val="000000"/>
          <w:sz w:val="24"/>
          <w:szCs w:val="24"/>
        </w:rPr>
        <w:t>含油废抹布、手套已列入危险废物豁免管理清单，混入生活垃圾的可按生活垃圾处理。</w:t>
      </w:r>
    </w:p>
    <w:p w14:paraId="60595093">
      <w:pPr>
        <w:spacing w:line="360" w:lineRule="auto"/>
        <w:ind w:firstLine="480"/>
        <w:rPr>
          <w:rFonts w:hint="eastAsia"/>
          <w:sz w:val="24"/>
          <w:szCs w:val="24"/>
        </w:rPr>
      </w:pPr>
      <w:r>
        <w:rPr>
          <w:rFonts w:hint="eastAsia" w:eastAsia="宋体"/>
          <w:sz w:val="24"/>
          <w:szCs w:val="24"/>
          <w:lang w:eastAsia="zh-CN"/>
        </w:rPr>
        <w:t>（</w:t>
      </w:r>
      <w:r>
        <w:rPr>
          <w:rFonts w:hint="eastAsia" w:eastAsia="宋体"/>
          <w:sz w:val="24"/>
          <w:szCs w:val="24"/>
          <w:lang w:val="en-US" w:eastAsia="zh-CN"/>
        </w:rPr>
        <w:t>6</w:t>
      </w:r>
      <w:r>
        <w:rPr>
          <w:rFonts w:hint="eastAsia" w:eastAsia="宋体"/>
          <w:sz w:val="24"/>
          <w:szCs w:val="24"/>
          <w:lang w:eastAsia="zh-CN"/>
        </w:rPr>
        <w:t>）</w:t>
      </w:r>
      <w:r>
        <w:rPr>
          <w:rFonts w:hint="eastAsia"/>
          <w:sz w:val="24"/>
          <w:szCs w:val="24"/>
        </w:rPr>
        <w:t>项目一般工业固体废物暂存间</w:t>
      </w:r>
      <w:r>
        <w:rPr>
          <w:rFonts w:hint="eastAsia" w:eastAsia="宋体"/>
          <w:sz w:val="24"/>
          <w:szCs w:val="24"/>
          <w:lang w:val="en-US" w:eastAsia="zh-CN"/>
        </w:rPr>
        <w:t>建筑面积100m</w:t>
      </w:r>
      <w:r>
        <w:rPr>
          <w:rFonts w:hint="eastAsia" w:eastAsia="宋体"/>
          <w:sz w:val="24"/>
          <w:szCs w:val="24"/>
          <w:vertAlign w:val="superscript"/>
          <w:lang w:val="en-US" w:eastAsia="zh-CN"/>
        </w:rPr>
        <w:t>2</w:t>
      </w:r>
      <w:r>
        <w:rPr>
          <w:rFonts w:hint="eastAsia" w:eastAsia="宋体"/>
          <w:sz w:val="24"/>
          <w:szCs w:val="24"/>
          <w:lang w:val="en-US" w:eastAsia="zh-CN"/>
        </w:rPr>
        <w:t>，</w:t>
      </w:r>
      <w:r>
        <w:rPr>
          <w:rFonts w:hint="eastAsia"/>
          <w:sz w:val="24"/>
          <w:szCs w:val="24"/>
        </w:rPr>
        <w:t>设置于项目</w:t>
      </w:r>
      <w:r>
        <w:rPr>
          <w:rFonts w:hint="eastAsia" w:eastAsia="宋体"/>
          <w:sz w:val="24"/>
          <w:szCs w:val="24"/>
          <w:lang w:val="en-US" w:eastAsia="zh-CN"/>
        </w:rPr>
        <w:t>成品仓库北侧</w:t>
      </w:r>
      <w:r>
        <w:rPr>
          <w:rFonts w:hint="eastAsia"/>
          <w:sz w:val="24"/>
          <w:szCs w:val="24"/>
        </w:rPr>
        <w:t>，设有遮挡，地面水泥硬化，</w:t>
      </w:r>
      <w:r>
        <w:rPr>
          <w:rFonts w:hint="eastAsia" w:eastAsia="宋体"/>
          <w:sz w:val="24"/>
          <w:szCs w:val="24"/>
          <w:lang w:val="en-US" w:eastAsia="zh-CN"/>
        </w:rPr>
        <w:t>可</w:t>
      </w:r>
      <w:r>
        <w:rPr>
          <w:rFonts w:hint="eastAsia"/>
          <w:sz w:val="24"/>
          <w:szCs w:val="24"/>
        </w:rPr>
        <w:t>满足 GB18599-2001《一般工业固体废弃物存放、处置场污染控制标准》中防风、防雨、防渗的要求。</w:t>
      </w:r>
      <w:r>
        <w:rPr>
          <w:rFonts w:hint="eastAsia" w:eastAsia="宋体"/>
          <w:sz w:val="24"/>
          <w:szCs w:val="24"/>
          <w:lang w:val="en-US" w:eastAsia="zh-CN"/>
        </w:rPr>
        <w:t>环评要求</w:t>
      </w:r>
      <w:r>
        <w:rPr>
          <w:rFonts w:hint="eastAsia"/>
          <w:sz w:val="24"/>
          <w:szCs w:val="24"/>
        </w:rPr>
        <w:t>建设单位</w:t>
      </w:r>
      <w:r>
        <w:rPr>
          <w:rFonts w:hint="eastAsia" w:eastAsia="宋体"/>
          <w:sz w:val="24"/>
          <w:szCs w:val="24"/>
          <w:lang w:val="en-US" w:eastAsia="zh-CN"/>
        </w:rPr>
        <w:t>进一步加强管理，</w:t>
      </w:r>
      <w:r>
        <w:rPr>
          <w:rFonts w:hint="eastAsia"/>
          <w:sz w:val="24"/>
          <w:szCs w:val="24"/>
        </w:rPr>
        <w:t>应建立档案制度，将入场的一般工业固体废物的种类和数量等资料记录在案，长期保存。禁止危险废物和生活垃圾混入一般工业固废暂存间。</w:t>
      </w:r>
    </w:p>
    <w:p w14:paraId="6AD3F9CB">
      <w:pPr>
        <w:pStyle w:val="282"/>
        <w:rPr>
          <w:rFonts w:hint="eastAsia"/>
          <w:b w:val="0"/>
          <w:bCs/>
        </w:rPr>
      </w:pPr>
      <w:r>
        <w:rPr>
          <w:rFonts w:hint="eastAsia"/>
          <w:b w:val="0"/>
          <w:bCs/>
          <w:lang w:val="en-US" w:eastAsia="zh-CN"/>
        </w:rPr>
        <w:t>8</w:t>
      </w:r>
      <w:r>
        <w:rPr>
          <w:rFonts w:hint="eastAsia"/>
          <w:b w:val="0"/>
          <w:bCs/>
        </w:rPr>
        <w:t>.2.4.2危险废物</w:t>
      </w:r>
    </w:p>
    <w:p w14:paraId="052BB5F1">
      <w:pPr>
        <w:keepNext w:val="0"/>
        <w:keepLines w:val="0"/>
        <w:pageBreakBefore w:val="0"/>
        <w:widowControl/>
        <w:suppressLineNumbers w:val="0"/>
        <w:ind w:left="0" w:firstLine="480"/>
        <w:jc w:val="left"/>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（1）制胶生产废包装材料</w:t>
      </w:r>
      <w:r>
        <w:rPr>
          <w:rFonts w:hint="eastAsia" w:ascii="Times New Roman" w:hAnsi="Times New Roman" w:eastAsia="宋体" w:cs="Times New Roman"/>
          <w:color w:val="000000"/>
          <w:sz w:val="24"/>
          <w:szCs w:val="24"/>
          <w:lang w:val="en-US" w:eastAsia="zh-CN" w:bidi="ar"/>
        </w:rPr>
        <w:t>分类收集，妥善暂存于危险废物暂存间，并</w:t>
      </w:r>
      <w:r>
        <w:rPr>
          <w:rFonts w:ascii="Times New Roman" w:hAnsi="Times New Roman" w:eastAsia="宋体" w:cs="Times New Roman"/>
          <w:color w:val="000000"/>
          <w:sz w:val="24"/>
          <w:szCs w:val="24"/>
          <w:lang w:val="en-US" w:eastAsia="zh-CN" w:bidi="ar"/>
        </w:rPr>
        <w:t>交由资质单位进行回收处置</w:t>
      </w:r>
      <w:r>
        <w:rPr>
          <w:rFonts w:hint="eastAsia" w:ascii="Times New Roman" w:hAnsi="Times New Roman" w:eastAsia="宋体" w:cs="Times New Roman"/>
          <w:bCs/>
          <w:color w:val="000000"/>
          <w:sz w:val="24"/>
          <w:szCs w:val="24"/>
          <w:lang w:val="en-US" w:eastAsia="zh-CN"/>
        </w:rPr>
        <w:t>。</w:t>
      </w:r>
    </w:p>
    <w:p w14:paraId="4D4D4AFE">
      <w:pPr>
        <w:keepNext w:val="0"/>
        <w:keepLines w:val="0"/>
        <w:pageBreakBefore w:val="0"/>
        <w:widowControl/>
        <w:spacing w:line="360" w:lineRule="auto"/>
        <w:ind w:left="0" w:firstLine="480"/>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val="en-US" w:eastAsia="zh-CN" w:bidi="ar-SA"/>
        </w:rPr>
        <w:t>（2）</w:t>
      </w:r>
      <w:r>
        <w:rPr>
          <w:rFonts w:ascii="Times New Roman" w:hAnsi="Times New Roman" w:eastAsia="宋体" w:cs="Times New Roman"/>
          <w:sz w:val="24"/>
          <w:szCs w:val="24"/>
          <w:lang w:val="en-US" w:eastAsia="zh-CN"/>
        </w:rPr>
        <w:t>废导热油3年左右更换一次，</w:t>
      </w:r>
      <w:r>
        <w:rPr>
          <w:rFonts w:ascii="Times New Roman" w:hAnsi="Times New Roman" w:eastAsia="宋体" w:cs="Times New Roman"/>
          <w:sz w:val="24"/>
          <w:szCs w:val="24"/>
        </w:rPr>
        <w:t>环评要求待服务期满后将废导热油交有资质的单位</w:t>
      </w:r>
      <w:r>
        <w:rPr>
          <w:rFonts w:ascii="Times New Roman" w:hAnsi="Times New Roman" w:eastAsia="宋体" w:cs="Times New Roman"/>
          <w:sz w:val="24"/>
          <w:szCs w:val="24"/>
          <w:lang w:val="en-US" w:eastAsia="zh-CN"/>
        </w:rPr>
        <w:t>进行更换回收</w:t>
      </w:r>
      <w:r>
        <w:rPr>
          <w:rFonts w:ascii="Times New Roman" w:hAnsi="Times New Roman" w:eastAsia="宋体" w:cs="Times New Roman"/>
          <w:sz w:val="24"/>
          <w:szCs w:val="24"/>
        </w:rPr>
        <w:t>处置</w:t>
      </w:r>
      <w:r>
        <w:rPr>
          <w:rFonts w:hint="eastAsia" w:ascii="Times New Roman" w:hAnsi="Times New Roman" w:eastAsia="宋体" w:cs="Times New Roman"/>
          <w:sz w:val="24"/>
          <w:szCs w:val="24"/>
          <w:lang w:val="en-US" w:eastAsia="zh-CN"/>
        </w:rPr>
        <w:t>。</w:t>
      </w:r>
    </w:p>
    <w:p w14:paraId="48F3DD1E">
      <w:pPr>
        <w:keepNext w:val="0"/>
        <w:keepLines w:val="0"/>
        <w:pageBreakBefore w:val="0"/>
        <w:widowControl/>
        <w:spacing w:line="360" w:lineRule="auto"/>
        <w:ind w:left="0" w:firstLine="480"/>
        <w:jc w:val="both"/>
        <w:rPr>
          <w:rFonts w:ascii="Times New Roman" w:hAnsi="Times New Roman" w:eastAsia="宋体" w:cs="Times New Roman"/>
          <w:sz w:val="24"/>
          <w:szCs w:val="24"/>
        </w:rPr>
      </w:pPr>
      <w:r>
        <w:rPr>
          <w:rFonts w:ascii="Times New Roman" w:hAnsi="Times New Roman" w:eastAsia="宋体" w:cs="Times New Roman"/>
          <w:sz w:val="24"/>
          <w:szCs w:val="24"/>
          <w:lang w:val="en-US" w:eastAsia="zh-CN" w:bidi="ar-SA"/>
        </w:rPr>
        <w:t>（3）废活性</w:t>
      </w:r>
      <w:r>
        <w:rPr>
          <w:rFonts w:hint="eastAsia" w:ascii="Times New Roman" w:hAnsi="Times New Roman" w:eastAsia="宋体" w:cs="Times New Roman"/>
          <w:sz w:val="24"/>
          <w:szCs w:val="24"/>
          <w:lang w:val="en-US" w:eastAsia="zh-CN" w:bidi="ar-SA"/>
        </w:rPr>
        <w:t>炭更换</w:t>
      </w:r>
      <w:r>
        <w:rPr>
          <w:rFonts w:ascii="Times New Roman" w:hAnsi="Times New Roman" w:eastAsia="宋体" w:cs="Times New Roman"/>
          <w:color w:val="000000"/>
          <w:sz w:val="24"/>
          <w:szCs w:val="24"/>
          <w:lang w:val="en-US" w:eastAsia="zh-CN" w:bidi="ar"/>
        </w:rPr>
        <w:t>收集后暂存于危废暂存间内，委托有资质单位进行回收处置。</w:t>
      </w:r>
    </w:p>
    <w:p w14:paraId="1DA497C2">
      <w:pPr>
        <w:keepNext w:val="0"/>
        <w:keepLines w:val="0"/>
        <w:pageBreakBefore w:val="0"/>
        <w:widowControl/>
        <w:suppressLineNumbers w:val="0"/>
        <w:ind w:left="0" w:firstLine="480"/>
        <w:jc w:val="left"/>
        <w:rPr>
          <w:rFonts w:ascii="Times New Roman" w:hAnsi="Times New Roman" w:eastAsia="宋体" w:cs="Times New Roman"/>
          <w:sz w:val="24"/>
          <w:szCs w:val="24"/>
        </w:rPr>
      </w:pPr>
      <w:r>
        <w:rPr>
          <w:rFonts w:ascii="Times New Roman" w:hAnsi="Times New Roman" w:eastAsia="宋体" w:cs="Times New Roman"/>
          <w:color w:val="000000"/>
          <w:sz w:val="24"/>
          <w:szCs w:val="24"/>
          <w:lang w:val="en-US" w:eastAsia="zh-CN" w:bidi="ar"/>
        </w:rPr>
        <w:t>（4）项目废灯管采用桶装密封，存于危险废物暂存间中，定期交由有资质单位</w:t>
      </w:r>
      <w:r>
        <w:rPr>
          <w:rFonts w:ascii="Times New Roman" w:hAnsi="Times New Roman" w:eastAsia="宋体" w:cs="Times New Roman"/>
          <w:sz w:val="24"/>
          <w:szCs w:val="24"/>
          <w:lang w:val="en-US" w:eastAsia="zh-CN"/>
        </w:rPr>
        <w:t xml:space="preserve">进行回收处理。 </w:t>
      </w:r>
    </w:p>
    <w:p w14:paraId="7E042F2C">
      <w:pPr>
        <w:pStyle w:val="2"/>
        <w:keepNext w:val="0"/>
        <w:keepLines w:val="0"/>
        <w:pageBreakBefore w:val="0"/>
        <w:widowControl/>
        <w:ind w:left="0" w:firstLine="480"/>
        <w:rPr>
          <w:rFonts w:hint="eastAsia"/>
          <w:sz w:val="24"/>
          <w:szCs w:val="24"/>
        </w:rPr>
      </w:pPr>
      <w:r>
        <w:rPr>
          <w:rFonts w:hint="eastAsia"/>
          <w:sz w:val="24"/>
          <w:szCs w:val="24"/>
        </w:rPr>
        <w:t>（</w:t>
      </w:r>
      <w:r>
        <w:rPr>
          <w:rFonts w:hint="eastAsia"/>
          <w:sz w:val="24"/>
          <w:szCs w:val="24"/>
          <w:lang w:val="en-US" w:eastAsia="zh-CN"/>
        </w:rPr>
        <w:t>5</w:t>
      </w:r>
      <w:r>
        <w:rPr>
          <w:rFonts w:hint="eastAsia"/>
          <w:sz w:val="24"/>
          <w:szCs w:val="24"/>
        </w:rPr>
        <w:t>）项目软水设备中的树脂仅在使用一定长的期限后，待树脂磨损老化严重无法再满足软水制备要求时方才进行更换</w:t>
      </w:r>
      <w:r>
        <w:rPr>
          <w:rFonts w:ascii="Times New Roman" w:hAnsi="Times New Roman" w:cs="Times New Roman"/>
          <w:sz w:val="24"/>
          <w:szCs w:val="24"/>
        </w:rPr>
        <w:t>；约3~4年更换一次，</w:t>
      </w:r>
      <w:r>
        <w:rPr>
          <w:rFonts w:hint="eastAsia"/>
          <w:sz w:val="24"/>
          <w:szCs w:val="24"/>
        </w:rPr>
        <w:t>树脂属危险废物，由厂家负责定期更换并返回生产厂家。</w:t>
      </w:r>
    </w:p>
    <w:p w14:paraId="020679DA">
      <w:pPr>
        <w:pStyle w:val="2"/>
        <w:keepNext w:val="0"/>
        <w:keepLines w:val="0"/>
        <w:pageBreakBefore w:val="0"/>
        <w:widowControl/>
        <w:ind w:left="0" w:firstLine="480"/>
        <w:rPr>
          <w:rFonts w:hint="eastAsia"/>
          <w:sz w:val="24"/>
          <w:szCs w:val="24"/>
        </w:rPr>
      </w:pPr>
      <w:r>
        <w:rPr>
          <w:rFonts w:hint="eastAsia"/>
          <w:sz w:val="24"/>
          <w:szCs w:val="24"/>
        </w:rPr>
        <w:t>（</w:t>
      </w:r>
      <w:r>
        <w:rPr>
          <w:rFonts w:hint="eastAsia"/>
          <w:sz w:val="24"/>
          <w:szCs w:val="24"/>
          <w:lang w:val="en-US" w:eastAsia="zh-CN"/>
        </w:rPr>
        <w:t>6</w:t>
      </w:r>
      <w:r>
        <w:rPr>
          <w:rFonts w:hint="eastAsia"/>
          <w:sz w:val="24"/>
          <w:szCs w:val="24"/>
        </w:rPr>
        <w:t>）废机油按GB18597-2001《危险废物贮存污染控制标准》要求，暂存于危废暂存间，交由具有危废处置资质的单位处置。</w:t>
      </w:r>
    </w:p>
    <w:p w14:paraId="51851863">
      <w:pPr>
        <w:pStyle w:val="2"/>
        <w:keepNext w:val="0"/>
        <w:keepLines w:val="0"/>
        <w:pageBreakBefore w:val="0"/>
        <w:widowControl/>
        <w:ind w:left="0" w:firstLine="480"/>
        <w:rPr>
          <w:rFonts w:hint="eastAsia" w:ascii="Times New Roman" w:hAnsi="Times New Roman" w:cs="Times New Roman"/>
          <w:sz w:val="24"/>
          <w:szCs w:val="24"/>
          <w:lang w:val="en-US" w:eastAsia="zh-CN"/>
        </w:rPr>
      </w:pPr>
      <w:r>
        <w:rPr>
          <w:rFonts w:hint="eastAsia"/>
          <w:sz w:val="24"/>
          <w:szCs w:val="24"/>
        </w:rPr>
        <w:t>（</w:t>
      </w:r>
      <w:r>
        <w:rPr>
          <w:rFonts w:ascii="Times New Roman" w:hAnsi="Times New Roman" w:cs="Times New Roman"/>
          <w:sz w:val="24"/>
          <w:szCs w:val="24"/>
          <w:lang w:val="en-US" w:eastAsia="zh-CN"/>
        </w:rPr>
        <w:t>7</w:t>
      </w:r>
      <w:r>
        <w:rPr>
          <w:rFonts w:ascii="Times New Roman" w:hAnsi="Times New Roman" w:cs="Times New Roman"/>
          <w:sz w:val="24"/>
          <w:szCs w:val="24"/>
        </w:rPr>
        <w:t>）危险废物的存放要求：</w:t>
      </w:r>
      <w:r>
        <w:rPr>
          <w:rFonts w:hint="eastAsia" w:ascii="Times New Roman" w:hAnsi="Times New Roman" w:cs="Times New Roman"/>
          <w:sz w:val="24"/>
          <w:szCs w:val="24"/>
          <w:lang w:val="en-US" w:eastAsia="zh-CN"/>
        </w:rPr>
        <w:t>目前厂区设置1间57m</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的危险废物暂存间，</w:t>
      </w:r>
      <w:r>
        <w:rPr>
          <w:rFonts w:ascii="Times New Roman" w:hAnsi="Times New Roman" w:cs="Times New Roman"/>
          <w:sz w:val="24"/>
          <w:szCs w:val="24"/>
        </w:rPr>
        <w:t>企业危废存储场所严格按照 GB18597-2001《危险废物贮存污染控制标准》及其修改单的要求进行设计，贮存场设置警示标志，设施周围设置围墙，满足“四防”（防风、防雨、防晒、防渗漏）要求，能防止雨水径流进入贮存场所；地面进行防渗硬化处理，满足防渗要求</w:t>
      </w:r>
      <w:r>
        <w:rPr>
          <w:rFonts w:hint="eastAsia" w:ascii="Times New Roman" w:hAnsi="Times New Roman" w:eastAsia="宋体" w:cs="Times New Roman"/>
          <w:sz w:val="24"/>
          <w:szCs w:val="24"/>
          <w:lang w:eastAsia="zh-CN"/>
        </w:rPr>
        <w:t>。</w:t>
      </w:r>
      <w:r>
        <w:rPr>
          <w:rFonts w:ascii="Times New Roman" w:hAnsi="Times New Roman" w:cs="Times New Roman"/>
          <w:sz w:val="24"/>
          <w:szCs w:val="24"/>
        </w:rPr>
        <w:t>对于项目产生的危险废物，应严格按照GB18597-2001《危险废物贮存污染控制标准》要求进行分类暂存及清运处置。</w:t>
      </w:r>
      <w:r>
        <w:rPr>
          <w:rFonts w:hint="eastAsia" w:ascii="Times New Roman" w:hAnsi="Times New Roman" w:cs="Times New Roman"/>
          <w:sz w:val="24"/>
          <w:szCs w:val="24"/>
          <w:lang w:val="en-US" w:eastAsia="zh-CN"/>
        </w:rPr>
        <w:t>要求建设单位尽快与相关资质单位签订危险废物处置协议。</w:t>
      </w:r>
    </w:p>
    <w:p w14:paraId="091B850E">
      <w:pPr>
        <w:pStyle w:val="282"/>
        <w:rPr>
          <w:rFonts w:hint="eastAsia"/>
        </w:rPr>
      </w:pPr>
      <w:r>
        <w:rPr>
          <w:rFonts w:hint="eastAsia"/>
          <w:lang w:val="en-US" w:eastAsia="zh-CN"/>
        </w:rPr>
        <w:t>8</w:t>
      </w:r>
      <w:r>
        <w:rPr>
          <w:rFonts w:hint="eastAsia"/>
        </w:rPr>
        <w:t>.2.4.3</w:t>
      </w:r>
      <w:r>
        <w:t>生活垃圾</w:t>
      </w:r>
    </w:p>
    <w:p w14:paraId="5E6741BB">
      <w:pPr>
        <w:spacing w:line="360" w:lineRule="auto"/>
        <w:ind w:firstLine="480"/>
        <w:rPr>
          <w:rFonts w:ascii="Times New Roman" w:hAnsi="Times New Roman" w:eastAsia="宋体" w:cs="Times New Roman"/>
          <w:color w:val="000000"/>
          <w:sz w:val="24"/>
          <w:szCs w:val="21"/>
        </w:rPr>
      </w:pPr>
      <w:bookmarkStart w:id="227" w:name="_Hlk1400800"/>
      <w:r>
        <w:rPr>
          <w:rFonts w:hint="eastAsia" w:ascii="Times New Roman" w:hAnsi="Times New Roman" w:eastAsia="宋体" w:cs="Times New Roman"/>
          <w:lang w:val="en-US" w:eastAsia="zh-CN"/>
        </w:rPr>
        <w:t>（1）</w:t>
      </w:r>
      <w:r>
        <w:rPr>
          <w:rFonts w:ascii="Times New Roman" w:hAnsi="Times New Roman" w:eastAsia="宋体" w:cs="Times New Roman"/>
          <w:lang w:val="en-US" w:eastAsia="zh-CN"/>
        </w:rPr>
        <w:t>厂区内</w:t>
      </w:r>
      <w:r>
        <w:rPr>
          <w:rFonts w:ascii="Times New Roman" w:hAnsi="Times New Roman" w:eastAsia="宋体" w:cs="Times New Roman"/>
          <w:sz w:val="24"/>
          <w:szCs w:val="24"/>
        </w:rPr>
        <w:t>设置</w:t>
      </w:r>
      <w:r>
        <w:rPr>
          <w:rFonts w:ascii="Times New Roman" w:hAnsi="Times New Roman" w:eastAsia="宋体" w:cs="Times New Roman"/>
          <w:color w:val="000000"/>
          <w:sz w:val="24"/>
          <w:szCs w:val="24"/>
          <w:lang w:val="en-US" w:eastAsia="zh-CN"/>
        </w:rPr>
        <w:t>有</w:t>
      </w:r>
      <w:r>
        <w:rPr>
          <w:rFonts w:ascii="Times New Roman" w:hAnsi="Times New Roman" w:eastAsia="宋体" w:cs="Times New Roman"/>
          <w:color w:val="FF0000"/>
          <w:sz w:val="24"/>
          <w:szCs w:val="24"/>
          <w:lang w:val="en-US" w:eastAsia="zh-CN"/>
        </w:rPr>
        <w:t>环保垃</w:t>
      </w:r>
      <w:r>
        <w:rPr>
          <w:rFonts w:ascii="Times New Roman" w:hAnsi="Times New Roman" w:eastAsia="宋体" w:cs="Times New Roman"/>
          <w:color w:val="FF0000"/>
          <w:szCs w:val="22"/>
          <w:lang w:val="en-US" w:eastAsia="zh-CN"/>
        </w:rPr>
        <w:t>圾收集桶5</w:t>
      </w:r>
      <w:r>
        <w:rPr>
          <w:rFonts w:ascii="Times New Roman" w:hAnsi="Times New Roman" w:eastAsia="宋体" w:cs="Times New Roman"/>
          <w:color w:val="FF0000"/>
          <w:szCs w:val="22"/>
        </w:rPr>
        <w:t>个收集生活垃圾，垃</w:t>
      </w:r>
      <w:r>
        <w:rPr>
          <w:rFonts w:ascii="Times New Roman" w:hAnsi="Times New Roman" w:eastAsia="宋体" w:cs="Times New Roman"/>
          <w:color w:val="FF0000"/>
        </w:rPr>
        <w:t>圾收集后</w:t>
      </w:r>
      <w:r>
        <w:rPr>
          <w:rFonts w:ascii="Times New Roman" w:hAnsi="Times New Roman" w:eastAsia="宋体" w:cs="Times New Roman"/>
        </w:rPr>
        <w:t>委托当地环卫部</w:t>
      </w:r>
      <w:r>
        <w:rPr>
          <w:rFonts w:ascii="Times New Roman" w:hAnsi="Times New Roman" w:eastAsia="宋体" w:cs="Times New Roman"/>
          <w:color w:val="000000"/>
        </w:rPr>
        <w:t>门定期清运处置。</w:t>
      </w:r>
      <w:r>
        <w:rPr>
          <w:rFonts w:ascii="Times New Roman" w:hAnsi="Times New Roman" w:eastAsia="宋体" w:cs="Times New Roman"/>
          <w:color w:val="000000"/>
          <w:sz w:val="24"/>
          <w:szCs w:val="21"/>
        </w:rPr>
        <w:t>食堂泔水企业采用塑料桶分类收集后，</w:t>
      </w:r>
      <w:r>
        <w:rPr>
          <w:rFonts w:ascii="Times New Roman" w:hAnsi="Times New Roman" w:eastAsia="宋体" w:cs="Times New Roman"/>
          <w:color w:val="000000"/>
          <w:sz w:val="24"/>
          <w:szCs w:val="21"/>
          <w:lang w:eastAsia="zh-CN"/>
        </w:rPr>
        <w:t>按照当地相关政府部门管理要求进行处置</w:t>
      </w:r>
      <w:r>
        <w:rPr>
          <w:rFonts w:ascii="Times New Roman" w:hAnsi="Times New Roman" w:eastAsia="宋体" w:cs="Times New Roman"/>
          <w:color w:val="000000"/>
          <w:sz w:val="24"/>
          <w:szCs w:val="21"/>
        </w:rPr>
        <w:t>，不外排。化粪池污泥定期由附近的村民进行清掏作为农家肥使用。</w:t>
      </w:r>
    </w:p>
    <w:p w14:paraId="0E9630EB">
      <w:pPr>
        <w:spacing w:line="360" w:lineRule="auto"/>
        <w:ind w:firstLine="480"/>
        <w:rPr>
          <w:rFonts w:ascii="Times New Roman" w:hAnsi="Times New Roman" w:eastAsia="宋体" w:cs="Times New Roman"/>
          <w:sz w:val="24"/>
          <w:szCs w:val="21"/>
        </w:rPr>
      </w:pPr>
      <w:r>
        <w:rPr>
          <w:rFonts w:hint="eastAsia" w:ascii="Times New Roman" w:hAnsi="Times New Roman" w:eastAsia="宋体" w:cs="Times New Roman"/>
          <w:sz w:val="24"/>
          <w:szCs w:val="21"/>
          <w:lang w:eastAsia="zh-CN"/>
        </w:rPr>
        <w:t>（</w:t>
      </w:r>
      <w:r>
        <w:rPr>
          <w:rFonts w:hint="eastAsia" w:ascii="Times New Roman" w:hAnsi="Times New Roman" w:eastAsia="宋体" w:cs="Times New Roman"/>
          <w:sz w:val="24"/>
          <w:szCs w:val="21"/>
          <w:lang w:val="en-US" w:eastAsia="zh-CN"/>
        </w:rPr>
        <w:t>2</w:t>
      </w:r>
      <w:r>
        <w:rPr>
          <w:rFonts w:hint="eastAsia" w:ascii="Times New Roman" w:hAnsi="Times New Roman" w:eastAsia="宋体" w:cs="Times New Roman"/>
          <w:sz w:val="24"/>
          <w:szCs w:val="21"/>
          <w:lang w:eastAsia="zh-CN"/>
        </w:rPr>
        <w:t>）</w:t>
      </w:r>
      <w:r>
        <w:rPr>
          <w:rFonts w:ascii="Times New Roman" w:hAnsi="Times New Roman" w:eastAsia="宋体" w:cs="Times New Roman"/>
          <w:sz w:val="24"/>
          <w:szCs w:val="21"/>
        </w:rPr>
        <w:t>本环评要求企业增设的</w:t>
      </w:r>
      <w:r>
        <w:rPr>
          <w:rFonts w:hint="eastAsia" w:ascii="Times New Roman" w:hAnsi="Times New Roman" w:eastAsia="宋体" w:cs="Times New Roman"/>
          <w:sz w:val="24"/>
          <w:szCs w:val="21"/>
          <w:lang w:val="en-US" w:eastAsia="zh-CN"/>
        </w:rPr>
        <w:t>隔油池</w:t>
      </w:r>
      <w:r>
        <w:rPr>
          <w:rFonts w:ascii="Times New Roman" w:hAnsi="Times New Roman" w:eastAsia="宋体" w:cs="Times New Roman"/>
          <w:sz w:val="24"/>
          <w:szCs w:val="21"/>
        </w:rPr>
        <w:t>委托专业的单位定期清掏清运处置。</w:t>
      </w:r>
    </w:p>
    <w:p w14:paraId="0EE2D949">
      <w:pPr>
        <w:pStyle w:val="2"/>
        <w:ind w:firstLine="480"/>
        <w:rPr>
          <w:sz w:val="24"/>
          <w:szCs w:val="24"/>
        </w:rPr>
      </w:pPr>
      <w:r>
        <w:rPr>
          <w:sz w:val="24"/>
          <w:szCs w:val="24"/>
        </w:rPr>
        <w:t>各类固体废物严格按照上述措施处理处置和利用后，对周围环境不会产生影响，也不会造成二次污染，所采取的治理措施是可行和有效的。</w:t>
      </w:r>
    </w:p>
    <w:bookmarkEnd w:id="225"/>
    <w:p w14:paraId="04E39D9E">
      <w:pPr>
        <w:ind w:firstLine="0"/>
        <w:contextualSpacing/>
        <w:outlineLvl w:val="2"/>
        <w:rPr>
          <w:rFonts w:eastAsia="黑体"/>
          <w:sz w:val="28"/>
          <w:szCs w:val="28"/>
        </w:rPr>
      </w:pPr>
      <w:r>
        <w:rPr>
          <w:rFonts w:hint="eastAsia" w:eastAsia="黑体"/>
          <w:sz w:val="28"/>
          <w:szCs w:val="28"/>
          <w:lang w:val="en-US" w:eastAsia="zh-CN"/>
        </w:rPr>
        <w:t>8</w:t>
      </w:r>
      <w:r>
        <w:rPr>
          <w:rFonts w:hint="eastAsia" w:eastAsia="黑体"/>
          <w:sz w:val="28"/>
          <w:szCs w:val="28"/>
        </w:rPr>
        <w:t>.2.5生态保护措施</w:t>
      </w:r>
    </w:p>
    <w:p w14:paraId="63A422E3">
      <w:pPr>
        <w:pStyle w:val="2"/>
        <w:ind w:firstLine="480"/>
        <w:rPr>
          <w:rFonts w:ascii="Times New Roman" w:hAnsi="Times New Roman" w:cs="Times New Roman"/>
          <w:sz w:val="24"/>
          <w:szCs w:val="20"/>
        </w:rPr>
      </w:pPr>
      <w:r>
        <w:rPr>
          <w:rFonts w:hint="eastAsia" w:ascii="Times New Roman" w:hAnsi="Times New Roman" w:eastAsia="宋体" w:cs="Times New Roman"/>
          <w:sz w:val="24"/>
          <w:szCs w:val="20"/>
          <w:lang w:val="en-US" w:eastAsia="zh-CN"/>
        </w:rPr>
        <w:t>进一步加强</w:t>
      </w:r>
      <w:r>
        <w:rPr>
          <w:rFonts w:ascii="Times New Roman" w:hAnsi="Times New Roman" w:cs="Times New Roman"/>
          <w:sz w:val="24"/>
          <w:szCs w:val="20"/>
        </w:rPr>
        <w:t>厂区绿化，项目区内的绿化以采用本地种为主，易于物种的成活以及避免外来物种的入侵而造成生态破坏，并在两树之间的空地上种植青草， 避免土壤裸露。</w:t>
      </w:r>
    </w:p>
    <w:p w14:paraId="00A76C83">
      <w:pPr>
        <w:ind w:firstLine="0"/>
        <w:contextualSpacing/>
        <w:outlineLvl w:val="2"/>
        <w:rPr>
          <w:rFonts w:eastAsia="黑体"/>
          <w:sz w:val="28"/>
          <w:szCs w:val="28"/>
        </w:rPr>
      </w:pPr>
      <w:r>
        <w:rPr>
          <w:rFonts w:hint="eastAsia" w:eastAsia="黑体"/>
          <w:sz w:val="28"/>
          <w:szCs w:val="28"/>
          <w:lang w:val="en-US" w:eastAsia="zh-CN"/>
        </w:rPr>
        <w:t>8</w:t>
      </w:r>
      <w:r>
        <w:rPr>
          <w:rFonts w:hint="eastAsia" w:eastAsia="黑体"/>
          <w:sz w:val="28"/>
          <w:szCs w:val="28"/>
        </w:rPr>
        <w:t>.2.6环境风险防范措施及应急措施</w:t>
      </w:r>
    </w:p>
    <w:bookmarkEnd w:id="226"/>
    <w:bookmarkEnd w:id="227"/>
    <w:p w14:paraId="0AFA0142">
      <w:pPr>
        <w:pStyle w:val="2"/>
        <w:ind w:firstLine="480"/>
        <w:rPr>
          <w:rFonts w:eastAsia="宋体"/>
          <w:color w:val="000000"/>
          <w:sz w:val="24"/>
          <w:szCs w:val="24"/>
          <w:lang w:val="en-US" w:eastAsia="zh-CN"/>
        </w:rPr>
      </w:pPr>
      <w:r>
        <w:rPr>
          <w:rFonts w:hint="eastAsia" w:eastAsia="宋体"/>
          <w:color w:val="000000"/>
          <w:sz w:val="24"/>
          <w:szCs w:val="24"/>
          <w:lang w:val="en-US" w:eastAsia="zh-CN"/>
        </w:rPr>
        <w:t>具体的风险防范及应急措施参照第七章执行，环评要求</w:t>
      </w:r>
      <w:r>
        <w:rPr>
          <w:color w:val="000000"/>
          <w:sz w:val="24"/>
          <w:szCs w:val="24"/>
        </w:rPr>
        <w:t>为健全环境污染事故应急机制，提高企业应对突发环境污染事件的能力，建设单位</w:t>
      </w:r>
      <w:r>
        <w:rPr>
          <w:rFonts w:hint="eastAsia"/>
          <w:color w:val="000000"/>
          <w:sz w:val="24"/>
          <w:szCs w:val="24"/>
        </w:rPr>
        <w:t>应</w:t>
      </w:r>
      <w:r>
        <w:rPr>
          <w:color w:val="000000"/>
          <w:sz w:val="24"/>
          <w:szCs w:val="24"/>
        </w:rPr>
        <w:t>制定并完善本项目的</w:t>
      </w:r>
      <w:r>
        <w:rPr>
          <w:rFonts w:hint="eastAsia"/>
          <w:color w:val="000000"/>
          <w:sz w:val="24"/>
          <w:szCs w:val="24"/>
        </w:rPr>
        <w:t>突发环境事件</w:t>
      </w:r>
      <w:r>
        <w:rPr>
          <w:color w:val="000000"/>
          <w:sz w:val="24"/>
          <w:szCs w:val="24"/>
        </w:rPr>
        <w:t>应急预案</w:t>
      </w:r>
      <w:r>
        <w:rPr>
          <w:rFonts w:hint="eastAsia" w:eastAsia="宋体"/>
          <w:color w:val="000000"/>
          <w:sz w:val="24"/>
          <w:szCs w:val="24"/>
          <w:lang w:eastAsia="zh-CN"/>
        </w:rPr>
        <w:t>，</w:t>
      </w:r>
      <w:r>
        <w:rPr>
          <w:rFonts w:hint="eastAsia" w:eastAsia="宋体"/>
          <w:color w:val="000000"/>
          <w:sz w:val="24"/>
          <w:szCs w:val="24"/>
          <w:lang w:val="en-US" w:eastAsia="zh-CN"/>
        </w:rPr>
        <w:t>上报生态环境部门备案。</w:t>
      </w:r>
    </w:p>
    <w:p w14:paraId="25E26399">
      <w:pPr>
        <w:pStyle w:val="187"/>
        <w:rPr>
          <w:rFonts w:hint="eastAsia" w:ascii="Times New Roman" w:hAnsi="Times New Roman"/>
        </w:rPr>
        <w:sectPr>
          <w:headerReference r:id="rId18" w:type="first"/>
          <w:footerReference r:id="rId21" w:type="first"/>
          <w:footerReference r:id="rId19" w:type="default"/>
          <w:footerReference r:id="rId20" w:type="even"/>
          <w:pgSz w:w="11906" w:h="16838" w:orient="landscape"/>
          <w:pgMar w:top="1440" w:right="1797" w:bottom="1440" w:left="1797" w:header="850" w:footer="992" w:gutter="0"/>
          <w:pgNumType w:start="1"/>
          <w:cols w:space="1701" w:num="1"/>
        </w:sectPr>
      </w:pPr>
      <w:bookmarkStart w:id="228" w:name="_Toc24260"/>
      <w:r>
        <w:rPr>
          <w:rFonts w:hint="eastAsia" w:ascii="Times New Roman" w:hAnsi="Times New Roman"/>
          <w:lang w:val="en-US" w:eastAsia="zh-CN"/>
        </w:rPr>
        <w:t>8</w:t>
      </w:r>
      <w:r>
        <w:rPr>
          <w:rFonts w:hint="eastAsia" w:ascii="Times New Roman" w:hAnsi="Times New Roman"/>
        </w:rPr>
        <w:t>.3污染防治措施汇总</w:t>
      </w:r>
      <w:bookmarkEnd w:id="228"/>
    </w:p>
    <w:p w14:paraId="588FE893">
      <w:pPr>
        <w:keepNext/>
        <w:spacing w:line="240" w:lineRule="auto"/>
        <w:ind w:firstLine="0"/>
        <w:jc w:val="center"/>
        <w:rPr>
          <w:rFonts w:ascii="Times New Roman" w:hAnsi="Times New Roman" w:eastAsia="宋体" w:cs="Times New Roman"/>
          <w:b/>
          <w:bCs/>
        </w:rPr>
      </w:pPr>
      <w:r>
        <w:rPr>
          <w:rFonts w:ascii="Times New Roman" w:hAnsi="Times New Roman" w:eastAsia="宋体" w:cs="Times New Roman"/>
          <w:b/>
          <w:bCs/>
        </w:rPr>
        <w:t>表</w:t>
      </w:r>
      <w:r>
        <w:rPr>
          <w:rFonts w:hint="eastAsia" w:ascii="Times New Roman" w:hAnsi="Times New Roman" w:eastAsia="宋体" w:cs="Times New Roman"/>
          <w:b/>
          <w:bCs/>
          <w:lang w:val="en-US" w:eastAsia="zh-CN"/>
        </w:rPr>
        <w:t>8.3</w:t>
      </w:r>
      <w:r>
        <w:rPr>
          <w:rFonts w:ascii="Times New Roman" w:hAnsi="Times New Roman" w:eastAsia="宋体" w:cs="Times New Roman"/>
          <w:b/>
          <w:bCs/>
        </w:rPr>
        <w:t>-1 污染防治措施一览表</w:t>
      </w:r>
    </w:p>
    <w:tbl>
      <w:tblPr>
        <w:tblStyle w:val="32"/>
        <w:tblW w:w="147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318"/>
        <w:gridCol w:w="1095"/>
        <w:gridCol w:w="1314"/>
        <w:gridCol w:w="4870"/>
        <w:gridCol w:w="2958"/>
        <w:gridCol w:w="2458"/>
      </w:tblGrid>
      <w:tr w14:paraId="69593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489CC923">
            <w:pPr>
              <w:ind w:left="0" w:firstLine="0"/>
              <w:jc w:val="center"/>
              <w:rPr>
                <w:rFonts w:hint="eastAsia" w:ascii="Times New Roman" w:hAnsi="Times New Roman" w:eastAsia="宋体" w:cs="Times New Roman"/>
                <w:sz w:val="21"/>
                <w:szCs w:val="21"/>
                <w:lang w:val="en-US" w:eastAsia="zh-CN"/>
              </w:rPr>
            </w:pPr>
            <w:bookmarkStart w:id="229" w:name="_Toc23523"/>
            <w:r>
              <w:rPr>
                <w:rFonts w:hint="eastAsia" w:ascii="Times New Roman" w:hAnsi="Times New Roman" w:eastAsia="宋体" w:cs="Times New Roman"/>
                <w:sz w:val="21"/>
                <w:szCs w:val="21"/>
                <w:lang w:val="en-US" w:eastAsia="zh-CN"/>
              </w:rPr>
              <w:t>序号</w:t>
            </w:r>
            <w:bookmarkEnd w:id="229"/>
          </w:p>
        </w:tc>
        <w:tc>
          <w:tcPr>
            <w:tcW w:w="1318" w:type="dxa"/>
            <w:noWrap w:val="0"/>
            <w:vAlign w:val="center"/>
          </w:tcPr>
          <w:p w14:paraId="5E2D24FB">
            <w:pPr>
              <w:ind w:left="0" w:firstLine="0"/>
              <w:jc w:val="center"/>
              <w:rPr>
                <w:rFonts w:hint="eastAsia" w:ascii="Times New Roman" w:hAnsi="Times New Roman" w:eastAsia="宋体" w:cs="Times New Roman"/>
                <w:sz w:val="21"/>
                <w:szCs w:val="21"/>
                <w:lang w:val="en-US" w:eastAsia="zh-CN"/>
              </w:rPr>
            </w:pPr>
            <w:bookmarkStart w:id="230" w:name="_Toc7492"/>
            <w:r>
              <w:rPr>
                <w:rFonts w:hint="eastAsia" w:ascii="Times New Roman" w:hAnsi="Times New Roman" w:eastAsia="宋体" w:cs="Times New Roman"/>
                <w:sz w:val="21"/>
                <w:szCs w:val="21"/>
                <w:lang w:val="en-US" w:eastAsia="zh-CN"/>
              </w:rPr>
              <w:t>污染物种类</w:t>
            </w:r>
            <w:bookmarkEnd w:id="230"/>
          </w:p>
        </w:tc>
        <w:tc>
          <w:tcPr>
            <w:tcW w:w="1095" w:type="dxa"/>
            <w:noWrap w:val="0"/>
            <w:vAlign w:val="center"/>
          </w:tcPr>
          <w:p w14:paraId="5B4E043D">
            <w:pPr>
              <w:ind w:left="0" w:firstLine="0"/>
              <w:jc w:val="center"/>
              <w:rPr>
                <w:rFonts w:hint="eastAsia" w:ascii="Times New Roman" w:hAnsi="Times New Roman" w:eastAsia="宋体" w:cs="Times New Roman"/>
                <w:sz w:val="21"/>
                <w:szCs w:val="21"/>
                <w:lang w:val="en-US" w:eastAsia="zh-CN"/>
              </w:rPr>
            </w:pPr>
            <w:bookmarkStart w:id="231" w:name="_Toc20978"/>
            <w:r>
              <w:rPr>
                <w:rFonts w:hint="eastAsia" w:ascii="Times New Roman" w:hAnsi="Times New Roman" w:eastAsia="宋体" w:cs="Times New Roman"/>
                <w:sz w:val="21"/>
                <w:szCs w:val="21"/>
                <w:lang w:val="en-US" w:eastAsia="zh-CN"/>
              </w:rPr>
              <w:t>排放源</w:t>
            </w:r>
            <w:bookmarkEnd w:id="231"/>
          </w:p>
        </w:tc>
        <w:tc>
          <w:tcPr>
            <w:tcW w:w="1314" w:type="dxa"/>
            <w:noWrap w:val="0"/>
            <w:vAlign w:val="center"/>
          </w:tcPr>
          <w:p w14:paraId="5463BF06">
            <w:pPr>
              <w:ind w:left="0" w:firstLine="0"/>
              <w:jc w:val="center"/>
              <w:rPr>
                <w:rFonts w:hint="eastAsia" w:ascii="Times New Roman" w:hAnsi="Times New Roman" w:eastAsia="宋体" w:cs="Times New Roman"/>
                <w:sz w:val="21"/>
                <w:szCs w:val="21"/>
                <w:lang w:val="en-US" w:eastAsia="zh-CN"/>
              </w:rPr>
            </w:pPr>
            <w:bookmarkStart w:id="232" w:name="_Toc15786"/>
            <w:r>
              <w:rPr>
                <w:rFonts w:hint="eastAsia" w:ascii="Times New Roman" w:hAnsi="Times New Roman" w:eastAsia="宋体" w:cs="Times New Roman"/>
                <w:sz w:val="21"/>
                <w:szCs w:val="21"/>
                <w:lang w:val="en-US" w:eastAsia="zh-CN"/>
              </w:rPr>
              <w:t>污染物名称</w:t>
            </w:r>
            <w:bookmarkEnd w:id="232"/>
          </w:p>
        </w:tc>
        <w:tc>
          <w:tcPr>
            <w:tcW w:w="4870" w:type="dxa"/>
            <w:noWrap w:val="0"/>
            <w:vAlign w:val="center"/>
          </w:tcPr>
          <w:p w14:paraId="0B2EC5BB">
            <w:pPr>
              <w:ind w:left="0" w:firstLine="0"/>
              <w:jc w:val="center"/>
              <w:rPr>
                <w:rFonts w:hint="eastAsia" w:ascii="Times New Roman" w:hAnsi="Times New Roman" w:eastAsia="宋体" w:cs="Times New Roman"/>
                <w:sz w:val="21"/>
                <w:szCs w:val="21"/>
                <w:lang w:val="en-US" w:eastAsia="zh-CN"/>
              </w:rPr>
            </w:pPr>
            <w:bookmarkStart w:id="233" w:name="_Toc16555"/>
            <w:r>
              <w:rPr>
                <w:rFonts w:hint="eastAsia" w:ascii="Times New Roman" w:hAnsi="Times New Roman" w:eastAsia="宋体" w:cs="Times New Roman"/>
                <w:sz w:val="21"/>
                <w:szCs w:val="21"/>
                <w:lang w:val="en-US" w:eastAsia="zh-CN"/>
              </w:rPr>
              <w:t>治理措施</w:t>
            </w:r>
            <w:bookmarkEnd w:id="233"/>
          </w:p>
        </w:tc>
        <w:tc>
          <w:tcPr>
            <w:tcW w:w="2958" w:type="dxa"/>
            <w:noWrap w:val="0"/>
            <w:vAlign w:val="center"/>
          </w:tcPr>
          <w:p w14:paraId="1AAF567A">
            <w:pPr>
              <w:ind w:left="0" w:firstLine="0"/>
              <w:jc w:val="center"/>
              <w:rPr>
                <w:rFonts w:hint="eastAsia" w:ascii="Times New Roman" w:hAnsi="Times New Roman" w:eastAsia="宋体" w:cs="Times New Roman"/>
                <w:sz w:val="21"/>
                <w:szCs w:val="21"/>
                <w:lang w:val="en-US" w:eastAsia="zh-CN"/>
              </w:rPr>
            </w:pPr>
            <w:bookmarkStart w:id="234" w:name="_Toc31451"/>
            <w:r>
              <w:rPr>
                <w:rFonts w:hint="eastAsia" w:ascii="Times New Roman" w:hAnsi="Times New Roman" w:eastAsia="宋体" w:cs="Times New Roman"/>
                <w:sz w:val="21"/>
                <w:szCs w:val="21"/>
                <w:lang w:val="en-US" w:eastAsia="zh-CN"/>
              </w:rPr>
              <w:t>治理效果</w:t>
            </w:r>
            <w:bookmarkEnd w:id="234"/>
          </w:p>
        </w:tc>
        <w:tc>
          <w:tcPr>
            <w:tcW w:w="2458" w:type="dxa"/>
            <w:noWrap w:val="0"/>
            <w:vAlign w:val="center"/>
          </w:tcPr>
          <w:p w14:paraId="4E0D6F24">
            <w:pPr>
              <w:ind w:left="0" w:firstLine="0"/>
              <w:jc w:val="center"/>
              <w:rPr>
                <w:rFonts w:hint="eastAsia" w:ascii="Times New Roman" w:hAnsi="Times New Roman" w:eastAsia="宋体" w:cs="Times New Roman"/>
                <w:sz w:val="21"/>
                <w:szCs w:val="21"/>
                <w:lang w:val="en-US" w:eastAsia="zh-CN"/>
              </w:rPr>
            </w:pPr>
            <w:bookmarkStart w:id="235" w:name="_Toc417"/>
            <w:r>
              <w:rPr>
                <w:rFonts w:hint="eastAsia" w:ascii="Times New Roman" w:hAnsi="Times New Roman" w:eastAsia="宋体" w:cs="Times New Roman"/>
                <w:sz w:val="21"/>
                <w:szCs w:val="21"/>
                <w:lang w:val="en-US" w:eastAsia="zh-CN"/>
              </w:rPr>
              <w:t>责任主体</w:t>
            </w:r>
            <w:bookmarkEnd w:id="235"/>
          </w:p>
        </w:tc>
      </w:tr>
      <w:tr w14:paraId="62876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noWrap w:val="0"/>
            <w:vAlign w:val="center"/>
          </w:tcPr>
          <w:p w14:paraId="3791C57E">
            <w:pPr>
              <w:ind w:left="0" w:firstLine="0"/>
              <w:jc w:val="center"/>
              <w:rPr>
                <w:rFonts w:hint="eastAsia" w:ascii="Times New Roman" w:hAnsi="Times New Roman" w:eastAsia="宋体" w:cs="Times New Roman"/>
                <w:sz w:val="21"/>
                <w:szCs w:val="21"/>
                <w:lang w:val="en-US" w:eastAsia="zh-CN"/>
              </w:rPr>
            </w:pPr>
            <w:bookmarkStart w:id="236" w:name="_Toc4219"/>
            <w:r>
              <w:rPr>
                <w:rFonts w:hint="eastAsia" w:ascii="Times New Roman" w:hAnsi="Times New Roman" w:eastAsia="宋体" w:cs="Times New Roman"/>
                <w:sz w:val="21"/>
                <w:szCs w:val="21"/>
                <w:lang w:val="en-US" w:eastAsia="zh-CN"/>
              </w:rPr>
              <w:t>一</w:t>
            </w:r>
            <w:bookmarkEnd w:id="236"/>
          </w:p>
        </w:tc>
        <w:tc>
          <w:tcPr>
            <w:tcW w:w="14013" w:type="dxa"/>
            <w:gridSpan w:val="6"/>
            <w:noWrap w:val="0"/>
            <w:vAlign w:val="center"/>
          </w:tcPr>
          <w:p w14:paraId="29ACC13B">
            <w:pPr>
              <w:ind w:left="0" w:firstLine="0"/>
              <w:jc w:val="center"/>
              <w:rPr>
                <w:rFonts w:hint="eastAsia" w:ascii="Times New Roman" w:hAnsi="Times New Roman" w:eastAsia="宋体" w:cs="Times New Roman"/>
                <w:sz w:val="21"/>
                <w:szCs w:val="21"/>
                <w:lang w:val="en-US" w:eastAsia="zh-CN"/>
              </w:rPr>
            </w:pPr>
            <w:bookmarkStart w:id="237" w:name="_Toc28893"/>
            <w:r>
              <w:rPr>
                <w:rFonts w:hint="eastAsia" w:ascii="Times New Roman" w:hAnsi="Times New Roman" w:eastAsia="宋体" w:cs="Times New Roman"/>
                <w:sz w:val="21"/>
                <w:szCs w:val="21"/>
                <w:lang w:val="en-US" w:eastAsia="zh-CN"/>
              </w:rPr>
              <w:t>施工期</w:t>
            </w:r>
            <w:bookmarkEnd w:id="237"/>
          </w:p>
        </w:tc>
      </w:tr>
      <w:tr w14:paraId="58FF5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727" w:type="dxa"/>
            <w:noWrap w:val="0"/>
            <w:vAlign w:val="center"/>
          </w:tcPr>
          <w:p w14:paraId="77A1BC33">
            <w:pPr>
              <w:ind w:left="0" w:firstLine="0"/>
              <w:jc w:val="center"/>
              <w:rPr>
                <w:rFonts w:hint="eastAsia" w:ascii="Times New Roman" w:hAnsi="Times New Roman" w:eastAsia="宋体" w:cs="Times New Roman"/>
                <w:sz w:val="21"/>
                <w:szCs w:val="21"/>
                <w:lang w:val="en-US" w:eastAsia="zh-CN"/>
              </w:rPr>
            </w:pPr>
            <w:bookmarkStart w:id="238" w:name="_Toc1432"/>
            <w:r>
              <w:rPr>
                <w:rFonts w:hint="eastAsia" w:ascii="Times New Roman" w:hAnsi="Times New Roman" w:eastAsia="宋体" w:cs="Times New Roman"/>
                <w:sz w:val="21"/>
                <w:szCs w:val="21"/>
                <w:lang w:val="en-US" w:eastAsia="zh-CN"/>
              </w:rPr>
              <w:t>1</w:t>
            </w:r>
            <w:bookmarkEnd w:id="238"/>
          </w:p>
        </w:tc>
        <w:tc>
          <w:tcPr>
            <w:tcW w:w="1318" w:type="dxa"/>
            <w:noWrap w:val="0"/>
            <w:vAlign w:val="center"/>
          </w:tcPr>
          <w:p w14:paraId="74A04C76">
            <w:pPr>
              <w:ind w:left="0" w:firstLine="0"/>
              <w:jc w:val="center"/>
              <w:rPr>
                <w:rFonts w:hint="eastAsia" w:ascii="Times New Roman" w:hAnsi="Times New Roman" w:eastAsia="宋体" w:cs="Times New Roman"/>
                <w:sz w:val="21"/>
                <w:szCs w:val="21"/>
                <w:lang w:val="en-US" w:eastAsia="zh-CN"/>
              </w:rPr>
            </w:pPr>
            <w:bookmarkStart w:id="239" w:name="_Toc20402"/>
            <w:r>
              <w:rPr>
                <w:rFonts w:hint="eastAsia" w:ascii="Times New Roman" w:hAnsi="Times New Roman" w:eastAsia="宋体" w:cs="Times New Roman"/>
                <w:sz w:val="21"/>
                <w:szCs w:val="21"/>
                <w:lang w:val="en-US" w:eastAsia="zh-CN"/>
              </w:rPr>
              <w:t>废气</w:t>
            </w:r>
            <w:bookmarkEnd w:id="239"/>
          </w:p>
        </w:tc>
        <w:tc>
          <w:tcPr>
            <w:tcW w:w="1095" w:type="dxa"/>
            <w:noWrap w:val="0"/>
            <w:vAlign w:val="center"/>
          </w:tcPr>
          <w:p w14:paraId="1F78E1B3">
            <w:pPr>
              <w:ind w:left="0" w:firstLine="0"/>
              <w:jc w:val="center"/>
              <w:rPr>
                <w:rFonts w:hint="eastAsia" w:ascii="Times New Roman" w:hAnsi="Times New Roman" w:eastAsia="宋体" w:cs="Times New Roman"/>
                <w:sz w:val="21"/>
                <w:szCs w:val="21"/>
                <w:lang w:val="en-US" w:eastAsia="zh-CN"/>
              </w:rPr>
            </w:pPr>
            <w:bookmarkStart w:id="240" w:name="_Toc6837"/>
            <w:r>
              <w:rPr>
                <w:rFonts w:hint="eastAsia" w:ascii="Times New Roman" w:hAnsi="Times New Roman" w:eastAsia="宋体" w:cs="Times New Roman"/>
                <w:sz w:val="21"/>
                <w:szCs w:val="21"/>
                <w:lang w:val="en-US" w:eastAsia="zh-CN"/>
              </w:rPr>
              <w:t>施工过程</w:t>
            </w:r>
            <w:bookmarkEnd w:id="240"/>
          </w:p>
        </w:tc>
        <w:tc>
          <w:tcPr>
            <w:tcW w:w="1314" w:type="dxa"/>
            <w:noWrap w:val="0"/>
            <w:vAlign w:val="center"/>
          </w:tcPr>
          <w:p w14:paraId="7E045C31">
            <w:pPr>
              <w:ind w:left="0" w:firstLine="0"/>
              <w:jc w:val="center"/>
              <w:rPr>
                <w:rFonts w:hint="eastAsia" w:ascii="Times New Roman" w:hAnsi="Times New Roman" w:eastAsia="宋体" w:cs="Times New Roman"/>
                <w:sz w:val="21"/>
                <w:szCs w:val="21"/>
                <w:lang w:val="en-US" w:eastAsia="zh-CN"/>
              </w:rPr>
            </w:pPr>
            <w:bookmarkStart w:id="241" w:name="_Toc14124"/>
            <w:r>
              <w:rPr>
                <w:rFonts w:hint="eastAsia" w:ascii="Times New Roman" w:hAnsi="Times New Roman" w:eastAsia="宋体" w:cs="Times New Roman"/>
                <w:sz w:val="21"/>
                <w:szCs w:val="21"/>
                <w:lang w:val="en-US" w:eastAsia="zh-CN"/>
              </w:rPr>
              <w:t>颗粒物</w:t>
            </w:r>
            <w:bookmarkEnd w:id="241"/>
          </w:p>
        </w:tc>
        <w:tc>
          <w:tcPr>
            <w:tcW w:w="4870" w:type="dxa"/>
            <w:noWrap w:val="0"/>
            <w:vAlign w:val="center"/>
          </w:tcPr>
          <w:p w14:paraId="5AC1E9B6">
            <w:pPr>
              <w:ind w:left="0" w:firstLine="0"/>
              <w:jc w:val="center"/>
              <w:rPr>
                <w:rFonts w:hint="eastAsia" w:ascii="Times New Roman" w:hAnsi="Times New Roman" w:eastAsia="宋体" w:cs="Times New Roman"/>
                <w:sz w:val="21"/>
                <w:szCs w:val="21"/>
                <w:lang w:val="en-US" w:eastAsia="zh-CN"/>
              </w:rPr>
            </w:pPr>
            <w:bookmarkStart w:id="242" w:name="_Toc15602"/>
            <w:r>
              <w:rPr>
                <w:rFonts w:hint="eastAsia" w:ascii="Times New Roman" w:hAnsi="Times New Roman" w:eastAsia="宋体" w:cs="Times New Roman"/>
                <w:sz w:val="21"/>
                <w:szCs w:val="21"/>
                <w:lang w:val="en-US" w:eastAsia="zh-CN"/>
              </w:rPr>
              <w:t>洒水降尘、材料篷布遮盖</w:t>
            </w:r>
            <w:bookmarkEnd w:id="242"/>
          </w:p>
        </w:tc>
        <w:tc>
          <w:tcPr>
            <w:tcW w:w="2958" w:type="dxa"/>
            <w:noWrap w:val="0"/>
            <w:vAlign w:val="center"/>
          </w:tcPr>
          <w:p w14:paraId="44E7EF44">
            <w:pPr>
              <w:ind w:left="0" w:firstLine="0"/>
              <w:jc w:val="center"/>
              <w:rPr>
                <w:rFonts w:hint="eastAsia" w:ascii="Times New Roman" w:hAnsi="Times New Roman" w:eastAsia="宋体" w:cs="Times New Roman"/>
                <w:sz w:val="21"/>
                <w:szCs w:val="21"/>
                <w:lang w:val="en-US" w:eastAsia="zh-CN"/>
              </w:rPr>
            </w:pPr>
            <w:bookmarkStart w:id="243" w:name="_Toc24331"/>
            <w:r>
              <w:rPr>
                <w:rFonts w:hint="eastAsia" w:ascii="Times New Roman" w:hAnsi="Times New Roman" w:eastAsia="宋体" w:cs="Times New Roman"/>
                <w:sz w:val="21"/>
                <w:szCs w:val="21"/>
                <w:lang w:val="en-US" w:eastAsia="zh-CN"/>
              </w:rPr>
              <w:t>满足</w:t>
            </w:r>
            <w:r>
              <w:rPr>
                <w:rFonts w:hint="eastAsia" w:ascii="Times New Roman" w:hAnsi="Times New Roman" w:eastAsia="宋体" w:cs="Times New Roman"/>
                <w:sz w:val="21"/>
                <w:szCs w:val="21"/>
                <w:lang w:val="zh-CN" w:eastAsia="zh-CN"/>
              </w:rPr>
              <w:t>《大气污染物综合排放标准》（GB16297-1996）无组织排放限值</w:t>
            </w:r>
            <w:bookmarkEnd w:id="243"/>
          </w:p>
        </w:tc>
        <w:tc>
          <w:tcPr>
            <w:tcW w:w="2458" w:type="dxa"/>
            <w:noWrap w:val="0"/>
            <w:vAlign w:val="center"/>
          </w:tcPr>
          <w:p w14:paraId="4ACFD67A">
            <w:pPr>
              <w:ind w:left="0" w:firstLine="0"/>
              <w:jc w:val="center"/>
              <w:rPr>
                <w:rFonts w:hint="eastAsia" w:ascii="Times New Roman" w:hAnsi="Times New Roman" w:eastAsia="宋体" w:cs="Times New Roman"/>
                <w:sz w:val="21"/>
                <w:szCs w:val="21"/>
                <w:lang w:val="en-US" w:eastAsia="zh-CN"/>
              </w:rPr>
            </w:pPr>
            <w:bookmarkStart w:id="244" w:name="_Toc20401"/>
            <w:r>
              <w:rPr>
                <w:rFonts w:hint="eastAsia" w:ascii="Times New Roman" w:hAnsi="Times New Roman" w:eastAsia="宋体" w:cs="Times New Roman"/>
                <w:sz w:val="21"/>
                <w:szCs w:val="21"/>
                <w:lang w:val="en-US" w:eastAsia="zh-CN"/>
              </w:rPr>
              <w:t>建设单位</w:t>
            </w:r>
            <w:bookmarkEnd w:id="244"/>
          </w:p>
        </w:tc>
      </w:tr>
      <w:tr w14:paraId="094D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 w:hRule="atLeast"/>
          <w:jc w:val="center"/>
        </w:trPr>
        <w:tc>
          <w:tcPr>
            <w:tcW w:w="727" w:type="dxa"/>
            <w:noWrap w:val="0"/>
            <w:vAlign w:val="center"/>
          </w:tcPr>
          <w:p w14:paraId="256711CB">
            <w:pPr>
              <w:ind w:left="0" w:firstLine="0"/>
              <w:jc w:val="center"/>
              <w:rPr>
                <w:rFonts w:hint="eastAsia" w:ascii="Times New Roman" w:hAnsi="Times New Roman" w:eastAsia="宋体" w:cs="Times New Roman"/>
                <w:sz w:val="21"/>
                <w:szCs w:val="21"/>
                <w:lang w:val="en-US" w:eastAsia="zh-CN"/>
              </w:rPr>
            </w:pPr>
            <w:bookmarkStart w:id="245" w:name="_Toc25951"/>
            <w:r>
              <w:rPr>
                <w:rFonts w:hint="eastAsia" w:ascii="Times New Roman" w:hAnsi="Times New Roman" w:eastAsia="宋体" w:cs="Times New Roman"/>
                <w:sz w:val="21"/>
                <w:szCs w:val="21"/>
                <w:lang w:val="en-US" w:eastAsia="zh-CN"/>
              </w:rPr>
              <w:t>2</w:t>
            </w:r>
            <w:bookmarkEnd w:id="245"/>
          </w:p>
        </w:tc>
        <w:tc>
          <w:tcPr>
            <w:tcW w:w="1318" w:type="dxa"/>
            <w:noWrap w:val="0"/>
            <w:vAlign w:val="center"/>
          </w:tcPr>
          <w:p w14:paraId="6E8DD70F">
            <w:pPr>
              <w:ind w:left="0" w:firstLine="0"/>
              <w:jc w:val="center"/>
              <w:rPr>
                <w:rFonts w:hint="eastAsia" w:ascii="Times New Roman" w:hAnsi="Times New Roman" w:eastAsia="宋体" w:cs="Times New Roman"/>
                <w:sz w:val="21"/>
                <w:szCs w:val="21"/>
                <w:lang w:val="en-US" w:eastAsia="zh-CN"/>
              </w:rPr>
            </w:pPr>
            <w:bookmarkStart w:id="246" w:name="_Toc26664"/>
            <w:r>
              <w:rPr>
                <w:rFonts w:hint="eastAsia" w:ascii="Times New Roman" w:hAnsi="Times New Roman" w:eastAsia="宋体" w:cs="Times New Roman"/>
                <w:sz w:val="21"/>
                <w:szCs w:val="21"/>
                <w:lang w:val="en-US" w:eastAsia="zh-CN"/>
              </w:rPr>
              <w:t>废水</w:t>
            </w:r>
            <w:bookmarkEnd w:id="246"/>
          </w:p>
        </w:tc>
        <w:tc>
          <w:tcPr>
            <w:tcW w:w="1095" w:type="dxa"/>
            <w:noWrap w:val="0"/>
            <w:vAlign w:val="center"/>
          </w:tcPr>
          <w:p w14:paraId="01E69DB5">
            <w:pPr>
              <w:ind w:left="0" w:firstLine="0"/>
              <w:jc w:val="center"/>
              <w:rPr>
                <w:rFonts w:hint="eastAsia" w:ascii="Times New Roman" w:hAnsi="Times New Roman" w:eastAsia="宋体" w:cs="Times New Roman"/>
                <w:sz w:val="21"/>
                <w:szCs w:val="21"/>
                <w:lang w:val="en-US" w:eastAsia="zh-CN"/>
              </w:rPr>
            </w:pPr>
            <w:bookmarkStart w:id="247" w:name="_Toc25667"/>
            <w:r>
              <w:rPr>
                <w:rFonts w:hint="eastAsia" w:ascii="Times New Roman" w:hAnsi="Times New Roman" w:eastAsia="宋体" w:cs="Times New Roman"/>
                <w:sz w:val="21"/>
                <w:szCs w:val="21"/>
                <w:lang w:val="en-US" w:eastAsia="zh-CN"/>
              </w:rPr>
              <w:t>施工过程</w:t>
            </w:r>
            <w:bookmarkEnd w:id="247"/>
          </w:p>
        </w:tc>
        <w:tc>
          <w:tcPr>
            <w:tcW w:w="1314" w:type="dxa"/>
            <w:noWrap w:val="0"/>
            <w:vAlign w:val="center"/>
          </w:tcPr>
          <w:p w14:paraId="0D1A46E8">
            <w:pPr>
              <w:ind w:left="0" w:firstLine="0"/>
              <w:jc w:val="center"/>
              <w:rPr>
                <w:rFonts w:hint="eastAsia" w:ascii="Times New Roman" w:hAnsi="Times New Roman" w:eastAsia="宋体" w:cs="Times New Roman"/>
                <w:sz w:val="21"/>
                <w:szCs w:val="21"/>
                <w:lang w:val="en-US" w:eastAsia="zh-CN"/>
              </w:rPr>
            </w:pPr>
            <w:bookmarkStart w:id="248" w:name="_Toc12992"/>
            <w:r>
              <w:rPr>
                <w:rFonts w:hint="eastAsia" w:ascii="Times New Roman" w:hAnsi="Times New Roman" w:eastAsia="宋体" w:cs="Times New Roman"/>
                <w:sz w:val="21"/>
                <w:szCs w:val="21"/>
                <w:lang w:val="en-US" w:eastAsia="zh-CN"/>
              </w:rPr>
              <w:t>施工废水、生活污水</w:t>
            </w:r>
            <w:bookmarkEnd w:id="248"/>
          </w:p>
        </w:tc>
        <w:tc>
          <w:tcPr>
            <w:tcW w:w="4870" w:type="dxa"/>
            <w:noWrap w:val="0"/>
            <w:vAlign w:val="center"/>
          </w:tcPr>
          <w:p w14:paraId="3CA44B0A">
            <w:pPr>
              <w:ind w:left="0" w:firstLine="0"/>
              <w:jc w:val="center"/>
              <w:rPr>
                <w:rFonts w:hint="eastAsia" w:ascii="Times New Roman" w:hAnsi="Times New Roman" w:eastAsia="宋体" w:cs="Times New Roman"/>
                <w:sz w:val="21"/>
                <w:szCs w:val="21"/>
                <w:lang w:val="en-US" w:eastAsia="zh-CN"/>
              </w:rPr>
            </w:pPr>
            <w:bookmarkStart w:id="249" w:name="_Toc20049"/>
            <w:r>
              <w:rPr>
                <w:rFonts w:hint="eastAsia" w:ascii="Times New Roman" w:hAnsi="Times New Roman" w:eastAsia="宋体" w:cs="Times New Roman"/>
                <w:sz w:val="21"/>
                <w:szCs w:val="21"/>
                <w:lang w:val="en-US" w:eastAsia="zh-CN"/>
              </w:rPr>
              <w:t>处理后的施工废水可回用于施工过程和场地洒水抑尘；生活污水排入现有的化粪池处理；不设置施工车辆维修、清洗设施，委托社会车辆维修清洗中心进行维修清洗</w:t>
            </w:r>
            <w:bookmarkEnd w:id="249"/>
          </w:p>
        </w:tc>
        <w:tc>
          <w:tcPr>
            <w:tcW w:w="2958" w:type="dxa"/>
            <w:noWrap w:val="0"/>
            <w:vAlign w:val="center"/>
          </w:tcPr>
          <w:p w14:paraId="591252A4">
            <w:pPr>
              <w:ind w:left="0" w:firstLine="0"/>
              <w:jc w:val="center"/>
              <w:rPr>
                <w:rFonts w:hint="eastAsia" w:ascii="Times New Roman" w:hAnsi="Times New Roman" w:eastAsia="宋体" w:cs="Times New Roman"/>
                <w:sz w:val="21"/>
                <w:szCs w:val="21"/>
                <w:lang w:val="en-US" w:eastAsia="zh-CN"/>
              </w:rPr>
            </w:pPr>
            <w:bookmarkStart w:id="250" w:name="_Toc14386"/>
            <w:r>
              <w:rPr>
                <w:rFonts w:hint="eastAsia" w:ascii="Times New Roman" w:hAnsi="Times New Roman" w:eastAsia="宋体" w:cs="Times New Roman"/>
                <w:sz w:val="21"/>
                <w:szCs w:val="21"/>
                <w:lang w:val="en-US" w:eastAsia="zh-CN"/>
              </w:rPr>
              <w:t>不外排</w:t>
            </w:r>
            <w:bookmarkEnd w:id="250"/>
          </w:p>
        </w:tc>
        <w:tc>
          <w:tcPr>
            <w:tcW w:w="2458" w:type="dxa"/>
            <w:noWrap w:val="0"/>
            <w:vAlign w:val="center"/>
          </w:tcPr>
          <w:p w14:paraId="4E0C6DEA">
            <w:pPr>
              <w:ind w:left="0" w:firstLine="0"/>
              <w:jc w:val="center"/>
              <w:rPr>
                <w:rFonts w:hint="eastAsia" w:ascii="Times New Roman" w:hAnsi="Times New Roman" w:eastAsia="宋体" w:cs="Times New Roman"/>
                <w:sz w:val="21"/>
                <w:szCs w:val="21"/>
                <w:lang w:val="en-US" w:eastAsia="zh-CN"/>
              </w:rPr>
            </w:pPr>
            <w:bookmarkStart w:id="251" w:name="_Toc4031"/>
            <w:r>
              <w:rPr>
                <w:rFonts w:hint="eastAsia" w:ascii="Times New Roman" w:hAnsi="Times New Roman" w:eastAsia="宋体" w:cs="Times New Roman"/>
                <w:sz w:val="21"/>
                <w:szCs w:val="21"/>
                <w:lang w:val="en-US" w:eastAsia="zh-CN"/>
              </w:rPr>
              <w:t>建设单位</w:t>
            </w:r>
            <w:bookmarkEnd w:id="251"/>
          </w:p>
        </w:tc>
      </w:tr>
      <w:tr w14:paraId="35D21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noWrap w:val="0"/>
            <w:vAlign w:val="center"/>
          </w:tcPr>
          <w:p w14:paraId="746D64B2">
            <w:pPr>
              <w:ind w:left="0" w:firstLine="0"/>
              <w:jc w:val="center"/>
              <w:rPr>
                <w:rFonts w:hint="eastAsia" w:ascii="Times New Roman" w:hAnsi="Times New Roman" w:eastAsia="宋体" w:cs="Times New Roman"/>
                <w:sz w:val="21"/>
                <w:szCs w:val="21"/>
                <w:lang w:val="en-US" w:eastAsia="zh-CN"/>
              </w:rPr>
            </w:pPr>
            <w:bookmarkStart w:id="252" w:name="_Toc10431"/>
            <w:r>
              <w:rPr>
                <w:rFonts w:hint="eastAsia" w:ascii="Times New Roman" w:hAnsi="Times New Roman" w:eastAsia="宋体" w:cs="Times New Roman"/>
                <w:sz w:val="21"/>
                <w:szCs w:val="21"/>
                <w:lang w:val="en-US" w:eastAsia="zh-CN"/>
              </w:rPr>
              <w:t>3</w:t>
            </w:r>
            <w:bookmarkEnd w:id="252"/>
          </w:p>
        </w:tc>
        <w:tc>
          <w:tcPr>
            <w:tcW w:w="1318" w:type="dxa"/>
            <w:noWrap w:val="0"/>
            <w:vAlign w:val="center"/>
          </w:tcPr>
          <w:p w14:paraId="72E71BDE">
            <w:pPr>
              <w:ind w:left="0" w:firstLine="0"/>
              <w:jc w:val="center"/>
              <w:rPr>
                <w:rFonts w:hint="eastAsia" w:ascii="Times New Roman" w:hAnsi="Times New Roman" w:eastAsia="宋体" w:cs="Times New Roman"/>
                <w:sz w:val="21"/>
                <w:szCs w:val="21"/>
                <w:lang w:val="en-US" w:eastAsia="zh-CN"/>
              </w:rPr>
            </w:pPr>
            <w:bookmarkStart w:id="253" w:name="_Toc8509"/>
            <w:r>
              <w:rPr>
                <w:rFonts w:hint="eastAsia" w:ascii="Times New Roman" w:hAnsi="Times New Roman" w:eastAsia="宋体" w:cs="Times New Roman"/>
                <w:sz w:val="21"/>
                <w:szCs w:val="21"/>
                <w:lang w:val="en-US" w:eastAsia="zh-CN"/>
              </w:rPr>
              <w:t>噪声</w:t>
            </w:r>
            <w:bookmarkEnd w:id="253"/>
          </w:p>
        </w:tc>
        <w:tc>
          <w:tcPr>
            <w:tcW w:w="1095" w:type="dxa"/>
            <w:noWrap w:val="0"/>
            <w:vAlign w:val="center"/>
          </w:tcPr>
          <w:p w14:paraId="0DAC36E9">
            <w:pPr>
              <w:ind w:left="0" w:firstLine="0"/>
              <w:jc w:val="center"/>
              <w:rPr>
                <w:rFonts w:hint="eastAsia" w:ascii="Times New Roman" w:hAnsi="Times New Roman" w:eastAsia="宋体" w:cs="Times New Roman"/>
                <w:sz w:val="21"/>
                <w:szCs w:val="21"/>
                <w:lang w:val="en-US" w:eastAsia="zh-CN"/>
              </w:rPr>
            </w:pPr>
            <w:bookmarkStart w:id="254" w:name="_Toc17911"/>
            <w:r>
              <w:rPr>
                <w:rFonts w:hint="eastAsia" w:ascii="Times New Roman" w:hAnsi="Times New Roman" w:eastAsia="宋体" w:cs="Times New Roman"/>
                <w:sz w:val="21"/>
                <w:szCs w:val="21"/>
                <w:lang w:val="en-US" w:eastAsia="zh-CN"/>
              </w:rPr>
              <w:t>施工过程</w:t>
            </w:r>
            <w:bookmarkEnd w:id="254"/>
          </w:p>
        </w:tc>
        <w:tc>
          <w:tcPr>
            <w:tcW w:w="1314" w:type="dxa"/>
            <w:noWrap w:val="0"/>
            <w:vAlign w:val="center"/>
          </w:tcPr>
          <w:p w14:paraId="639F35D7">
            <w:pPr>
              <w:ind w:left="0" w:firstLine="0"/>
              <w:jc w:val="center"/>
              <w:rPr>
                <w:rFonts w:hint="eastAsia" w:ascii="Times New Roman" w:hAnsi="Times New Roman" w:eastAsia="宋体" w:cs="Times New Roman"/>
                <w:sz w:val="21"/>
                <w:szCs w:val="21"/>
                <w:lang w:val="en-US" w:eastAsia="zh-CN"/>
              </w:rPr>
            </w:pPr>
            <w:bookmarkStart w:id="255" w:name="_Toc25370"/>
            <w:r>
              <w:rPr>
                <w:rFonts w:hint="eastAsia" w:ascii="Times New Roman" w:hAnsi="Times New Roman" w:eastAsia="宋体" w:cs="Times New Roman"/>
                <w:sz w:val="21"/>
                <w:szCs w:val="21"/>
                <w:lang w:val="en-US" w:eastAsia="zh-CN"/>
              </w:rPr>
              <w:t>机械设备噪声</w:t>
            </w:r>
            <w:bookmarkEnd w:id="255"/>
          </w:p>
        </w:tc>
        <w:tc>
          <w:tcPr>
            <w:tcW w:w="4870" w:type="dxa"/>
            <w:noWrap w:val="0"/>
            <w:vAlign w:val="center"/>
          </w:tcPr>
          <w:p w14:paraId="7394C476">
            <w:pPr>
              <w:ind w:left="0" w:firstLine="0"/>
              <w:jc w:val="center"/>
              <w:rPr>
                <w:rFonts w:hint="eastAsia" w:ascii="Times New Roman" w:hAnsi="Times New Roman" w:eastAsia="宋体" w:cs="Times New Roman"/>
                <w:sz w:val="21"/>
                <w:szCs w:val="21"/>
                <w:lang w:val="en-US" w:eastAsia="zh-CN"/>
              </w:rPr>
            </w:pPr>
            <w:bookmarkStart w:id="256" w:name="_Toc2027"/>
            <w:r>
              <w:rPr>
                <w:rFonts w:hint="eastAsia" w:ascii="Times New Roman" w:hAnsi="Times New Roman" w:eastAsia="宋体" w:cs="Times New Roman"/>
                <w:sz w:val="21"/>
                <w:szCs w:val="21"/>
                <w:lang w:val="en-US" w:eastAsia="zh-CN"/>
              </w:rPr>
              <w:t>选用低噪声设备，合理安排施工时间，高噪声设备基础及连接处采用减震措施，合理布局</w:t>
            </w:r>
            <w:bookmarkEnd w:id="256"/>
          </w:p>
        </w:tc>
        <w:tc>
          <w:tcPr>
            <w:tcW w:w="2958" w:type="dxa"/>
            <w:noWrap w:val="0"/>
            <w:vAlign w:val="center"/>
          </w:tcPr>
          <w:p w14:paraId="0D3C0827">
            <w:pPr>
              <w:ind w:left="0" w:firstLine="0"/>
              <w:jc w:val="center"/>
              <w:rPr>
                <w:rFonts w:hint="eastAsia" w:ascii="Times New Roman" w:hAnsi="Times New Roman" w:eastAsia="宋体" w:cs="Times New Roman"/>
                <w:sz w:val="21"/>
                <w:szCs w:val="21"/>
                <w:lang w:val="en-US" w:eastAsia="zh-CN"/>
              </w:rPr>
            </w:pPr>
            <w:bookmarkStart w:id="257" w:name="_Toc2616"/>
            <w:r>
              <w:rPr>
                <w:rFonts w:hint="eastAsia" w:ascii="Times New Roman" w:hAnsi="Times New Roman" w:eastAsia="宋体" w:cs="Times New Roman"/>
                <w:sz w:val="21"/>
                <w:szCs w:val="21"/>
                <w:lang w:val="en-US" w:eastAsia="zh-CN"/>
              </w:rPr>
              <w:t>满足</w:t>
            </w:r>
            <w:r>
              <w:rPr>
                <w:rFonts w:hint="eastAsia" w:ascii="Times New Roman" w:hAnsi="Times New Roman" w:eastAsia="宋体" w:cs="Times New Roman"/>
                <w:sz w:val="21"/>
                <w:szCs w:val="21"/>
                <w:lang w:val="zh-CN" w:eastAsia="zh-CN"/>
              </w:rPr>
              <w:t>《建筑施工场界环境噪声排放标准》（GB12523-2011）</w:t>
            </w:r>
            <w:bookmarkEnd w:id="257"/>
          </w:p>
        </w:tc>
        <w:tc>
          <w:tcPr>
            <w:tcW w:w="2458" w:type="dxa"/>
            <w:noWrap w:val="0"/>
            <w:vAlign w:val="center"/>
          </w:tcPr>
          <w:p w14:paraId="1506A8EC">
            <w:pPr>
              <w:ind w:left="0" w:firstLine="0"/>
              <w:jc w:val="center"/>
              <w:rPr>
                <w:rFonts w:hint="eastAsia" w:ascii="Times New Roman" w:hAnsi="Times New Roman" w:eastAsia="宋体" w:cs="Times New Roman"/>
                <w:sz w:val="21"/>
                <w:szCs w:val="21"/>
                <w:lang w:val="en-US" w:eastAsia="zh-CN"/>
              </w:rPr>
            </w:pPr>
            <w:bookmarkStart w:id="258" w:name="_Toc16576"/>
            <w:r>
              <w:rPr>
                <w:rFonts w:hint="eastAsia" w:ascii="Times New Roman" w:hAnsi="Times New Roman" w:eastAsia="宋体" w:cs="Times New Roman"/>
                <w:sz w:val="21"/>
                <w:szCs w:val="21"/>
                <w:lang w:val="en-US" w:eastAsia="zh-CN"/>
              </w:rPr>
              <w:t>建设单位</w:t>
            </w:r>
            <w:bookmarkEnd w:id="258"/>
          </w:p>
        </w:tc>
      </w:tr>
      <w:tr w14:paraId="232DB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restart"/>
            <w:noWrap w:val="0"/>
            <w:vAlign w:val="center"/>
          </w:tcPr>
          <w:p w14:paraId="4D71C618">
            <w:pPr>
              <w:ind w:left="0" w:firstLine="0"/>
              <w:jc w:val="center"/>
              <w:rPr>
                <w:rFonts w:hint="eastAsia" w:ascii="Times New Roman" w:hAnsi="Times New Roman" w:eastAsia="宋体" w:cs="Times New Roman"/>
                <w:sz w:val="21"/>
                <w:szCs w:val="21"/>
                <w:lang w:val="en-US" w:eastAsia="zh-CN"/>
              </w:rPr>
            </w:pPr>
            <w:bookmarkStart w:id="259" w:name="_Toc30154"/>
            <w:r>
              <w:rPr>
                <w:rFonts w:hint="eastAsia" w:ascii="Times New Roman" w:hAnsi="Times New Roman" w:eastAsia="宋体" w:cs="Times New Roman"/>
                <w:sz w:val="21"/>
                <w:szCs w:val="21"/>
                <w:lang w:val="en-US" w:eastAsia="zh-CN"/>
              </w:rPr>
              <w:t>4</w:t>
            </w:r>
            <w:bookmarkEnd w:id="259"/>
          </w:p>
        </w:tc>
        <w:tc>
          <w:tcPr>
            <w:tcW w:w="1318" w:type="dxa"/>
            <w:vMerge w:val="restart"/>
            <w:noWrap w:val="0"/>
            <w:vAlign w:val="center"/>
          </w:tcPr>
          <w:p w14:paraId="37D34AAF">
            <w:pPr>
              <w:ind w:left="0" w:firstLine="0"/>
              <w:jc w:val="center"/>
              <w:rPr>
                <w:rFonts w:hint="eastAsia" w:ascii="Times New Roman" w:hAnsi="Times New Roman" w:eastAsia="宋体" w:cs="Times New Roman"/>
                <w:sz w:val="21"/>
                <w:szCs w:val="21"/>
                <w:lang w:val="en-US" w:eastAsia="zh-CN"/>
              </w:rPr>
            </w:pPr>
            <w:bookmarkStart w:id="260" w:name="_Toc23031"/>
            <w:r>
              <w:rPr>
                <w:rFonts w:hint="eastAsia" w:ascii="Times New Roman" w:hAnsi="Times New Roman" w:eastAsia="宋体" w:cs="Times New Roman"/>
                <w:sz w:val="21"/>
                <w:szCs w:val="21"/>
                <w:lang w:val="en-US" w:eastAsia="zh-CN"/>
              </w:rPr>
              <w:t>固废</w:t>
            </w:r>
            <w:bookmarkEnd w:id="260"/>
          </w:p>
        </w:tc>
        <w:tc>
          <w:tcPr>
            <w:tcW w:w="1095" w:type="dxa"/>
            <w:vMerge w:val="restart"/>
            <w:noWrap w:val="0"/>
            <w:vAlign w:val="center"/>
          </w:tcPr>
          <w:p w14:paraId="5934ED9B">
            <w:pPr>
              <w:ind w:left="0" w:firstLine="0"/>
              <w:jc w:val="center"/>
              <w:rPr>
                <w:rFonts w:hint="eastAsia" w:ascii="Times New Roman" w:hAnsi="Times New Roman" w:eastAsia="宋体" w:cs="Times New Roman"/>
                <w:sz w:val="21"/>
                <w:szCs w:val="21"/>
                <w:lang w:val="en-US" w:eastAsia="zh-CN"/>
              </w:rPr>
            </w:pPr>
            <w:bookmarkStart w:id="261" w:name="_Toc15359"/>
            <w:r>
              <w:rPr>
                <w:rFonts w:hint="eastAsia" w:ascii="Times New Roman" w:hAnsi="Times New Roman" w:eastAsia="宋体" w:cs="Times New Roman"/>
                <w:sz w:val="21"/>
                <w:szCs w:val="21"/>
                <w:lang w:val="en-US" w:eastAsia="zh-CN"/>
              </w:rPr>
              <w:t>施工过程</w:t>
            </w:r>
            <w:bookmarkEnd w:id="261"/>
          </w:p>
        </w:tc>
        <w:tc>
          <w:tcPr>
            <w:tcW w:w="1314" w:type="dxa"/>
            <w:noWrap w:val="0"/>
            <w:vAlign w:val="center"/>
          </w:tcPr>
          <w:p w14:paraId="3EC7F8CE">
            <w:pPr>
              <w:ind w:left="0" w:firstLine="0"/>
              <w:jc w:val="center"/>
              <w:rPr>
                <w:rFonts w:hint="eastAsia" w:ascii="Times New Roman" w:hAnsi="Times New Roman" w:eastAsia="宋体" w:cs="Times New Roman"/>
                <w:sz w:val="21"/>
                <w:szCs w:val="21"/>
                <w:lang w:val="en-US" w:eastAsia="zh-CN"/>
              </w:rPr>
            </w:pPr>
            <w:bookmarkStart w:id="262" w:name="_Toc24813"/>
            <w:r>
              <w:rPr>
                <w:rFonts w:hint="eastAsia" w:ascii="Times New Roman" w:hAnsi="Times New Roman" w:eastAsia="宋体" w:cs="Times New Roman"/>
                <w:sz w:val="21"/>
                <w:szCs w:val="21"/>
                <w:lang w:val="en-US" w:eastAsia="zh-CN"/>
              </w:rPr>
              <w:t>土石方</w:t>
            </w:r>
            <w:bookmarkEnd w:id="262"/>
          </w:p>
        </w:tc>
        <w:tc>
          <w:tcPr>
            <w:tcW w:w="4870" w:type="dxa"/>
            <w:noWrap w:val="0"/>
            <w:vAlign w:val="center"/>
          </w:tcPr>
          <w:p w14:paraId="1CAD4155">
            <w:pPr>
              <w:ind w:left="0" w:firstLine="0"/>
              <w:jc w:val="center"/>
              <w:rPr>
                <w:rFonts w:hint="eastAsia" w:ascii="Times New Roman" w:hAnsi="Times New Roman" w:eastAsia="宋体" w:cs="Times New Roman"/>
                <w:sz w:val="21"/>
                <w:szCs w:val="21"/>
                <w:lang w:val="en-US" w:eastAsia="zh-CN"/>
              </w:rPr>
            </w:pPr>
            <w:bookmarkStart w:id="263" w:name="_Toc27905"/>
            <w:r>
              <w:rPr>
                <w:rFonts w:hint="eastAsia" w:ascii="Times New Roman" w:hAnsi="Times New Roman" w:eastAsia="宋体" w:cs="Times New Roman"/>
                <w:sz w:val="21"/>
                <w:szCs w:val="21"/>
                <w:lang w:val="en-US" w:eastAsia="zh-CN"/>
              </w:rPr>
              <w:t>挖填平衡，回填场地</w:t>
            </w:r>
            <w:bookmarkEnd w:id="263"/>
          </w:p>
        </w:tc>
        <w:tc>
          <w:tcPr>
            <w:tcW w:w="2958" w:type="dxa"/>
            <w:vMerge w:val="restart"/>
            <w:noWrap w:val="0"/>
            <w:vAlign w:val="center"/>
          </w:tcPr>
          <w:p w14:paraId="0DD5453B">
            <w:pPr>
              <w:ind w:left="0" w:firstLine="0"/>
              <w:jc w:val="center"/>
              <w:rPr>
                <w:rFonts w:hint="eastAsia" w:ascii="Times New Roman" w:hAnsi="Times New Roman" w:eastAsia="宋体" w:cs="Times New Roman"/>
                <w:sz w:val="21"/>
                <w:szCs w:val="21"/>
                <w:lang w:val="en-US" w:eastAsia="zh-CN"/>
              </w:rPr>
            </w:pPr>
            <w:bookmarkStart w:id="264" w:name="_Toc1116"/>
            <w:r>
              <w:rPr>
                <w:rFonts w:hint="eastAsia" w:ascii="Times New Roman" w:hAnsi="Times New Roman" w:eastAsia="宋体" w:cs="Times New Roman"/>
                <w:sz w:val="21"/>
                <w:szCs w:val="21"/>
                <w:lang w:val="en-US" w:eastAsia="zh-CN"/>
              </w:rPr>
              <w:t>固废处置率100%</w:t>
            </w:r>
            <w:bookmarkEnd w:id="264"/>
          </w:p>
        </w:tc>
        <w:tc>
          <w:tcPr>
            <w:tcW w:w="2458" w:type="dxa"/>
            <w:vMerge w:val="restart"/>
            <w:noWrap w:val="0"/>
            <w:vAlign w:val="center"/>
          </w:tcPr>
          <w:p w14:paraId="7584247D">
            <w:pPr>
              <w:ind w:left="0" w:firstLine="0"/>
              <w:jc w:val="center"/>
              <w:rPr>
                <w:rFonts w:hint="eastAsia" w:ascii="Times New Roman" w:hAnsi="Times New Roman" w:eastAsia="宋体" w:cs="Times New Roman"/>
                <w:sz w:val="21"/>
                <w:szCs w:val="21"/>
                <w:lang w:val="en-US" w:eastAsia="zh-CN"/>
              </w:rPr>
            </w:pPr>
            <w:bookmarkStart w:id="265" w:name="_Toc18163"/>
            <w:r>
              <w:rPr>
                <w:rFonts w:hint="eastAsia" w:ascii="Times New Roman" w:hAnsi="Times New Roman" w:eastAsia="宋体" w:cs="Times New Roman"/>
                <w:sz w:val="21"/>
                <w:szCs w:val="21"/>
                <w:lang w:val="en-US" w:eastAsia="zh-CN"/>
              </w:rPr>
              <w:t>建设单位</w:t>
            </w:r>
            <w:bookmarkEnd w:id="265"/>
          </w:p>
        </w:tc>
      </w:tr>
      <w:tr w14:paraId="696A9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6E907D06">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2ED50CB0">
            <w:pPr>
              <w:ind w:left="0" w:firstLine="0"/>
              <w:jc w:val="center"/>
              <w:rPr>
                <w:rFonts w:hint="eastAsia" w:ascii="Times New Roman" w:hAnsi="Times New Roman" w:eastAsia="宋体" w:cs="Times New Roman"/>
                <w:sz w:val="21"/>
                <w:szCs w:val="21"/>
                <w:lang w:val="en-US" w:eastAsia="zh-CN"/>
              </w:rPr>
            </w:pPr>
          </w:p>
        </w:tc>
        <w:tc>
          <w:tcPr>
            <w:tcW w:w="1095" w:type="dxa"/>
            <w:vMerge w:val="continue"/>
            <w:noWrap w:val="0"/>
            <w:vAlign w:val="center"/>
          </w:tcPr>
          <w:p w14:paraId="763828CC">
            <w:pPr>
              <w:ind w:left="0" w:firstLine="0"/>
              <w:jc w:val="center"/>
              <w:rPr>
                <w:rFonts w:hint="eastAsia" w:ascii="Times New Roman" w:hAnsi="Times New Roman" w:eastAsia="宋体" w:cs="Times New Roman"/>
                <w:sz w:val="21"/>
                <w:szCs w:val="21"/>
                <w:lang w:val="en-US" w:eastAsia="zh-CN"/>
              </w:rPr>
            </w:pPr>
          </w:p>
        </w:tc>
        <w:tc>
          <w:tcPr>
            <w:tcW w:w="1314" w:type="dxa"/>
            <w:noWrap w:val="0"/>
            <w:vAlign w:val="center"/>
          </w:tcPr>
          <w:p w14:paraId="63048B5D">
            <w:pPr>
              <w:ind w:left="0" w:firstLine="0"/>
              <w:jc w:val="center"/>
              <w:rPr>
                <w:rFonts w:hint="eastAsia" w:ascii="Times New Roman" w:hAnsi="Times New Roman" w:eastAsia="宋体" w:cs="Times New Roman"/>
                <w:sz w:val="21"/>
                <w:szCs w:val="21"/>
                <w:lang w:val="en-US" w:eastAsia="zh-CN"/>
              </w:rPr>
            </w:pPr>
            <w:bookmarkStart w:id="266" w:name="_Toc29415"/>
            <w:r>
              <w:rPr>
                <w:rFonts w:hint="eastAsia" w:ascii="Times New Roman" w:hAnsi="Times New Roman" w:eastAsia="宋体" w:cs="Times New Roman"/>
                <w:sz w:val="21"/>
                <w:szCs w:val="21"/>
                <w:lang w:val="en-US" w:eastAsia="zh-CN"/>
              </w:rPr>
              <w:t>建筑垃圾</w:t>
            </w:r>
            <w:bookmarkEnd w:id="266"/>
          </w:p>
        </w:tc>
        <w:tc>
          <w:tcPr>
            <w:tcW w:w="4870" w:type="dxa"/>
            <w:noWrap w:val="0"/>
            <w:vAlign w:val="center"/>
          </w:tcPr>
          <w:p w14:paraId="3262A044">
            <w:pPr>
              <w:ind w:left="0" w:firstLine="0"/>
              <w:jc w:val="center"/>
              <w:rPr>
                <w:rFonts w:hint="eastAsia" w:ascii="Times New Roman" w:hAnsi="Times New Roman" w:eastAsia="宋体" w:cs="Times New Roman"/>
                <w:sz w:val="21"/>
                <w:szCs w:val="21"/>
                <w:lang w:val="en-US" w:eastAsia="zh-CN"/>
              </w:rPr>
            </w:pPr>
            <w:bookmarkStart w:id="267" w:name="_Toc10962"/>
            <w:r>
              <w:rPr>
                <w:rFonts w:hint="eastAsia" w:ascii="Times New Roman" w:hAnsi="Times New Roman" w:eastAsia="宋体" w:cs="Times New Roman"/>
                <w:sz w:val="21"/>
                <w:szCs w:val="21"/>
                <w:lang w:val="en-US" w:eastAsia="zh-CN"/>
              </w:rPr>
              <w:t>无回收价值的由施工方负责清运</w:t>
            </w:r>
            <w:bookmarkEnd w:id="267"/>
          </w:p>
        </w:tc>
        <w:tc>
          <w:tcPr>
            <w:tcW w:w="2958" w:type="dxa"/>
            <w:vMerge w:val="continue"/>
            <w:noWrap w:val="0"/>
            <w:vAlign w:val="center"/>
          </w:tcPr>
          <w:p w14:paraId="37CE1384">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2E01C7DF">
            <w:pPr>
              <w:ind w:left="0" w:firstLine="0"/>
              <w:jc w:val="center"/>
              <w:rPr>
                <w:rFonts w:hint="eastAsia" w:ascii="Times New Roman" w:hAnsi="Times New Roman" w:eastAsia="宋体" w:cs="Times New Roman"/>
                <w:sz w:val="21"/>
                <w:szCs w:val="21"/>
                <w:lang w:val="en-US" w:eastAsia="zh-CN"/>
              </w:rPr>
            </w:pPr>
          </w:p>
        </w:tc>
      </w:tr>
      <w:tr w14:paraId="10CD3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041CE0F3">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01B6ACA0">
            <w:pPr>
              <w:ind w:left="0" w:firstLine="0"/>
              <w:jc w:val="center"/>
              <w:rPr>
                <w:rFonts w:hint="eastAsia" w:ascii="Times New Roman" w:hAnsi="Times New Roman" w:eastAsia="宋体" w:cs="Times New Roman"/>
                <w:sz w:val="21"/>
                <w:szCs w:val="21"/>
                <w:lang w:val="en-US" w:eastAsia="zh-CN"/>
              </w:rPr>
            </w:pPr>
          </w:p>
        </w:tc>
        <w:tc>
          <w:tcPr>
            <w:tcW w:w="1095" w:type="dxa"/>
            <w:vMerge w:val="continue"/>
            <w:noWrap w:val="0"/>
            <w:vAlign w:val="center"/>
          </w:tcPr>
          <w:p w14:paraId="1DA69C38">
            <w:pPr>
              <w:ind w:left="0" w:firstLine="0"/>
              <w:jc w:val="center"/>
              <w:rPr>
                <w:rFonts w:hint="eastAsia" w:ascii="Times New Roman" w:hAnsi="Times New Roman" w:eastAsia="宋体" w:cs="Times New Roman"/>
                <w:sz w:val="21"/>
                <w:szCs w:val="21"/>
                <w:lang w:val="en-US" w:eastAsia="zh-CN"/>
              </w:rPr>
            </w:pPr>
          </w:p>
        </w:tc>
        <w:tc>
          <w:tcPr>
            <w:tcW w:w="1314" w:type="dxa"/>
            <w:noWrap w:val="0"/>
            <w:vAlign w:val="center"/>
          </w:tcPr>
          <w:p w14:paraId="3FC25E7A">
            <w:pPr>
              <w:ind w:left="0" w:firstLine="0"/>
              <w:jc w:val="center"/>
              <w:rPr>
                <w:rFonts w:hint="eastAsia" w:ascii="Times New Roman" w:hAnsi="Times New Roman" w:eastAsia="宋体" w:cs="Times New Roman"/>
                <w:sz w:val="21"/>
                <w:szCs w:val="21"/>
                <w:lang w:val="en-US" w:eastAsia="zh-CN"/>
              </w:rPr>
            </w:pPr>
            <w:bookmarkStart w:id="268" w:name="_Toc19185"/>
            <w:r>
              <w:rPr>
                <w:rFonts w:hint="eastAsia" w:ascii="Times New Roman" w:hAnsi="Times New Roman" w:eastAsia="宋体" w:cs="Times New Roman"/>
                <w:sz w:val="21"/>
                <w:szCs w:val="21"/>
                <w:lang w:val="en-US" w:eastAsia="zh-CN"/>
              </w:rPr>
              <w:t>生活垃圾</w:t>
            </w:r>
            <w:bookmarkEnd w:id="268"/>
          </w:p>
        </w:tc>
        <w:tc>
          <w:tcPr>
            <w:tcW w:w="4870" w:type="dxa"/>
            <w:noWrap w:val="0"/>
            <w:vAlign w:val="center"/>
          </w:tcPr>
          <w:p w14:paraId="4E6DB8A7">
            <w:pPr>
              <w:ind w:left="0" w:firstLine="0"/>
              <w:jc w:val="center"/>
              <w:rPr>
                <w:rFonts w:hint="eastAsia" w:ascii="Times New Roman" w:hAnsi="Times New Roman" w:eastAsia="宋体" w:cs="Times New Roman"/>
                <w:sz w:val="21"/>
                <w:szCs w:val="21"/>
                <w:lang w:val="en-US" w:eastAsia="zh-CN"/>
              </w:rPr>
            </w:pPr>
            <w:bookmarkStart w:id="269" w:name="_Toc24930"/>
            <w:r>
              <w:rPr>
                <w:rFonts w:hint="eastAsia" w:ascii="Times New Roman" w:hAnsi="Times New Roman" w:eastAsia="宋体" w:cs="Times New Roman"/>
                <w:sz w:val="21"/>
                <w:szCs w:val="21"/>
                <w:lang w:val="en-US" w:eastAsia="zh-CN"/>
              </w:rPr>
              <w:t>集中收集，委托当地环卫部门清运</w:t>
            </w:r>
            <w:bookmarkEnd w:id="269"/>
          </w:p>
        </w:tc>
        <w:tc>
          <w:tcPr>
            <w:tcW w:w="2958" w:type="dxa"/>
            <w:vMerge w:val="continue"/>
            <w:noWrap w:val="0"/>
            <w:vAlign w:val="center"/>
          </w:tcPr>
          <w:p w14:paraId="74001958">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4063FA4D">
            <w:pPr>
              <w:ind w:left="0" w:firstLine="0"/>
              <w:jc w:val="center"/>
              <w:rPr>
                <w:rFonts w:hint="eastAsia" w:ascii="Times New Roman" w:hAnsi="Times New Roman" w:eastAsia="宋体" w:cs="Times New Roman"/>
                <w:sz w:val="21"/>
                <w:szCs w:val="21"/>
                <w:lang w:val="en-US" w:eastAsia="zh-CN"/>
              </w:rPr>
            </w:pPr>
          </w:p>
        </w:tc>
      </w:tr>
      <w:tr w14:paraId="7ABD6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727" w:type="dxa"/>
            <w:noWrap w:val="0"/>
            <w:vAlign w:val="center"/>
          </w:tcPr>
          <w:p w14:paraId="357663E1">
            <w:pPr>
              <w:ind w:left="0" w:firstLine="0"/>
              <w:jc w:val="center"/>
              <w:rPr>
                <w:rFonts w:hint="eastAsia" w:ascii="Times New Roman" w:hAnsi="Times New Roman" w:eastAsia="宋体" w:cs="Times New Roman"/>
                <w:sz w:val="21"/>
                <w:szCs w:val="21"/>
                <w:lang w:val="en-US" w:eastAsia="zh-CN"/>
              </w:rPr>
            </w:pPr>
            <w:bookmarkStart w:id="270" w:name="_Toc3669"/>
            <w:r>
              <w:rPr>
                <w:rFonts w:hint="eastAsia" w:ascii="Times New Roman" w:hAnsi="Times New Roman" w:eastAsia="宋体" w:cs="Times New Roman"/>
                <w:sz w:val="21"/>
                <w:szCs w:val="21"/>
                <w:lang w:val="en-US" w:eastAsia="zh-CN"/>
              </w:rPr>
              <w:t>二</w:t>
            </w:r>
            <w:bookmarkEnd w:id="270"/>
          </w:p>
        </w:tc>
        <w:tc>
          <w:tcPr>
            <w:tcW w:w="14013" w:type="dxa"/>
            <w:gridSpan w:val="6"/>
            <w:noWrap w:val="0"/>
            <w:vAlign w:val="center"/>
          </w:tcPr>
          <w:p w14:paraId="64B9EAB5">
            <w:pPr>
              <w:ind w:left="0" w:firstLine="0"/>
              <w:jc w:val="center"/>
              <w:rPr>
                <w:rFonts w:hint="eastAsia" w:ascii="Times New Roman" w:hAnsi="Times New Roman" w:eastAsia="宋体" w:cs="Times New Roman"/>
                <w:sz w:val="21"/>
                <w:szCs w:val="21"/>
                <w:lang w:val="en-US" w:eastAsia="zh-CN"/>
              </w:rPr>
            </w:pPr>
            <w:bookmarkStart w:id="271" w:name="_Toc30869"/>
            <w:r>
              <w:rPr>
                <w:rFonts w:hint="eastAsia" w:ascii="Times New Roman" w:hAnsi="Times New Roman" w:eastAsia="宋体" w:cs="Times New Roman"/>
                <w:sz w:val="21"/>
                <w:szCs w:val="21"/>
                <w:lang w:val="en-US" w:eastAsia="zh-CN"/>
              </w:rPr>
              <w:t>营运期</w:t>
            </w:r>
            <w:bookmarkEnd w:id="271"/>
          </w:p>
        </w:tc>
      </w:tr>
      <w:tr w14:paraId="2F249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727" w:type="dxa"/>
            <w:vMerge w:val="restart"/>
            <w:noWrap w:val="0"/>
            <w:vAlign w:val="center"/>
          </w:tcPr>
          <w:p w14:paraId="315A96D2">
            <w:pPr>
              <w:ind w:left="0" w:firstLine="0"/>
              <w:jc w:val="center"/>
              <w:rPr>
                <w:rFonts w:hint="eastAsia" w:ascii="Times New Roman" w:hAnsi="Times New Roman" w:eastAsia="宋体" w:cs="Times New Roman"/>
                <w:sz w:val="21"/>
                <w:szCs w:val="21"/>
                <w:lang w:val="en-US" w:eastAsia="zh-CN"/>
              </w:rPr>
            </w:pPr>
            <w:bookmarkStart w:id="272" w:name="_Toc24763"/>
            <w:r>
              <w:rPr>
                <w:rFonts w:hint="eastAsia" w:ascii="Times New Roman" w:hAnsi="Times New Roman" w:eastAsia="宋体" w:cs="Times New Roman"/>
                <w:sz w:val="21"/>
                <w:szCs w:val="21"/>
                <w:lang w:val="en-US" w:eastAsia="zh-CN"/>
              </w:rPr>
              <w:t>1</w:t>
            </w:r>
            <w:bookmarkEnd w:id="272"/>
          </w:p>
        </w:tc>
        <w:tc>
          <w:tcPr>
            <w:tcW w:w="1318" w:type="dxa"/>
            <w:vMerge w:val="restart"/>
            <w:noWrap w:val="0"/>
            <w:vAlign w:val="center"/>
          </w:tcPr>
          <w:p w14:paraId="4069D693">
            <w:pPr>
              <w:ind w:left="0" w:firstLine="0"/>
              <w:jc w:val="center"/>
              <w:rPr>
                <w:rFonts w:hint="eastAsia" w:ascii="Times New Roman" w:hAnsi="Times New Roman" w:eastAsia="宋体" w:cs="Times New Roman"/>
                <w:sz w:val="21"/>
                <w:szCs w:val="21"/>
                <w:lang w:val="en-US" w:eastAsia="zh-CN"/>
              </w:rPr>
            </w:pPr>
            <w:bookmarkStart w:id="273" w:name="_Toc1288"/>
            <w:r>
              <w:rPr>
                <w:rFonts w:hint="eastAsia" w:ascii="Times New Roman" w:hAnsi="Times New Roman" w:eastAsia="宋体" w:cs="Times New Roman"/>
                <w:sz w:val="21"/>
                <w:szCs w:val="21"/>
                <w:lang w:val="en-US" w:eastAsia="zh-CN"/>
              </w:rPr>
              <w:t>废气</w:t>
            </w:r>
            <w:bookmarkEnd w:id="273"/>
          </w:p>
        </w:tc>
        <w:tc>
          <w:tcPr>
            <w:tcW w:w="1095" w:type="dxa"/>
            <w:noWrap w:val="0"/>
            <w:vAlign w:val="center"/>
          </w:tcPr>
          <w:p w14:paraId="7B0D793E">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干燥、筛分、铺装工段</w:t>
            </w:r>
          </w:p>
        </w:tc>
        <w:tc>
          <w:tcPr>
            <w:tcW w:w="1314" w:type="dxa"/>
            <w:noWrap w:val="0"/>
            <w:vAlign w:val="center"/>
          </w:tcPr>
          <w:p w14:paraId="76A4F2CA">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4870" w:type="dxa"/>
            <w:noWrap w:val="0"/>
            <w:vAlign w:val="center"/>
          </w:tcPr>
          <w:p w14:paraId="0BB349F4">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将干燥、筛选、铺装工序粉尘合并处理，在现有的旋风除尘器后端增设1套布袋除尘器，净化处理后通过1根15m高排气筒排放（P1）</w:t>
            </w:r>
          </w:p>
        </w:tc>
        <w:tc>
          <w:tcPr>
            <w:tcW w:w="2958" w:type="dxa"/>
            <w:noWrap w:val="0"/>
            <w:vAlign w:val="center"/>
          </w:tcPr>
          <w:p w14:paraId="661E5457">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满足《大气污染物综合排放标准》（GB16297-1996）表2中颗粒物最高允许排放浓度限值120mg/m</w:t>
            </w:r>
            <w:r>
              <w:rPr>
                <w:rFonts w:ascii="Times New Roman" w:hAnsi="Times New Roman" w:eastAsia="宋体" w:cs="Times New Roman"/>
                <w:sz w:val="21"/>
                <w:szCs w:val="21"/>
                <w:vertAlign w:val="superscript"/>
                <w:lang w:val="en-US" w:eastAsia="zh-CN"/>
              </w:rPr>
              <w:t>3</w:t>
            </w:r>
          </w:p>
        </w:tc>
        <w:tc>
          <w:tcPr>
            <w:tcW w:w="2458" w:type="dxa"/>
            <w:noWrap w:val="0"/>
            <w:vAlign w:val="center"/>
          </w:tcPr>
          <w:p w14:paraId="6C145667">
            <w:pPr>
              <w:ind w:left="0" w:firstLine="0"/>
              <w:jc w:val="center"/>
              <w:rPr>
                <w:rFonts w:hint="eastAsia" w:ascii="Times New Roman" w:hAnsi="Times New Roman" w:eastAsia="宋体" w:cs="Times New Roman"/>
                <w:sz w:val="21"/>
                <w:szCs w:val="21"/>
                <w:lang w:val="en-US" w:eastAsia="zh-CN"/>
              </w:rPr>
            </w:pPr>
            <w:bookmarkStart w:id="274" w:name="_Toc6495"/>
            <w:r>
              <w:rPr>
                <w:rFonts w:hint="eastAsia" w:ascii="Times New Roman" w:hAnsi="Times New Roman" w:eastAsia="宋体" w:cs="Times New Roman"/>
                <w:sz w:val="21"/>
                <w:szCs w:val="21"/>
                <w:lang w:val="en-US" w:eastAsia="zh-CN"/>
              </w:rPr>
              <w:t>建设单位</w:t>
            </w:r>
            <w:bookmarkEnd w:id="274"/>
          </w:p>
        </w:tc>
      </w:tr>
      <w:tr w14:paraId="1EB92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727" w:type="dxa"/>
            <w:vMerge w:val="continue"/>
            <w:noWrap w:val="0"/>
            <w:vAlign w:val="center"/>
          </w:tcPr>
          <w:p w14:paraId="12EFA6A4">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40207A77">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092D3515">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热压、贴面</w:t>
            </w:r>
          </w:p>
        </w:tc>
        <w:tc>
          <w:tcPr>
            <w:tcW w:w="1314" w:type="dxa"/>
            <w:noWrap w:val="0"/>
            <w:vAlign w:val="center"/>
          </w:tcPr>
          <w:p w14:paraId="1ECAD69B">
            <w:pPr>
              <w:ind w:left="0" w:firstLine="0"/>
              <w:jc w:val="center"/>
              <w:rPr>
                <w:rFonts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甲醛、酚类、</w:t>
            </w:r>
            <w:r>
              <w:rPr>
                <w:rFonts w:ascii="Times New Roman" w:hAnsi="Times New Roman" w:eastAsia="宋体" w:cs="Times New Roman"/>
                <w:color w:val="FF0000"/>
                <w:sz w:val="21"/>
                <w:szCs w:val="21"/>
                <w:lang w:val="zh-CN" w:eastAsia="zh-CN"/>
              </w:rPr>
              <w:t>VOCs</w:t>
            </w:r>
          </w:p>
        </w:tc>
        <w:tc>
          <w:tcPr>
            <w:tcW w:w="4870" w:type="dxa"/>
            <w:noWrap w:val="0"/>
            <w:vAlign w:val="center"/>
          </w:tcPr>
          <w:p w14:paraId="39A5F0A4">
            <w:pPr>
              <w:ind w:left="0" w:firstLine="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与制胶废气共用1套UV光催化活性炭吸附一体设备+15m高排气筒（P2）</w:t>
            </w:r>
          </w:p>
        </w:tc>
        <w:tc>
          <w:tcPr>
            <w:tcW w:w="2958" w:type="dxa"/>
            <w:noWrap w:val="0"/>
            <w:vAlign w:val="center"/>
          </w:tcPr>
          <w:p w14:paraId="4C3F3770">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满足《大气污染物综合排放标准》（GB16297-1996）表2中标准限值</w:t>
            </w:r>
          </w:p>
        </w:tc>
        <w:tc>
          <w:tcPr>
            <w:tcW w:w="2458" w:type="dxa"/>
            <w:noWrap w:val="0"/>
            <w:vAlign w:val="center"/>
          </w:tcPr>
          <w:p w14:paraId="2F0BBFAA">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tc>
      </w:tr>
      <w:tr w14:paraId="4F32E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727" w:type="dxa"/>
            <w:vMerge w:val="continue"/>
            <w:noWrap w:val="0"/>
            <w:vAlign w:val="center"/>
          </w:tcPr>
          <w:p w14:paraId="15A34B95">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6970A12D">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07404F61">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供热系统</w:t>
            </w:r>
          </w:p>
        </w:tc>
        <w:tc>
          <w:tcPr>
            <w:tcW w:w="1314" w:type="dxa"/>
            <w:noWrap w:val="0"/>
            <w:vAlign w:val="center"/>
          </w:tcPr>
          <w:p w14:paraId="3449512C">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烟尘、SO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X</w:t>
            </w:r>
          </w:p>
        </w:tc>
        <w:tc>
          <w:tcPr>
            <w:tcW w:w="4870" w:type="dxa"/>
            <w:noWrap w:val="0"/>
            <w:vAlign w:val="center"/>
          </w:tcPr>
          <w:p w14:paraId="595753CD">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增设1套电离捕捉器，并将热载体炉的现有25m排气筒增高至45m；后期将6t/h锅炉、热载体炉水膜除尘器处理后的烟气引入增设的1套电离捕捉器进行集中处理，通过45m排气筒集中排放（P3）</w:t>
            </w:r>
          </w:p>
        </w:tc>
        <w:tc>
          <w:tcPr>
            <w:tcW w:w="2958" w:type="dxa"/>
            <w:noWrap w:val="0"/>
            <w:vAlign w:val="center"/>
          </w:tcPr>
          <w:p w14:paraId="2F7FD548">
            <w:pPr>
              <w:ind w:left="0" w:firstLine="0"/>
              <w:jc w:val="center"/>
              <w:rPr>
                <w:rFonts w:hint="eastAsia" w:ascii="Times New Roman" w:hAnsi="Times New Roman" w:eastAsia="宋体" w:cs="Times New Roman"/>
                <w:sz w:val="21"/>
                <w:szCs w:val="21"/>
                <w:lang w:val="en-US" w:eastAsia="zh-CN"/>
              </w:rPr>
            </w:pPr>
            <w:bookmarkStart w:id="275" w:name="_Toc1494"/>
            <w:r>
              <w:rPr>
                <w:rFonts w:hint="eastAsia" w:ascii="Times New Roman" w:hAnsi="Times New Roman" w:eastAsia="宋体" w:cs="Times New Roman"/>
                <w:sz w:val="21"/>
                <w:szCs w:val="21"/>
                <w:lang w:val="en-US" w:eastAsia="zh-CN"/>
              </w:rPr>
              <w:t>满足</w:t>
            </w:r>
            <w:r>
              <w:rPr>
                <w:rFonts w:hint="eastAsia" w:ascii="Times New Roman" w:hAnsi="Times New Roman" w:eastAsia="宋体" w:cs="Times New Roman"/>
                <w:sz w:val="21"/>
                <w:szCs w:val="21"/>
                <w:lang w:val="zh-CN" w:eastAsia="zh-CN"/>
              </w:rPr>
              <w:t>《锅炉大气污染物排放标准》（GB13271-2014）新建锅炉大气污染物排放标准</w:t>
            </w:r>
            <w:bookmarkEnd w:id="275"/>
          </w:p>
        </w:tc>
        <w:tc>
          <w:tcPr>
            <w:tcW w:w="2458" w:type="dxa"/>
            <w:noWrap w:val="0"/>
            <w:vAlign w:val="center"/>
          </w:tcPr>
          <w:p w14:paraId="75F84846">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tc>
      </w:tr>
      <w:tr w14:paraId="556B7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727" w:type="dxa"/>
            <w:vMerge w:val="continue"/>
            <w:noWrap w:val="0"/>
            <w:vAlign w:val="center"/>
          </w:tcPr>
          <w:p w14:paraId="5EDBAC53">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0577F847">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18439EB1">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树脂胶生产</w:t>
            </w:r>
          </w:p>
        </w:tc>
        <w:tc>
          <w:tcPr>
            <w:tcW w:w="1314" w:type="dxa"/>
            <w:noWrap w:val="0"/>
            <w:vAlign w:val="center"/>
          </w:tcPr>
          <w:p w14:paraId="219F720D">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甲醛、氨、酚类、</w:t>
            </w:r>
            <w:r>
              <w:rPr>
                <w:rFonts w:ascii="Times New Roman" w:hAnsi="Times New Roman" w:eastAsia="宋体" w:cs="Times New Roman"/>
                <w:sz w:val="21"/>
                <w:szCs w:val="21"/>
                <w:lang w:val="en-US" w:eastAsia="zh-CN"/>
              </w:rPr>
              <w:t>VOCs</w:t>
            </w:r>
          </w:p>
        </w:tc>
        <w:tc>
          <w:tcPr>
            <w:tcW w:w="4870" w:type="dxa"/>
            <w:noWrap w:val="0"/>
            <w:vAlign w:val="center"/>
          </w:tcPr>
          <w:p w14:paraId="6DC42357">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FF0000"/>
                <w:sz w:val="21"/>
                <w:szCs w:val="21"/>
                <w:lang w:val="en-US" w:eastAsia="zh-CN"/>
              </w:rPr>
              <w:t>制胶车间设置1套UV光催化活性炭吸附一体设备+15m高排气筒（P2）</w:t>
            </w:r>
          </w:p>
        </w:tc>
        <w:tc>
          <w:tcPr>
            <w:tcW w:w="2958" w:type="dxa"/>
            <w:noWrap w:val="0"/>
            <w:vAlign w:val="center"/>
          </w:tcPr>
          <w:p w14:paraId="45FD193D">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满足</w:t>
            </w:r>
            <w:r>
              <w:rPr>
                <w:rFonts w:ascii="Times New Roman" w:hAnsi="Times New Roman" w:eastAsia="宋体" w:cs="Times New Roman"/>
                <w:sz w:val="21"/>
                <w:szCs w:val="21"/>
                <w:lang w:val="zh-CN" w:eastAsia="zh-CN"/>
              </w:rPr>
              <w:t>《合成树脂工业污染物排放标准》（GB31572-2015）表 4 的排放浓度限值</w:t>
            </w:r>
          </w:p>
        </w:tc>
        <w:tc>
          <w:tcPr>
            <w:tcW w:w="2458" w:type="dxa"/>
            <w:noWrap w:val="0"/>
            <w:vAlign w:val="center"/>
          </w:tcPr>
          <w:p w14:paraId="4923A856">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tc>
      </w:tr>
      <w:tr w14:paraId="33FF3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jc w:val="center"/>
        </w:trPr>
        <w:tc>
          <w:tcPr>
            <w:tcW w:w="727" w:type="dxa"/>
            <w:vMerge w:val="continue"/>
            <w:noWrap w:val="0"/>
            <w:vAlign w:val="center"/>
          </w:tcPr>
          <w:p w14:paraId="2512AE26">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0F4ECE96">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6E51067D">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刨片工段</w:t>
            </w:r>
          </w:p>
        </w:tc>
        <w:tc>
          <w:tcPr>
            <w:tcW w:w="1314" w:type="dxa"/>
            <w:vMerge w:val="restart"/>
            <w:noWrap w:val="0"/>
            <w:vAlign w:val="center"/>
          </w:tcPr>
          <w:p w14:paraId="285CA385">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4870" w:type="dxa"/>
            <w:noWrap w:val="0"/>
            <w:vAlign w:val="center"/>
          </w:tcPr>
          <w:p w14:paraId="15C358A1">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环刨机设置1套布袋除尘器，其余刨片机出料口配置自制的布袋除尘器；刨片粉尘呈无组织排放</w:t>
            </w:r>
          </w:p>
        </w:tc>
        <w:tc>
          <w:tcPr>
            <w:tcW w:w="2958" w:type="dxa"/>
            <w:vMerge w:val="restart"/>
            <w:noWrap w:val="0"/>
            <w:vAlign w:val="center"/>
          </w:tcPr>
          <w:p w14:paraId="1E3B3142">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无组织粉尘</w:t>
            </w:r>
            <w:r>
              <w:rPr>
                <w:rFonts w:ascii="Times New Roman" w:hAnsi="Times New Roman" w:eastAsia="宋体" w:cs="Times New Roman"/>
                <w:sz w:val="21"/>
                <w:szCs w:val="21"/>
                <w:lang w:val="en-US" w:eastAsia="zh-CN"/>
              </w:rPr>
              <w:t>满足《大气污染物综合排放标准》（GB16297-1996）表2</w:t>
            </w:r>
            <w:r>
              <w:rPr>
                <w:rFonts w:hint="eastAsia" w:ascii="Times New Roman" w:hAnsi="Times New Roman" w:eastAsia="宋体" w:cs="Times New Roman"/>
                <w:sz w:val="21"/>
                <w:szCs w:val="21"/>
                <w:lang w:val="en-US" w:eastAsia="zh-CN"/>
              </w:rPr>
              <w:t>中颗粒物无组织排放监控浓度限值1.0mg/m</w:t>
            </w:r>
            <w:r>
              <w:rPr>
                <w:rFonts w:hint="eastAsia" w:ascii="Times New Roman" w:hAnsi="Times New Roman" w:eastAsia="宋体" w:cs="Times New Roman"/>
                <w:sz w:val="21"/>
                <w:szCs w:val="21"/>
                <w:vertAlign w:val="superscript"/>
                <w:lang w:val="en-US" w:eastAsia="zh-CN"/>
              </w:rPr>
              <w:t>3</w:t>
            </w:r>
          </w:p>
        </w:tc>
        <w:tc>
          <w:tcPr>
            <w:tcW w:w="2458" w:type="dxa"/>
            <w:noWrap w:val="0"/>
            <w:vAlign w:val="center"/>
          </w:tcPr>
          <w:p w14:paraId="214489B5">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tc>
      </w:tr>
      <w:tr w14:paraId="7BA62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727" w:type="dxa"/>
            <w:vMerge w:val="continue"/>
            <w:noWrap w:val="0"/>
            <w:vAlign w:val="center"/>
          </w:tcPr>
          <w:p w14:paraId="45E040F6">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5DAB19FA">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76F0BDBA">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砂光、开槽、锯边工段</w:t>
            </w:r>
          </w:p>
        </w:tc>
        <w:tc>
          <w:tcPr>
            <w:tcW w:w="1314" w:type="dxa"/>
            <w:vMerge w:val="continue"/>
            <w:noWrap w:val="0"/>
            <w:vAlign w:val="center"/>
          </w:tcPr>
          <w:p w14:paraId="1E9647DC">
            <w:pPr>
              <w:ind w:left="0" w:firstLine="0"/>
              <w:jc w:val="center"/>
              <w:rPr>
                <w:rFonts w:hint="eastAsia" w:ascii="Times New Roman" w:hAnsi="Times New Roman" w:eastAsia="宋体" w:cs="Times New Roman"/>
                <w:sz w:val="21"/>
                <w:szCs w:val="21"/>
                <w:lang w:val="en-US" w:eastAsia="zh-CN"/>
              </w:rPr>
            </w:pPr>
          </w:p>
        </w:tc>
        <w:tc>
          <w:tcPr>
            <w:tcW w:w="4870" w:type="dxa"/>
            <w:noWrap w:val="0"/>
            <w:vAlign w:val="center"/>
          </w:tcPr>
          <w:p w14:paraId="6FE5BFF1">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砂光、开槽、锯边工段</w:t>
            </w:r>
            <w:r>
              <w:rPr>
                <w:rFonts w:ascii="Times New Roman" w:hAnsi="Times New Roman" w:eastAsia="宋体" w:cs="Times New Roman"/>
                <w:sz w:val="21"/>
                <w:szCs w:val="21"/>
                <w:lang w:val="en-US" w:eastAsia="zh-CN"/>
              </w:rPr>
              <w:t>采用1套正压布袋除尘器净化处理后，无组织排放</w:t>
            </w:r>
          </w:p>
        </w:tc>
        <w:tc>
          <w:tcPr>
            <w:tcW w:w="2958" w:type="dxa"/>
            <w:vMerge w:val="continue"/>
            <w:noWrap w:val="0"/>
            <w:vAlign w:val="center"/>
          </w:tcPr>
          <w:p w14:paraId="0F309C24">
            <w:pPr>
              <w:ind w:left="0" w:firstLine="0"/>
              <w:jc w:val="center"/>
              <w:rPr>
                <w:rFonts w:hint="eastAsia" w:ascii="Times New Roman" w:hAnsi="Times New Roman" w:eastAsia="宋体" w:cs="Times New Roman"/>
                <w:sz w:val="21"/>
                <w:szCs w:val="21"/>
                <w:lang w:val="en-US" w:eastAsia="zh-CN"/>
              </w:rPr>
            </w:pPr>
          </w:p>
        </w:tc>
        <w:tc>
          <w:tcPr>
            <w:tcW w:w="2458" w:type="dxa"/>
            <w:noWrap w:val="0"/>
            <w:vAlign w:val="center"/>
          </w:tcPr>
          <w:p w14:paraId="6D1A172C">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tc>
      </w:tr>
      <w:tr w14:paraId="77957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727" w:type="dxa"/>
            <w:vMerge w:val="continue"/>
            <w:noWrap w:val="0"/>
            <w:vAlign w:val="center"/>
          </w:tcPr>
          <w:p w14:paraId="40FC840F">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1A3F2DC9">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6F999993">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断竹工段</w:t>
            </w:r>
          </w:p>
        </w:tc>
        <w:tc>
          <w:tcPr>
            <w:tcW w:w="1314" w:type="dxa"/>
            <w:vMerge w:val="continue"/>
            <w:noWrap w:val="0"/>
            <w:vAlign w:val="center"/>
          </w:tcPr>
          <w:p w14:paraId="77944DEA">
            <w:pPr>
              <w:ind w:left="0" w:firstLine="0"/>
              <w:jc w:val="center"/>
              <w:rPr>
                <w:rFonts w:hint="eastAsia" w:ascii="Times New Roman" w:hAnsi="Times New Roman" w:eastAsia="宋体" w:cs="Times New Roman"/>
                <w:sz w:val="21"/>
                <w:szCs w:val="21"/>
                <w:lang w:val="en-US" w:eastAsia="zh-CN"/>
              </w:rPr>
            </w:pPr>
          </w:p>
        </w:tc>
        <w:tc>
          <w:tcPr>
            <w:tcW w:w="4870" w:type="dxa"/>
            <w:noWrap w:val="0"/>
            <w:vAlign w:val="center"/>
          </w:tcPr>
          <w:p w14:paraId="507676FB">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设置顶棚、细小物料采用管道或密闭输送带进行输送，加强管理</w:t>
            </w:r>
          </w:p>
        </w:tc>
        <w:tc>
          <w:tcPr>
            <w:tcW w:w="2958" w:type="dxa"/>
            <w:vMerge w:val="continue"/>
            <w:noWrap w:val="0"/>
            <w:vAlign w:val="center"/>
          </w:tcPr>
          <w:p w14:paraId="4AEBA20D">
            <w:pPr>
              <w:ind w:left="0" w:firstLine="0"/>
              <w:jc w:val="center"/>
              <w:rPr>
                <w:rFonts w:hint="eastAsia" w:ascii="Times New Roman" w:hAnsi="Times New Roman" w:eastAsia="宋体" w:cs="Times New Roman"/>
                <w:sz w:val="21"/>
                <w:szCs w:val="21"/>
                <w:lang w:val="en-US" w:eastAsia="zh-CN"/>
              </w:rPr>
            </w:pPr>
          </w:p>
        </w:tc>
        <w:tc>
          <w:tcPr>
            <w:tcW w:w="2458" w:type="dxa"/>
            <w:noWrap w:val="0"/>
            <w:vAlign w:val="center"/>
          </w:tcPr>
          <w:p w14:paraId="20A53520">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tc>
      </w:tr>
      <w:tr w14:paraId="7567A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473D41EB">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3642E707">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7A225355">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w:t>
            </w:r>
          </w:p>
        </w:tc>
        <w:tc>
          <w:tcPr>
            <w:tcW w:w="1314" w:type="dxa"/>
            <w:noWrap w:val="0"/>
            <w:vAlign w:val="center"/>
          </w:tcPr>
          <w:p w14:paraId="49C6E530">
            <w:pPr>
              <w:ind w:left="0" w:firstLine="0"/>
              <w:jc w:val="center"/>
              <w:rPr>
                <w:rFonts w:hint="eastAsia" w:ascii="Times New Roman" w:hAnsi="Times New Roman" w:eastAsia="宋体" w:cs="Times New Roman"/>
                <w:sz w:val="21"/>
                <w:szCs w:val="21"/>
                <w:lang w:val="en-US" w:eastAsia="zh-CN"/>
              </w:rPr>
            </w:pPr>
            <w:bookmarkStart w:id="276" w:name="_Toc6836"/>
            <w:r>
              <w:rPr>
                <w:rFonts w:hint="eastAsia" w:ascii="Times New Roman" w:hAnsi="Times New Roman" w:eastAsia="宋体" w:cs="Times New Roman"/>
                <w:sz w:val="21"/>
                <w:szCs w:val="21"/>
                <w:lang w:val="en-US" w:eastAsia="zh-CN"/>
              </w:rPr>
              <w:t>恶臭</w:t>
            </w:r>
            <w:bookmarkEnd w:id="276"/>
          </w:p>
        </w:tc>
        <w:tc>
          <w:tcPr>
            <w:tcW w:w="4870" w:type="dxa"/>
            <w:noWrap w:val="0"/>
            <w:vAlign w:val="center"/>
          </w:tcPr>
          <w:p w14:paraId="4B719818">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w:t>
            </w:r>
            <w:r>
              <w:rPr>
                <w:rFonts w:hint="eastAsia" w:ascii="Times New Roman" w:hAnsi="Times New Roman" w:eastAsia="宋体" w:cs="Times New Roman"/>
                <w:color w:val="FF0000"/>
                <w:sz w:val="21"/>
                <w:szCs w:val="21"/>
                <w:lang w:val="en-US" w:eastAsia="zh-CN"/>
              </w:rPr>
              <w:t>强管理，</w:t>
            </w:r>
            <w:r>
              <w:rPr>
                <w:rFonts w:hint="eastAsia" w:ascii="Times New Roman" w:hAnsi="Times New Roman" w:eastAsia="宋体" w:cs="Times New Roman"/>
                <w:color w:val="FF0000"/>
                <w:sz w:val="21"/>
                <w:szCs w:val="21"/>
                <w:lang w:val="zh-CN" w:eastAsia="zh-CN"/>
              </w:rPr>
              <w:t>定期检查</w:t>
            </w:r>
            <w:r>
              <w:rPr>
                <w:rFonts w:hint="eastAsia" w:ascii="Times New Roman" w:hAnsi="Times New Roman" w:eastAsia="宋体" w:cs="Times New Roman"/>
                <w:color w:val="FF0000"/>
                <w:sz w:val="21"/>
                <w:szCs w:val="21"/>
                <w:lang w:val="en-US" w:eastAsia="zh-CN"/>
              </w:rPr>
              <w:t>甲醛</w:t>
            </w:r>
            <w:r>
              <w:rPr>
                <w:rFonts w:hint="eastAsia" w:ascii="Times New Roman" w:hAnsi="Times New Roman" w:eastAsia="宋体" w:cs="Times New Roman"/>
                <w:color w:val="FF0000"/>
                <w:sz w:val="21"/>
                <w:szCs w:val="21"/>
                <w:lang w:val="zh-CN" w:eastAsia="zh-CN"/>
              </w:rPr>
              <w:t>储罐、反应釜等设备情况</w:t>
            </w:r>
            <w:r>
              <w:rPr>
                <w:rFonts w:hint="eastAsia" w:ascii="Times New Roman" w:hAnsi="Times New Roman" w:eastAsia="宋体" w:cs="Times New Roman"/>
                <w:color w:val="FF0000"/>
                <w:sz w:val="21"/>
                <w:szCs w:val="21"/>
                <w:lang w:val="en-US" w:eastAsia="zh-CN"/>
              </w:rPr>
              <w:t>维护，车间通风，做好员工个人防护；合理堆放竹子，减少露天堆放。</w:t>
            </w:r>
          </w:p>
        </w:tc>
        <w:tc>
          <w:tcPr>
            <w:tcW w:w="2958" w:type="dxa"/>
            <w:noWrap w:val="0"/>
            <w:vAlign w:val="center"/>
          </w:tcPr>
          <w:p w14:paraId="294870C5">
            <w:pPr>
              <w:ind w:left="0" w:firstLine="0"/>
              <w:jc w:val="center"/>
              <w:rPr>
                <w:rFonts w:hint="eastAsia" w:ascii="Times New Roman" w:hAnsi="Times New Roman" w:eastAsia="宋体" w:cs="Times New Roman"/>
                <w:sz w:val="21"/>
                <w:szCs w:val="21"/>
                <w:lang w:val="en-US" w:eastAsia="zh-CN"/>
              </w:rPr>
            </w:pPr>
            <w:bookmarkStart w:id="277" w:name="_Toc23766"/>
            <w:r>
              <w:rPr>
                <w:rFonts w:hint="eastAsia" w:ascii="Times New Roman" w:hAnsi="Times New Roman" w:eastAsia="宋体" w:cs="Times New Roman"/>
                <w:sz w:val="21"/>
                <w:szCs w:val="21"/>
                <w:lang w:val="zh-CN" w:eastAsia="zh-CN"/>
              </w:rPr>
              <w:t>GB14554-93《恶臭污染物排放标准》表1中的二级新建标准</w:t>
            </w:r>
            <w:bookmarkEnd w:id="277"/>
          </w:p>
        </w:tc>
        <w:tc>
          <w:tcPr>
            <w:tcW w:w="2458" w:type="dxa"/>
            <w:noWrap w:val="0"/>
            <w:vAlign w:val="center"/>
          </w:tcPr>
          <w:p w14:paraId="27F8F026">
            <w:pPr>
              <w:ind w:left="0" w:firstLine="0"/>
              <w:jc w:val="center"/>
              <w:rPr>
                <w:rFonts w:hint="eastAsia" w:ascii="Times New Roman" w:hAnsi="Times New Roman" w:eastAsia="宋体" w:cs="Times New Roman"/>
                <w:sz w:val="21"/>
                <w:szCs w:val="21"/>
                <w:lang w:val="en-US" w:eastAsia="zh-CN"/>
              </w:rPr>
            </w:pPr>
            <w:bookmarkStart w:id="278" w:name="_Toc28996"/>
            <w:r>
              <w:rPr>
                <w:rFonts w:hint="eastAsia" w:ascii="Times New Roman" w:hAnsi="Times New Roman" w:eastAsia="宋体" w:cs="Times New Roman"/>
                <w:sz w:val="21"/>
                <w:szCs w:val="21"/>
                <w:lang w:val="en-US" w:eastAsia="zh-CN"/>
              </w:rPr>
              <w:t>建设单位</w:t>
            </w:r>
            <w:bookmarkEnd w:id="278"/>
          </w:p>
        </w:tc>
      </w:tr>
      <w:tr w14:paraId="379AE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133B7C70">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016ED9AA">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3E65D700">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柴油发电机</w:t>
            </w:r>
          </w:p>
        </w:tc>
        <w:tc>
          <w:tcPr>
            <w:tcW w:w="1314" w:type="dxa"/>
            <w:noWrap w:val="0"/>
            <w:vAlign w:val="center"/>
          </w:tcPr>
          <w:p w14:paraId="0BC4FE33">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燃油废气</w:t>
            </w:r>
          </w:p>
        </w:tc>
        <w:tc>
          <w:tcPr>
            <w:tcW w:w="4870" w:type="dxa"/>
            <w:noWrap w:val="0"/>
            <w:vAlign w:val="center"/>
          </w:tcPr>
          <w:p w14:paraId="6DB31A7B">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自带有废气过滤装置，过滤后发电机的废气经过排风管道引至设备间外，自然扩散，绿化吸附</w:t>
            </w:r>
          </w:p>
        </w:tc>
        <w:tc>
          <w:tcPr>
            <w:tcW w:w="2958" w:type="dxa"/>
            <w:noWrap w:val="0"/>
            <w:vAlign w:val="center"/>
          </w:tcPr>
          <w:p w14:paraId="2F3B8D16">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对周围环境影响不大</w:t>
            </w:r>
          </w:p>
        </w:tc>
        <w:tc>
          <w:tcPr>
            <w:tcW w:w="2458" w:type="dxa"/>
            <w:noWrap w:val="0"/>
            <w:vAlign w:val="center"/>
          </w:tcPr>
          <w:p w14:paraId="203D3EBE">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tc>
      </w:tr>
      <w:tr w14:paraId="38DEC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1D786E3E">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63152947">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4C997B29">
            <w:pPr>
              <w:ind w:left="0" w:firstLine="0"/>
              <w:jc w:val="center"/>
              <w:rPr>
                <w:rFonts w:hint="eastAsia" w:ascii="Times New Roman" w:hAnsi="Times New Roman" w:eastAsia="宋体" w:cs="Times New Roman"/>
                <w:sz w:val="21"/>
                <w:szCs w:val="21"/>
                <w:lang w:val="en-US" w:eastAsia="zh-CN"/>
              </w:rPr>
            </w:pPr>
            <w:bookmarkStart w:id="279" w:name="_Toc32726"/>
            <w:r>
              <w:rPr>
                <w:rFonts w:hint="eastAsia" w:ascii="Times New Roman" w:hAnsi="Times New Roman" w:eastAsia="宋体" w:cs="Times New Roman"/>
                <w:sz w:val="21"/>
                <w:szCs w:val="21"/>
                <w:lang w:val="en-US" w:eastAsia="zh-CN"/>
              </w:rPr>
              <w:t>食堂</w:t>
            </w:r>
            <w:bookmarkEnd w:id="279"/>
          </w:p>
        </w:tc>
        <w:tc>
          <w:tcPr>
            <w:tcW w:w="1314" w:type="dxa"/>
            <w:noWrap w:val="0"/>
            <w:vAlign w:val="center"/>
          </w:tcPr>
          <w:p w14:paraId="77C50F2D">
            <w:pPr>
              <w:ind w:left="0" w:firstLine="0"/>
              <w:jc w:val="center"/>
              <w:rPr>
                <w:rFonts w:hint="eastAsia" w:ascii="Times New Roman" w:hAnsi="Times New Roman" w:eastAsia="宋体" w:cs="Times New Roman"/>
                <w:sz w:val="21"/>
                <w:szCs w:val="21"/>
                <w:lang w:val="en-US" w:eastAsia="zh-CN"/>
              </w:rPr>
            </w:pPr>
            <w:bookmarkStart w:id="280" w:name="_Toc27390"/>
            <w:r>
              <w:rPr>
                <w:rFonts w:hint="eastAsia" w:ascii="Times New Roman" w:hAnsi="Times New Roman" w:eastAsia="宋体" w:cs="Times New Roman"/>
                <w:sz w:val="21"/>
                <w:szCs w:val="21"/>
                <w:lang w:val="en-US" w:eastAsia="zh-CN"/>
              </w:rPr>
              <w:t>油烟</w:t>
            </w:r>
            <w:bookmarkEnd w:id="280"/>
          </w:p>
        </w:tc>
        <w:tc>
          <w:tcPr>
            <w:tcW w:w="4870" w:type="dxa"/>
            <w:noWrap w:val="0"/>
            <w:vAlign w:val="center"/>
          </w:tcPr>
          <w:p w14:paraId="2C115531">
            <w:pPr>
              <w:ind w:left="0" w:firstLine="0"/>
              <w:jc w:val="center"/>
              <w:rPr>
                <w:rFonts w:hint="eastAsia" w:ascii="Times New Roman" w:hAnsi="Times New Roman" w:eastAsia="宋体" w:cs="Times New Roman"/>
                <w:sz w:val="21"/>
                <w:szCs w:val="21"/>
                <w:lang w:val="en-US" w:eastAsia="zh-CN"/>
              </w:rPr>
            </w:pPr>
            <w:bookmarkStart w:id="281" w:name="_Toc13728"/>
            <w:r>
              <w:rPr>
                <w:rFonts w:hint="eastAsia" w:ascii="Times New Roman" w:hAnsi="Times New Roman" w:eastAsia="宋体" w:cs="Times New Roman"/>
                <w:sz w:val="21"/>
                <w:szCs w:val="21"/>
                <w:lang w:val="en-US" w:eastAsia="zh-CN"/>
              </w:rPr>
              <w:t>油烟净化器，净化效率不低于60%</w:t>
            </w:r>
            <w:bookmarkEnd w:id="281"/>
          </w:p>
        </w:tc>
        <w:tc>
          <w:tcPr>
            <w:tcW w:w="2958" w:type="dxa"/>
            <w:noWrap w:val="0"/>
            <w:vAlign w:val="center"/>
          </w:tcPr>
          <w:p w14:paraId="359DAE59">
            <w:pPr>
              <w:ind w:left="0" w:firstLine="0"/>
              <w:jc w:val="center"/>
              <w:rPr>
                <w:rFonts w:hint="eastAsia" w:ascii="Times New Roman" w:hAnsi="Times New Roman" w:eastAsia="宋体" w:cs="Times New Roman"/>
                <w:sz w:val="21"/>
                <w:szCs w:val="21"/>
                <w:lang w:val="en-US" w:eastAsia="zh-CN"/>
              </w:rPr>
            </w:pPr>
            <w:bookmarkStart w:id="282" w:name="_Toc32603"/>
            <w:r>
              <w:rPr>
                <w:rFonts w:hint="eastAsia" w:ascii="Times New Roman" w:hAnsi="Times New Roman" w:eastAsia="宋体" w:cs="Times New Roman"/>
                <w:sz w:val="21"/>
                <w:szCs w:val="21"/>
                <w:lang w:val="en-US" w:eastAsia="zh-CN"/>
              </w:rPr>
              <w:t>《饮食业油烟排放标准（试行）》（GB18483-2001），小型规模，最高允许排放浓度≤2.0mg/Nm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，净化设施最低去除率≥60%</w:t>
            </w:r>
            <w:bookmarkEnd w:id="282"/>
          </w:p>
        </w:tc>
        <w:tc>
          <w:tcPr>
            <w:tcW w:w="2458" w:type="dxa"/>
            <w:noWrap w:val="0"/>
            <w:vAlign w:val="center"/>
          </w:tcPr>
          <w:p w14:paraId="6AF43AC2">
            <w:pPr>
              <w:ind w:left="0" w:firstLine="0"/>
              <w:jc w:val="center"/>
              <w:rPr>
                <w:rFonts w:hint="eastAsia" w:ascii="Times New Roman" w:hAnsi="Times New Roman" w:eastAsia="宋体" w:cs="Times New Roman"/>
                <w:sz w:val="21"/>
                <w:szCs w:val="21"/>
                <w:lang w:val="en-US" w:eastAsia="zh-CN"/>
              </w:rPr>
            </w:pPr>
            <w:bookmarkStart w:id="283" w:name="_Toc31609"/>
            <w:r>
              <w:rPr>
                <w:rFonts w:hint="eastAsia" w:ascii="Times New Roman" w:hAnsi="Times New Roman" w:eastAsia="宋体" w:cs="Times New Roman"/>
                <w:sz w:val="21"/>
                <w:szCs w:val="21"/>
                <w:lang w:val="en-US" w:eastAsia="zh-CN"/>
              </w:rPr>
              <w:t>建设单位</w:t>
            </w:r>
            <w:bookmarkEnd w:id="283"/>
          </w:p>
        </w:tc>
      </w:tr>
      <w:tr w14:paraId="6F006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1" w:hRule="atLeast"/>
          <w:jc w:val="center"/>
        </w:trPr>
        <w:tc>
          <w:tcPr>
            <w:tcW w:w="727" w:type="dxa"/>
            <w:vMerge w:val="restart"/>
            <w:noWrap w:val="0"/>
            <w:vAlign w:val="center"/>
          </w:tcPr>
          <w:p w14:paraId="4D7673B3">
            <w:pPr>
              <w:ind w:left="0" w:firstLine="0"/>
              <w:jc w:val="center"/>
              <w:rPr>
                <w:rFonts w:hint="eastAsia" w:ascii="Times New Roman" w:hAnsi="Times New Roman" w:eastAsia="宋体" w:cs="Times New Roman"/>
                <w:sz w:val="21"/>
                <w:szCs w:val="21"/>
                <w:lang w:val="en-US" w:eastAsia="zh-CN"/>
              </w:rPr>
            </w:pPr>
            <w:bookmarkStart w:id="284" w:name="_Toc14493"/>
            <w:r>
              <w:rPr>
                <w:rFonts w:hint="eastAsia" w:ascii="Times New Roman" w:hAnsi="Times New Roman" w:eastAsia="宋体" w:cs="Times New Roman"/>
                <w:sz w:val="21"/>
                <w:szCs w:val="21"/>
                <w:lang w:val="en-US" w:eastAsia="zh-CN"/>
              </w:rPr>
              <w:t>2</w:t>
            </w:r>
            <w:bookmarkEnd w:id="284"/>
          </w:p>
        </w:tc>
        <w:tc>
          <w:tcPr>
            <w:tcW w:w="1318" w:type="dxa"/>
            <w:vMerge w:val="restart"/>
            <w:noWrap w:val="0"/>
            <w:vAlign w:val="center"/>
          </w:tcPr>
          <w:p w14:paraId="0E178089">
            <w:pPr>
              <w:ind w:left="0" w:firstLine="0"/>
              <w:jc w:val="center"/>
              <w:rPr>
                <w:rFonts w:hint="eastAsia" w:ascii="Times New Roman" w:hAnsi="Times New Roman" w:eastAsia="宋体" w:cs="Times New Roman"/>
                <w:sz w:val="21"/>
                <w:szCs w:val="21"/>
                <w:lang w:val="en-US" w:eastAsia="zh-CN"/>
              </w:rPr>
            </w:pPr>
            <w:bookmarkStart w:id="285" w:name="_Toc29799"/>
            <w:r>
              <w:rPr>
                <w:rFonts w:hint="eastAsia" w:ascii="Times New Roman" w:hAnsi="Times New Roman" w:eastAsia="宋体" w:cs="Times New Roman"/>
                <w:sz w:val="21"/>
                <w:szCs w:val="21"/>
                <w:lang w:val="en-US" w:eastAsia="zh-CN"/>
              </w:rPr>
              <w:t>废水</w:t>
            </w:r>
            <w:bookmarkEnd w:id="285"/>
          </w:p>
        </w:tc>
        <w:tc>
          <w:tcPr>
            <w:tcW w:w="1095" w:type="dxa"/>
            <w:noWrap w:val="0"/>
            <w:vAlign w:val="center"/>
          </w:tcPr>
          <w:p w14:paraId="4D8168FE">
            <w:pPr>
              <w:ind w:left="0" w:firstLine="0"/>
              <w:jc w:val="center"/>
              <w:rPr>
                <w:rFonts w:hint="eastAsia" w:ascii="Times New Roman" w:hAnsi="Times New Roman" w:eastAsia="宋体" w:cs="Times New Roman"/>
                <w:sz w:val="21"/>
                <w:szCs w:val="21"/>
                <w:lang w:val="en-US" w:eastAsia="zh-CN"/>
              </w:rPr>
            </w:pPr>
            <w:bookmarkStart w:id="286" w:name="_Toc4185"/>
            <w:r>
              <w:rPr>
                <w:rFonts w:hint="eastAsia" w:ascii="Times New Roman" w:hAnsi="Times New Roman" w:eastAsia="宋体" w:cs="Times New Roman"/>
                <w:sz w:val="21"/>
                <w:szCs w:val="21"/>
                <w:lang w:val="en-US" w:eastAsia="zh-CN"/>
              </w:rPr>
              <w:t>生活污水</w:t>
            </w:r>
            <w:bookmarkEnd w:id="286"/>
          </w:p>
        </w:tc>
        <w:tc>
          <w:tcPr>
            <w:tcW w:w="1314" w:type="dxa"/>
            <w:noWrap w:val="0"/>
            <w:vAlign w:val="center"/>
          </w:tcPr>
          <w:p w14:paraId="7760E2A5">
            <w:pPr>
              <w:ind w:left="0" w:firstLine="0"/>
              <w:jc w:val="center"/>
              <w:rPr>
                <w:rFonts w:hint="eastAsia" w:ascii="Times New Roman" w:hAnsi="Times New Roman" w:eastAsia="宋体" w:cs="Times New Roman"/>
                <w:sz w:val="21"/>
                <w:szCs w:val="21"/>
                <w:lang w:val="en-US" w:eastAsia="zh-CN"/>
              </w:rPr>
            </w:pPr>
            <w:bookmarkStart w:id="287" w:name="_Toc5058"/>
            <w:r>
              <w:rPr>
                <w:rFonts w:hint="eastAsia" w:ascii="Times New Roman" w:hAnsi="Times New Roman" w:eastAsia="宋体" w:cs="Times New Roman"/>
                <w:sz w:val="21"/>
                <w:szCs w:val="21"/>
                <w:lang w:val="en-US" w:eastAsia="zh-CN"/>
              </w:rPr>
              <w:t>CODcr、NH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bookmarkEnd w:id="287"/>
          </w:p>
        </w:tc>
        <w:tc>
          <w:tcPr>
            <w:tcW w:w="4870" w:type="dxa"/>
            <w:noWrap w:val="0"/>
            <w:vAlign w:val="center"/>
          </w:tcPr>
          <w:p w14:paraId="7C12D538">
            <w:pPr>
              <w:ind w:left="0" w:firstLine="0"/>
              <w:jc w:val="center"/>
              <w:rPr>
                <w:rFonts w:ascii="Times New Roman" w:hAnsi="Times New Roman" w:eastAsia="宋体" w:cs="Times New Roman"/>
                <w:sz w:val="21"/>
                <w:szCs w:val="21"/>
                <w:lang w:val="en-US" w:eastAsia="zh-CN"/>
              </w:rPr>
            </w:pPr>
            <w:bookmarkStart w:id="288" w:name="_Toc29747"/>
            <w:r>
              <w:rPr>
                <w:rFonts w:hint="eastAsia" w:ascii="Times New Roman" w:hAnsi="Times New Roman" w:eastAsia="宋体" w:cs="Times New Roman"/>
                <w:sz w:val="21"/>
                <w:szCs w:val="21"/>
                <w:lang w:val="en-US" w:eastAsia="zh-CN"/>
              </w:rPr>
              <w:t>隔油沉淀池（容积为8m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bookmarkEnd w:id="288"/>
            <w:r>
              <w:rPr>
                <w:rFonts w:hint="eastAsia" w:ascii="Times New Roman" w:hAnsi="Times New Roman" w:eastAsia="宋体" w:cs="Times New Roman"/>
                <w:sz w:val="21"/>
                <w:szCs w:val="21"/>
                <w:lang w:val="en-US" w:eastAsia="zh-CN"/>
              </w:rPr>
              <w:t>+6座化粪池（总容积80m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2958" w:type="dxa"/>
            <w:noWrap w:val="0"/>
            <w:vAlign w:val="center"/>
          </w:tcPr>
          <w:p w14:paraId="3EF7D296">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外排废水</w:t>
            </w:r>
            <w:r>
              <w:rPr>
                <w:rFonts w:hint="eastAsia" w:ascii="Times New Roman" w:hAnsi="Times New Roman" w:eastAsia="宋体" w:cs="Times New Roman"/>
                <w:sz w:val="21"/>
                <w:szCs w:val="21"/>
                <w:lang w:val="en-US" w:eastAsia="zh-CN"/>
              </w:rPr>
              <w:t>满足</w:t>
            </w:r>
            <w:r>
              <w:rPr>
                <w:rFonts w:ascii="Times New Roman" w:hAnsi="Times New Roman" w:eastAsia="宋体" w:cs="Times New Roman"/>
                <w:sz w:val="21"/>
                <w:szCs w:val="21"/>
                <w:lang w:val="en-US" w:eastAsia="zh-CN"/>
              </w:rPr>
              <w:t>《污水综合排放标准》（GB8978-1996）表4三级标准和《污水排入城镇下水道水质标准》（GB/T 31962-2015）表1B等级标准</w:t>
            </w:r>
            <w:r>
              <w:rPr>
                <w:rFonts w:hint="eastAsia" w:ascii="Times New Roman" w:hAnsi="Times New Roman" w:eastAsia="宋体" w:cs="Times New Roman"/>
                <w:sz w:val="21"/>
                <w:szCs w:val="21"/>
                <w:lang w:val="en-US" w:eastAsia="zh-CN"/>
              </w:rPr>
              <w:t>，进入城市市政污水管网，最终排入芒市污水处理厂处理</w:t>
            </w:r>
          </w:p>
        </w:tc>
        <w:tc>
          <w:tcPr>
            <w:tcW w:w="2458" w:type="dxa"/>
            <w:noWrap w:val="0"/>
            <w:vAlign w:val="center"/>
          </w:tcPr>
          <w:p w14:paraId="0A6FD569">
            <w:pPr>
              <w:ind w:left="0" w:firstLine="0"/>
              <w:jc w:val="center"/>
              <w:rPr>
                <w:rFonts w:hint="eastAsia" w:ascii="Times New Roman" w:hAnsi="Times New Roman" w:eastAsia="宋体" w:cs="Times New Roman"/>
                <w:sz w:val="21"/>
                <w:szCs w:val="21"/>
                <w:lang w:val="en-US" w:eastAsia="zh-CN"/>
              </w:rPr>
            </w:pPr>
            <w:bookmarkStart w:id="289" w:name="_Toc16748"/>
            <w:r>
              <w:rPr>
                <w:rFonts w:hint="eastAsia" w:ascii="Times New Roman" w:hAnsi="Times New Roman" w:eastAsia="宋体" w:cs="Times New Roman"/>
                <w:sz w:val="21"/>
                <w:szCs w:val="21"/>
                <w:lang w:val="en-US" w:eastAsia="zh-CN"/>
              </w:rPr>
              <w:t>建设单位</w:t>
            </w:r>
            <w:bookmarkEnd w:id="289"/>
          </w:p>
        </w:tc>
      </w:tr>
      <w:tr w14:paraId="25048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727" w:type="dxa"/>
            <w:vMerge w:val="continue"/>
            <w:noWrap w:val="0"/>
            <w:vAlign w:val="center"/>
          </w:tcPr>
          <w:p w14:paraId="5D76C4DF">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00D1119A">
            <w:pPr>
              <w:ind w:left="0" w:firstLine="0"/>
              <w:jc w:val="center"/>
              <w:rPr>
                <w:rFonts w:hint="eastAsia" w:ascii="Times New Roman" w:hAnsi="Times New Roman" w:eastAsia="宋体" w:cs="Times New Roman"/>
                <w:sz w:val="21"/>
                <w:szCs w:val="21"/>
                <w:lang w:val="en-US" w:eastAsia="zh-CN"/>
              </w:rPr>
            </w:pPr>
          </w:p>
        </w:tc>
        <w:tc>
          <w:tcPr>
            <w:tcW w:w="1095" w:type="dxa"/>
            <w:vMerge w:val="restart"/>
            <w:noWrap w:val="0"/>
            <w:vAlign w:val="center"/>
          </w:tcPr>
          <w:p w14:paraId="79EF72CC">
            <w:pPr>
              <w:ind w:left="0" w:firstLine="0"/>
              <w:jc w:val="center"/>
              <w:rPr>
                <w:rFonts w:hint="eastAsia" w:ascii="Times New Roman" w:hAnsi="Times New Roman" w:eastAsia="宋体" w:cs="Times New Roman"/>
                <w:sz w:val="21"/>
                <w:szCs w:val="21"/>
                <w:lang w:val="en-US" w:eastAsia="zh-CN"/>
              </w:rPr>
            </w:pPr>
            <w:bookmarkStart w:id="290" w:name="_Toc11838"/>
            <w:r>
              <w:rPr>
                <w:rFonts w:hint="eastAsia" w:ascii="Times New Roman" w:hAnsi="Times New Roman" w:eastAsia="宋体" w:cs="Times New Roman"/>
                <w:sz w:val="21"/>
                <w:szCs w:val="21"/>
                <w:lang w:val="en-US" w:eastAsia="zh-CN"/>
              </w:rPr>
              <w:t>生产废水</w:t>
            </w:r>
            <w:bookmarkEnd w:id="290"/>
          </w:p>
        </w:tc>
        <w:tc>
          <w:tcPr>
            <w:tcW w:w="1314" w:type="dxa"/>
            <w:vMerge w:val="restart"/>
            <w:noWrap w:val="0"/>
            <w:vAlign w:val="center"/>
          </w:tcPr>
          <w:p w14:paraId="5905E047">
            <w:pPr>
              <w:ind w:left="0" w:firstLine="0"/>
              <w:jc w:val="center"/>
              <w:rPr>
                <w:rFonts w:hint="eastAsia" w:ascii="Times New Roman" w:hAnsi="Times New Roman" w:eastAsia="宋体" w:cs="Times New Roman"/>
                <w:sz w:val="21"/>
                <w:szCs w:val="21"/>
                <w:lang w:val="en-US" w:eastAsia="zh-CN"/>
              </w:rPr>
            </w:pPr>
            <w:bookmarkStart w:id="291" w:name="_Toc30189"/>
            <w:r>
              <w:rPr>
                <w:rFonts w:hint="eastAsia" w:ascii="Times New Roman" w:hAnsi="Times New Roman" w:eastAsia="宋体" w:cs="Times New Roman"/>
                <w:sz w:val="21"/>
                <w:szCs w:val="21"/>
                <w:lang w:val="en-US" w:eastAsia="zh-CN"/>
              </w:rPr>
              <w:t>CODcr、SS、BOD</w:t>
            </w:r>
            <w:r>
              <w:rPr>
                <w:rFonts w:hint="eastAsia" w:ascii="Times New Roman" w:hAnsi="Times New Roman" w:eastAsia="宋体" w:cs="Times New Roman"/>
                <w:sz w:val="21"/>
                <w:szCs w:val="21"/>
                <w:vertAlign w:val="subscript"/>
                <w:lang w:val="en-US" w:eastAsia="zh-CN"/>
              </w:rPr>
              <w:t>5</w:t>
            </w:r>
            <w:bookmarkEnd w:id="291"/>
          </w:p>
        </w:tc>
        <w:tc>
          <w:tcPr>
            <w:tcW w:w="4870" w:type="dxa"/>
            <w:noWrap w:val="0"/>
            <w:vAlign w:val="center"/>
          </w:tcPr>
          <w:p w14:paraId="02ADB135">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设置1座消防水池兼顾（冷却水循环水）（容积为600m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）；脱水直接进入脱水罐返回生产使用；设备清洗废水考虑每次水量较少，因此不再做暂存收集，要求每次设备清洗完后，采用收集桶收集后，直接返回制胶车间回用。水膜除尘器循环水池（分别容积为10m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、43</w:t>
            </w:r>
            <w:r>
              <w:rPr>
                <w:rFonts w:hint="eastAsia" w:ascii="Times New Roman" w:hAnsi="Times New Roman" w:eastAsia="宋体" w:cs="Times New Roman"/>
                <w:sz w:val="21"/>
                <w:szCs w:val="21"/>
                <w:vertAlign w:val="baseline"/>
                <w:lang w:val="en-US" w:eastAsia="zh-CN"/>
              </w:rPr>
              <w:t>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2958" w:type="dxa"/>
            <w:noWrap w:val="0"/>
            <w:vAlign w:val="center"/>
          </w:tcPr>
          <w:p w14:paraId="3A9DF6DF">
            <w:pPr>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回用，不外排</w:t>
            </w:r>
          </w:p>
        </w:tc>
        <w:tc>
          <w:tcPr>
            <w:tcW w:w="2458" w:type="dxa"/>
            <w:noWrap w:val="0"/>
            <w:vAlign w:val="center"/>
          </w:tcPr>
          <w:p w14:paraId="0F696434">
            <w:pPr>
              <w:ind w:left="0" w:firstLine="0"/>
              <w:jc w:val="center"/>
              <w:rPr>
                <w:rFonts w:hint="eastAsia" w:ascii="Times New Roman" w:hAnsi="Times New Roman" w:eastAsia="宋体" w:cs="Times New Roman"/>
                <w:sz w:val="21"/>
                <w:szCs w:val="21"/>
                <w:lang w:val="en-US" w:eastAsia="zh-CN"/>
              </w:rPr>
            </w:pPr>
            <w:bookmarkStart w:id="292" w:name="_Toc2751"/>
            <w:r>
              <w:rPr>
                <w:rFonts w:hint="eastAsia" w:ascii="Times New Roman" w:hAnsi="Times New Roman" w:eastAsia="宋体" w:cs="Times New Roman"/>
                <w:sz w:val="21"/>
                <w:szCs w:val="21"/>
                <w:lang w:val="en-US" w:eastAsia="zh-CN"/>
              </w:rPr>
              <w:t>建设单位</w:t>
            </w:r>
            <w:bookmarkEnd w:id="292"/>
          </w:p>
        </w:tc>
      </w:tr>
      <w:tr w14:paraId="61EC7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372A8DD2">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5729DC03">
            <w:pPr>
              <w:ind w:left="0" w:firstLine="0"/>
              <w:jc w:val="center"/>
              <w:rPr>
                <w:rFonts w:hint="eastAsia" w:ascii="Times New Roman" w:hAnsi="Times New Roman" w:eastAsia="宋体" w:cs="Times New Roman"/>
                <w:sz w:val="21"/>
                <w:szCs w:val="21"/>
                <w:lang w:val="en-US" w:eastAsia="zh-CN"/>
              </w:rPr>
            </w:pPr>
          </w:p>
        </w:tc>
        <w:tc>
          <w:tcPr>
            <w:tcW w:w="1095" w:type="dxa"/>
            <w:vMerge w:val="continue"/>
            <w:noWrap w:val="0"/>
            <w:vAlign w:val="center"/>
          </w:tcPr>
          <w:p w14:paraId="75BFE53C">
            <w:pPr>
              <w:ind w:left="0" w:firstLine="0"/>
              <w:jc w:val="center"/>
              <w:rPr>
                <w:rFonts w:hint="eastAsia" w:ascii="Times New Roman" w:hAnsi="Times New Roman" w:eastAsia="宋体" w:cs="Times New Roman"/>
                <w:sz w:val="21"/>
                <w:szCs w:val="21"/>
                <w:lang w:val="en-US" w:eastAsia="zh-CN"/>
              </w:rPr>
            </w:pPr>
          </w:p>
        </w:tc>
        <w:tc>
          <w:tcPr>
            <w:tcW w:w="1314" w:type="dxa"/>
            <w:vMerge w:val="continue"/>
            <w:noWrap w:val="0"/>
            <w:vAlign w:val="center"/>
          </w:tcPr>
          <w:p w14:paraId="4C283816">
            <w:pPr>
              <w:ind w:left="0" w:firstLine="0"/>
              <w:jc w:val="center"/>
              <w:rPr>
                <w:rFonts w:hint="eastAsia" w:ascii="Times New Roman" w:hAnsi="Times New Roman" w:eastAsia="宋体" w:cs="Times New Roman"/>
                <w:sz w:val="21"/>
                <w:szCs w:val="21"/>
                <w:lang w:val="en-US" w:eastAsia="zh-CN"/>
              </w:rPr>
            </w:pPr>
          </w:p>
        </w:tc>
        <w:tc>
          <w:tcPr>
            <w:tcW w:w="4870" w:type="dxa"/>
            <w:noWrap w:val="0"/>
            <w:vAlign w:val="center"/>
          </w:tcPr>
          <w:p w14:paraId="0C1CD01C">
            <w:pPr>
              <w:ind w:left="0" w:firstLine="0"/>
              <w:jc w:val="center"/>
              <w:rPr>
                <w:rFonts w:hint="eastAsia" w:ascii="Times New Roman" w:hAnsi="Times New Roman" w:eastAsia="宋体" w:cs="Times New Roman"/>
                <w:sz w:val="21"/>
                <w:szCs w:val="21"/>
                <w:lang w:val="en-US" w:eastAsia="zh-CN"/>
              </w:rPr>
            </w:pPr>
            <w:bookmarkStart w:id="293" w:name="_Toc19202"/>
            <w:r>
              <w:rPr>
                <w:rFonts w:hint="eastAsia" w:ascii="Times New Roman" w:hAnsi="Times New Roman" w:eastAsia="宋体" w:cs="Times New Roman"/>
                <w:sz w:val="21"/>
                <w:szCs w:val="21"/>
                <w:lang w:val="en-US" w:eastAsia="zh-CN"/>
              </w:rPr>
              <w:t>建设单位委托有防渗工程设计、施工资质的单位，对生产车间、污水处理设施（含初期雨水收集池等）、危废暂存间等位置进行重点防渗，防渗能力达到至少等效 6m 厚粘土层（渗透系数≤10</w:t>
            </w:r>
            <w:r>
              <w:rPr>
                <w:rFonts w:hint="eastAsia" w:ascii="Times New Roman" w:hAnsi="Times New Roman" w:eastAsia="宋体" w:cs="Times New Roman"/>
                <w:sz w:val="21"/>
                <w:szCs w:val="21"/>
                <w:vertAlign w:val="superscript"/>
                <w:lang w:val="en-US" w:eastAsia="zh-CN"/>
              </w:rPr>
              <w:t>-7</w:t>
            </w:r>
            <w:r>
              <w:rPr>
                <w:rFonts w:hint="eastAsia" w:ascii="Times New Roman" w:hAnsi="Times New Roman" w:eastAsia="宋体" w:cs="Times New Roman"/>
                <w:sz w:val="21"/>
                <w:szCs w:val="21"/>
                <w:lang w:val="en-US" w:eastAsia="zh-CN"/>
              </w:rPr>
              <w:t>cm/s）， 或 2mm 厚高密度聚乙烯，或至</w:t>
            </w:r>
            <w:r>
              <w:rPr>
                <w:rFonts w:hint="eastAsia" w:ascii="Times New Roman" w:hAnsi="Times New Roman" w:eastAsia="宋体" w:cs="Times New Roman"/>
                <w:sz w:val="21"/>
                <w:szCs w:val="21"/>
                <w:vertAlign w:val="baseline"/>
                <w:lang w:val="en-US" w:eastAsia="zh-CN"/>
              </w:rPr>
              <w:t>少 2mm 厚的其它人工材料，渗透系数≤10</w:t>
            </w:r>
            <w:r>
              <w:rPr>
                <w:rFonts w:hint="eastAsia" w:ascii="Times New Roman" w:hAnsi="Times New Roman" w:eastAsia="宋体" w:cs="Times New Roman"/>
                <w:sz w:val="21"/>
                <w:szCs w:val="21"/>
                <w:vertAlign w:val="superscript"/>
                <w:lang w:val="en-US" w:eastAsia="zh-CN"/>
              </w:rPr>
              <w:t>-10</w:t>
            </w:r>
            <w:r>
              <w:rPr>
                <w:rFonts w:hint="eastAsia" w:ascii="Times New Roman" w:hAnsi="Times New Roman" w:eastAsia="宋体" w:cs="Times New Roman"/>
                <w:sz w:val="21"/>
                <w:szCs w:val="21"/>
                <w:lang w:val="en-US" w:eastAsia="zh-CN"/>
              </w:rPr>
              <w:t>cm/s。同时甲醛要求设置导流沟及围堰，按照防渗层的要求进行防渗施工建设。</w:t>
            </w:r>
            <w:bookmarkEnd w:id="293"/>
          </w:p>
        </w:tc>
        <w:tc>
          <w:tcPr>
            <w:tcW w:w="2958" w:type="dxa"/>
            <w:noWrap w:val="0"/>
            <w:vAlign w:val="center"/>
          </w:tcPr>
          <w:p w14:paraId="202708D9">
            <w:pPr>
              <w:ind w:left="0" w:firstLine="0"/>
              <w:jc w:val="center"/>
              <w:rPr>
                <w:rFonts w:hint="eastAsia" w:ascii="Times New Roman" w:hAnsi="Times New Roman" w:eastAsia="宋体" w:cs="Times New Roman"/>
                <w:sz w:val="21"/>
                <w:szCs w:val="21"/>
                <w:lang w:val="en-US" w:eastAsia="zh-CN"/>
              </w:rPr>
            </w:pPr>
            <w:bookmarkStart w:id="294" w:name="_Toc6403"/>
            <w:r>
              <w:rPr>
                <w:rFonts w:hint="eastAsia" w:ascii="Times New Roman" w:hAnsi="Times New Roman" w:eastAsia="宋体" w:cs="Times New Roman"/>
                <w:sz w:val="21"/>
                <w:szCs w:val="21"/>
                <w:lang w:val="en-US" w:eastAsia="zh-CN"/>
              </w:rPr>
              <w:t>防止废水对地下水造成污染</w:t>
            </w:r>
            <w:bookmarkEnd w:id="294"/>
          </w:p>
        </w:tc>
        <w:tc>
          <w:tcPr>
            <w:tcW w:w="2458" w:type="dxa"/>
            <w:noWrap w:val="0"/>
            <w:vAlign w:val="center"/>
          </w:tcPr>
          <w:p w14:paraId="01703FA8">
            <w:pPr>
              <w:ind w:left="0" w:firstLine="0"/>
              <w:jc w:val="center"/>
              <w:rPr>
                <w:rFonts w:hint="eastAsia" w:ascii="Times New Roman" w:hAnsi="Times New Roman" w:eastAsia="宋体" w:cs="Times New Roman"/>
                <w:sz w:val="21"/>
                <w:szCs w:val="21"/>
                <w:lang w:val="en-US" w:eastAsia="zh-CN"/>
              </w:rPr>
            </w:pPr>
            <w:bookmarkStart w:id="295" w:name="_Toc21477"/>
            <w:r>
              <w:rPr>
                <w:rFonts w:hint="eastAsia" w:ascii="Times New Roman" w:hAnsi="Times New Roman" w:eastAsia="宋体" w:cs="Times New Roman"/>
                <w:sz w:val="21"/>
                <w:szCs w:val="21"/>
                <w:lang w:val="en-US" w:eastAsia="zh-CN"/>
              </w:rPr>
              <w:t>建设单位</w:t>
            </w:r>
            <w:bookmarkEnd w:id="295"/>
          </w:p>
        </w:tc>
      </w:tr>
      <w:tr w14:paraId="5A51A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noWrap w:val="0"/>
            <w:vAlign w:val="center"/>
          </w:tcPr>
          <w:p w14:paraId="2E0E6C4F">
            <w:pPr>
              <w:ind w:left="0" w:firstLine="0"/>
              <w:jc w:val="center"/>
              <w:rPr>
                <w:rFonts w:hint="eastAsia" w:ascii="Times New Roman" w:hAnsi="Times New Roman" w:eastAsia="宋体" w:cs="Times New Roman"/>
                <w:sz w:val="21"/>
                <w:szCs w:val="21"/>
                <w:lang w:val="en-US" w:eastAsia="zh-CN"/>
              </w:rPr>
            </w:pPr>
            <w:bookmarkStart w:id="296" w:name="_Toc26299"/>
            <w:r>
              <w:rPr>
                <w:rFonts w:hint="eastAsia" w:ascii="Times New Roman" w:hAnsi="Times New Roman" w:eastAsia="宋体" w:cs="Times New Roman"/>
                <w:sz w:val="21"/>
                <w:szCs w:val="21"/>
                <w:lang w:val="en-US" w:eastAsia="zh-CN"/>
              </w:rPr>
              <w:t>3</w:t>
            </w:r>
            <w:bookmarkEnd w:id="296"/>
          </w:p>
        </w:tc>
        <w:tc>
          <w:tcPr>
            <w:tcW w:w="1318" w:type="dxa"/>
            <w:noWrap w:val="0"/>
            <w:vAlign w:val="center"/>
          </w:tcPr>
          <w:p w14:paraId="7B62EBCF">
            <w:pPr>
              <w:ind w:left="0" w:firstLine="0"/>
              <w:jc w:val="center"/>
              <w:rPr>
                <w:rFonts w:hint="eastAsia" w:ascii="Times New Roman" w:hAnsi="Times New Roman" w:eastAsia="宋体" w:cs="Times New Roman"/>
                <w:sz w:val="21"/>
                <w:szCs w:val="21"/>
                <w:lang w:val="en-US" w:eastAsia="zh-CN"/>
              </w:rPr>
            </w:pPr>
            <w:bookmarkStart w:id="297" w:name="_Toc3384"/>
            <w:r>
              <w:rPr>
                <w:rFonts w:hint="eastAsia" w:ascii="Times New Roman" w:hAnsi="Times New Roman" w:eastAsia="宋体" w:cs="Times New Roman"/>
                <w:sz w:val="21"/>
                <w:szCs w:val="21"/>
                <w:lang w:val="en-US" w:eastAsia="zh-CN"/>
              </w:rPr>
              <w:t>噪声</w:t>
            </w:r>
            <w:bookmarkEnd w:id="297"/>
          </w:p>
        </w:tc>
        <w:tc>
          <w:tcPr>
            <w:tcW w:w="1095" w:type="dxa"/>
            <w:noWrap w:val="0"/>
            <w:vAlign w:val="center"/>
          </w:tcPr>
          <w:p w14:paraId="48E427C0">
            <w:pPr>
              <w:ind w:left="0" w:firstLine="0"/>
              <w:jc w:val="center"/>
              <w:rPr>
                <w:rFonts w:hint="eastAsia" w:ascii="Times New Roman" w:hAnsi="Times New Roman" w:eastAsia="宋体" w:cs="Times New Roman"/>
                <w:sz w:val="21"/>
                <w:szCs w:val="21"/>
                <w:lang w:val="en-US" w:eastAsia="zh-CN"/>
              </w:rPr>
            </w:pPr>
            <w:bookmarkStart w:id="298" w:name="_Toc16505"/>
            <w:r>
              <w:rPr>
                <w:rFonts w:hint="eastAsia" w:ascii="Times New Roman" w:hAnsi="Times New Roman" w:eastAsia="宋体" w:cs="Times New Roman"/>
                <w:sz w:val="21"/>
                <w:szCs w:val="21"/>
                <w:lang w:val="en-US" w:eastAsia="zh-CN"/>
              </w:rPr>
              <w:t>高噪声设备</w:t>
            </w:r>
            <w:bookmarkEnd w:id="298"/>
          </w:p>
        </w:tc>
        <w:tc>
          <w:tcPr>
            <w:tcW w:w="1314" w:type="dxa"/>
            <w:noWrap w:val="0"/>
            <w:vAlign w:val="center"/>
          </w:tcPr>
          <w:p w14:paraId="7CA6A36C">
            <w:pPr>
              <w:ind w:left="0" w:firstLine="0"/>
              <w:jc w:val="center"/>
              <w:rPr>
                <w:rFonts w:hint="eastAsia" w:ascii="Times New Roman" w:hAnsi="Times New Roman" w:eastAsia="宋体" w:cs="Times New Roman"/>
                <w:sz w:val="21"/>
                <w:szCs w:val="21"/>
                <w:lang w:val="en-US" w:eastAsia="zh-CN"/>
              </w:rPr>
            </w:pPr>
            <w:bookmarkStart w:id="299" w:name="_Toc10107"/>
            <w:r>
              <w:rPr>
                <w:rFonts w:hint="eastAsia" w:ascii="Times New Roman" w:hAnsi="Times New Roman" w:eastAsia="宋体" w:cs="Times New Roman"/>
                <w:sz w:val="21"/>
                <w:szCs w:val="21"/>
                <w:lang w:val="en-US" w:eastAsia="zh-CN"/>
              </w:rPr>
              <w:t>噪声</w:t>
            </w:r>
            <w:bookmarkEnd w:id="299"/>
          </w:p>
        </w:tc>
        <w:tc>
          <w:tcPr>
            <w:tcW w:w="4870" w:type="dxa"/>
            <w:noWrap w:val="0"/>
            <w:vAlign w:val="center"/>
          </w:tcPr>
          <w:p w14:paraId="6B0267CD">
            <w:pPr>
              <w:ind w:left="0" w:firstLine="0"/>
              <w:jc w:val="center"/>
              <w:rPr>
                <w:rFonts w:ascii="Times New Roman" w:hAnsi="Times New Roman" w:eastAsia="宋体" w:cs="Times New Roman"/>
                <w:sz w:val="21"/>
                <w:szCs w:val="21"/>
                <w:lang w:val="en-US" w:eastAsia="zh-CN"/>
              </w:rPr>
            </w:pPr>
            <w:bookmarkStart w:id="300" w:name="_Toc20818"/>
            <w:r>
              <w:rPr>
                <w:rFonts w:hint="eastAsia" w:ascii="Times New Roman" w:hAnsi="Times New Roman" w:eastAsia="宋体" w:cs="Times New Roman"/>
                <w:color w:val="FF0000"/>
                <w:sz w:val="21"/>
                <w:szCs w:val="21"/>
                <w:lang w:val="en-US" w:eastAsia="zh-CN"/>
              </w:rPr>
              <w:t>加强基础减震、防振措施，隔声措施等</w:t>
            </w:r>
            <w:bookmarkEnd w:id="300"/>
            <w:r>
              <w:rPr>
                <w:rFonts w:hint="eastAsia" w:ascii="Times New Roman" w:hAnsi="Times New Roman" w:eastAsia="宋体" w:cs="Times New Roman"/>
                <w:color w:val="FF0000"/>
                <w:sz w:val="21"/>
                <w:szCs w:val="21"/>
                <w:lang w:val="en-US" w:eastAsia="zh-CN"/>
              </w:rPr>
              <w:t>，同时合理控制高噪声运行时间</w:t>
            </w:r>
          </w:p>
        </w:tc>
        <w:tc>
          <w:tcPr>
            <w:tcW w:w="2958" w:type="dxa"/>
            <w:noWrap w:val="0"/>
            <w:vAlign w:val="center"/>
          </w:tcPr>
          <w:p w14:paraId="1DCB2742">
            <w:pPr>
              <w:ind w:left="0" w:firstLine="0"/>
              <w:jc w:val="center"/>
              <w:rPr>
                <w:rFonts w:hint="eastAsia" w:ascii="Times New Roman" w:hAnsi="Times New Roman" w:eastAsia="宋体" w:cs="Times New Roman"/>
                <w:sz w:val="21"/>
                <w:szCs w:val="21"/>
                <w:lang w:val="en-US" w:eastAsia="zh-CN"/>
              </w:rPr>
            </w:pPr>
            <w:bookmarkStart w:id="301" w:name="_Toc21417"/>
            <w:r>
              <w:rPr>
                <w:rFonts w:hint="eastAsia" w:ascii="Times New Roman" w:hAnsi="Times New Roman" w:eastAsia="宋体" w:cs="Times New Roman"/>
                <w:sz w:val="21"/>
                <w:szCs w:val="21"/>
                <w:lang w:val="en-US" w:eastAsia="zh-CN"/>
              </w:rPr>
              <w:t>满足</w:t>
            </w:r>
            <w:r>
              <w:rPr>
                <w:rFonts w:hint="eastAsia" w:ascii="Times New Roman" w:hAnsi="Times New Roman" w:eastAsia="宋体" w:cs="Times New Roman"/>
                <w:sz w:val="21"/>
                <w:szCs w:val="21"/>
                <w:lang w:val="zh-CN" w:eastAsia="zh-CN"/>
              </w:rPr>
              <w:t>GB12348-2008《工业企业厂界环境噪声排放标准》2类标准</w:t>
            </w:r>
            <w:bookmarkEnd w:id="301"/>
          </w:p>
        </w:tc>
        <w:tc>
          <w:tcPr>
            <w:tcW w:w="2458" w:type="dxa"/>
            <w:noWrap w:val="0"/>
            <w:vAlign w:val="center"/>
          </w:tcPr>
          <w:p w14:paraId="7B792C93">
            <w:pPr>
              <w:ind w:left="0" w:firstLine="0"/>
              <w:jc w:val="center"/>
              <w:rPr>
                <w:rFonts w:hint="eastAsia" w:ascii="Times New Roman" w:hAnsi="Times New Roman" w:eastAsia="宋体" w:cs="Times New Roman"/>
                <w:sz w:val="21"/>
                <w:szCs w:val="21"/>
                <w:lang w:val="en-US" w:eastAsia="zh-CN"/>
              </w:rPr>
            </w:pPr>
            <w:bookmarkStart w:id="302" w:name="_Toc14274"/>
            <w:r>
              <w:rPr>
                <w:rFonts w:hint="eastAsia" w:ascii="Times New Roman" w:hAnsi="Times New Roman" w:eastAsia="宋体" w:cs="Times New Roman"/>
                <w:sz w:val="21"/>
                <w:szCs w:val="21"/>
                <w:lang w:val="en-US" w:eastAsia="zh-CN"/>
              </w:rPr>
              <w:t>建设单位</w:t>
            </w:r>
            <w:bookmarkEnd w:id="302"/>
          </w:p>
        </w:tc>
      </w:tr>
      <w:tr w14:paraId="45FE0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restart"/>
            <w:noWrap w:val="0"/>
            <w:vAlign w:val="center"/>
          </w:tcPr>
          <w:p w14:paraId="07A6F6C4">
            <w:pPr>
              <w:ind w:left="0" w:firstLine="0"/>
              <w:jc w:val="center"/>
              <w:rPr>
                <w:rFonts w:hint="eastAsia" w:ascii="Times New Roman" w:hAnsi="Times New Roman" w:eastAsia="宋体" w:cs="Times New Roman"/>
                <w:sz w:val="21"/>
                <w:szCs w:val="21"/>
                <w:lang w:val="en-US" w:eastAsia="zh-CN"/>
              </w:rPr>
            </w:pPr>
            <w:bookmarkStart w:id="303" w:name="_Toc18953"/>
            <w:r>
              <w:rPr>
                <w:rFonts w:hint="eastAsia" w:ascii="Times New Roman" w:hAnsi="Times New Roman" w:eastAsia="宋体" w:cs="Times New Roman"/>
                <w:sz w:val="21"/>
                <w:szCs w:val="21"/>
                <w:lang w:val="en-US" w:eastAsia="zh-CN"/>
              </w:rPr>
              <w:t>4</w:t>
            </w:r>
            <w:bookmarkEnd w:id="303"/>
          </w:p>
        </w:tc>
        <w:tc>
          <w:tcPr>
            <w:tcW w:w="1318" w:type="dxa"/>
            <w:vMerge w:val="restart"/>
            <w:noWrap w:val="0"/>
            <w:vAlign w:val="center"/>
          </w:tcPr>
          <w:p w14:paraId="4975982A">
            <w:pPr>
              <w:ind w:left="0" w:firstLine="0"/>
              <w:jc w:val="center"/>
              <w:rPr>
                <w:rFonts w:hint="eastAsia" w:ascii="Times New Roman" w:hAnsi="Times New Roman" w:eastAsia="宋体" w:cs="Times New Roman"/>
                <w:sz w:val="21"/>
                <w:szCs w:val="21"/>
                <w:lang w:val="en-US" w:eastAsia="zh-CN"/>
              </w:rPr>
            </w:pPr>
            <w:bookmarkStart w:id="304" w:name="_Toc6061"/>
            <w:r>
              <w:rPr>
                <w:rFonts w:hint="eastAsia" w:ascii="Times New Roman" w:hAnsi="Times New Roman" w:eastAsia="宋体" w:cs="Times New Roman"/>
                <w:sz w:val="21"/>
                <w:szCs w:val="21"/>
                <w:lang w:val="en-US" w:eastAsia="zh-CN"/>
              </w:rPr>
              <w:t>固废</w:t>
            </w:r>
            <w:bookmarkEnd w:id="304"/>
          </w:p>
        </w:tc>
        <w:tc>
          <w:tcPr>
            <w:tcW w:w="1095" w:type="dxa"/>
            <w:noWrap w:val="0"/>
            <w:vAlign w:val="center"/>
          </w:tcPr>
          <w:p w14:paraId="583CD1C6">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板材加工</w:t>
            </w:r>
          </w:p>
        </w:tc>
        <w:tc>
          <w:tcPr>
            <w:tcW w:w="1314" w:type="dxa"/>
            <w:noWrap w:val="0"/>
            <w:vAlign w:val="center"/>
          </w:tcPr>
          <w:p w14:paraId="22DA1FCD">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废边角料</w:t>
            </w:r>
          </w:p>
        </w:tc>
        <w:tc>
          <w:tcPr>
            <w:tcW w:w="4870" w:type="dxa"/>
            <w:noWrap w:val="0"/>
            <w:vAlign w:val="center"/>
          </w:tcPr>
          <w:p w14:paraId="638152D3">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作为厂区供热系统燃料使用</w:t>
            </w:r>
          </w:p>
        </w:tc>
        <w:tc>
          <w:tcPr>
            <w:tcW w:w="2958" w:type="dxa"/>
            <w:vMerge w:val="restart"/>
            <w:noWrap w:val="0"/>
            <w:vAlign w:val="center"/>
          </w:tcPr>
          <w:p w14:paraId="5F6E4B86">
            <w:pPr>
              <w:ind w:left="0" w:firstLine="0"/>
              <w:jc w:val="center"/>
              <w:rPr>
                <w:rFonts w:hint="eastAsia" w:ascii="Times New Roman" w:hAnsi="Times New Roman" w:eastAsia="宋体" w:cs="Times New Roman"/>
                <w:sz w:val="21"/>
                <w:szCs w:val="21"/>
                <w:lang w:val="en-US" w:eastAsia="zh-CN"/>
              </w:rPr>
            </w:pPr>
            <w:bookmarkStart w:id="305" w:name="_Toc14378"/>
            <w:r>
              <w:rPr>
                <w:rFonts w:hint="eastAsia" w:ascii="Times New Roman" w:hAnsi="Times New Roman" w:eastAsia="宋体" w:cs="Times New Roman"/>
                <w:sz w:val="21"/>
                <w:szCs w:val="21"/>
                <w:lang w:val="en-US" w:eastAsia="zh-CN"/>
              </w:rPr>
              <w:t>固废处置率100%</w:t>
            </w:r>
            <w:bookmarkEnd w:id="305"/>
          </w:p>
        </w:tc>
        <w:tc>
          <w:tcPr>
            <w:tcW w:w="2458" w:type="dxa"/>
            <w:vMerge w:val="restart"/>
            <w:noWrap w:val="0"/>
            <w:vAlign w:val="center"/>
          </w:tcPr>
          <w:p w14:paraId="0363653B">
            <w:pPr>
              <w:ind w:left="0" w:firstLine="0"/>
              <w:jc w:val="center"/>
              <w:rPr>
                <w:rFonts w:hint="eastAsia" w:ascii="Times New Roman" w:hAnsi="Times New Roman" w:eastAsia="宋体" w:cs="Times New Roman"/>
                <w:sz w:val="21"/>
                <w:szCs w:val="21"/>
                <w:lang w:val="en-US" w:eastAsia="zh-CN"/>
              </w:rPr>
            </w:pPr>
          </w:p>
          <w:p w14:paraId="3EA7919D">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p w14:paraId="058FC144">
            <w:pPr>
              <w:ind w:left="0" w:firstLine="0"/>
              <w:jc w:val="center"/>
              <w:rPr>
                <w:rFonts w:hint="eastAsia" w:ascii="Times New Roman" w:hAnsi="Times New Roman" w:eastAsia="宋体" w:cs="Times New Roman"/>
                <w:sz w:val="21"/>
                <w:szCs w:val="21"/>
                <w:lang w:val="en-US" w:eastAsia="zh-CN"/>
              </w:rPr>
            </w:pPr>
          </w:p>
        </w:tc>
      </w:tr>
      <w:tr w14:paraId="0BCC7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0736A407">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7493F5E7">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27F1DF0E">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锅炉</w:t>
            </w:r>
          </w:p>
        </w:tc>
        <w:tc>
          <w:tcPr>
            <w:tcW w:w="1314" w:type="dxa"/>
            <w:noWrap w:val="0"/>
            <w:vAlign w:val="center"/>
          </w:tcPr>
          <w:p w14:paraId="24306922">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炉渣</w:t>
            </w:r>
          </w:p>
        </w:tc>
        <w:tc>
          <w:tcPr>
            <w:tcW w:w="4870" w:type="dxa"/>
            <w:vMerge w:val="restart"/>
            <w:noWrap w:val="0"/>
            <w:vAlign w:val="center"/>
          </w:tcPr>
          <w:p w14:paraId="01FF05C5">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由附近村民定期清运用于周边农田施肥</w:t>
            </w:r>
          </w:p>
        </w:tc>
        <w:tc>
          <w:tcPr>
            <w:tcW w:w="2958" w:type="dxa"/>
            <w:vMerge w:val="continue"/>
            <w:noWrap w:val="0"/>
            <w:vAlign w:val="center"/>
          </w:tcPr>
          <w:p w14:paraId="1B3B3E7D">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5A95CDBC">
            <w:pPr>
              <w:ind w:left="0" w:firstLine="0"/>
              <w:jc w:val="center"/>
              <w:rPr>
                <w:rFonts w:hint="eastAsia" w:ascii="Times New Roman" w:hAnsi="Times New Roman" w:eastAsia="宋体" w:cs="Times New Roman"/>
                <w:sz w:val="21"/>
                <w:szCs w:val="21"/>
                <w:lang w:val="en-US" w:eastAsia="zh-CN"/>
              </w:rPr>
            </w:pPr>
          </w:p>
        </w:tc>
      </w:tr>
      <w:tr w14:paraId="16EF6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3D31D61A">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79E0F16A">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449420D6">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水膜除尘器循环水池</w:t>
            </w:r>
          </w:p>
        </w:tc>
        <w:tc>
          <w:tcPr>
            <w:tcW w:w="1314" w:type="dxa"/>
            <w:noWrap w:val="0"/>
            <w:vAlign w:val="center"/>
          </w:tcPr>
          <w:p w14:paraId="6CC6C388">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沉淀渣</w:t>
            </w:r>
          </w:p>
        </w:tc>
        <w:tc>
          <w:tcPr>
            <w:tcW w:w="4870" w:type="dxa"/>
            <w:vMerge w:val="continue"/>
            <w:noWrap w:val="0"/>
            <w:vAlign w:val="center"/>
          </w:tcPr>
          <w:p w14:paraId="55889B1F">
            <w:pPr>
              <w:ind w:left="0" w:firstLine="0"/>
              <w:jc w:val="center"/>
              <w:rPr>
                <w:rFonts w:hint="eastAsia" w:ascii="Times New Roman" w:hAnsi="Times New Roman" w:eastAsia="宋体" w:cs="Times New Roman"/>
                <w:sz w:val="21"/>
                <w:szCs w:val="21"/>
                <w:lang w:val="en-US" w:eastAsia="zh-CN"/>
              </w:rPr>
            </w:pPr>
          </w:p>
        </w:tc>
        <w:tc>
          <w:tcPr>
            <w:tcW w:w="2958" w:type="dxa"/>
            <w:vMerge w:val="continue"/>
            <w:noWrap w:val="0"/>
            <w:vAlign w:val="center"/>
          </w:tcPr>
          <w:p w14:paraId="2CBEA42A">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391C97FB">
            <w:pPr>
              <w:ind w:left="0" w:firstLine="0"/>
              <w:jc w:val="center"/>
              <w:rPr>
                <w:rFonts w:hint="eastAsia" w:ascii="Times New Roman" w:hAnsi="Times New Roman" w:eastAsia="宋体" w:cs="Times New Roman"/>
                <w:sz w:val="21"/>
                <w:szCs w:val="21"/>
                <w:lang w:val="en-US" w:eastAsia="zh-CN"/>
              </w:rPr>
            </w:pPr>
          </w:p>
        </w:tc>
      </w:tr>
      <w:tr w14:paraId="69DD5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41AA92F0">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5239BB8B">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122792F1">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板材加工除尘器</w:t>
            </w:r>
          </w:p>
        </w:tc>
        <w:tc>
          <w:tcPr>
            <w:tcW w:w="1314" w:type="dxa"/>
            <w:noWrap w:val="0"/>
            <w:vAlign w:val="center"/>
          </w:tcPr>
          <w:p w14:paraId="3FDC793E">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回收粉尘</w:t>
            </w:r>
          </w:p>
        </w:tc>
        <w:tc>
          <w:tcPr>
            <w:tcW w:w="4870" w:type="dxa"/>
            <w:noWrap w:val="0"/>
            <w:vAlign w:val="center"/>
          </w:tcPr>
          <w:p w14:paraId="56687A33">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作为生物质燃料的原料外售</w:t>
            </w:r>
          </w:p>
        </w:tc>
        <w:tc>
          <w:tcPr>
            <w:tcW w:w="2958" w:type="dxa"/>
            <w:vMerge w:val="continue"/>
            <w:noWrap w:val="0"/>
            <w:vAlign w:val="center"/>
          </w:tcPr>
          <w:p w14:paraId="1DE831A1">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2C1A91F1">
            <w:pPr>
              <w:ind w:left="0" w:firstLine="0"/>
              <w:jc w:val="center"/>
              <w:rPr>
                <w:rFonts w:hint="eastAsia" w:ascii="Times New Roman" w:hAnsi="Times New Roman" w:eastAsia="宋体" w:cs="Times New Roman"/>
                <w:sz w:val="21"/>
                <w:szCs w:val="21"/>
                <w:lang w:val="en-US" w:eastAsia="zh-CN"/>
              </w:rPr>
            </w:pPr>
          </w:p>
        </w:tc>
      </w:tr>
      <w:tr w14:paraId="3EF5D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282004BE">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30706070">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2051D8D1">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办公、生活</w:t>
            </w:r>
          </w:p>
        </w:tc>
        <w:tc>
          <w:tcPr>
            <w:tcW w:w="1314" w:type="dxa"/>
            <w:noWrap w:val="0"/>
            <w:vAlign w:val="center"/>
          </w:tcPr>
          <w:p w14:paraId="18EE623B">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生活垃圾</w:t>
            </w:r>
          </w:p>
        </w:tc>
        <w:tc>
          <w:tcPr>
            <w:tcW w:w="4870" w:type="dxa"/>
            <w:noWrap w:val="0"/>
            <w:vAlign w:val="center"/>
          </w:tcPr>
          <w:p w14:paraId="66A5FE51">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由当地环卫部门定期清运集中处置</w:t>
            </w:r>
          </w:p>
        </w:tc>
        <w:tc>
          <w:tcPr>
            <w:tcW w:w="2958" w:type="dxa"/>
            <w:vMerge w:val="continue"/>
            <w:noWrap w:val="0"/>
            <w:vAlign w:val="center"/>
          </w:tcPr>
          <w:p w14:paraId="5538A026">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49906864">
            <w:pPr>
              <w:ind w:left="0" w:firstLine="0"/>
              <w:jc w:val="center"/>
              <w:rPr>
                <w:rFonts w:hint="eastAsia" w:ascii="Times New Roman" w:hAnsi="Times New Roman" w:eastAsia="宋体" w:cs="Times New Roman"/>
                <w:sz w:val="21"/>
                <w:szCs w:val="21"/>
                <w:lang w:val="en-US" w:eastAsia="zh-CN"/>
              </w:rPr>
            </w:pPr>
          </w:p>
        </w:tc>
      </w:tr>
      <w:tr w14:paraId="251FD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597DBAF5">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511E2F78">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067136E1">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w:t>
            </w:r>
          </w:p>
        </w:tc>
        <w:tc>
          <w:tcPr>
            <w:tcW w:w="1314" w:type="dxa"/>
            <w:noWrap w:val="0"/>
            <w:vAlign w:val="center"/>
          </w:tcPr>
          <w:p w14:paraId="0D79F892">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食堂泔水</w:t>
            </w:r>
          </w:p>
        </w:tc>
        <w:tc>
          <w:tcPr>
            <w:tcW w:w="4870" w:type="dxa"/>
            <w:noWrap w:val="0"/>
            <w:vAlign w:val="center"/>
          </w:tcPr>
          <w:p w14:paraId="533F68D0">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按照当地相关政府部门管理要求进行处置</w:t>
            </w:r>
          </w:p>
        </w:tc>
        <w:tc>
          <w:tcPr>
            <w:tcW w:w="2958" w:type="dxa"/>
            <w:vMerge w:val="continue"/>
            <w:noWrap w:val="0"/>
            <w:vAlign w:val="center"/>
          </w:tcPr>
          <w:p w14:paraId="24EB32F6">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36E10F3E">
            <w:pPr>
              <w:ind w:left="0" w:firstLine="0"/>
              <w:jc w:val="center"/>
              <w:rPr>
                <w:rFonts w:hint="eastAsia" w:ascii="Times New Roman" w:hAnsi="Times New Roman" w:eastAsia="宋体" w:cs="Times New Roman"/>
                <w:sz w:val="21"/>
                <w:szCs w:val="21"/>
                <w:lang w:val="en-US" w:eastAsia="zh-CN"/>
              </w:rPr>
            </w:pPr>
          </w:p>
        </w:tc>
      </w:tr>
      <w:tr w14:paraId="2B490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40194C5B">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6CD95055">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7523FCEF">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化粪池</w:t>
            </w:r>
          </w:p>
        </w:tc>
        <w:tc>
          <w:tcPr>
            <w:tcW w:w="1314" w:type="dxa"/>
            <w:noWrap w:val="0"/>
            <w:vAlign w:val="center"/>
          </w:tcPr>
          <w:p w14:paraId="1EBB464F">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化粪池污泥</w:t>
            </w:r>
          </w:p>
        </w:tc>
        <w:tc>
          <w:tcPr>
            <w:tcW w:w="4870" w:type="dxa"/>
            <w:noWrap w:val="0"/>
            <w:vAlign w:val="center"/>
          </w:tcPr>
          <w:p w14:paraId="78ADCEE4">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由附近村民定期清运作为农家肥使用</w:t>
            </w:r>
          </w:p>
        </w:tc>
        <w:tc>
          <w:tcPr>
            <w:tcW w:w="2958" w:type="dxa"/>
            <w:vMerge w:val="continue"/>
            <w:noWrap w:val="0"/>
            <w:vAlign w:val="center"/>
          </w:tcPr>
          <w:p w14:paraId="28FB06B9">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57786EA1">
            <w:pPr>
              <w:ind w:left="0" w:firstLine="0"/>
              <w:jc w:val="center"/>
              <w:rPr>
                <w:rFonts w:hint="eastAsia" w:ascii="Times New Roman" w:hAnsi="Times New Roman" w:eastAsia="宋体" w:cs="Times New Roman"/>
                <w:sz w:val="21"/>
                <w:szCs w:val="21"/>
                <w:lang w:val="en-US" w:eastAsia="zh-CN"/>
              </w:rPr>
            </w:pPr>
          </w:p>
        </w:tc>
      </w:tr>
      <w:tr w14:paraId="27031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19D4B3CA">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62F44E57">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53B114DD">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隔油池</w:t>
            </w:r>
          </w:p>
        </w:tc>
        <w:tc>
          <w:tcPr>
            <w:tcW w:w="1314" w:type="dxa"/>
            <w:noWrap w:val="0"/>
            <w:vAlign w:val="center"/>
          </w:tcPr>
          <w:p w14:paraId="41AB4736">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废油脂</w:t>
            </w:r>
          </w:p>
        </w:tc>
        <w:tc>
          <w:tcPr>
            <w:tcW w:w="4870" w:type="dxa"/>
            <w:noWrap w:val="0"/>
            <w:vAlign w:val="center"/>
          </w:tcPr>
          <w:p w14:paraId="4446812E">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委托专业的单位清淘处置</w:t>
            </w:r>
          </w:p>
        </w:tc>
        <w:tc>
          <w:tcPr>
            <w:tcW w:w="2958" w:type="dxa"/>
            <w:vMerge w:val="continue"/>
            <w:noWrap w:val="0"/>
            <w:vAlign w:val="center"/>
          </w:tcPr>
          <w:p w14:paraId="4ADC80DC">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41C65BE5">
            <w:pPr>
              <w:ind w:left="0" w:firstLine="0"/>
              <w:jc w:val="center"/>
              <w:rPr>
                <w:rFonts w:hint="eastAsia" w:ascii="Times New Roman" w:hAnsi="Times New Roman" w:eastAsia="宋体" w:cs="Times New Roman"/>
                <w:sz w:val="21"/>
                <w:szCs w:val="21"/>
                <w:lang w:val="en-US" w:eastAsia="zh-CN"/>
              </w:rPr>
            </w:pPr>
          </w:p>
        </w:tc>
      </w:tr>
      <w:tr w14:paraId="664B0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1E7488F8">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6F78DD0C">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3854CA88">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制胶车间</w:t>
            </w:r>
          </w:p>
        </w:tc>
        <w:tc>
          <w:tcPr>
            <w:tcW w:w="1314" w:type="dxa"/>
            <w:noWrap w:val="0"/>
            <w:vAlign w:val="center"/>
          </w:tcPr>
          <w:p w14:paraId="0979ED73">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制胶生产废包装材料</w:t>
            </w:r>
          </w:p>
        </w:tc>
        <w:tc>
          <w:tcPr>
            <w:tcW w:w="4870" w:type="dxa"/>
            <w:noWrap w:val="0"/>
            <w:vAlign w:val="center"/>
          </w:tcPr>
          <w:p w14:paraId="572E4057">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交</w:t>
            </w:r>
            <w:r>
              <w:rPr>
                <w:rFonts w:hint="eastAsia" w:ascii="Times New Roman" w:hAnsi="Times New Roman" w:eastAsia="宋体" w:cs="Times New Roman"/>
                <w:sz w:val="21"/>
                <w:szCs w:val="21"/>
                <w:lang w:val="en-US" w:eastAsia="zh-CN"/>
              </w:rPr>
              <w:t>有</w:t>
            </w:r>
            <w:r>
              <w:rPr>
                <w:rFonts w:ascii="Times New Roman" w:hAnsi="Times New Roman" w:eastAsia="宋体" w:cs="Times New Roman"/>
                <w:sz w:val="21"/>
                <w:szCs w:val="21"/>
                <w:lang w:val="en-US" w:eastAsia="zh-CN"/>
              </w:rPr>
              <w:t>资质单位进行回收处置</w:t>
            </w:r>
          </w:p>
        </w:tc>
        <w:tc>
          <w:tcPr>
            <w:tcW w:w="2958" w:type="dxa"/>
            <w:vMerge w:val="restart"/>
            <w:noWrap w:val="0"/>
            <w:vAlign w:val="center"/>
          </w:tcPr>
          <w:p w14:paraId="080C00FE">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固废处置率100%</w:t>
            </w:r>
          </w:p>
        </w:tc>
        <w:tc>
          <w:tcPr>
            <w:tcW w:w="2458" w:type="dxa"/>
            <w:vMerge w:val="restart"/>
            <w:noWrap w:val="0"/>
            <w:vAlign w:val="center"/>
          </w:tcPr>
          <w:p w14:paraId="6ED5B687">
            <w:pPr>
              <w:ind w:left="0" w:firstLine="0"/>
              <w:jc w:val="center"/>
              <w:rPr>
                <w:rFonts w:hint="eastAsia" w:ascii="Times New Roman" w:hAnsi="Times New Roman" w:eastAsia="宋体" w:cs="Times New Roman"/>
                <w:sz w:val="21"/>
                <w:szCs w:val="21"/>
                <w:lang w:val="en-US" w:eastAsia="zh-CN"/>
              </w:rPr>
            </w:pPr>
          </w:p>
          <w:p w14:paraId="1E18F335">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w:t>
            </w:r>
          </w:p>
          <w:p w14:paraId="429BEF93">
            <w:pPr>
              <w:ind w:left="0" w:firstLine="0"/>
              <w:jc w:val="center"/>
              <w:rPr>
                <w:rFonts w:ascii="Times New Roman" w:hAnsi="Times New Roman" w:eastAsia="宋体" w:cs="Times New Roman"/>
                <w:sz w:val="21"/>
                <w:szCs w:val="21"/>
                <w:lang w:val="en-US" w:eastAsia="zh-CN"/>
              </w:rPr>
            </w:pPr>
          </w:p>
        </w:tc>
      </w:tr>
      <w:tr w14:paraId="7109F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4A095F73">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5BFFA0C2">
            <w:pPr>
              <w:ind w:left="0" w:firstLine="0"/>
              <w:jc w:val="center"/>
              <w:rPr>
                <w:rFonts w:hint="eastAsia" w:ascii="Times New Roman" w:hAnsi="Times New Roman" w:eastAsia="宋体" w:cs="Times New Roman"/>
                <w:sz w:val="21"/>
                <w:szCs w:val="21"/>
                <w:lang w:val="en-US" w:eastAsia="zh-CN"/>
              </w:rPr>
            </w:pPr>
          </w:p>
        </w:tc>
        <w:tc>
          <w:tcPr>
            <w:tcW w:w="1095" w:type="dxa"/>
            <w:vMerge w:val="restart"/>
            <w:noWrap w:val="0"/>
            <w:vAlign w:val="center"/>
          </w:tcPr>
          <w:p w14:paraId="5E0638E6">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UV光催化活性炭吸附一体设备</w:t>
            </w:r>
          </w:p>
        </w:tc>
        <w:tc>
          <w:tcPr>
            <w:tcW w:w="1314" w:type="dxa"/>
            <w:noWrap w:val="0"/>
            <w:vAlign w:val="center"/>
          </w:tcPr>
          <w:p w14:paraId="58AB3E2B">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废活性炭</w:t>
            </w:r>
          </w:p>
        </w:tc>
        <w:tc>
          <w:tcPr>
            <w:tcW w:w="4870" w:type="dxa"/>
            <w:vMerge w:val="restart"/>
            <w:noWrap w:val="0"/>
            <w:vAlign w:val="center"/>
          </w:tcPr>
          <w:p w14:paraId="3A7EBAF6">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定期更换，</w:t>
            </w:r>
            <w:r>
              <w:rPr>
                <w:rFonts w:ascii="Times New Roman" w:hAnsi="Times New Roman" w:eastAsia="宋体" w:cs="Times New Roman"/>
                <w:sz w:val="21"/>
                <w:szCs w:val="21"/>
                <w:lang w:val="en-US" w:eastAsia="zh-CN"/>
              </w:rPr>
              <w:t>交</w:t>
            </w:r>
            <w:r>
              <w:rPr>
                <w:rFonts w:hint="eastAsia" w:ascii="Times New Roman" w:hAnsi="Times New Roman" w:eastAsia="宋体" w:cs="Times New Roman"/>
                <w:sz w:val="21"/>
                <w:szCs w:val="21"/>
                <w:lang w:val="en-US" w:eastAsia="zh-CN"/>
              </w:rPr>
              <w:t>有</w:t>
            </w:r>
            <w:r>
              <w:rPr>
                <w:rFonts w:ascii="Times New Roman" w:hAnsi="Times New Roman" w:eastAsia="宋体" w:cs="Times New Roman"/>
                <w:sz w:val="21"/>
                <w:szCs w:val="21"/>
                <w:lang w:val="en-US" w:eastAsia="zh-CN"/>
              </w:rPr>
              <w:t>资质单位进行回收处置</w:t>
            </w:r>
          </w:p>
        </w:tc>
        <w:tc>
          <w:tcPr>
            <w:tcW w:w="2958" w:type="dxa"/>
            <w:vMerge w:val="continue"/>
            <w:noWrap w:val="0"/>
            <w:vAlign w:val="center"/>
          </w:tcPr>
          <w:p w14:paraId="1741C0A8">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69BB6946">
            <w:pPr>
              <w:ind w:left="0" w:firstLine="0"/>
              <w:jc w:val="center"/>
              <w:rPr>
                <w:rFonts w:hint="eastAsia" w:ascii="Times New Roman" w:hAnsi="Times New Roman" w:eastAsia="宋体" w:cs="Times New Roman"/>
                <w:sz w:val="21"/>
                <w:szCs w:val="21"/>
                <w:lang w:val="en-US" w:eastAsia="zh-CN"/>
              </w:rPr>
            </w:pPr>
          </w:p>
        </w:tc>
      </w:tr>
      <w:tr w14:paraId="35425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61D58C2F">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6A602AB3">
            <w:pPr>
              <w:ind w:left="0" w:firstLine="0"/>
              <w:jc w:val="center"/>
              <w:rPr>
                <w:rFonts w:hint="eastAsia" w:ascii="Times New Roman" w:hAnsi="Times New Roman" w:eastAsia="宋体" w:cs="Times New Roman"/>
                <w:sz w:val="21"/>
                <w:szCs w:val="21"/>
                <w:lang w:val="en-US" w:eastAsia="zh-CN"/>
              </w:rPr>
            </w:pPr>
          </w:p>
        </w:tc>
        <w:tc>
          <w:tcPr>
            <w:tcW w:w="1095" w:type="dxa"/>
            <w:vMerge w:val="continue"/>
            <w:noWrap w:val="0"/>
            <w:vAlign w:val="center"/>
          </w:tcPr>
          <w:p w14:paraId="0FF60C0E">
            <w:pPr>
              <w:ind w:left="0" w:firstLine="0"/>
              <w:jc w:val="center"/>
              <w:rPr>
                <w:rFonts w:hint="eastAsia" w:ascii="Times New Roman" w:hAnsi="Times New Roman" w:eastAsia="宋体" w:cs="Times New Roman"/>
                <w:sz w:val="21"/>
                <w:szCs w:val="21"/>
                <w:lang w:val="en-US" w:eastAsia="zh-CN"/>
              </w:rPr>
            </w:pPr>
          </w:p>
        </w:tc>
        <w:tc>
          <w:tcPr>
            <w:tcW w:w="1314" w:type="dxa"/>
            <w:noWrap w:val="0"/>
            <w:vAlign w:val="center"/>
          </w:tcPr>
          <w:p w14:paraId="551CFBA9">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废灯管</w:t>
            </w:r>
          </w:p>
        </w:tc>
        <w:tc>
          <w:tcPr>
            <w:tcW w:w="4870" w:type="dxa"/>
            <w:vMerge w:val="continue"/>
            <w:noWrap w:val="0"/>
            <w:vAlign w:val="center"/>
          </w:tcPr>
          <w:p w14:paraId="667F146D">
            <w:pPr>
              <w:ind w:left="0" w:firstLine="0"/>
              <w:jc w:val="center"/>
              <w:rPr>
                <w:rFonts w:hint="eastAsia" w:ascii="Times New Roman" w:hAnsi="Times New Roman" w:eastAsia="宋体" w:cs="Times New Roman"/>
                <w:sz w:val="21"/>
                <w:szCs w:val="21"/>
                <w:lang w:val="en-US" w:eastAsia="zh-CN"/>
              </w:rPr>
            </w:pPr>
          </w:p>
        </w:tc>
        <w:tc>
          <w:tcPr>
            <w:tcW w:w="2958" w:type="dxa"/>
            <w:vMerge w:val="continue"/>
            <w:noWrap w:val="0"/>
            <w:vAlign w:val="center"/>
          </w:tcPr>
          <w:p w14:paraId="0DBEC6E0">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03EB5CBC">
            <w:pPr>
              <w:ind w:left="0" w:firstLine="0"/>
              <w:jc w:val="center"/>
              <w:rPr>
                <w:rFonts w:hint="eastAsia" w:ascii="Times New Roman" w:hAnsi="Times New Roman" w:eastAsia="宋体" w:cs="Times New Roman"/>
                <w:sz w:val="21"/>
                <w:szCs w:val="21"/>
                <w:lang w:val="en-US" w:eastAsia="zh-CN"/>
              </w:rPr>
            </w:pPr>
          </w:p>
        </w:tc>
      </w:tr>
      <w:tr w14:paraId="53F68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522C4FAF">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3DE20AF7">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5B020D99">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热载体炉</w:t>
            </w:r>
          </w:p>
        </w:tc>
        <w:tc>
          <w:tcPr>
            <w:tcW w:w="1314" w:type="dxa"/>
            <w:noWrap w:val="0"/>
            <w:vAlign w:val="center"/>
          </w:tcPr>
          <w:p w14:paraId="0A3F0415">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废导热油</w:t>
            </w:r>
          </w:p>
        </w:tc>
        <w:tc>
          <w:tcPr>
            <w:tcW w:w="4870" w:type="dxa"/>
            <w:noWrap w:val="0"/>
            <w:vAlign w:val="center"/>
          </w:tcPr>
          <w:p w14:paraId="1C6056D5">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交有资质的单位</w:t>
            </w:r>
            <w:r>
              <w:rPr>
                <w:rFonts w:hint="eastAsia" w:ascii="Times New Roman" w:hAnsi="Times New Roman" w:eastAsia="宋体" w:cs="Times New Roman"/>
                <w:sz w:val="21"/>
                <w:szCs w:val="21"/>
                <w:lang w:val="en-US" w:eastAsia="zh-CN"/>
              </w:rPr>
              <w:t>进行更换回收</w:t>
            </w:r>
            <w:r>
              <w:rPr>
                <w:rFonts w:ascii="Times New Roman" w:hAnsi="Times New Roman" w:eastAsia="宋体" w:cs="Times New Roman"/>
                <w:sz w:val="21"/>
                <w:szCs w:val="21"/>
                <w:lang w:val="en-US" w:eastAsia="zh-CN"/>
              </w:rPr>
              <w:t>处置</w:t>
            </w:r>
          </w:p>
        </w:tc>
        <w:tc>
          <w:tcPr>
            <w:tcW w:w="2958" w:type="dxa"/>
            <w:vMerge w:val="continue"/>
            <w:noWrap w:val="0"/>
            <w:vAlign w:val="center"/>
          </w:tcPr>
          <w:p w14:paraId="29D0A581">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6D9F6617">
            <w:pPr>
              <w:ind w:left="0" w:firstLine="0"/>
              <w:jc w:val="center"/>
              <w:rPr>
                <w:rFonts w:hint="eastAsia" w:ascii="Times New Roman" w:hAnsi="Times New Roman" w:eastAsia="宋体" w:cs="Times New Roman"/>
                <w:sz w:val="21"/>
                <w:szCs w:val="21"/>
                <w:lang w:val="en-US" w:eastAsia="zh-CN"/>
              </w:rPr>
            </w:pPr>
          </w:p>
        </w:tc>
      </w:tr>
      <w:tr w14:paraId="3DDF8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78444B12">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2494D3B3">
            <w:pPr>
              <w:ind w:left="0" w:firstLine="0"/>
              <w:jc w:val="center"/>
              <w:rPr>
                <w:rFonts w:hint="eastAsia" w:ascii="Times New Roman" w:hAnsi="Times New Roman" w:eastAsia="宋体" w:cs="Times New Roman"/>
                <w:sz w:val="21"/>
                <w:szCs w:val="21"/>
                <w:lang w:val="en-US" w:eastAsia="zh-CN"/>
              </w:rPr>
            </w:pPr>
          </w:p>
        </w:tc>
        <w:tc>
          <w:tcPr>
            <w:tcW w:w="1095" w:type="dxa"/>
            <w:noWrap w:val="0"/>
            <w:vAlign w:val="center"/>
          </w:tcPr>
          <w:p w14:paraId="21408CC8">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软水设备</w:t>
            </w:r>
          </w:p>
        </w:tc>
        <w:tc>
          <w:tcPr>
            <w:tcW w:w="1314" w:type="dxa"/>
            <w:noWrap w:val="0"/>
            <w:vAlign w:val="center"/>
          </w:tcPr>
          <w:p w14:paraId="6FA3A02D">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废离子树脂</w:t>
            </w:r>
          </w:p>
        </w:tc>
        <w:tc>
          <w:tcPr>
            <w:tcW w:w="4870" w:type="dxa"/>
            <w:noWrap w:val="0"/>
            <w:vAlign w:val="center"/>
          </w:tcPr>
          <w:p w14:paraId="6079B1CF">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由厂家负责定期更换并返回生产厂家</w:t>
            </w:r>
          </w:p>
        </w:tc>
        <w:tc>
          <w:tcPr>
            <w:tcW w:w="2958" w:type="dxa"/>
            <w:vMerge w:val="continue"/>
            <w:noWrap w:val="0"/>
            <w:vAlign w:val="center"/>
          </w:tcPr>
          <w:p w14:paraId="596B359E">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4CBCE7AD">
            <w:pPr>
              <w:ind w:left="0" w:firstLine="0"/>
              <w:jc w:val="center"/>
              <w:rPr>
                <w:rFonts w:hint="eastAsia" w:ascii="Times New Roman" w:hAnsi="Times New Roman" w:eastAsia="宋体" w:cs="Times New Roman"/>
                <w:sz w:val="21"/>
                <w:szCs w:val="21"/>
                <w:lang w:val="en-US" w:eastAsia="zh-CN"/>
              </w:rPr>
            </w:pPr>
          </w:p>
        </w:tc>
      </w:tr>
      <w:tr w14:paraId="43FBE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7A1FC96C">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4A69615A">
            <w:pPr>
              <w:ind w:left="0" w:firstLine="0"/>
              <w:jc w:val="center"/>
              <w:rPr>
                <w:rFonts w:hint="eastAsia" w:ascii="Times New Roman" w:hAnsi="Times New Roman" w:eastAsia="宋体" w:cs="Times New Roman"/>
                <w:sz w:val="21"/>
                <w:szCs w:val="21"/>
                <w:lang w:val="en-US" w:eastAsia="zh-CN"/>
              </w:rPr>
            </w:pPr>
          </w:p>
        </w:tc>
        <w:tc>
          <w:tcPr>
            <w:tcW w:w="1095" w:type="dxa"/>
            <w:vMerge w:val="restart"/>
            <w:noWrap w:val="0"/>
            <w:vAlign w:val="center"/>
          </w:tcPr>
          <w:p w14:paraId="37B3CCB8">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机修</w:t>
            </w:r>
          </w:p>
        </w:tc>
        <w:tc>
          <w:tcPr>
            <w:tcW w:w="1314" w:type="dxa"/>
            <w:noWrap w:val="0"/>
            <w:vAlign w:val="center"/>
          </w:tcPr>
          <w:p w14:paraId="243CE430">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废机油</w:t>
            </w:r>
          </w:p>
        </w:tc>
        <w:tc>
          <w:tcPr>
            <w:tcW w:w="4870" w:type="dxa"/>
            <w:noWrap w:val="0"/>
            <w:vAlign w:val="center"/>
          </w:tcPr>
          <w:p w14:paraId="50872547">
            <w:pPr>
              <w:ind w:left="0" w:firstLine="0"/>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交由具有危废处置资质的单位处置</w:t>
            </w:r>
          </w:p>
        </w:tc>
        <w:tc>
          <w:tcPr>
            <w:tcW w:w="2958" w:type="dxa"/>
            <w:vMerge w:val="continue"/>
            <w:noWrap w:val="0"/>
            <w:vAlign w:val="center"/>
          </w:tcPr>
          <w:p w14:paraId="27683A9A">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6FB2E612">
            <w:pPr>
              <w:ind w:left="0" w:firstLine="0"/>
              <w:jc w:val="center"/>
              <w:rPr>
                <w:rFonts w:hint="eastAsia" w:ascii="Times New Roman" w:hAnsi="Times New Roman" w:eastAsia="宋体" w:cs="Times New Roman"/>
                <w:sz w:val="21"/>
                <w:szCs w:val="21"/>
                <w:lang w:val="en-US" w:eastAsia="zh-CN"/>
              </w:rPr>
            </w:pPr>
          </w:p>
        </w:tc>
      </w:tr>
      <w:tr w14:paraId="2381A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vMerge w:val="continue"/>
            <w:noWrap w:val="0"/>
            <w:vAlign w:val="center"/>
          </w:tcPr>
          <w:p w14:paraId="5F519A22">
            <w:pPr>
              <w:ind w:left="0" w:firstLine="0"/>
              <w:jc w:val="center"/>
              <w:rPr>
                <w:rFonts w:hint="eastAsia" w:ascii="Times New Roman" w:hAnsi="Times New Roman" w:eastAsia="宋体" w:cs="Times New Roman"/>
                <w:sz w:val="21"/>
                <w:szCs w:val="21"/>
                <w:lang w:val="en-US" w:eastAsia="zh-CN"/>
              </w:rPr>
            </w:pPr>
          </w:p>
        </w:tc>
        <w:tc>
          <w:tcPr>
            <w:tcW w:w="1318" w:type="dxa"/>
            <w:vMerge w:val="continue"/>
            <w:noWrap w:val="0"/>
            <w:vAlign w:val="center"/>
          </w:tcPr>
          <w:p w14:paraId="2A72CEEE">
            <w:pPr>
              <w:ind w:left="0" w:firstLine="0"/>
              <w:jc w:val="center"/>
              <w:rPr>
                <w:rFonts w:hint="eastAsia" w:ascii="Times New Roman" w:hAnsi="Times New Roman" w:eastAsia="宋体" w:cs="Times New Roman"/>
                <w:sz w:val="21"/>
                <w:szCs w:val="21"/>
                <w:lang w:val="en-US" w:eastAsia="zh-CN"/>
              </w:rPr>
            </w:pPr>
          </w:p>
        </w:tc>
        <w:tc>
          <w:tcPr>
            <w:tcW w:w="1095" w:type="dxa"/>
            <w:vMerge w:val="continue"/>
            <w:noWrap w:val="0"/>
            <w:vAlign w:val="center"/>
          </w:tcPr>
          <w:p w14:paraId="57C30B13">
            <w:pPr>
              <w:ind w:left="0" w:firstLine="0"/>
              <w:jc w:val="center"/>
              <w:rPr>
                <w:rFonts w:hint="eastAsia" w:ascii="Times New Roman" w:hAnsi="Times New Roman" w:eastAsia="宋体" w:cs="Times New Roman"/>
                <w:sz w:val="21"/>
                <w:szCs w:val="21"/>
                <w:lang w:val="en-US" w:eastAsia="zh-CN"/>
              </w:rPr>
            </w:pPr>
          </w:p>
        </w:tc>
        <w:tc>
          <w:tcPr>
            <w:tcW w:w="1314" w:type="dxa"/>
            <w:noWrap w:val="0"/>
            <w:vAlign w:val="center"/>
          </w:tcPr>
          <w:p w14:paraId="5696D36F">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废抹布</w:t>
            </w:r>
          </w:p>
        </w:tc>
        <w:tc>
          <w:tcPr>
            <w:tcW w:w="4870" w:type="dxa"/>
            <w:noWrap w:val="0"/>
            <w:vAlign w:val="center"/>
          </w:tcPr>
          <w:p w14:paraId="4EA409F4">
            <w:pPr>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混入生活垃圾，委托环卫部门清运处理</w:t>
            </w:r>
          </w:p>
        </w:tc>
        <w:tc>
          <w:tcPr>
            <w:tcW w:w="2958" w:type="dxa"/>
            <w:vMerge w:val="continue"/>
            <w:noWrap w:val="0"/>
            <w:vAlign w:val="center"/>
          </w:tcPr>
          <w:p w14:paraId="7C0A16C9">
            <w:pPr>
              <w:ind w:left="0" w:firstLine="0"/>
              <w:jc w:val="center"/>
              <w:rPr>
                <w:rFonts w:hint="eastAsia" w:ascii="Times New Roman" w:hAnsi="Times New Roman" w:eastAsia="宋体" w:cs="Times New Roman"/>
                <w:sz w:val="21"/>
                <w:szCs w:val="21"/>
                <w:lang w:val="en-US" w:eastAsia="zh-CN"/>
              </w:rPr>
            </w:pPr>
          </w:p>
        </w:tc>
        <w:tc>
          <w:tcPr>
            <w:tcW w:w="2458" w:type="dxa"/>
            <w:vMerge w:val="continue"/>
            <w:noWrap w:val="0"/>
            <w:vAlign w:val="center"/>
          </w:tcPr>
          <w:p w14:paraId="21FCC883">
            <w:pPr>
              <w:ind w:left="0" w:firstLine="0"/>
              <w:jc w:val="center"/>
              <w:rPr>
                <w:rFonts w:hint="eastAsia" w:ascii="Times New Roman" w:hAnsi="Times New Roman" w:eastAsia="宋体" w:cs="Times New Roman"/>
                <w:sz w:val="21"/>
                <w:szCs w:val="21"/>
                <w:lang w:val="en-US" w:eastAsia="zh-CN"/>
              </w:rPr>
            </w:pPr>
          </w:p>
        </w:tc>
      </w:tr>
      <w:tr w14:paraId="40A07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7" w:type="dxa"/>
            <w:noWrap w:val="0"/>
            <w:vAlign w:val="center"/>
          </w:tcPr>
          <w:p w14:paraId="535CD69E">
            <w:pPr>
              <w:ind w:left="0" w:firstLine="0"/>
              <w:jc w:val="center"/>
              <w:rPr>
                <w:rFonts w:hint="eastAsia" w:ascii="Times New Roman" w:hAnsi="Times New Roman" w:eastAsia="宋体" w:cs="Times New Roman"/>
                <w:sz w:val="21"/>
                <w:szCs w:val="21"/>
                <w:lang w:val="en-US" w:eastAsia="zh-CN"/>
              </w:rPr>
            </w:pPr>
            <w:bookmarkStart w:id="306" w:name="_Toc8183"/>
            <w:r>
              <w:rPr>
                <w:rFonts w:hint="eastAsia" w:ascii="Times New Roman" w:hAnsi="Times New Roman" w:eastAsia="宋体" w:cs="Times New Roman"/>
                <w:sz w:val="21"/>
                <w:szCs w:val="21"/>
                <w:lang w:val="en-US" w:eastAsia="zh-CN"/>
              </w:rPr>
              <w:t>5</w:t>
            </w:r>
            <w:bookmarkEnd w:id="306"/>
          </w:p>
        </w:tc>
        <w:tc>
          <w:tcPr>
            <w:tcW w:w="1318" w:type="dxa"/>
            <w:noWrap w:val="0"/>
            <w:vAlign w:val="center"/>
          </w:tcPr>
          <w:p w14:paraId="66C8A091">
            <w:pPr>
              <w:ind w:left="0" w:firstLine="0"/>
              <w:jc w:val="center"/>
              <w:rPr>
                <w:rFonts w:hint="eastAsia" w:ascii="Times New Roman" w:hAnsi="Times New Roman" w:eastAsia="宋体" w:cs="Times New Roman"/>
                <w:sz w:val="21"/>
                <w:szCs w:val="21"/>
                <w:lang w:val="en-US" w:eastAsia="zh-CN"/>
              </w:rPr>
            </w:pPr>
            <w:bookmarkStart w:id="307" w:name="_Toc16288"/>
            <w:r>
              <w:rPr>
                <w:rFonts w:hint="eastAsia" w:ascii="Times New Roman" w:hAnsi="Times New Roman" w:eastAsia="宋体" w:cs="Times New Roman"/>
                <w:sz w:val="21"/>
                <w:szCs w:val="21"/>
                <w:lang w:val="en-US" w:eastAsia="zh-CN"/>
              </w:rPr>
              <w:t>环境风险</w:t>
            </w:r>
            <w:bookmarkEnd w:id="307"/>
          </w:p>
        </w:tc>
        <w:tc>
          <w:tcPr>
            <w:tcW w:w="7279" w:type="dxa"/>
            <w:gridSpan w:val="3"/>
            <w:noWrap w:val="0"/>
            <w:vAlign w:val="center"/>
          </w:tcPr>
          <w:p w14:paraId="60B4B587">
            <w:pPr>
              <w:ind w:left="0" w:firstLine="0"/>
              <w:jc w:val="center"/>
              <w:rPr>
                <w:rFonts w:hint="eastAsia" w:ascii="Times New Roman" w:hAnsi="Times New Roman" w:eastAsia="宋体" w:cs="Times New Roman"/>
                <w:sz w:val="21"/>
                <w:szCs w:val="21"/>
                <w:lang w:val="en-US" w:eastAsia="zh-CN"/>
              </w:rPr>
            </w:pPr>
            <w:bookmarkStart w:id="308" w:name="_Toc23145"/>
            <w:r>
              <w:rPr>
                <w:rFonts w:hint="eastAsia" w:ascii="Times New Roman" w:hAnsi="Times New Roman" w:eastAsia="宋体" w:cs="Times New Roman"/>
                <w:sz w:val="21"/>
                <w:szCs w:val="21"/>
                <w:lang w:val="en-US" w:eastAsia="zh-CN"/>
              </w:rPr>
              <w:t>委托编制机构编制突发环境事件应急预案，并落实相关组织机构、应急设施，设备与器材等。</w:t>
            </w:r>
            <w:bookmarkEnd w:id="308"/>
          </w:p>
        </w:tc>
        <w:tc>
          <w:tcPr>
            <w:tcW w:w="2958" w:type="dxa"/>
            <w:noWrap w:val="0"/>
            <w:vAlign w:val="center"/>
          </w:tcPr>
          <w:p w14:paraId="23ED0EF1">
            <w:pPr>
              <w:ind w:left="0" w:firstLine="0"/>
              <w:jc w:val="center"/>
              <w:rPr>
                <w:rFonts w:hint="eastAsia" w:ascii="Times New Roman" w:hAnsi="Times New Roman" w:eastAsia="宋体" w:cs="Times New Roman"/>
                <w:sz w:val="21"/>
                <w:szCs w:val="21"/>
                <w:lang w:val="en-US" w:eastAsia="zh-CN"/>
              </w:rPr>
            </w:pPr>
            <w:bookmarkStart w:id="309" w:name="_Toc25519"/>
            <w:r>
              <w:rPr>
                <w:rFonts w:hint="eastAsia" w:ascii="Times New Roman" w:hAnsi="Times New Roman" w:eastAsia="宋体" w:cs="Times New Roman"/>
                <w:sz w:val="21"/>
                <w:szCs w:val="21"/>
                <w:lang w:val="en-US" w:eastAsia="zh-CN"/>
              </w:rPr>
              <w:t>有效缓解环境风险后果</w:t>
            </w:r>
            <w:bookmarkEnd w:id="309"/>
          </w:p>
        </w:tc>
        <w:tc>
          <w:tcPr>
            <w:tcW w:w="2458" w:type="dxa"/>
            <w:noWrap w:val="0"/>
            <w:vAlign w:val="center"/>
          </w:tcPr>
          <w:p w14:paraId="46FB542D">
            <w:pPr>
              <w:ind w:left="0" w:firstLine="0"/>
              <w:jc w:val="center"/>
              <w:rPr>
                <w:rFonts w:hint="eastAsia" w:ascii="Times New Roman" w:hAnsi="Times New Roman" w:eastAsia="宋体" w:cs="Times New Roman"/>
                <w:sz w:val="21"/>
                <w:szCs w:val="21"/>
                <w:lang w:val="en-US" w:eastAsia="zh-CN"/>
              </w:rPr>
            </w:pPr>
            <w:bookmarkStart w:id="310" w:name="_Toc9770"/>
            <w:r>
              <w:rPr>
                <w:rFonts w:hint="eastAsia" w:ascii="Times New Roman" w:hAnsi="Times New Roman" w:eastAsia="宋体" w:cs="Times New Roman"/>
                <w:sz w:val="21"/>
                <w:szCs w:val="21"/>
                <w:lang w:val="en-US" w:eastAsia="zh-CN"/>
              </w:rPr>
              <w:t>建设单位</w:t>
            </w:r>
            <w:bookmarkEnd w:id="310"/>
          </w:p>
        </w:tc>
      </w:tr>
    </w:tbl>
    <w:p w14:paraId="490FA0C0">
      <w:pPr>
        <w:pStyle w:val="2"/>
        <w:ind w:firstLine="0"/>
        <w:rPr>
          <w:sz w:val="24"/>
          <w:szCs w:val="24"/>
        </w:rPr>
        <w:sectPr>
          <w:pgSz w:w="16838" w:h="11906"/>
          <w:pgMar w:top="1797" w:right="1440" w:bottom="1797" w:left="1440" w:header="850" w:footer="992" w:gutter="0"/>
          <w:pgNumType w:start="1"/>
          <w:cols w:space="1701" w:num="1"/>
        </w:sectPr>
      </w:pPr>
    </w:p>
    <w:p w14:paraId="3916879D">
      <w:pPr>
        <w:pStyle w:val="186"/>
        <w:ind w:left="0" w:firstLine="0"/>
        <w:jc w:val="center"/>
        <w:rPr>
          <w:rFonts w:hint="eastAsia"/>
        </w:rPr>
      </w:pPr>
      <w:bookmarkStart w:id="311" w:name="_Toc4752"/>
      <w:bookmarkStart w:id="312" w:name="_Toc6912"/>
      <w:r>
        <w:rPr>
          <w:rFonts w:hint="eastAsia"/>
        </w:rPr>
        <w:t>第</w:t>
      </w:r>
      <w:r>
        <w:rPr>
          <w:rFonts w:hint="eastAsia"/>
          <w:lang w:val="en-US" w:eastAsia="zh-CN"/>
        </w:rPr>
        <w:t>九</w:t>
      </w:r>
      <w:r>
        <w:rPr>
          <w:rFonts w:hint="eastAsia"/>
        </w:rPr>
        <w:t>章  产业政策、规划符合性、选址可行性分析</w:t>
      </w:r>
      <w:bookmarkEnd w:id="311"/>
      <w:bookmarkEnd w:id="312"/>
    </w:p>
    <w:p w14:paraId="22DFD496">
      <w:pPr>
        <w:pStyle w:val="187"/>
        <w:rPr>
          <w:rFonts w:hint="eastAsia" w:ascii="Times New Roman" w:hAnsi="Times New Roman"/>
        </w:rPr>
      </w:pPr>
      <w:bookmarkStart w:id="313" w:name="_Toc10339"/>
      <w:r>
        <w:rPr>
          <w:rFonts w:hint="eastAsia" w:ascii="Times New Roman" w:hAnsi="Times New Roman"/>
          <w:lang w:val="en-US" w:eastAsia="zh-CN"/>
        </w:rPr>
        <w:t>9</w:t>
      </w:r>
      <w:r>
        <w:rPr>
          <w:rFonts w:hint="eastAsia" w:ascii="Times New Roman" w:hAnsi="Times New Roman"/>
        </w:rPr>
        <w:t>.1产业政策符合性分析</w:t>
      </w:r>
      <w:bookmarkEnd w:id="313"/>
    </w:p>
    <w:p w14:paraId="15051BE7">
      <w:pPr>
        <w:ind w:firstLine="480"/>
        <w:rPr>
          <w:rFonts w:hint="eastAsia"/>
          <w:color w:val="000000"/>
          <w:szCs w:val="22"/>
        </w:rPr>
      </w:pPr>
      <w:r>
        <w:rPr>
          <w:rFonts w:hint="eastAsia"/>
          <w:color w:val="000000"/>
          <w:sz w:val="24"/>
        </w:rPr>
        <w:t>经查阅</w:t>
      </w:r>
      <w:r>
        <w:rPr>
          <w:rFonts w:hint="eastAsia" w:ascii="Times New Roman" w:hAnsi="Times New Roman" w:eastAsia="宋体" w:cs="Times New Roman"/>
          <w:color w:val="000000"/>
          <w:sz w:val="24"/>
          <w:szCs w:val="24"/>
          <w:highlight w:val="none"/>
          <w:lang w:val="en-US" w:eastAsia="zh-CN"/>
        </w:rPr>
        <w:t>中华人民共和国</w:t>
      </w:r>
      <w:r>
        <w:rPr>
          <w:rFonts w:ascii="Times New Roman" w:hAnsi="Times New Roman" w:eastAsia="宋体" w:cs="Times New Roman"/>
          <w:color w:val="000000"/>
          <w:sz w:val="24"/>
          <w:szCs w:val="24"/>
          <w:highlight w:val="none"/>
        </w:rPr>
        <w:t>国家发展</w:t>
      </w:r>
      <w:r>
        <w:rPr>
          <w:rFonts w:hint="eastAsia" w:ascii="Times New Roman" w:hAnsi="Times New Roman" w:eastAsia="宋体" w:cs="Times New Roman"/>
          <w:color w:val="000000"/>
          <w:sz w:val="24"/>
          <w:szCs w:val="24"/>
          <w:highlight w:val="none"/>
          <w:lang w:val="en-US" w:eastAsia="zh-CN"/>
        </w:rPr>
        <w:t>和</w:t>
      </w:r>
      <w:r>
        <w:rPr>
          <w:rFonts w:ascii="Times New Roman" w:hAnsi="Times New Roman" w:eastAsia="宋体" w:cs="Times New Roman"/>
          <w:color w:val="000000"/>
          <w:sz w:val="24"/>
          <w:szCs w:val="24"/>
          <w:highlight w:val="none"/>
        </w:rPr>
        <w:t>改革委员会</w:t>
      </w:r>
      <w:r>
        <w:rPr>
          <w:rFonts w:hint="eastAsia" w:ascii="Times New Roman" w:hAnsi="Times New Roman" w:eastAsia="宋体" w:cs="Times New Roman"/>
          <w:color w:val="000000"/>
          <w:sz w:val="24"/>
          <w:szCs w:val="24"/>
          <w:highlight w:val="none"/>
          <w:lang w:val="en-US" w:eastAsia="zh-CN"/>
        </w:rPr>
        <w:t>令第29</w:t>
      </w:r>
      <w:r>
        <w:rPr>
          <w:rFonts w:ascii="Times New Roman" w:hAnsi="Times New Roman" w:eastAsia="宋体" w:cs="Times New Roman"/>
          <w:color w:val="000000"/>
          <w:sz w:val="24"/>
          <w:szCs w:val="24"/>
          <w:highlight w:val="none"/>
        </w:rPr>
        <w:t>号颁布的《产业结构调整指导目录（201</w:t>
      </w:r>
      <w:r>
        <w:rPr>
          <w:rFonts w:hint="eastAsia" w:ascii="Times New Roman" w:hAnsi="Times New Roman" w:eastAsia="宋体" w:cs="Times New Roman"/>
          <w:color w:val="000000"/>
          <w:sz w:val="24"/>
          <w:szCs w:val="24"/>
          <w:highlight w:val="none"/>
          <w:lang w:val="en-US" w:eastAsia="zh-CN"/>
        </w:rPr>
        <w:t>9</w:t>
      </w:r>
      <w:r>
        <w:rPr>
          <w:rFonts w:ascii="Times New Roman" w:hAnsi="Times New Roman" w:eastAsia="宋体" w:cs="Times New Roman"/>
          <w:color w:val="000000"/>
          <w:sz w:val="24"/>
          <w:szCs w:val="24"/>
          <w:highlight w:val="none"/>
        </w:rPr>
        <w:t>年本）》</w:t>
      </w:r>
      <w:r>
        <w:rPr>
          <w:rFonts w:hint="eastAsia"/>
          <w:color w:val="000000"/>
          <w:sz w:val="24"/>
        </w:rPr>
        <w:t>中的相关规定，</w:t>
      </w:r>
      <w:r>
        <w:rPr>
          <w:bCs/>
          <w:sz w:val="24"/>
          <w:szCs w:val="21"/>
        </w:rPr>
        <w:t>本项目生产规模、生产工艺和产品等均不在“限制类”和“淘汰类”之列，</w:t>
      </w:r>
      <w:r>
        <w:rPr>
          <w:sz w:val="24"/>
          <w:szCs w:val="21"/>
        </w:rPr>
        <w:t>属于允许</w:t>
      </w:r>
      <w:r>
        <w:rPr>
          <w:rFonts w:hint="eastAsia"/>
          <w:sz w:val="24"/>
          <w:szCs w:val="21"/>
        </w:rPr>
        <w:t>类。</w:t>
      </w:r>
      <w:r>
        <w:rPr>
          <w:rFonts w:hint="eastAsia"/>
          <w:color w:val="000000"/>
          <w:sz w:val="24"/>
          <w:lang w:val="en-US" w:eastAsia="zh-CN"/>
        </w:rPr>
        <w:t>项目于</w:t>
      </w:r>
      <w:r>
        <w:rPr>
          <w:rFonts w:hint="eastAsia"/>
          <w:color w:val="000000"/>
          <w:szCs w:val="22"/>
        </w:rPr>
        <w:t>2019年11月7日已经取得了芒市发展和改革局下发的“投资项目备案证”，文号为芒发改备案[2019]232号。</w:t>
      </w:r>
    </w:p>
    <w:p w14:paraId="43C3FD4C">
      <w:pPr>
        <w:keepNext w:val="0"/>
        <w:keepLines w:val="0"/>
        <w:widowControl/>
        <w:suppressLineNumbers w:val="0"/>
        <w:jc w:val="left"/>
        <w:rPr>
          <w:color w:val="000000"/>
        </w:rPr>
      </w:pPr>
      <w:r>
        <w:rPr>
          <w:rFonts w:hint="eastAsia" w:ascii="宋体" w:hAnsi="宋体" w:eastAsia="宋体" w:cs="宋体"/>
          <w:color w:val="000000"/>
          <w:sz w:val="24"/>
          <w:szCs w:val="24"/>
          <w:lang w:val="en-US" w:eastAsia="zh-CN" w:bidi="ar"/>
        </w:rPr>
        <w:t xml:space="preserve">因此，本项目的建设符合国家现行的产业政策。 </w:t>
      </w:r>
    </w:p>
    <w:p w14:paraId="05842DEA">
      <w:pPr>
        <w:pStyle w:val="187"/>
        <w:rPr>
          <w:rFonts w:hint="eastAsia" w:ascii="Times New Roman" w:hAnsi="Times New Roman"/>
        </w:rPr>
      </w:pPr>
      <w:bookmarkStart w:id="314" w:name="_Toc1775"/>
      <w:r>
        <w:rPr>
          <w:rFonts w:hint="eastAsia" w:ascii="Times New Roman" w:hAnsi="Times New Roman"/>
          <w:lang w:val="en-US" w:eastAsia="zh-CN"/>
        </w:rPr>
        <w:t>9.2</w:t>
      </w:r>
      <w:r>
        <w:rPr>
          <w:rFonts w:hint="eastAsia" w:ascii="Times New Roman" w:hAnsi="Times New Roman"/>
        </w:rPr>
        <w:t>选址可行性</w:t>
      </w:r>
      <w:bookmarkEnd w:id="314"/>
    </w:p>
    <w:p w14:paraId="68D239A8">
      <w:pPr>
        <w:ind w:firstLine="496"/>
        <w:rPr>
          <w:rFonts w:hint="eastAsia" w:ascii="宋体" w:hAnsi="宋体" w:eastAsia="宋体"/>
          <w:color w:val="000000"/>
          <w:sz w:val="24"/>
          <w:szCs w:val="21"/>
          <w:lang w:eastAsia="zh-CN"/>
        </w:rPr>
      </w:pPr>
      <w:r>
        <w:rPr>
          <w:color w:val="000000"/>
          <w:sz w:val="24"/>
          <w:szCs w:val="21"/>
        </w:rPr>
        <w:t>该项目位于</w:t>
      </w:r>
      <w:r>
        <w:rPr>
          <w:rFonts w:hint="eastAsia"/>
          <w:szCs w:val="22"/>
        </w:rPr>
        <w:t>德宏州芒市镇大湾村委会街坡村民小组（奥环水泥厂西面）</w:t>
      </w:r>
      <w:r>
        <w:rPr>
          <w:rFonts w:hint="eastAsia"/>
          <w:color w:val="000000"/>
          <w:sz w:val="24"/>
          <w:szCs w:val="21"/>
        </w:rPr>
        <w:t>，</w:t>
      </w:r>
      <w:r>
        <w:rPr>
          <w:color w:val="000000"/>
          <w:szCs w:val="24"/>
        </w:rPr>
        <w:t>项目</w:t>
      </w:r>
      <w:r>
        <w:rPr>
          <w:rFonts w:hint="eastAsia" w:eastAsia="宋体"/>
          <w:color w:val="000000"/>
          <w:szCs w:val="24"/>
          <w:lang w:val="en-US" w:eastAsia="zh-CN"/>
        </w:rPr>
        <w:t>南</w:t>
      </w:r>
      <w:r>
        <w:rPr>
          <w:rFonts w:hint="eastAsia"/>
          <w:color w:val="000000"/>
          <w:szCs w:val="24"/>
        </w:rPr>
        <w:t>侧</w:t>
      </w:r>
      <w:r>
        <w:rPr>
          <w:color w:val="000000"/>
          <w:szCs w:val="24"/>
        </w:rPr>
        <w:t>有一条简易道路</w:t>
      </w:r>
      <w:r>
        <w:rPr>
          <w:rFonts w:hint="eastAsia"/>
          <w:color w:val="000000"/>
          <w:szCs w:val="24"/>
        </w:rPr>
        <w:t>与G320国道连接</w:t>
      </w:r>
      <w:r>
        <w:rPr>
          <w:rFonts w:hint="eastAsia"/>
          <w:color w:val="000000"/>
          <w:sz w:val="24"/>
          <w:szCs w:val="21"/>
          <w:lang w:val="en-US" w:eastAsia="zh-CN"/>
        </w:rPr>
        <w:t>，</w:t>
      </w:r>
      <w:r>
        <w:rPr>
          <w:rFonts w:hint="eastAsia" w:ascii="宋体" w:hAnsi="宋体"/>
          <w:color w:val="000000"/>
          <w:sz w:val="24"/>
          <w:szCs w:val="21"/>
        </w:rPr>
        <w:t>原材料及产品运输方便，交通便利；经过调查，项目周围</w:t>
      </w:r>
      <w:r>
        <w:rPr>
          <w:rFonts w:ascii="Times New Roman" w:hAnsi="Times New Roman" w:cs="Times New Roman"/>
          <w:color w:val="000000"/>
          <w:sz w:val="24"/>
          <w:szCs w:val="21"/>
          <w:lang w:val="en-US" w:eastAsia="zh-CN"/>
        </w:rPr>
        <w:t>200m范围</w:t>
      </w:r>
      <w:r>
        <w:rPr>
          <w:rFonts w:ascii="Times New Roman" w:hAnsi="Times New Roman" w:cs="Times New Roman"/>
          <w:color w:val="000000"/>
          <w:sz w:val="24"/>
          <w:szCs w:val="21"/>
        </w:rPr>
        <w:t>内无水源保护区、自然保护区</w:t>
      </w:r>
      <w:r>
        <w:rPr>
          <w:rFonts w:ascii="Times New Roman" w:hAnsi="Times New Roman" w:cs="Times New Roman"/>
          <w:color w:val="000000"/>
          <w:sz w:val="24"/>
          <w:szCs w:val="21"/>
          <w:lang w:val="en-US" w:eastAsia="zh-CN"/>
        </w:rPr>
        <w:t>生态功能保护区等需要特殊保护的环境敏感区</w:t>
      </w:r>
      <w:r>
        <w:rPr>
          <w:rFonts w:ascii="Times New Roman" w:hAnsi="Times New Roman" w:cs="Times New Roman"/>
          <w:color w:val="000000"/>
          <w:sz w:val="24"/>
          <w:szCs w:val="21"/>
        </w:rPr>
        <w:t>，</w:t>
      </w:r>
      <w:r>
        <w:rPr>
          <w:rFonts w:ascii="Times New Roman" w:hAnsi="Times New Roman" w:cs="Times New Roman"/>
          <w:color w:val="000000"/>
          <w:sz w:val="24"/>
          <w:szCs w:val="21"/>
          <w:lang w:val="en-US" w:eastAsia="zh-CN"/>
        </w:rPr>
        <w:t>以及天然林、重要湿地等生态敏感区与脆弱区。项目区域交通、环卫等城市公用基础建设基本完善，水</w:t>
      </w:r>
      <w:r>
        <w:rPr>
          <w:rFonts w:hint="eastAsia" w:ascii="宋体" w:hAnsi="宋体"/>
          <w:color w:val="000000"/>
          <w:sz w:val="24"/>
          <w:szCs w:val="21"/>
          <w:lang w:val="en-US" w:eastAsia="zh-CN"/>
        </w:rPr>
        <w:t>电供应有保障，</w:t>
      </w:r>
      <w:r>
        <w:rPr>
          <w:rFonts w:hint="eastAsia" w:ascii="宋体" w:hAnsi="宋体"/>
          <w:color w:val="000000"/>
          <w:sz w:val="24"/>
          <w:szCs w:val="21"/>
        </w:rPr>
        <w:t>适合项目的经营运作</w:t>
      </w:r>
      <w:r>
        <w:rPr>
          <w:rFonts w:hint="eastAsia" w:ascii="宋体" w:hAnsi="宋体"/>
          <w:color w:val="000000"/>
          <w:sz w:val="24"/>
          <w:szCs w:val="21"/>
          <w:lang w:eastAsia="zh-CN"/>
        </w:rPr>
        <w:t>。</w:t>
      </w:r>
    </w:p>
    <w:p w14:paraId="088E620F">
      <w:pPr>
        <w:ind w:firstLine="496"/>
        <w:rPr>
          <w:rFonts w:ascii="Times New Roman" w:hAnsi="Times New Roman" w:eastAsia="宋体" w:cs="Times New Roman"/>
          <w:color w:val="000000"/>
          <w:sz w:val="24"/>
          <w:szCs w:val="24"/>
        </w:rPr>
      </w:pPr>
      <w:r>
        <w:rPr>
          <w:bCs/>
          <w:spacing w:val="4"/>
          <w:szCs w:val="24"/>
        </w:rPr>
        <w:t>项目总用地面积77042.6m</w:t>
      </w:r>
      <w:r>
        <w:rPr>
          <w:bCs/>
          <w:spacing w:val="4"/>
          <w:szCs w:val="24"/>
          <w:vertAlign w:val="superscript"/>
        </w:rPr>
        <w:t>2</w:t>
      </w:r>
      <w:r>
        <w:rPr>
          <w:bCs/>
          <w:spacing w:val="4"/>
          <w:szCs w:val="24"/>
        </w:rPr>
        <w:t>，建设方已经取</w:t>
      </w:r>
      <w:r>
        <w:rPr>
          <w:rFonts w:hint="eastAsia"/>
          <w:bCs/>
          <w:spacing w:val="4"/>
          <w:szCs w:val="24"/>
        </w:rPr>
        <w:t>办理了</w:t>
      </w:r>
      <w:r>
        <w:rPr>
          <w:bCs/>
          <w:spacing w:val="4"/>
          <w:szCs w:val="24"/>
        </w:rPr>
        <w:t>不动产权证书，项目用地性质为工业用地，项目使用期限为国有建设用地使用权2009年2月2日~2059年2月2日止</w:t>
      </w:r>
      <w:r>
        <w:rPr>
          <w:rFonts w:hint="eastAsia"/>
          <w:bCs/>
          <w:spacing w:val="4"/>
          <w:szCs w:val="24"/>
          <w:lang w:eastAsia="zh-CN"/>
        </w:rPr>
        <w:t>，</w:t>
      </w:r>
      <w:r>
        <w:rPr>
          <w:rFonts w:ascii="Times New Roman" w:hAnsi="Times New Roman" w:eastAsia="宋体" w:cs="Times New Roman"/>
          <w:color w:val="000000"/>
          <w:sz w:val="24"/>
          <w:szCs w:val="24"/>
          <w:lang w:eastAsia="zh-CN"/>
        </w:rPr>
        <w:t>因此</w:t>
      </w:r>
      <w:r>
        <w:rPr>
          <w:rFonts w:hint="eastAsia" w:ascii="Times New Roman" w:hAnsi="Times New Roman" w:eastAsia="宋体" w:cs="Times New Roman"/>
          <w:color w:val="000000"/>
          <w:sz w:val="24"/>
          <w:szCs w:val="24"/>
          <w:lang w:val="en-US" w:eastAsia="zh-CN"/>
        </w:rPr>
        <w:t>项目符合用地规划。</w:t>
      </w:r>
    </w:p>
    <w:p w14:paraId="1D69EB4B">
      <w:pPr>
        <w:widowControl w:val="0"/>
        <w:ind w:firstLine="480"/>
        <w:rPr>
          <w:rFonts w:ascii="Times New Roman" w:hAnsi="Times New Roman" w:eastAsia="宋体" w:cs="Times New Roman"/>
          <w:color w:val="000000"/>
          <w:sz w:val="24"/>
          <w:szCs w:val="24"/>
          <w:lang w:eastAsia="zh-CN"/>
        </w:rPr>
      </w:pPr>
      <w:r>
        <w:rPr>
          <w:rFonts w:hint="eastAsia" w:ascii="宋体" w:hAnsi="宋体"/>
          <w:color w:val="000000"/>
          <w:sz w:val="24"/>
          <w:szCs w:val="21"/>
          <w:lang w:val="en-US" w:eastAsia="zh-CN"/>
        </w:rPr>
        <w:t>从项目周边环境情况来看，周边区域奥环水泥厂已经停产，</w:t>
      </w:r>
      <w:r>
        <w:rPr>
          <w:rFonts w:hint="eastAsia" w:ascii="Times New Roman" w:hAnsi="Times New Roman" w:cs="Times New Roman"/>
          <w:sz w:val="24"/>
          <w:szCs w:val="20"/>
          <w:lang w:val="en-US" w:eastAsia="zh-CN"/>
        </w:rPr>
        <w:t>仅有一些小型的汽车修理厂及饭庄</w:t>
      </w:r>
      <w:r>
        <w:rPr>
          <w:rFonts w:hint="eastAsia" w:ascii="宋体" w:hAnsi="宋体"/>
          <w:color w:val="000000"/>
          <w:sz w:val="24"/>
          <w:szCs w:val="21"/>
          <w:lang w:val="en-US" w:eastAsia="zh-CN"/>
        </w:rPr>
        <w:t>为主，相互影响不大。环境影响结果表明，</w:t>
      </w:r>
      <w:r>
        <w:rPr>
          <w:rFonts w:hint="eastAsia"/>
        </w:rPr>
        <w:t>项目建成后采用雨污分流的排水体制，雨水经收集后排入项目区外的雨水沟渠，进入周边地表水体。项目</w:t>
      </w:r>
      <w:r>
        <w:rPr>
          <w:rFonts w:hint="eastAsia"/>
          <w:lang w:val="en-US" w:eastAsia="zh-CN"/>
        </w:rPr>
        <w:t>无生产废水，仅少量的生活污水经过隔油、化粪池处理后排入城市市政管网，最终排入芒市污水处理厂</w:t>
      </w:r>
      <w:r>
        <w:rPr>
          <w:rFonts w:hint="eastAsia"/>
        </w:rPr>
        <w:t>。</w:t>
      </w:r>
      <w:r>
        <w:rPr>
          <w:rFonts w:hint="eastAsia"/>
          <w:color w:val="FF0000"/>
        </w:rPr>
        <w:t>生产废气经</w:t>
      </w:r>
      <w:r>
        <w:rPr>
          <w:rFonts w:hint="eastAsia"/>
          <w:color w:val="FF0000"/>
          <w:lang w:val="en-US" w:eastAsia="zh-CN"/>
        </w:rPr>
        <w:t>采取治理措施</w:t>
      </w:r>
      <w:r>
        <w:rPr>
          <w:rFonts w:hint="eastAsia"/>
          <w:color w:val="FF0000"/>
        </w:rPr>
        <w:t>处理后达标排放</w:t>
      </w:r>
      <w:r>
        <w:rPr>
          <w:rFonts w:hint="eastAsia"/>
          <w:color w:val="FF0000"/>
          <w:lang w:eastAsia="zh-CN"/>
        </w:rPr>
        <w:t>，</w:t>
      </w:r>
      <w:r>
        <w:rPr>
          <w:rFonts w:hint="eastAsia"/>
          <w:color w:val="FF0000"/>
          <w:lang w:val="en-US" w:eastAsia="zh-CN"/>
        </w:rPr>
        <w:t>根据预测</w:t>
      </w:r>
      <w:r>
        <w:rPr>
          <w:color w:val="FF0000"/>
          <w:sz w:val="24"/>
        </w:rPr>
        <w:t>计算得到的大气环境防护距离为0米</w:t>
      </w:r>
      <w:r>
        <w:rPr>
          <w:rFonts w:hint="eastAsia"/>
          <w:color w:val="FF0000"/>
          <w:sz w:val="24"/>
        </w:rPr>
        <w:t>，因此本项目不设大气环境防护距离</w:t>
      </w:r>
      <w:r>
        <w:rPr>
          <w:rFonts w:hint="eastAsia"/>
          <w:color w:val="FF0000"/>
          <w:sz w:val="24"/>
          <w:lang w:eastAsia="zh-CN"/>
        </w:rPr>
        <w:t>，</w:t>
      </w:r>
      <w:r>
        <w:rPr>
          <w:rFonts w:hint="eastAsia"/>
        </w:rPr>
        <w:t>生产固废、生活垃圾等固废处置率为 100%。项目产噪设备通过墙体隔声、安装减震垫等降噪措施后</w:t>
      </w:r>
      <w:r>
        <w:rPr>
          <w:rFonts w:hint="eastAsia"/>
          <w:lang w:eastAsia="zh-CN"/>
        </w:rPr>
        <w:t>，</w:t>
      </w:r>
      <w:r>
        <w:rPr>
          <w:rFonts w:hint="eastAsia"/>
        </w:rPr>
        <w:t>厂界噪声</w:t>
      </w:r>
      <w:r>
        <w:rPr>
          <w:rFonts w:hint="eastAsia"/>
          <w:lang w:val="en-US" w:eastAsia="zh-CN"/>
        </w:rPr>
        <w:t>可</w:t>
      </w:r>
      <w:r>
        <w:rPr>
          <w:rFonts w:hint="eastAsia"/>
        </w:rPr>
        <w:t>满足 GB12348-2008《工业企业厂界环境噪声排放标准》2类标准</w:t>
      </w:r>
      <w:r>
        <w:rPr>
          <w:rFonts w:hint="eastAsia"/>
          <w:lang w:eastAsia="zh-CN"/>
        </w:rPr>
        <w:t>，</w:t>
      </w:r>
      <w:r>
        <w:rPr>
          <w:rFonts w:hint="eastAsia"/>
          <w:lang w:val="en-US" w:eastAsia="zh-CN"/>
        </w:rPr>
        <w:t>因此</w:t>
      </w:r>
      <w:r>
        <w:rPr>
          <w:rFonts w:hint="eastAsia"/>
          <w:color w:val="FF0000"/>
          <w:sz w:val="24"/>
          <w:lang w:val="en-US" w:eastAsia="zh-CN"/>
        </w:rPr>
        <w:t>只要建设单位严格按照环评提出的环保措施进行整改，</w:t>
      </w:r>
      <w:r>
        <w:rPr>
          <w:rFonts w:hint="eastAsia"/>
        </w:rPr>
        <w:t>对区域环境影响不大</w:t>
      </w:r>
      <w:r>
        <w:rPr>
          <w:rFonts w:hint="eastAsia"/>
          <w:lang w:eastAsia="zh-CN"/>
        </w:rPr>
        <w:t>，</w:t>
      </w:r>
      <w:r>
        <w:rPr>
          <w:rFonts w:ascii="Times New Roman" w:hAnsi="Times New Roman" w:eastAsia="宋体" w:cs="Times New Roman"/>
          <w:color w:val="000000"/>
          <w:sz w:val="24"/>
          <w:szCs w:val="24"/>
        </w:rPr>
        <w:t>不会改变区域环境功能，与周边环境相容</w:t>
      </w:r>
      <w:r>
        <w:rPr>
          <w:rFonts w:hint="eastAsia" w:ascii="Times New Roman" w:hAnsi="Times New Roman" w:eastAsia="宋体" w:cs="Times New Roman"/>
          <w:color w:val="000000"/>
          <w:sz w:val="24"/>
          <w:szCs w:val="24"/>
          <w:lang w:eastAsia="zh-CN"/>
        </w:rPr>
        <w:t>，</w:t>
      </w:r>
      <w:r>
        <w:rPr>
          <w:rFonts w:hint="eastAsia"/>
          <w:color w:val="FF0000"/>
          <w:sz w:val="24"/>
          <w:lang w:val="en-US" w:eastAsia="zh-CN"/>
        </w:rPr>
        <w:t>不对周边敏感点造成影响</w:t>
      </w:r>
      <w:r>
        <w:rPr>
          <w:rFonts w:hint="eastAsia"/>
          <w:color w:val="FF0000"/>
        </w:rPr>
        <w:t>。</w:t>
      </w:r>
    </w:p>
    <w:p w14:paraId="6E40F058">
      <w:pPr>
        <w:spacing w:line="360" w:lineRule="auto"/>
        <w:ind w:firstLine="480"/>
        <w:rPr>
          <w:rFonts w:hint="eastAsia"/>
        </w:rPr>
      </w:pPr>
      <w:r>
        <w:rPr>
          <w:rFonts w:hint="eastAsia" w:ascii="宋体" w:hAnsi="宋体"/>
          <w:color w:val="000000"/>
          <w:sz w:val="24"/>
          <w:szCs w:val="24"/>
          <w:lang w:val="zh-CN"/>
        </w:rPr>
        <w:t>通过综合分析，项目用地选址具有交通运输方便，水、电供应有保障等诸多有利因素；项目运营期严格落实环保对策措施对周围空气环境、地表水环境、声环境影响较小，故本项目选址合理的。</w:t>
      </w:r>
      <w:r>
        <w:rPr>
          <w:rFonts w:hint="eastAsia" w:hAnsi="宋体"/>
          <w:sz w:val="24"/>
          <w:szCs w:val="21"/>
        </w:rPr>
        <w:t xml:space="preserve"> </w:t>
      </w:r>
    </w:p>
    <w:p w14:paraId="05FEB6B5">
      <w:pPr>
        <w:pStyle w:val="187"/>
        <w:rPr>
          <w:rFonts w:hint="eastAsia" w:ascii="Times New Roman" w:hAnsi="Times New Roman"/>
        </w:rPr>
      </w:pPr>
      <w:bookmarkStart w:id="315" w:name="_Toc12334"/>
      <w:r>
        <w:rPr>
          <w:rFonts w:hint="eastAsia" w:ascii="Times New Roman" w:hAnsi="Times New Roman"/>
          <w:lang w:val="en-US" w:eastAsia="zh-CN"/>
        </w:rPr>
        <w:t>9.3</w:t>
      </w:r>
      <w:r>
        <w:rPr>
          <w:rFonts w:hint="eastAsia" w:ascii="Times New Roman" w:hAnsi="Times New Roman"/>
        </w:rPr>
        <w:t>平面布局可行性</w:t>
      </w:r>
      <w:bookmarkEnd w:id="315"/>
    </w:p>
    <w:p w14:paraId="2770B52E">
      <w:pPr>
        <w:pStyle w:val="445"/>
        <w:rPr>
          <w:rFonts w:ascii="Times New Roman" w:hAnsi="Times New Roman" w:cs="Times New Roman"/>
          <w:bCs/>
          <w:color w:val="000000"/>
          <w:spacing w:val="4"/>
          <w:sz w:val="24"/>
          <w:szCs w:val="24"/>
          <w:lang w:val="en-US" w:eastAsia="zh-CN"/>
        </w:rPr>
      </w:pPr>
      <w:r>
        <w:rPr>
          <w:rFonts w:hint="eastAsia" w:ascii="Times New Roman" w:hAnsi="Times New Roman" w:eastAsia="宋体" w:cs="Times New Roman"/>
          <w:color w:val="000000"/>
          <w:sz w:val="24"/>
          <w:szCs w:val="24"/>
          <w:lang w:val="en-US" w:eastAsia="zh-CN"/>
        </w:rPr>
        <w:t>项目分为两个地块，</w:t>
      </w:r>
      <w:r>
        <w:rPr>
          <w:rFonts w:hint="eastAsia" w:ascii="Times New Roman" w:hAnsi="Times New Roman" w:eastAsia="宋体" w:cs="Times New Roman"/>
          <w:color w:val="000000"/>
          <w:sz w:val="24"/>
          <w:szCs w:val="24"/>
        </w:rPr>
        <w:t>整个地块呈不规则矩形，整个生产区集中在地块</w:t>
      </w:r>
      <w:r>
        <w:rPr>
          <w:rFonts w:hint="eastAsia" w:ascii="Times New Roman" w:hAnsi="Times New Roman" w:eastAsia="宋体" w:cs="Times New Roman"/>
          <w:color w:val="000000"/>
          <w:sz w:val="24"/>
          <w:szCs w:val="24"/>
          <w:lang w:val="en-US" w:eastAsia="zh-CN"/>
        </w:rPr>
        <w:t>一</w:t>
      </w:r>
      <w:r>
        <w:rPr>
          <w:rFonts w:hint="eastAsia" w:ascii="Times New Roman" w:hAnsi="Times New Roman" w:eastAsia="宋体" w:cs="Times New Roman"/>
          <w:color w:val="000000"/>
          <w:sz w:val="24"/>
          <w:szCs w:val="24"/>
        </w:rPr>
        <w:t>中部由</w:t>
      </w:r>
      <w:r>
        <w:rPr>
          <w:rFonts w:hint="eastAsia" w:ascii="Times New Roman" w:hAnsi="Times New Roman" w:eastAsia="宋体" w:cs="Times New Roman"/>
          <w:color w:val="000000"/>
          <w:sz w:val="24"/>
          <w:szCs w:val="24"/>
          <w:lang w:val="en-US" w:eastAsia="zh-CN"/>
        </w:rPr>
        <w:t>东</w:t>
      </w:r>
      <w:r>
        <w:rPr>
          <w:rFonts w:hint="eastAsia" w:ascii="Times New Roman" w:hAnsi="Times New Roman" w:eastAsia="宋体" w:cs="Times New Roman"/>
          <w:color w:val="000000"/>
          <w:sz w:val="24"/>
          <w:szCs w:val="24"/>
        </w:rPr>
        <w:t>向</w:t>
      </w:r>
      <w:r>
        <w:rPr>
          <w:rFonts w:hint="eastAsia" w:ascii="Times New Roman" w:hAnsi="Times New Roman" w:eastAsia="宋体" w:cs="Times New Roman"/>
          <w:color w:val="000000"/>
          <w:sz w:val="24"/>
          <w:szCs w:val="24"/>
          <w:lang w:val="en-US" w:eastAsia="zh-CN"/>
        </w:rPr>
        <w:t>西</w:t>
      </w:r>
      <w:r>
        <w:rPr>
          <w:rFonts w:hint="eastAsia" w:ascii="Times New Roman" w:hAnsi="Times New Roman" w:eastAsia="宋体" w:cs="Times New Roman"/>
          <w:color w:val="000000"/>
          <w:sz w:val="24"/>
          <w:szCs w:val="24"/>
        </w:rPr>
        <w:t>按照生产工序依次布置：</w:t>
      </w:r>
      <w:r>
        <w:rPr>
          <w:rFonts w:hint="eastAsia" w:ascii="Times New Roman" w:hAnsi="Times New Roman" w:eastAsia="宋体" w:cs="Times New Roman"/>
          <w:color w:val="000000"/>
          <w:sz w:val="24"/>
          <w:szCs w:val="24"/>
          <w:lang w:val="en-US" w:eastAsia="zh-CN"/>
        </w:rPr>
        <w:t>断竹区</w:t>
      </w:r>
      <w:r>
        <w:rPr>
          <w:rFonts w:hint="eastAsia"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板材生产车间</w:t>
      </w:r>
      <w:r>
        <w:rPr>
          <w:rFonts w:hint="eastAsia" w:ascii="Times New Roman" w:hAnsi="Times New Roman" w:eastAsia="宋体" w:cs="Times New Roman"/>
          <w:color w:val="000000"/>
          <w:sz w:val="24"/>
          <w:szCs w:val="24"/>
        </w:rPr>
        <w:t>、成品仓等，在建筑物周围以及空地进行绿化美化，绿化面积为1</w:t>
      </w:r>
      <w:r>
        <w:rPr>
          <w:rFonts w:hint="eastAsia" w:ascii="Times New Roman" w:hAnsi="Times New Roman" w:eastAsia="宋体" w:cs="Times New Roman"/>
          <w:color w:val="000000"/>
          <w:sz w:val="24"/>
          <w:szCs w:val="24"/>
          <w:lang w:val="en-US" w:eastAsia="zh-CN"/>
        </w:rPr>
        <w:t>0</w:t>
      </w:r>
      <w:r>
        <w:rPr>
          <w:rFonts w:hint="eastAsia" w:ascii="Times New Roman" w:hAnsi="Times New Roman" w:eastAsia="宋体" w:cs="Times New Roman"/>
          <w:color w:val="000000"/>
          <w:sz w:val="24"/>
          <w:szCs w:val="24"/>
        </w:rPr>
        <w:t>00m</w:t>
      </w:r>
      <w:r>
        <w:rPr>
          <w:rFonts w:hint="eastAsia" w:ascii="Times New Roman" w:hAnsi="Times New Roman" w:eastAsia="宋体" w:cs="Times New Roman"/>
          <w:color w:val="000000"/>
          <w:sz w:val="24"/>
          <w:szCs w:val="24"/>
          <w:vertAlign w:val="superscript"/>
        </w:rPr>
        <w:t>2</w:t>
      </w:r>
      <w:r>
        <w:rPr>
          <w:rFonts w:hint="eastAsia" w:ascii="Times New Roman" w:hAnsi="Times New Roman" w:eastAsia="宋体" w:cs="Times New Roman"/>
          <w:color w:val="000000"/>
          <w:sz w:val="24"/>
          <w:szCs w:val="24"/>
          <w:lang w:val="zh-CN"/>
        </w:rPr>
        <w:t>。</w:t>
      </w:r>
      <w:r>
        <w:rPr>
          <w:rFonts w:hint="eastAsia" w:ascii="Times New Roman" w:hAnsi="Times New Roman" w:eastAsia="宋体" w:cs="Times New Roman"/>
          <w:color w:val="000000"/>
          <w:sz w:val="24"/>
          <w:szCs w:val="24"/>
          <w:lang w:val="en-US" w:eastAsia="zh-CN"/>
        </w:rPr>
        <w:t>地块一南</w:t>
      </w:r>
      <w:r>
        <w:rPr>
          <w:rFonts w:hint="eastAsia" w:ascii="Times New Roman" w:hAnsi="Times New Roman" w:eastAsia="宋体" w:cs="Times New Roman"/>
          <w:color w:val="000000"/>
          <w:sz w:val="24"/>
          <w:szCs w:val="24"/>
          <w:lang w:val="zh-CN"/>
        </w:rPr>
        <w:t>侧</w:t>
      </w:r>
      <w:r>
        <w:rPr>
          <w:rFonts w:hint="eastAsia" w:ascii="Times New Roman" w:hAnsi="Times New Roman" w:eastAsia="宋体" w:cs="Times New Roman"/>
          <w:color w:val="000000"/>
          <w:sz w:val="24"/>
          <w:szCs w:val="24"/>
          <w:lang w:val="en-US" w:eastAsia="zh-CN"/>
        </w:rPr>
        <w:t>朝向道路一侧</w:t>
      </w:r>
      <w:r>
        <w:rPr>
          <w:rFonts w:hint="eastAsia" w:ascii="Times New Roman" w:hAnsi="Times New Roman" w:eastAsia="宋体" w:cs="Times New Roman"/>
          <w:color w:val="000000"/>
          <w:sz w:val="24"/>
          <w:szCs w:val="24"/>
          <w:lang w:val="zh-CN"/>
        </w:rPr>
        <w:t>设</w:t>
      </w:r>
      <w:r>
        <w:rPr>
          <w:rFonts w:hint="eastAsia" w:ascii="Times New Roman" w:hAnsi="Times New Roman" w:eastAsia="宋体" w:cs="Times New Roman"/>
          <w:color w:val="000000"/>
          <w:sz w:val="24"/>
          <w:szCs w:val="24"/>
        </w:rPr>
        <w:t>2</w:t>
      </w:r>
      <w:r>
        <w:rPr>
          <w:rFonts w:hint="eastAsia" w:ascii="Times New Roman" w:hAnsi="Times New Roman" w:eastAsia="宋体" w:cs="Times New Roman"/>
          <w:color w:val="000000"/>
          <w:sz w:val="24"/>
          <w:szCs w:val="24"/>
          <w:lang w:val="zh-CN"/>
        </w:rPr>
        <w:t>个出入口，与项目区外的道路</w:t>
      </w:r>
      <w:r>
        <w:rPr>
          <w:rFonts w:hint="eastAsia" w:ascii="Times New Roman" w:hAnsi="Times New Roman" w:eastAsia="宋体" w:cs="Times New Roman"/>
          <w:color w:val="000000"/>
          <w:sz w:val="24"/>
          <w:szCs w:val="24"/>
        </w:rPr>
        <w:t>相连，</w:t>
      </w:r>
      <w:r>
        <w:rPr>
          <w:rFonts w:hint="eastAsia" w:ascii="Times New Roman" w:hAnsi="Times New Roman" w:eastAsia="宋体" w:cs="Times New Roman"/>
          <w:color w:val="000000"/>
          <w:sz w:val="24"/>
          <w:szCs w:val="24"/>
          <w:lang w:val="zh-CN"/>
        </w:rPr>
        <w:t>方便原料和</w:t>
      </w:r>
      <w:r>
        <w:rPr>
          <w:rFonts w:hint="eastAsia" w:ascii="Times New Roman" w:hAnsi="Times New Roman" w:eastAsia="宋体" w:cs="Times New Roman"/>
          <w:color w:val="000000"/>
          <w:sz w:val="24"/>
          <w:szCs w:val="24"/>
        </w:rPr>
        <w:t>产品</w:t>
      </w:r>
      <w:r>
        <w:rPr>
          <w:rFonts w:hint="eastAsia" w:ascii="Times New Roman" w:hAnsi="Times New Roman" w:eastAsia="宋体" w:cs="Times New Roman"/>
          <w:color w:val="000000"/>
          <w:sz w:val="24"/>
          <w:szCs w:val="24"/>
          <w:lang w:val="zh-CN"/>
        </w:rPr>
        <w:t>的运输。</w:t>
      </w:r>
      <w:r>
        <w:rPr>
          <w:rFonts w:hint="eastAsia" w:ascii="Times New Roman" w:hAnsi="Times New Roman" w:cs="Times New Roman"/>
          <w:bCs/>
          <w:color w:val="000000"/>
          <w:spacing w:val="4"/>
          <w:sz w:val="24"/>
          <w:szCs w:val="24"/>
          <w:lang w:val="en-US" w:eastAsia="zh-CN"/>
        </w:rPr>
        <w:t>地块二位于地块一的东南侧，与地块一之间由厂外道路相隔，地块二主要设置有管理人员宿舍及磅秤房，两个地块相互之间不影响。</w:t>
      </w:r>
    </w:p>
    <w:p w14:paraId="233E2EA4">
      <w:pPr>
        <w:keepNext/>
        <w:keepLines w:val="0"/>
        <w:pageBreakBefore w:val="0"/>
        <w:widowControl w:val="0"/>
        <w:spacing w:line="360" w:lineRule="auto"/>
        <w:ind w:firstLine="48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整个平面布置的合理性分析如下： </w:t>
      </w:r>
    </w:p>
    <w:p w14:paraId="48D151DC">
      <w:pPr>
        <w:keepNext/>
        <w:keepLines w:val="0"/>
        <w:pageBreakBefore w:val="0"/>
        <w:widowControl w:val="0"/>
        <w:spacing w:line="360" w:lineRule="auto"/>
        <w:ind w:firstLine="480"/>
        <w:rPr>
          <w:rFonts w:hint="eastAsia" w:ascii="Times New Roman" w:hAnsi="Times New Roman" w:eastAsia="宋体" w:cs="Times New Roman"/>
          <w:color w:val="000000"/>
          <w:sz w:val="24"/>
          <w:szCs w:val="24"/>
        </w:rPr>
      </w:pPr>
      <w:r>
        <w:rPr>
          <w:rFonts w:hint="eastAsia" w:ascii="Times New Roman" w:hAnsi="Times New Roman" w:eastAsia="Times New Roman" w:cs="Times New Roman"/>
          <w:color w:val="000000"/>
          <w:sz w:val="24"/>
          <w:szCs w:val="24"/>
        </w:rPr>
        <w:t>1</w:t>
      </w:r>
      <w:r>
        <w:rPr>
          <w:rFonts w:hint="eastAsia" w:ascii="宋体" w:hAnsi="宋体" w:eastAsia="宋体" w:cs="Times New Roman"/>
          <w:color w:val="000000"/>
          <w:sz w:val="24"/>
          <w:szCs w:val="24"/>
        </w:rPr>
        <w:t xml:space="preserve">、生产区与其它辅助设施分开布置，既保证了免受生产的污染， 又方便了生产管理。 </w:t>
      </w:r>
    </w:p>
    <w:p w14:paraId="663033C7">
      <w:pPr>
        <w:keepNext/>
        <w:keepLines w:val="0"/>
        <w:pageBreakBefore w:val="0"/>
        <w:widowControl w:val="0"/>
        <w:spacing w:line="360" w:lineRule="auto"/>
        <w:ind w:firstLine="480"/>
        <w:rPr>
          <w:rFonts w:hint="eastAsia" w:ascii="Times New Roman" w:hAnsi="Times New Roman" w:eastAsia="宋体" w:cs="Times New Roman"/>
          <w:sz w:val="24"/>
          <w:szCs w:val="24"/>
        </w:rPr>
      </w:pPr>
      <w:r>
        <w:rPr>
          <w:rFonts w:hint="eastAsia" w:ascii="Times New Roman" w:hAnsi="Times New Roman" w:eastAsia="Times New Roman" w:cs="Times New Roman"/>
          <w:sz w:val="24"/>
          <w:szCs w:val="24"/>
        </w:rPr>
        <w:t>2</w:t>
      </w:r>
      <w:r>
        <w:rPr>
          <w:rFonts w:hint="eastAsia" w:ascii="宋体" w:hAnsi="宋体" w:eastAsia="宋体" w:cs="Times New Roman"/>
          <w:sz w:val="24"/>
          <w:szCs w:val="24"/>
        </w:rPr>
        <w:t>、平面布置合理紧凑，该</w:t>
      </w:r>
      <w:r>
        <w:rPr>
          <w:rFonts w:hint="eastAsia" w:ascii="宋体" w:hAnsi="宋体" w:eastAsia="宋体" w:cs="Times New Roman"/>
          <w:sz w:val="24"/>
          <w:szCs w:val="24"/>
          <w:lang w:val="en-US" w:eastAsia="zh-CN"/>
        </w:rPr>
        <w:t>生产区</w:t>
      </w:r>
      <w:r>
        <w:rPr>
          <w:rFonts w:hint="eastAsia" w:ascii="宋体" w:hAnsi="宋体" w:eastAsia="宋体" w:cs="Times New Roman"/>
          <w:sz w:val="24"/>
          <w:szCs w:val="24"/>
        </w:rPr>
        <w:t>紧靠原料</w:t>
      </w:r>
      <w:r>
        <w:rPr>
          <w:rFonts w:hint="eastAsia" w:ascii="宋体" w:hAnsi="宋体" w:eastAsia="宋体" w:cs="Times New Roman"/>
          <w:sz w:val="24"/>
          <w:szCs w:val="24"/>
          <w:lang w:val="en-US" w:eastAsia="zh-CN"/>
        </w:rPr>
        <w:t>堆场厂</w:t>
      </w:r>
      <w:r>
        <w:rPr>
          <w:rFonts w:hint="eastAsia" w:ascii="宋体" w:hAnsi="宋体" w:eastAsia="宋体" w:cs="Times New Roman"/>
          <w:sz w:val="24"/>
          <w:szCs w:val="24"/>
        </w:rPr>
        <w:t>及成品</w:t>
      </w:r>
      <w:r>
        <w:rPr>
          <w:rFonts w:hint="eastAsia" w:ascii="宋体" w:hAnsi="宋体" w:eastAsia="宋体" w:cs="Times New Roman"/>
          <w:sz w:val="24"/>
          <w:szCs w:val="24"/>
          <w:lang w:val="en-US" w:eastAsia="zh-CN"/>
        </w:rPr>
        <w:t>库</w:t>
      </w:r>
      <w:r>
        <w:rPr>
          <w:rFonts w:hint="eastAsia" w:ascii="宋体" w:hAnsi="宋体" w:eastAsia="宋体" w:cs="Times New Roman"/>
          <w:sz w:val="24"/>
          <w:szCs w:val="24"/>
        </w:rPr>
        <w:t>，缩短了原料及产品运输路线，节约用地，统一规划，有利于生产管理和环境保护。</w:t>
      </w:r>
    </w:p>
    <w:p w14:paraId="3883749A">
      <w:pPr>
        <w:keepNext/>
        <w:keepLines w:val="0"/>
        <w:pageBreakBefore w:val="0"/>
        <w:widowControl w:val="0"/>
        <w:spacing w:line="360" w:lineRule="auto"/>
        <w:ind w:firstLine="480"/>
        <w:rPr>
          <w:rFonts w:hint="eastAsia" w:ascii="宋体" w:hAnsi="宋体" w:eastAsia="宋体" w:cs="Times New Roman"/>
          <w:sz w:val="24"/>
          <w:szCs w:val="24"/>
        </w:rPr>
      </w:pPr>
      <w:r>
        <w:rPr>
          <w:rFonts w:hint="eastAsia" w:ascii="Times New Roman" w:hAnsi="Times New Roman" w:eastAsia="Times New Roman" w:cs="Times New Roman"/>
          <w:sz w:val="24"/>
          <w:szCs w:val="24"/>
        </w:rPr>
        <w:t>3</w:t>
      </w:r>
      <w:r>
        <w:rPr>
          <w:rFonts w:hint="eastAsia" w:ascii="宋体" w:hAnsi="宋体" w:eastAsia="宋体" w:cs="Times New Roman"/>
          <w:sz w:val="24"/>
          <w:szCs w:val="24"/>
        </w:rPr>
        <w:t>、</w:t>
      </w:r>
      <w:r>
        <w:rPr>
          <w:rFonts w:hint="eastAsia" w:ascii="Times New Roman" w:hAnsi="宋体" w:eastAsia="宋体" w:cs="Times New Roman"/>
          <w:sz w:val="24"/>
          <w:szCs w:val="24"/>
        </w:rPr>
        <w:t>考虑到周边环境的敏感性问题，将边界围墙隔开，</w:t>
      </w:r>
      <w:r>
        <w:rPr>
          <w:rFonts w:hint="eastAsia" w:ascii="宋体" w:hAnsi="宋体" w:eastAsia="宋体" w:cs="Times New Roman"/>
          <w:sz w:val="24"/>
          <w:szCs w:val="24"/>
        </w:rPr>
        <w:t>满足大气环境防护距离的要求，对外界产生的影响较小。</w:t>
      </w:r>
    </w:p>
    <w:p w14:paraId="09B801E4">
      <w:pPr>
        <w:keepNext/>
        <w:keepLines w:val="0"/>
        <w:pageBreakBefore w:val="0"/>
        <w:widowControl w:val="0"/>
        <w:spacing w:line="360" w:lineRule="auto"/>
        <w:ind w:firstLine="480"/>
        <w:rPr>
          <w:rFonts w:hint="eastAsia" w:ascii="Times New Roman" w:hAnsi="Times New Roman" w:eastAsia="宋体" w:cs="Times New Roman"/>
          <w:sz w:val="24"/>
          <w:szCs w:val="24"/>
        </w:rPr>
      </w:pPr>
      <w:r>
        <w:rPr>
          <w:rFonts w:hint="eastAsia" w:ascii="Times New Roman" w:hAnsi="Times New Roman" w:eastAsia="Times New Roman" w:cs="Times New Roman"/>
          <w:sz w:val="24"/>
          <w:szCs w:val="24"/>
        </w:rPr>
        <w:t>4</w:t>
      </w:r>
      <w:r>
        <w:rPr>
          <w:rFonts w:hint="eastAsia" w:ascii="宋体" w:hAnsi="宋体" w:eastAsia="宋体" w:cs="Times New Roman"/>
          <w:sz w:val="24"/>
          <w:szCs w:val="24"/>
        </w:rPr>
        <w:t>、</w:t>
      </w:r>
      <w:r>
        <w:rPr>
          <w:rFonts w:hint="eastAsia" w:ascii="宋体" w:hAnsi="Times New Roman" w:eastAsia="宋体" w:cs="Times New Roman"/>
          <w:sz w:val="24"/>
          <w:szCs w:val="24"/>
        </w:rPr>
        <w:t>场区设通道出入口2个，场内道路环形布置，与场外道路实现了有机结合，并且厂区周围均种草绿化。</w:t>
      </w:r>
      <w:r>
        <w:rPr>
          <w:rFonts w:hint="eastAsia" w:ascii="Times New Roman" w:hAnsi="Times New Roman" w:eastAsia="宋体" w:cs="Times New Roman"/>
          <w:sz w:val="24"/>
          <w:szCs w:val="24"/>
        </w:rPr>
        <w:t xml:space="preserve">利用地形、道路坡度，设置厂区的排水沟，保证整个场区排水通畅。 </w:t>
      </w:r>
    </w:p>
    <w:p w14:paraId="7284F69E">
      <w:pPr>
        <w:keepNext/>
        <w:keepLines w:val="0"/>
        <w:pageBreakBefore w:val="0"/>
        <w:widowControl w:val="0"/>
        <w:spacing w:line="360" w:lineRule="auto"/>
        <w:ind w:firstLine="48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5、生活垃圾收集点分散的布置在靠近围墙的绿化带处；化粪池布置在公厕旁的绿化带下，采用地埋式。</w:t>
      </w:r>
    </w:p>
    <w:p w14:paraId="586BCAEB">
      <w:pPr>
        <w:keepNext/>
        <w:keepLines w:val="0"/>
        <w:pageBreakBefore w:val="0"/>
        <w:widowControl w:val="0"/>
        <w:spacing w:line="360" w:lineRule="auto"/>
        <w:ind w:firstLine="480"/>
        <w:rPr>
          <w:rFonts w:hint="eastAsia" w:ascii="Times New Roman" w:hAnsi="宋体" w:eastAsia="宋体" w:cs="Times New Roman"/>
          <w:sz w:val="24"/>
          <w:szCs w:val="24"/>
        </w:rPr>
      </w:pPr>
      <w:r>
        <w:rPr>
          <w:rFonts w:hint="eastAsia" w:ascii="Times New Roman" w:hAnsi="Times New Roman" w:eastAsia="宋体" w:cs="Times New Roman"/>
          <w:sz w:val="24"/>
          <w:szCs w:val="24"/>
        </w:rPr>
        <w:t>6、各</w:t>
      </w:r>
      <w:r>
        <w:rPr>
          <w:rFonts w:hint="eastAsia" w:ascii="Times New Roman" w:hAnsi="宋体" w:eastAsia="宋体" w:cs="Times New Roman"/>
          <w:sz w:val="24"/>
          <w:szCs w:val="24"/>
        </w:rPr>
        <w:t>建构筑物之间的间距均满足各防火单元的最小间距要求；并设置足够的消防通道，以保证消防车辆通行。</w:t>
      </w:r>
    </w:p>
    <w:p w14:paraId="7CF4D737">
      <w:pPr>
        <w:keepNext/>
        <w:keepLines w:val="0"/>
        <w:pageBreakBefore w:val="0"/>
        <w:widowControl w:val="0"/>
        <w:spacing w:line="360" w:lineRule="auto"/>
        <w:ind w:firstLine="480"/>
        <w:rPr>
          <w:rFonts w:hint="eastAsia" w:ascii="Times New Roman" w:hAnsi="Times New Roman" w:eastAsia="宋体" w:cs="Times New Roman"/>
          <w:sz w:val="24"/>
          <w:szCs w:val="24"/>
        </w:rPr>
      </w:pPr>
      <w:r>
        <w:rPr>
          <w:rFonts w:hint="eastAsia" w:ascii="宋体" w:hAnsi="宋体" w:eastAsia="宋体" w:cs="Times New Roman"/>
          <w:sz w:val="24"/>
          <w:szCs w:val="24"/>
        </w:rPr>
        <w:t>总体来讲，可</w:t>
      </w:r>
      <w:r>
        <w:rPr>
          <w:rFonts w:hint="eastAsia" w:ascii="Times New Roman" w:hAnsi="Times New Roman" w:eastAsia="宋体" w:cs="Times New Roman"/>
          <w:sz w:val="24"/>
          <w:szCs w:val="24"/>
        </w:rPr>
        <w:t>满足安全生产、卫生、环境保护、防火等有关规定要求，</w:t>
      </w:r>
      <w:r>
        <w:rPr>
          <w:rFonts w:hint="eastAsia" w:ascii="宋体" w:hAnsi="宋体" w:eastAsia="宋体" w:cs="Times New Roman"/>
          <w:sz w:val="24"/>
          <w:szCs w:val="24"/>
        </w:rPr>
        <w:t xml:space="preserve">该项目平面布置基本合理。 </w:t>
      </w:r>
    </w:p>
    <w:p w14:paraId="6BEC3DA4">
      <w:pPr>
        <w:pStyle w:val="187"/>
        <w:rPr>
          <w:rFonts w:hint="eastAsia" w:ascii="Times New Roman" w:hAnsi="Times New Roman"/>
          <w:bCs/>
          <w:lang w:val="en-US" w:eastAsia="zh-CN"/>
        </w:rPr>
      </w:pPr>
      <w:bookmarkStart w:id="316" w:name="_Toc14074"/>
      <w:bookmarkStart w:id="317" w:name="_Toc23047"/>
      <w:bookmarkStart w:id="318" w:name="_Toc17267"/>
      <w:r>
        <w:rPr>
          <w:rFonts w:hint="eastAsia" w:ascii="Times New Roman" w:hAnsi="Times New Roman"/>
          <w:bCs/>
          <w:lang w:val="en-US" w:eastAsia="zh-CN"/>
        </w:rPr>
        <w:t>9.4“三线一单”符合性分析</w:t>
      </w:r>
      <w:bookmarkEnd w:id="316"/>
    </w:p>
    <w:p w14:paraId="444E3B28">
      <w:pPr>
        <w:spacing w:line="360" w:lineRule="auto"/>
        <w:ind w:firstLine="480"/>
        <w:rPr>
          <w:rFonts w:hint="eastAsia"/>
          <w:color w:val="000000"/>
          <w:sz w:val="24"/>
        </w:rPr>
      </w:pPr>
      <w:r>
        <w:rPr>
          <w:rFonts w:hint="eastAsia"/>
          <w:color w:val="000000"/>
          <w:sz w:val="24"/>
        </w:rPr>
        <w:t>根据环保部发布的《关于以改善环境质量为核心加强环境影响评价管理的通知》(以下简称《通知》)。《通知》要求，切实加强环境影响评价管理，落实“ 生态保护红线、环境质量底线、资源利用上线和环境准入负面清单” 约束， 建立项目环评审批与规划环评、现有项目环境管理、区域环境质量联动机制， 更好地发挥环评制度从源头防范环境污染和生态破坏的作用，加快推进改善环境质量。</w:t>
      </w:r>
    </w:p>
    <w:p w14:paraId="7A345374">
      <w:pPr>
        <w:spacing w:line="360" w:lineRule="auto"/>
        <w:ind w:firstLine="480"/>
        <w:rPr>
          <w:rFonts w:hint="eastAsia"/>
          <w:color w:val="000000"/>
          <w:sz w:val="24"/>
        </w:rPr>
      </w:pPr>
      <w:r>
        <w:rPr>
          <w:rFonts w:hint="eastAsia"/>
          <w:color w:val="000000"/>
          <w:sz w:val="24"/>
        </w:rPr>
        <w:t>生态保护红线：</w:t>
      </w:r>
      <w:r>
        <w:rPr>
          <w:rFonts w:hint="eastAsia"/>
          <w:color w:val="000000"/>
          <w:sz w:val="24"/>
          <w:lang w:val="en-US" w:eastAsia="zh-CN"/>
        </w:rPr>
        <w:t>经过了解</w:t>
      </w:r>
      <w:r>
        <w:rPr>
          <w:rFonts w:hint="eastAsia"/>
          <w:color w:val="000000"/>
          <w:sz w:val="24"/>
        </w:rPr>
        <w:t>，本项目</w:t>
      </w:r>
      <w:r>
        <w:rPr>
          <w:rFonts w:hint="eastAsia"/>
          <w:color w:val="000000"/>
          <w:sz w:val="24"/>
          <w:lang w:val="en-US" w:eastAsia="zh-CN"/>
        </w:rPr>
        <w:t>所在区域，</w:t>
      </w:r>
      <w:r>
        <w:rPr>
          <w:rFonts w:hint="eastAsia"/>
          <w:color w:val="000000"/>
          <w:sz w:val="24"/>
        </w:rPr>
        <w:t>不</w:t>
      </w:r>
      <w:r>
        <w:rPr>
          <w:rFonts w:hint="eastAsia"/>
          <w:color w:val="000000"/>
          <w:sz w:val="24"/>
          <w:lang w:val="en-US" w:eastAsia="zh-CN"/>
        </w:rPr>
        <w:t>属于芒市</w:t>
      </w:r>
      <w:r>
        <w:rPr>
          <w:rFonts w:hint="eastAsia"/>
          <w:color w:val="000000"/>
          <w:sz w:val="24"/>
        </w:rPr>
        <w:t>现有生态红线划定区域内。</w:t>
      </w:r>
    </w:p>
    <w:p w14:paraId="1F794A35">
      <w:pPr>
        <w:spacing w:line="360" w:lineRule="auto"/>
        <w:ind w:firstLine="480"/>
        <w:rPr>
          <w:rFonts w:hint="eastAsia"/>
          <w:color w:val="000000"/>
          <w:sz w:val="24"/>
        </w:rPr>
      </w:pPr>
      <w:r>
        <w:rPr>
          <w:rFonts w:hint="eastAsia"/>
          <w:color w:val="000000"/>
          <w:sz w:val="24"/>
        </w:rPr>
        <w:t>环境质量底线：根据本项目监测报告，声环境、环境空气质量均能够满足相应的质量标准要求；本项目废水经处理后</w:t>
      </w:r>
      <w:r>
        <w:rPr>
          <w:rFonts w:hint="eastAsia"/>
          <w:color w:val="000000"/>
          <w:sz w:val="24"/>
          <w:lang w:val="en-US" w:eastAsia="zh-CN"/>
        </w:rPr>
        <w:t>最终排入芒市污水处理厂</w:t>
      </w:r>
      <w:r>
        <w:rPr>
          <w:rFonts w:hint="eastAsia"/>
          <w:color w:val="000000"/>
          <w:sz w:val="24"/>
        </w:rPr>
        <w:t>，不</w:t>
      </w:r>
      <w:r>
        <w:rPr>
          <w:rFonts w:hint="eastAsia"/>
          <w:color w:val="000000"/>
          <w:sz w:val="24"/>
          <w:lang w:val="en-US" w:eastAsia="zh-CN"/>
        </w:rPr>
        <w:t>直接</w:t>
      </w:r>
      <w:r>
        <w:rPr>
          <w:rFonts w:hint="eastAsia"/>
          <w:color w:val="000000"/>
          <w:sz w:val="24"/>
        </w:rPr>
        <w:t>排入地表水体。</w:t>
      </w:r>
    </w:p>
    <w:p w14:paraId="57F24D6A">
      <w:pPr>
        <w:spacing w:line="360" w:lineRule="auto"/>
        <w:ind w:firstLine="480"/>
        <w:rPr>
          <w:rFonts w:hint="eastAsia"/>
          <w:color w:val="000000"/>
          <w:sz w:val="24"/>
        </w:rPr>
      </w:pPr>
      <w:r>
        <w:rPr>
          <w:rFonts w:hint="eastAsia"/>
          <w:color w:val="000000"/>
          <w:sz w:val="24"/>
        </w:rPr>
        <w:t>资源利用上限：本项目采用</w:t>
      </w:r>
      <w:r>
        <w:rPr>
          <w:rFonts w:hint="eastAsia"/>
          <w:color w:val="000000"/>
          <w:sz w:val="24"/>
          <w:lang w:val="en-US" w:eastAsia="zh-CN"/>
        </w:rPr>
        <w:t>废边角料作为供热系统的燃料，属于生物质燃料，不使用煤，节约了煤耗；同时项目生产废水回用，节约了水资源，</w:t>
      </w:r>
      <w:r>
        <w:rPr>
          <w:rFonts w:hint="eastAsia"/>
          <w:color w:val="000000"/>
          <w:sz w:val="24"/>
        </w:rPr>
        <w:t>因此本项目符合资源利用上限的要求。</w:t>
      </w:r>
    </w:p>
    <w:p w14:paraId="7EB2D5DE">
      <w:pPr>
        <w:keepNext/>
        <w:keepLines w:val="0"/>
        <w:pageBreakBefore w:val="0"/>
        <w:spacing w:line="360" w:lineRule="auto"/>
        <w:ind w:firstLine="480"/>
        <w:rPr>
          <w:rFonts w:hint="eastAsia"/>
          <w:b/>
          <w:color w:val="000000"/>
          <w:sz w:val="28"/>
          <w:szCs w:val="28"/>
        </w:rPr>
      </w:pPr>
      <w:r>
        <w:rPr>
          <w:rFonts w:hint="eastAsia"/>
          <w:color w:val="000000"/>
          <w:sz w:val="24"/>
        </w:rPr>
        <w:t>环境准入负面清单： 本项目符合国家产业政策，符合当地规划</w:t>
      </w:r>
      <w:r>
        <w:rPr>
          <w:rFonts w:hint="eastAsia"/>
          <w:color w:val="000000"/>
          <w:sz w:val="24"/>
          <w:lang w:eastAsia="zh-CN"/>
        </w:rPr>
        <w:t>，</w:t>
      </w:r>
      <w:r>
        <w:rPr>
          <w:rFonts w:hint="eastAsia"/>
          <w:color w:val="000000"/>
          <w:sz w:val="24"/>
        </w:rPr>
        <w:t>因此本项目不属于环境准入负面清单之列。</w:t>
      </w:r>
    </w:p>
    <w:p w14:paraId="4CACE7D1">
      <w:pPr>
        <w:pStyle w:val="187"/>
        <w:rPr>
          <w:rFonts w:ascii="Times New Roman" w:hAnsi="Times New Roman"/>
        </w:rPr>
      </w:pPr>
      <w:bookmarkStart w:id="319" w:name="_Toc26478"/>
      <w:r>
        <w:rPr>
          <w:rFonts w:hint="eastAsia" w:ascii="Times New Roman" w:hAnsi="Times New Roman"/>
          <w:lang w:val="en-US" w:eastAsia="zh-CN"/>
        </w:rPr>
        <w:t>9.5</w:t>
      </w:r>
      <w:r>
        <w:rPr>
          <w:rFonts w:hint="eastAsia" w:ascii="Times New Roman" w:hAnsi="Times New Roman"/>
        </w:rPr>
        <w:t>小结</w:t>
      </w:r>
      <w:bookmarkEnd w:id="317"/>
      <w:bookmarkEnd w:id="318"/>
      <w:bookmarkEnd w:id="319"/>
    </w:p>
    <w:p w14:paraId="5FA51741">
      <w:pPr>
        <w:widowControl w:val="0"/>
        <w:ind w:firstLine="480"/>
        <w:rPr>
          <w:rFonts w:hint="eastAsia"/>
        </w:rPr>
      </w:pPr>
      <w:r>
        <w:rPr>
          <w:rFonts w:hint="eastAsia"/>
        </w:rPr>
        <w:t>项目厂址选择符合当地规划；项目评价区不涉及自然保护区、风景名胜区、文物保护地及其他世界文化和自然遗产地、森林公园、</w:t>
      </w:r>
      <w:r>
        <w:rPr>
          <w:rFonts w:hint="eastAsia"/>
          <w:lang w:val="en-US" w:eastAsia="zh-CN"/>
        </w:rPr>
        <w:t>地质</w:t>
      </w:r>
      <w:r>
        <w:rPr>
          <w:rFonts w:hint="eastAsia"/>
        </w:rPr>
        <w:t>公园等敏感区域；项目原料有保障的同时便于运输。</w:t>
      </w:r>
      <w:r>
        <w:rPr>
          <w:rFonts w:hint="eastAsia"/>
          <w:color w:val="FF0000"/>
        </w:rPr>
        <w:t>正常情况下项目废气排放对周围环境空气</w:t>
      </w:r>
      <w:r>
        <w:rPr>
          <w:rFonts w:hint="eastAsia"/>
          <w:color w:val="FF0000"/>
          <w:lang w:val="en-US" w:eastAsia="zh-CN"/>
        </w:rPr>
        <w:t>影响不大；</w:t>
      </w:r>
      <w:r>
        <w:rPr>
          <w:rFonts w:hint="eastAsia"/>
          <w:color w:val="FF0000"/>
        </w:rPr>
        <w:t>废水</w:t>
      </w:r>
      <w:r>
        <w:rPr>
          <w:rFonts w:hint="eastAsia"/>
          <w:color w:val="FF0000"/>
          <w:lang w:val="en-US" w:eastAsia="zh-CN"/>
        </w:rPr>
        <w:t>达标</w:t>
      </w:r>
      <w:r>
        <w:rPr>
          <w:rFonts w:hint="eastAsia"/>
          <w:color w:val="FF0000"/>
        </w:rPr>
        <w:t>外排，对地表水影响不大，</w:t>
      </w:r>
      <w:r>
        <w:rPr>
          <w:rFonts w:hint="eastAsia"/>
        </w:rPr>
        <w:t>预测结果表明所排“三废”不会导致当地环境空气、地表水环境、声环境和地下水功能下降，本项目满足防护距离要求。</w:t>
      </w:r>
    </w:p>
    <w:p w14:paraId="36096296">
      <w:pPr>
        <w:widowControl w:val="0"/>
        <w:ind w:firstLine="480"/>
      </w:pPr>
      <w:r>
        <w:rPr>
          <w:rFonts w:hint="eastAsia"/>
        </w:rPr>
        <w:t>因此从环境的角度分析，本项目选址可行。</w:t>
      </w:r>
    </w:p>
    <w:p w14:paraId="52D94FB2">
      <w:pPr>
        <w:pStyle w:val="2"/>
        <w:ind w:firstLine="420"/>
      </w:pPr>
    </w:p>
    <w:p w14:paraId="5A561890">
      <w:pPr>
        <w:pStyle w:val="2"/>
        <w:ind w:firstLine="420"/>
      </w:pPr>
    </w:p>
    <w:p w14:paraId="6E7FDAFE">
      <w:pPr>
        <w:pStyle w:val="2"/>
        <w:ind w:firstLine="420"/>
      </w:pPr>
    </w:p>
    <w:p w14:paraId="6F577A2E">
      <w:pPr>
        <w:pStyle w:val="2"/>
        <w:ind w:firstLine="420"/>
      </w:pPr>
    </w:p>
    <w:p w14:paraId="7755134A">
      <w:pPr>
        <w:pStyle w:val="2"/>
        <w:ind w:firstLine="420"/>
      </w:pPr>
    </w:p>
    <w:p w14:paraId="1826CFF7">
      <w:pPr>
        <w:pStyle w:val="2"/>
        <w:ind w:firstLine="420"/>
      </w:pPr>
    </w:p>
    <w:p w14:paraId="266EC6D5">
      <w:pPr>
        <w:pStyle w:val="2"/>
        <w:ind w:firstLine="420"/>
      </w:pPr>
    </w:p>
    <w:p w14:paraId="4EBBBA75">
      <w:pPr>
        <w:pStyle w:val="2"/>
        <w:ind w:firstLine="420"/>
      </w:pPr>
    </w:p>
    <w:p w14:paraId="3A675A57">
      <w:pPr>
        <w:pStyle w:val="2"/>
        <w:ind w:firstLine="420"/>
      </w:pPr>
    </w:p>
    <w:p w14:paraId="22092F24">
      <w:pPr>
        <w:pStyle w:val="2"/>
        <w:ind w:firstLine="420"/>
      </w:pPr>
    </w:p>
    <w:p w14:paraId="08763AD2">
      <w:pPr>
        <w:pStyle w:val="186"/>
        <w:ind w:firstLine="640"/>
      </w:pPr>
      <w:bookmarkStart w:id="320" w:name="_Toc25148"/>
      <w:bookmarkStart w:id="321" w:name="_Toc418954648"/>
      <w:bookmarkStart w:id="322" w:name="_Toc335320876"/>
      <w:bookmarkStart w:id="323" w:name="_Toc418954624"/>
      <w:r>
        <w:rPr>
          <w:rFonts w:hint="eastAsia"/>
        </w:rPr>
        <w:t>第</w:t>
      </w:r>
      <w:r>
        <w:rPr>
          <w:rFonts w:hint="eastAsia"/>
          <w:lang w:val="en-US" w:eastAsia="zh-CN"/>
        </w:rPr>
        <w:t>十</w:t>
      </w:r>
      <w:r>
        <w:rPr>
          <w:rFonts w:hint="eastAsia"/>
        </w:rPr>
        <w:t>章  环境影响经济损益分析</w:t>
      </w:r>
      <w:bookmarkEnd w:id="320"/>
      <w:bookmarkEnd w:id="321"/>
    </w:p>
    <w:p w14:paraId="741384F4">
      <w:pPr>
        <w:ind w:firstLine="480"/>
      </w:pPr>
      <w:r>
        <w:t>环境与经济是一个系统的两个因素，它们之间既相互促进，又相互制约，但归根到底环境污染与破坏主要还是经济问题。主要通过全面规划、综合平衡，正确地把全局利益和局部利益、长远利益和近期利益结合起来，把环境保护与经济发展进行协调</w:t>
      </w:r>
      <w:r>
        <w:rPr>
          <w:rFonts w:hint="eastAsia"/>
        </w:rPr>
        <w:t>，</w:t>
      </w:r>
      <w:r>
        <w:t>通过环保设施技术可行性和经济合理性的论证分析及评价，更合理地选择环保设施，以取得最佳的综合社会经济效益，实现环境效益、社会效益、经济效益的统一，实现可持续发展。本项目的建设，除对国民经济的发展起着一定的作用外，同时也影响着环境的变化，因此在发展经济的基础上，必须充分考虑项目对环境的影响，保护环境资源的永续利用。</w:t>
      </w:r>
    </w:p>
    <w:p w14:paraId="5AEA16F3">
      <w:pPr>
        <w:pStyle w:val="187"/>
        <w:rPr>
          <w:rFonts w:ascii="Times New Roman" w:hAnsi="Times New Roman"/>
        </w:rPr>
      </w:pPr>
      <w:bookmarkStart w:id="324" w:name="_Toc17371"/>
      <w:bookmarkStart w:id="325" w:name="_Toc439079831"/>
      <w:bookmarkStart w:id="326" w:name="_Toc486107841"/>
      <w:bookmarkStart w:id="327" w:name="_Toc10027"/>
      <w:bookmarkStart w:id="328" w:name="_Toc407717419"/>
      <w:bookmarkStart w:id="329" w:name="_Toc32063"/>
      <w:r>
        <w:rPr>
          <w:rFonts w:hint="eastAsia" w:ascii="Times New Roman" w:hAnsi="Times New Roman"/>
          <w:lang w:val="en-US" w:eastAsia="zh-CN"/>
        </w:rPr>
        <w:t>10</w:t>
      </w:r>
      <w:r>
        <w:rPr>
          <w:rFonts w:hint="eastAsia" w:ascii="Times New Roman" w:hAnsi="Times New Roman"/>
        </w:rPr>
        <w:t>.1</w:t>
      </w:r>
      <w:r>
        <w:rPr>
          <w:rFonts w:ascii="Times New Roman" w:hAnsi="Times New Roman"/>
        </w:rPr>
        <w:t>经济效益</w:t>
      </w:r>
      <w:bookmarkEnd w:id="322"/>
      <w:bookmarkEnd w:id="323"/>
      <w:bookmarkEnd w:id="324"/>
      <w:bookmarkEnd w:id="325"/>
      <w:bookmarkEnd w:id="326"/>
      <w:bookmarkEnd w:id="327"/>
    </w:p>
    <w:p w14:paraId="0DC4F766">
      <w:pPr>
        <w:ind w:firstLine="480"/>
      </w:pPr>
      <w:r>
        <w:t>本项目建成后</w:t>
      </w:r>
      <w:r>
        <w:rPr>
          <w:color w:val="000000"/>
        </w:rPr>
        <w:t>，</w:t>
      </w:r>
      <w:r>
        <w:rPr>
          <w:rFonts w:hint="eastAsia"/>
          <w:color w:val="000000"/>
          <w:lang w:val="en-US" w:eastAsia="zh-CN"/>
        </w:rPr>
        <w:t>新增加树脂胶生产线，按照每吨胶水1500元/t，则</w:t>
      </w:r>
      <w:r>
        <w:rPr>
          <w:color w:val="000000"/>
        </w:rPr>
        <w:t>产品销售预计年收入</w:t>
      </w:r>
      <w:r>
        <w:rPr>
          <w:rFonts w:hint="eastAsia"/>
          <w:color w:val="000000"/>
          <w:lang w:val="en-US" w:eastAsia="zh-CN"/>
        </w:rPr>
        <w:t>增加750</w:t>
      </w:r>
      <w:r>
        <w:rPr>
          <w:color w:val="000000"/>
        </w:rPr>
        <w:t>万元</w:t>
      </w:r>
      <w:r>
        <w:rPr>
          <w:rFonts w:hint="eastAsia"/>
          <w:color w:val="000000"/>
          <w:lang w:eastAsia="zh-CN"/>
        </w:rPr>
        <w:t>，</w:t>
      </w:r>
      <w:r>
        <w:t>项目产品市场广阔、贸易稳定，经济效益良好，盈利能力、生存能力较强。因此，项目在经济上是可行的。</w:t>
      </w:r>
    </w:p>
    <w:p w14:paraId="578EE05C">
      <w:pPr>
        <w:pStyle w:val="187"/>
        <w:rPr>
          <w:rFonts w:ascii="Times New Roman" w:hAnsi="Times New Roman"/>
        </w:rPr>
      </w:pPr>
      <w:bookmarkStart w:id="330" w:name="_Toc32160"/>
      <w:bookmarkStart w:id="331" w:name="_Toc486107842"/>
      <w:bookmarkStart w:id="332" w:name="_Toc14876"/>
      <w:bookmarkStart w:id="333" w:name="_Toc407717420"/>
      <w:bookmarkStart w:id="334" w:name="_Toc22529"/>
      <w:bookmarkStart w:id="335" w:name="_Toc439079832"/>
      <w:r>
        <w:rPr>
          <w:rFonts w:hint="eastAsia" w:ascii="Times New Roman" w:hAnsi="Times New Roman"/>
          <w:lang w:val="en-US" w:eastAsia="zh-CN"/>
        </w:rPr>
        <w:t>10</w:t>
      </w:r>
      <w:r>
        <w:rPr>
          <w:rFonts w:hint="eastAsia" w:ascii="Times New Roman" w:hAnsi="Times New Roman"/>
        </w:rPr>
        <w:t>.2</w:t>
      </w:r>
      <w:r>
        <w:rPr>
          <w:rFonts w:ascii="Times New Roman" w:hAnsi="Times New Roman"/>
        </w:rPr>
        <w:t>社会效益</w:t>
      </w:r>
      <w:bookmarkEnd w:id="328"/>
      <w:bookmarkEnd w:id="329"/>
      <w:bookmarkEnd w:id="330"/>
      <w:bookmarkEnd w:id="331"/>
      <w:bookmarkEnd w:id="332"/>
      <w:bookmarkEnd w:id="333"/>
    </w:p>
    <w:p w14:paraId="3F719688">
      <w:pPr>
        <w:ind w:firstLine="480"/>
      </w:pPr>
      <w:r>
        <w:rPr>
          <w:rFonts w:hint="eastAsia"/>
        </w:rPr>
        <w:t>本项目的建设不仅充分利用了利用了废物资源，做到资源循环化利用，变废为宝；促进第三产业的发展，为社会提供一定的就业机会，促进项目所在地的经济发展和社会进步；该项目实施后，可安置周边部分就业人口，增加附近居民的就业机会和个人收入。</w:t>
      </w:r>
    </w:p>
    <w:p w14:paraId="5960BD29">
      <w:pPr>
        <w:ind w:firstLine="480"/>
      </w:pPr>
      <w:r>
        <w:rPr>
          <w:rFonts w:hint="eastAsia"/>
        </w:rPr>
        <w:t>总的来说，项目的投产将带动和拉动上下游产业链，增加当地政府的财政和税收收入，有利于促进经济良性发展</w:t>
      </w:r>
      <w:r>
        <w:t>。</w:t>
      </w:r>
    </w:p>
    <w:p w14:paraId="20A960DB">
      <w:pPr>
        <w:pStyle w:val="187"/>
        <w:rPr>
          <w:rFonts w:ascii="Times New Roman" w:hAnsi="Times New Roman"/>
        </w:rPr>
      </w:pPr>
      <w:bookmarkStart w:id="336" w:name="_Toc486107843"/>
      <w:bookmarkStart w:id="337" w:name="_Toc9167"/>
      <w:bookmarkStart w:id="338" w:name="_Toc10686"/>
      <w:bookmarkStart w:id="339" w:name="_Toc2373"/>
      <w:bookmarkStart w:id="340" w:name="_Toc407717421"/>
      <w:bookmarkStart w:id="341" w:name="_Toc439079833"/>
      <w:r>
        <w:rPr>
          <w:rFonts w:hint="eastAsia" w:ascii="Times New Roman" w:hAnsi="Times New Roman"/>
          <w:lang w:val="en-US" w:eastAsia="zh-CN"/>
        </w:rPr>
        <w:t>10</w:t>
      </w:r>
      <w:r>
        <w:rPr>
          <w:rFonts w:hint="eastAsia" w:ascii="Times New Roman" w:hAnsi="Times New Roman"/>
        </w:rPr>
        <w:t>.3</w:t>
      </w:r>
      <w:r>
        <w:rPr>
          <w:rFonts w:ascii="Times New Roman" w:hAnsi="Times New Roman"/>
        </w:rPr>
        <w:t>环保投资及环境效益</w:t>
      </w:r>
      <w:bookmarkEnd w:id="334"/>
      <w:bookmarkEnd w:id="335"/>
      <w:bookmarkEnd w:id="336"/>
      <w:bookmarkEnd w:id="337"/>
      <w:bookmarkEnd w:id="338"/>
      <w:bookmarkEnd w:id="339"/>
    </w:p>
    <w:p w14:paraId="1319E50C">
      <w:pPr>
        <w:ind w:firstLine="0"/>
        <w:contextualSpacing/>
        <w:outlineLvl w:val="2"/>
        <w:rPr>
          <w:rFonts w:eastAsia="黑体"/>
          <w:sz w:val="28"/>
          <w:szCs w:val="28"/>
        </w:rPr>
      </w:pPr>
      <w:bookmarkStart w:id="342" w:name="_Toc31331"/>
      <w:r>
        <w:rPr>
          <w:rFonts w:hint="eastAsia" w:eastAsia="黑体"/>
          <w:sz w:val="28"/>
          <w:szCs w:val="28"/>
          <w:lang w:val="en-US" w:eastAsia="zh-CN"/>
        </w:rPr>
        <w:t>10</w:t>
      </w:r>
      <w:r>
        <w:rPr>
          <w:rFonts w:eastAsia="黑体"/>
          <w:sz w:val="28"/>
          <w:szCs w:val="28"/>
        </w:rPr>
        <w:t>.3.1环保投资</w:t>
      </w:r>
      <w:bookmarkEnd w:id="340"/>
    </w:p>
    <w:p w14:paraId="1B19ED82">
      <w:pPr>
        <w:ind w:firstLine="480"/>
        <w:rPr>
          <w:rFonts w:hint="eastAsia"/>
          <w:color w:val="000000"/>
        </w:rPr>
      </w:pPr>
      <w:r>
        <w:rPr>
          <w:rFonts w:hint="eastAsia"/>
          <w:color w:val="000000"/>
        </w:rPr>
        <w:t>本工程总投资</w:t>
      </w:r>
      <w:r>
        <w:rPr>
          <w:rFonts w:hint="eastAsia"/>
          <w:color w:val="000000"/>
          <w:lang w:val="en-US" w:eastAsia="zh-CN"/>
        </w:rPr>
        <w:t>100</w:t>
      </w:r>
      <w:r>
        <w:rPr>
          <w:rFonts w:hint="eastAsia"/>
          <w:color w:val="000000"/>
        </w:rPr>
        <w:t>万元，其中环保投资为</w:t>
      </w:r>
      <w:r>
        <w:rPr>
          <w:rFonts w:hint="eastAsia"/>
          <w:color w:val="000000"/>
          <w:lang w:val="en-US" w:eastAsia="zh-CN"/>
        </w:rPr>
        <w:t>85.0</w:t>
      </w:r>
      <w:r>
        <w:rPr>
          <w:rFonts w:hint="eastAsia"/>
          <w:color w:val="000000"/>
        </w:rPr>
        <w:t>万元，占总投资的</w:t>
      </w:r>
      <w:r>
        <w:rPr>
          <w:rFonts w:hint="eastAsia"/>
          <w:color w:val="000000"/>
          <w:lang w:val="en-US" w:eastAsia="zh-CN"/>
        </w:rPr>
        <w:t>85.0</w:t>
      </w:r>
      <w:r>
        <w:rPr>
          <w:rFonts w:hint="eastAsia"/>
          <w:color w:val="000000"/>
        </w:rPr>
        <w:t>%。具体见表</w:t>
      </w:r>
      <w:r>
        <w:rPr>
          <w:rFonts w:hint="eastAsia"/>
          <w:color w:val="000000"/>
          <w:lang w:val="en-US" w:eastAsia="zh-CN"/>
        </w:rPr>
        <w:t>10.3</w:t>
      </w:r>
      <w:r>
        <w:rPr>
          <w:rFonts w:hint="eastAsia"/>
          <w:color w:val="000000"/>
        </w:rPr>
        <w:t>-1。</w:t>
      </w:r>
    </w:p>
    <w:p w14:paraId="670422B5">
      <w:pPr>
        <w:ind w:firstLine="482"/>
        <w:jc w:val="center"/>
        <w:rPr>
          <w:b/>
          <w:color w:val="000000"/>
        </w:rPr>
      </w:pPr>
      <w:r>
        <w:rPr>
          <w:b/>
          <w:color w:val="000000"/>
        </w:rPr>
        <w:t>表</w:t>
      </w:r>
      <w:r>
        <w:rPr>
          <w:rFonts w:hint="eastAsia"/>
          <w:b/>
          <w:color w:val="000000"/>
          <w:lang w:val="en-US" w:eastAsia="zh-CN"/>
        </w:rPr>
        <w:t>10.3</w:t>
      </w:r>
      <w:r>
        <w:rPr>
          <w:b/>
          <w:color w:val="000000"/>
        </w:rPr>
        <w:t>-1  项目环保投资表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133"/>
        <w:gridCol w:w="2898"/>
        <w:gridCol w:w="900"/>
        <w:gridCol w:w="1276"/>
        <w:gridCol w:w="1262"/>
      </w:tblGrid>
      <w:tr w14:paraId="25652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exact"/>
          <w:jc w:val="center"/>
        </w:trPr>
        <w:tc>
          <w:tcPr>
            <w:tcW w:w="846" w:type="dxa"/>
            <w:noWrap w:val="0"/>
            <w:vAlign w:val="center"/>
          </w:tcPr>
          <w:p w14:paraId="06E61D89">
            <w:pPr>
              <w:widowControl w:val="0"/>
              <w:spacing w:line="240" w:lineRule="auto"/>
              <w:ind w:firstLine="0"/>
              <w:jc w:val="center"/>
              <w:rPr>
                <w:rFonts w:ascii="Times New Roman" w:hAnsi="Times New Roman" w:eastAsia="宋体" w:cs="Times New Roman"/>
                <w:b/>
                <w:sz w:val="21"/>
                <w:szCs w:val="21"/>
              </w:rPr>
            </w:pPr>
            <w:r>
              <w:rPr>
                <w:rFonts w:hint="eastAsia" w:ascii="Times New Roman" w:hAnsi="宋体" w:eastAsia="宋体" w:cs="Times New Roman"/>
                <w:b/>
                <w:sz w:val="21"/>
                <w:szCs w:val="21"/>
              </w:rPr>
              <w:t>时段</w:t>
            </w:r>
          </w:p>
        </w:tc>
        <w:tc>
          <w:tcPr>
            <w:tcW w:w="1133" w:type="dxa"/>
            <w:noWrap w:val="0"/>
            <w:vAlign w:val="center"/>
          </w:tcPr>
          <w:p w14:paraId="275C176E">
            <w:pPr>
              <w:widowControl w:val="0"/>
              <w:spacing w:line="240" w:lineRule="auto"/>
              <w:ind w:firstLine="316"/>
              <w:jc w:val="left"/>
              <w:rPr>
                <w:rFonts w:ascii="Times New Roman" w:hAnsi="Times New Roman" w:eastAsia="宋体" w:cs="Times New Roman"/>
                <w:b/>
                <w:sz w:val="21"/>
                <w:szCs w:val="21"/>
              </w:rPr>
            </w:pPr>
            <w:r>
              <w:rPr>
                <w:rFonts w:hint="eastAsia" w:ascii="Times New Roman" w:hAnsi="Times New Roman" w:eastAsia="宋体" w:cs="Times New Roman"/>
                <w:b/>
                <w:sz w:val="21"/>
                <w:szCs w:val="21"/>
              </w:rPr>
              <w:t>类别</w:t>
            </w:r>
          </w:p>
        </w:tc>
        <w:tc>
          <w:tcPr>
            <w:tcW w:w="2898" w:type="dxa"/>
            <w:noWrap w:val="0"/>
            <w:vAlign w:val="center"/>
          </w:tcPr>
          <w:p w14:paraId="663A76E8">
            <w:pPr>
              <w:widowControl w:val="0"/>
              <w:spacing w:line="240" w:lineRule="auto"/>
              <w:ind w:firstLine="0"/>
              <w:jc w:val="center"/>
              <w:rPr>
                <w:rFonts w:ascii="Times New Roman" w:hAnsi="Times New Roman" w:eastAsia="宋体" w:cs="Times New Roman"/>
                <w:b/>
                <w:sz w:val="21"/>
                <w:szCs w:val="21"/>
              </w:rPr>
            </w:pPr>
            <w:r>
              <w:rPr>
                <w:rFonts w:hint="eastAsia" w:ascii="Times New Roman" w:hAnsi="宋体" w:eastAsia="宋体" w:cs="Times New Roman"/>
                <w:b/>
                <w:sz w:val="21"/>
                <w:szCs w:val="21"/>
              </w:rPr>
              <w:t>环保措施</w:t>
            </w:r>
          </w:p>
        </w:tc>
        <w:tc>
          <w:tcPr>
            <w:tcW w:w="900" w:type="dxa"/>
            <w:noWrap w:val="0"/>
            <w:vAlign w:val="center"/>
          </w:tcPr>
          <w:p w14:paraId="3679FE9E">
            <w:pPr>
              <w:widowControl w:val="0"/>
              <w:spacing w:line="240" w:lineRule="auto"/>
              <w:ind w:firstLine="105"/>
              <w:rPr>
                <w:rFonts w:ascii="Times New Roman" w:hAnsi="Times New Roman" w:eastAsia="宋体" w:cs="Times New Roman"/>
                <w:b/>
                <w:sz w:val="21"/>
                <w:szCs w:val="21"/>
              </w:rPr>
            </w:pPr>
            <w:r>
              <w:rPr>
                <w:rFonts w:ascii="Times New Roman" w:hAnsi="宋体" w:eastAsia="宋体" w:cs="Times New Roman"/>
                <w:b/>
                <w:sz w:val="21"/>
                <w:szCs w:val="21"/>
              </w:rPr>
              <w:t>数量</w:t>
            </w:r>
          </w:p>
        </w:tc>
        <w:tc>
          <w:tcPr>
            <w:tcW w:w="1276" w:type="dxa"/>
            <w:noWrap w:val="0"/>
            <w:vAlign w:val="center"/>
          </w:tcPr>
          <w:p w14:paraId="14277B4B">
            <w:pPr>
              <w:widowControl w:val="0"/>
              <w:spacing w:line="240" w:lineRule="auto"/>
              <w:ind w:firstLine="207"/>
              <w:rPr>
                <w:rFonts w:ascii="Times New Roman" w:hAnsi="Times New Roman" w:eastAsia="宋体" w:cs="Times New Roman"/>
                <w:b/>
                <w:sz w:val="21"/>
                <w:szCs w:val="21"/>
              </w:rPr>
            </w:pPr>
            <w:r>
              <w:rPr>
                <w:rFonts w:ascii="Times New Roman" w:hAnsi="宋体" w:eastAsia="宋体" w:cs="Times New Roman"/>
                <w:b/>
                <w:sz w:val="21"/>
                <w:szCs w:val="21"/>
              </w:rPr>
              <w:t>投资概算</w:t>
            </w:r>
          </w:p>
        </w:tc>
        <w:tc>
          <w:tcPr>
            <w:tcW w:w="1262" w:type="dxa"/>
            <w:noWrap w:val="0"/>
            <w:vAlign w:val="center"/>
          </w:tcPr>
          <w:p w14:paraId="1616C88A">
            <w:pPr>
              <w:widowControl w:val="0"/>
              <w:spacing w:line="240" w:lineRule="auto"/>
              <w:ind w:firstLine="0"/>
              <w:jc w:val="center"/>
              <w:rPr>
                <w:rFonts w:ascii="Times New Roman" w:hAnsi="Times New Roman" w:eastAsia="宋体" w:cs="Times New Roman"/>
                <w:b/>
                <w:sz w:val="21"/>
                <w:szCs w:val="21"/>
              </w:rPr>
            </w:pPr>
            <w:r>
              <w:rPr>
                <w:rFonts w:ascii="Times New Roman" w:hAnsi="宋体" w:eastAsia="宋体" w:cs="Times New Roman"/>
                <w:b/>
                <w:sz w:val="21"/>
                <w:szCs w:val="21"/>
              </w:rPr>
              <w:t>备注</w:t>
            </w:r>
          </w:p>
        </w:tc>
      </w:tr>
      <w:tr w14:paraId="42F7B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4" w:hRule="exact"/>
          <w:jc w:val="center"/>
        </w:trPr>
        <w:tc>
          <w:tcPr>
            <w:tcW w:w="846" w:type="dxa"/>
            <w:vMerge w:val="restart"/>
            <w:noWrap w:val="0"/>
            <w:vAlign w:val="center"/>
          </w:tcPr>
          <w:p w14:paraId="5DAFCE57">
            <w:pPr>
              <w:widowControl w:val="0"/>
              <w:spacing w:line="240" w:lineRule="auto"/>
              <w:ind w:firstLine="0"/>
              <w:jc w:val="center"/>
              <w:rPr>
                <w:rFonts w:ascii="Times New Roman" w:hAnsi="宋体" w:eastAsia="宋体" w:cs="Times New Roman"/>
                <w:sz w:val="21"/>
                <w:szCs w:val="21"/>
              </w:rPr>
            </w:pPr>
            <w:r>
              <w:rPr>
                <w:rFonts w:hint="eastAsia" w:ascii="Times New Roman" w:hAnsi="宋体" w:eastAsia="宋体" w:cs="Times New Roman"/>
                <w:sz w:val="21"/>
                <w:szCs w:val="21"/>
              </w:rPr>
              <w:t>施工期</w:t>
            </w:r>
          </w:p>
        </w:tc>
        <w:tc>
          <w:tcPr>
            <w:tcW w:w="1133" w:type="dxa"/>
            <w:noWrap w:val="0"/>
            <w:vAlign w:val="center"/>
          </w:tcPr>
          <w:p w14:paraId="3A562540">
            <w:pPr>
              <w:widowControl w:val="0"/>
              <w:spacing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废气</w:t>
            </w:r>
          </w:p>
        </w:tc>
        <w:tc>
          <w:tcPr>
            <w:tcW w:w="2898" w:type="dxa"/>
            <w:noWrap w:val="0"/>
            <w:vAlign w:val="center"/>
          </w:tcPr>
          <w:p w14:paraId="3356DD8A">
            <w:pPr>
              <w:widowControl w:val="0"/>
              <w:spacing w:line="240" w:lineRule="auto"/>
              <w:ind w:firstLine="0"/>
              <w:jc w:val="center"/>
              <w:rPr>
                <w:rFonts w:ascii="Times New Roman" w:hAnsi="Times New Roman" w:eastAsia="宋体" w:cs="Times New Roman"/>
                <w:color w:val="000000"/>
                <w:sz w:val="21"/>
                <w:szCs w:val="21"/>
              </w:rPr>
            </w:pPr>
            <w:r>
              <w:rPr>
                <w:rFonts w:hint="eastAsia" w:ascii="Times New Roman" w:hAnsi="宋体" w:eastAsia="宋体" w:cs="Times New Roman"/>
                <w:color w:val="000000"/>
                <w:sz w:val="21"/>
                <w:szCs w:val="21"/>
              </w:rPr>
              <w:t>洒水设施、材料篷布遮盖</w:t>
            </w:r>
          </w:p>
        </w:tc>
        <w:tc>
          <w:tcPr>
            <w:tcW w:w="900" w:type="dxa"/>
            <w:noWrap w:val="0"/>
            <w:vAlign w:val="center"/>
          </w:tcPr>
          <w:p w14:paraId="71443E7B">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hint="eastAsia" w:ascii="Times New Roman" w:hAnsi="Times New Roman" w:eastAsia="宋体" w:cs="Times New Roman"/>
                <w:color w:val="000000"/>
                <w:sz w:val="21"/>
                <w:szCs w:val="21"/>
              </w:rPr>
              <w:t>套</w:t>
            </w:r>
          </w:p>
        </w:tc>
        <w:tc>
          <w:tcPr>
            <w:tcW w:w="1276" w:type="dxa"/>
            <w:noWrap w:val="0"/>
            <w:vAlign w:val="center"/>
          </w:tcPr>
          <w:p w14:paraId="6A7D11BE">
            <w:pPr>
              <w:widowControl w:val="0"/>
              <w:spacing w:line="240" w:lineRule="auto"/>
              <w:ind w:firstLine="420"/>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c>
          <w:tcPr>
            <w:tcW w:w="1262" w:type="dxa"/>
            <w:noWrap w:val="0"/>
            <w:vAlign w:val="center"/>
          </w:tcPr>
          <w:p w14:paraId="3FB859C4">
            <w:pPr>
              <w:widowControl w:val="0"/>
              <w:spacing w:line="240" w:lineRule="auto"/>
              <w:ind w:firstLine="0"/>
              <w:jc w:val="center"/>
              <w:rPr>
                <w:rFonts w:ascii="Times New Roman" w:hAnsi="宋体" w:eastAsia="宋体" w:cs="Times New Roman"/>
                <w:color w:val="000000"/>
                <w:sz w:val="21"/>
                <w:szCs w:val="21"/>
              </w:rPr>
            </w:pPr>
            <w:r>
              <w:rPr>
                <w:rFonts w:hint="eastAsia" w:ascii="Times New Roman" w:hAnsi="Times New Roman" w:eastAsia="宋体" w:cs="Times New Roman"/>
                <w:color w:val="000000"/>
                <w:sz w:val="21"/>
                <w:szCs w:val="21"/>
              </w:rPr>
              <w:t>环评提出</w:t>
            </w:r>
          </w:p>
        </w:tc>
      </w:tr>
      <w:tr w14:paraId="6E35E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exact"/>
          <w:jc w:val="center"/>
        </w:trPr>
        <w:tc>
          <w:tcPr>
            <w:tcW w:w="846" w:type="dxa"/>
            <w:vMerge w:val="continue"/>
            <w:noWrap w:val="0"/>
            <w:vAlign w:val="center"/>
          </w:tcPr>
          <w:p w14:paraId="600351F2">
            <w:pPr>
              <w:widowControl w:val="0"/>
              <w:spacing w:line="240" w:lineRule="auto"/>
              <w:ind w:firstLine="0"/>
              <w:jc w:val="center"/>
              <w:rPr>
                <w:rFonts w:ascii="Times New Roman" w:hAnsi="宋体" w:eastAsia="宋体" w:cs="Times New Roman"/>
                <w:sz w:val="21"/>
                <w:szCs w:val="21"/>
              </w:rPr>
            </w:pPr>
          </w:p>
        </w:tc>
        <w:tc>
          <w:tcPr>
            <w:tcW w:w="1133" w:type="dxa"/>
            <w:noWrap w:val="0"/>
            <w:vAlign w:val="center"/>
          </w:tcPr>
          <w:p w14:paraId="0E83DD7B">
            <w:pPr>
              <w:widowControl w:val="0"/>
              <w:spacing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噪声</w:t>
            </w:r>
          </w:p>
        </w:tc>
        <w:tc>
          <w:tcPr>
            <w:tcW w:w="2898" w:type="dxa"/>
            <w:noWrap w:val="0"/>
            <w:vAlign w:val="center"/>
          </w:tcPr>
          <w:p w14:paraId="0BBC1934">
            <w:pPr>
              <w:widowControl w:val="0"/>
              <w:spacing w:line="240" w:lineRule="auto"/>
              <w:ind w:firstLine="0"/>
              <w:jc w:val="center"/>
              <w:rPr>
                <w:rFonts w:hint="eastAsia" w:ascii="Times New Roman" w:hAnsi="Times New Roman" w:eastAsia="宋体" w:cs="Times New Roman"/>
                <w:color w:val="000000"/>
                <w:sz w:val="21"/>
                <w:szCs w:val="21"/>
              </w:rPr>
            </w:pPr>
            <w:r>
              <w:rPr>
                <w:rFonts w:ascii="Times New Roman" w:hAnsi="宋体" w:eastAsia="宋体" w:cs="Times New Roman"/>
                <w:color w:val="000000"/>
                <w:sz w:val="21"/>
              </w:rPr>
              <w:t>施工期</w:t>
            </w:r>
            <w:r>
              <w:rPr>
                <w:rFonts w:hint="eastAsia" w:ascii="Times New Roman" w:hAnsi="宋体" w:eastAsia="宋体" w:cs="Times New Roman"/>
                <w:color w:val="000000"/>
                <w:sz w:val="21"/>
              </w:rPr>
              <w:t>加强管理</w:t>
            </w:r>
          </w:p>
        </w:tc>
        <w:tc>
          <w:tcPr>
            <w:tcW w:w="900" w:type="dxa"/>
            <w:noWrap w:val="0"/>
            <w:vAlign w:val="center"/>
          </w:tcPr>
          <w:p w14:paraId="25A7EDD8">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1276" w:type="dxa"/>
            <w:noWrap w:val="0"/>
            <w:vAlign w:val="center"/>
          </w:tcPr>
          <w:p w14:paraId="09F86B56">
            <w:pPr>
              <w:widowControl w:val="0"/>
              <w:spacing w:line="240" w:lineRule="auto"/>
              <w:ind w:firstLine="42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0.5</w:t>
            </w:r>
          </w:p>
        </w:tc>
        <w:tc>
          <w:tcPr>
            <w:tcW w:w="1262" w:type="dxa"/>
            <w:noWrap w:val="0"/>
            <w:vAlign w:val="center"/>
          </w:tcPr>
          <w:p w14:paraId="37EBD347">
            <w:pPr>
              <w:widowControl w:val="0"/>
              <w:spacing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环评提出</w:t>
            </w:r>
          </w:p>
        </w:tc>
      </w:tr>
      <w:tr w14:paraId="065EF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exact"/>
          <w:jc w:val="center"/>
        </w:trPr>
        <w:tc>
          <w:tcPr>
            <w:tcW w:w="846" w:type="dxa"/>
            <w:vMerge w:val="continue"/>
            <w:noWrap w:val="0"/>
            <w:vAlign w:val="center"/>
          </w:tcPr>
          <w:p w14:paraId="665EAF6F">
            <w:pPr>
              <w:widowControl w:val="0"/>
              <w:spacing w:line="240" w:lineRule="auto"/>
              <w:ind w:firstLine="0"/>
              <w:jc w:val="center"/>
              <w:rPr>
                <w:rFonts w:hint="eastAsia" w:ascii="Times New Roman" w:hAnsi="宋体" w:eastAsia="宋体" w:cs="Times New Roman"/>
                <w:sz w:val="21"/>
                <w:szCs w:val="21"/>
              </w:rPr>
            </w:pPr>
          </w:p>
        </w:tc>
        <w:tc>
          <w:tcPr>
            <w:tcW w:w="1133" w:type="dxa"/>
            <w:noWrap w:val="0"/>
            <w:vAlign w:val="center"/>
          </w:tcPr>
          <w:p w14:paraId="4DA49A29">
            <w:pPr>
              <w:widowControl w:val="0"/>
              <w:spacing w:line="240" w:lineRule="auto"/>
              <w:ind w:firstLine="0"/>
              <w:jc w:val="center"/>
              <w:rPr>
                <w:rFonts w:hint="eastAsia" w:ascii="Times New Roman" w:hAnsi="Times New Roman" w:eastAsia="宋体" w:cs="Times New Roman"/>
                <w:color w:val="000000"/>
                <w:sz w:val="21"/>
                <w:szCs w:val="21"/>
                <w:lang w:val="en-GB"/>
              </w:rPr>
            </w:pPr>
            <w:r>
              <w:rPr>
                <w:rFonts w:hint="eastAsia" w:ascii="Times New Roman" w:hAnsi="Times New Roman" w:eastAsia="宋体" w:cs="Times New Roman"/>
                <w:color w:val="000000"/>
                <w:sz w:val="21"/>
                <w:szCs w:val="21"/>
                <w:lang w:val="en-GB"/>
              </w:rPr>
              <w:t>固废</w:t>
            </w:r>
          </w:p>
        </w:tc>
        <w:tc>
          <w:tcPr>
            <w:tcW w:w="2898" w:type="dxa"/>
            <w:noWrap w:val="0"/>
            <w:vAlign w:val="center"/>
          </w:tcPr>
          <w:p w14:paraId="00AC71B6">
            <w:pPr>
              <w:widowControl/>
              <w:spacing w:line="240" w:lineRule="auto"/>
              <w:ind w:firstLine="718"/>
              <w:rPr>
                <w:rFonts w:ascii="Calibri" w:hAnsi="Calibri" w:eastAsia="宋体" w:cs="Times New Roman"/>
                <w:color w:val="000000"/>
                <w:sz w:val="21"/>
                <w:szCs w:val="21"/>
              </w:rPr>
            </w:pPr>
            <w:r>
              <w:rPr>
                <w:rFonts w:hint="eastAsia" w:ascii="Calibri" w:hAnsi="Calibri" w:eastAsia="宋体" w:cs="Times New Roman"/>
                <w:color w:val="000000"/>
                <w:sz w:val="21"/>
                <w:szCs w:val="21"/>
              </w:rPr>
              <w:t>建筑</w:t>
            </w:r>
            <w:r>
              <w:rPr>
                <w:rFonts w:ascii="Calibri" w:hAnsi="Calibri" w:eastAsia="宋体" w:cs="Times New Roman"/>
                <w:color w:val="000000"/>
                <w:sz w:val="21"/>
                <w:szCs w:val="21"/>
              </w:rPr>
              <w:t>垃圾清运</w:t>
            </w:r>
          </w:p>
        </w:tc>
        <w:tc>
          <w:tcPr>
            <w:tcW w:w="900" w:type="dxa"/>
            <w:noWrap w:val="0"/>
            <w:vAlign w:val="center"/>
          </w:tcPr>
          <w:p w14:paraId="2787DCAF">
            <w:pPr>
              <w:widowControl w:val="0"/>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1276" w:type="dxa"/>
            <w:noWrap w:val="0"/>
            <w:vAlign w:val="center"/>
          </w:tcPr>
          <w:p w14:paraId="5E64C4A4">
            <w:pPr>
              <w:widowControl w:val="0"/>
              <w:spacing w:line="240" w:lineRule="auto"/>
              <w:ind w:firstLine="420"/>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c>
          <w:tcPr>
            <w:tcW w:w="1262" w:type="dxa"/>
            <w:noWrap w:val="0"/>
            <w:vAlign w:val="center"/>
          </w:tcPr>
          <w:p w14:paraId="44658DE4">
            <w:pPr>
              <w:widowControl w:val="0"/>
              <w:spacing w:line="240" w:lineRule="auto"/>
              <w:ind w:firstLine="0"/>
              <w:jc w:val="center"/>
              <w:rPr>
                <w:rFonts w:ascii="Times New Roman" w:hAnsi="宋体" w:eastAsia="宋体" w:cs="Times New Roman"/>
                <w:color w:val="000000"/>
                <w:sz w:val="21"/>
                <w:szCs w:val="21"/>
              </w:rPr>
            </w:pPr>
            <w:r>
              <w:rPr>
                <w:rFonts w:hint="eastAsia" w:ascii="Times New Roman" w:hAnsi="Times New Roman" w:eastAsia="宋体" w:cs="Times New Roman"/>
                <w:color w:val="000000"/>
                <w:sz w:val="21"/>
                <w:szCs w:val="21"/>
              </w:rPr>
              <w:t>环评提出</w:t>
            </w:r>
          </w:p>
        </w:tc>
      </w:tr>
      <w:tr w14:paraId="5B627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46" w:type="dxa"/>
            <w:vMerge w:val="restart"/>
            <w:noWrap w:val="0"/>
            <w:vAlign w:val="center"/>
          </w:tcPr>
          <w:p w14:paraId="5C289B65">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营运期</w:t>
            </w:r>
          </w:p>
        </w:tc>
        <w:tc>
          <w:tcPr>
            <w:tcW w:w="1133" w:type="dxa"/>
            <w:vMerge w:val="restart"/>
            <w:noWrap w:val="0"/>
            <w:vAlign w:val="center"/>
          </w:tcPr>
          <w:p w14:paraId="0078C5E0">
            <w:pPr>
              <w:widowControl w:val="0"/>
              <w:spacing w:line="240" w:lineRule="auto"/>
              <w:ind w:firstLine="0"/>
              <w:jc w:val="center"/>
              <w:rPr>
                <w:rFonts w:hint="eastAsia" w:ascii="宋体" w:hAnsi="宋体" w:eastAsia="宋体" w:cs="Times New Roman"/>
                <w:sz w:val="21"/>
                <w:szCs w:val="21"/>
                <w:lang w:val="en-GB"/>
              </w:rPr>
            </w:pPr>
            <w:r>
              <w:rPr>
                <w:rFonts w:hint="eastAsia" w:ascii="宋体" w:hAnsi="宋体" w:eastAsia="宋体" w:cs="Times New Roman"/>
                <w:sz w:val="21"/>
                <w:szCs w:val="21"/>
                <w:lang w:val="en-GB"/>
              </w:rPr>
              <w:t>废气</w:t>
            </w:r>
          </w:p>
        </w:tc>
        <w:tc>
          <w:tcPr>
            <w:tcW w:w="2898" w:type="dxa"/>
            <w:noWrap w:val="0"/>
            <w:vAlign w:val="center"/>
          </w:tcPr>
          <w:p w14:paraId="1AD2B5F3">
            <w:pPr>
              <w:widowControl w:val="0"/>
              <w:spacing w:line="240" w:lineRule="auto"/>
              <w:ind w:firstLine="0"/>
              <w:jc w:val="center"/>
              <w:rPr>
                <w:rFonts w:hint="eastAsia" w:ascii="Times New Roman" w:hAnsi="宋体" w:eastAsia="宋体" w:cs="Times New Roman"/>
                <w:sz w:val="21"/>
                <w:szCs w:val="21"/>
              </w:rPr>
            </w:pPr>
            <w:r>
              <w:rPr>
                <w:rFonts w:hint="eastAsia" w:ascii="Times New Roman" w:hAnsi="Times New Roman" w:eastAsia="宋体" w:cs="Times New Roman"/>
                <w:color w:val="000000"/>
                <w:sz w:val="21"/>
                <w:szCs w:val="21"/>
                <w:lang w:val="en-US" w:eastAsia="zh-CN" w:bidi="ar-SA"/>
              </w:rPr>
              <w:t>将干燥、筛选、铺装工序粉尘合并处理，在现有的旋风除尘器后端增设1套布袋除尘器，净化处理后通过1根15m高排气筒排放（P1）</w:t>
            </w:r>
          </w:p>
        </w:tc>
        <w:tc>
          <w:tcPr>
            <w:tcW w:w="900" w:type="dxa"/>
            <w:noWrap w:val="0"/>
            <w:vAlign w:val="center"/>
          </w:tcPr>
          <w:p w14:paraId="684513A7">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1套</w:t>
            </w:r>
          </w:p>
        </w:tc>
        <w:tc>
          <w:tcPr>
            <w:tcW w:w="1276" w:type="dxa"/>
            <w:noWrap w:val="0"/>
            <w:vAlign w:val="center"/>
          </w:tcPr>
          <w:p w14:paraId="1E9AC066">
            <w:pPr>
              <w:widowControl w:val="0"/>
              <w:spacing w:line="240" w:lineRule="auto"/>
              <w:ind w:firstLine="0"/>
              <w:jc w:val="center"/>
              <w:rPr>
                <w:rFonts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4.0</w:t>
            </w:r>
          </w:p>
        </w:tc>
        <w:tc>
          <w:tcPr>
            <w:tcW w:w="1262" w:type="dxa"/>
            <w:noWrap w:val="0"/>
            <w:vAlign w:val="center"/>
          </w:tcPr>
          <w:p w14:paraId="14C72422">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环评提出</w:t>
            </w:r>
          </w:p>
        </w:tc>
      </w:tr>
      <w:tr w14:paraId="16F9E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7CFB18F7">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continue"/>
            <w:noWrap w:val="0"/>
            <w:vAlign w:val="center"/>
          </w:tcPr>
          <w:p w14:paraId="21D8F851">
            <w:pPr>
              <w:widowControl w:val="0"/>
              <w:spacing w:line="240" w:lineRule="auto"/>
              <w:ind w:firstLine="0"/>
              <w:jc w:val="center"/>
              <w:rPr>
                <w:rFonts w:hint="eastAsia" w:ascii="宋体" w:hAnsi="宋体" w:eastAsia="宋体" w:cs="Times New Roman"/>
                <w:sz w:val="21"/>
                <w:szCs w:val="21"/>
                <w:lang w:val="en-GB"/>
              </w:rPr>
            </w:pPr>
          </w:p>
        </w:tc>
        <w:tc>
          <w:tcPr>
            <w:tcW w:w="2898" w:type="dxa"/>
            <w:noWrap w:val="0"/>
            <w:vAlign w:val="center"/>
          </w:tcPr>
          <w:p w14:paraId="349EF154">
            <w:pPr>
              <w:widowControl w:val="0"/>
              <w:spacing w:line="240" w:lineRule="auto"/>
              <w:ind w:firstLine="0"/>
              <w:jc w:val="center"/>
              <w:rPr>
                <w:rFonts w:hint="eastAsia" w:ascii="Times New Roman" w:hAnsi="宋体" w:eastAsia="宋体" w:cs="Times New Roman"/>
                <w:color w:val="FF0000"/>
                <w:sz w:val="21"/>
                <w:szCs w:val="21"/>
              </w:rPr>
            </w:pPr>
            <w:r>
              <w:rPr>
                <w:rFonts w:hint="eastAsia" w:ascii="Times New Roman" w:hAnsi="Times New Roman" w:eastAsia="宋体" w:cs="Times New Roman"/>
                <w:color w:val="FF0000"/>
                <w:sz w:val="21"/>
                <w:szCs w:val="21"/>
                <w:lang w:val="en-US" w:eastAsia="zh-CN" w:bidi="zh-CN"/>
              </w:rPr>
              <w:t>板材热压、贴面工序废气与制胶废气共用1套UV光催化活性炭吸附一体设备+15m高排气筒（P2）</w:t>
            </w:r>
          </w:p>
        </w:tc>
        <w:tc>
          <w:tcPr>
            <w:tcW w:w="900" w:type="dxa"/>
            <w:noWrap w:val="0"/>
            <w:vAlign w:val="center"/>
          </w:tcPr>
          <w:p w14:paraId="32BC5E07">
            <w:pPr>
              <w:widowControl w:val="0"/>
              <w:spacing w:line="240" w:lineRule="auto"/>
              <w:ind w:firstLine="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1套</w:t>
            </w:r>
          </w:p>
        </w:tc>
        <w:tc>
          <w:tcPr>
            <w:tcW w:w="1276" w:type="dxa"/>
            <w:noWrap w:val="0"/>
            <w:vAlign w:val="center"/>
          </w:tcPr>
          <w:p w14:paraId="5FED237E">
            <w:pPr>
              <w:widowControl w:val="0"/>
              <w:spacing w:line="240" w:lineRule="auto"/>
              <w:ind w:firstLine="0"/>
              <w:jc w:val="center"/>
              <w:rPr>
                <w:rFonts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8.0</w:t>
            </w:r>
          </w:p>
        </w:tc>
        <w:tc>
          <w:tcPr>
            <w:tcW w:w="1262" w:type="dxa"/>
            <w:noWrap w:val="0"/>
            <w:vAlign w:val="center"/>
          </w:tcPr>
          <w:p w14:paraId="63840491">
            <w:pPr>
              <w:widowControl w:val="0"/>
              <w:spacing w:line="240" w:lineRule="auto"/>
              <w:ind w:firstLine="0"/>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环评提出</w:t>
            </w:r>
          </w:p>
        </w:tc>
      </w:tr>
      <w:tr w14:paraId="2894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43CB4D9A">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continue"/>
            <w:noWrap w:val="0"/>
            <w:vAlign w:val="center"/>
          </w:tcPr>
          <w:p w14:paraId="7282EA00">
            <w:pPr>
              <w:widowControl w:val="0"/>
              <w:spacing w:line="240" w:lineRule="auto"/>
              <w:ind w:firstLine="0"/>
              <w:jc w:val="center"/>
              <w:rPr>
                <w:rFonts w:hint="eastAsia" w:ascii="宋体" w:hAnsi="宋体" w:eastAsia="宋体" w:cs="Times New Roman"/>
                <w:sz w:val="21"/>
                <w:szCs w:val="21"/>
                <w:lang w:val="en-GB"/>
              </w:rPr>
            </w:pPr>
          </w:p>
        </w:tc>
        <w:tc>
          <w:tcPr>
            <w:tcW w:w="2898" w:type="dxa"/>
            <w:noWrap w:val="0"/>
            <w:vAlign w:val="center"/>
          </w:tcPr>
          <w:p w14:paraId="177325AE">
            <w:pPr>
              <w:widowControl w:val="0"/>
              <w:spacing w:line="240" w:lineRule="auto"/>
              <w:ind w:firstLine="0"/>
              <w:jc w:val="center"/>
              <w:rPr>
                <w:rFonts w:hint="eastAsia" w:ascii="Times New Roman" w:hAnsi="宋体" w:eastAsia="宋体" w:cs="Times New Roman"/>
                <w:sz w:val="21"/>
                <w:szCs w:val="21"/>
                <w:lang w:eastAsia="zh-CN"/>
              </w:rPr>
            </w:pPr>
            <w:r>
              <w:rPr>
                <w:rFonts w:hint="eastAsia" w:ascii="Times New Roman" w:hAnsi="Times New Roman" w:eastAsia="宋体" w:cs="Times New Roman"/>
                <w:sz w:val="21"/>
                <w:szCs w:val="21"/>
                <w:lang w:val="en-US" w:eastAsia="zh-CN" w:bidi="zh-CN"/>
              </w:rPr>
              <w:t>增设1套电离捕捉器，后期将6t/h锅炉、热载体炉水膜除尘器处理后的烟气引入增设的1套电离捕捉器进行集中处理，通过25m排气筒集中排放（P3）</w:t>
            </w:r>
          </w:p>
        </w:tc>
        <w:tc>
          <w:tcPr>
            <w:tcW w:w="900" w:type="dxa"/>
            <w:noWrap w:val="0"/>
            <w:vAlign w:val="center"/>
          </w:tcPr>
          <w:p w14:paraId="453FD0A1">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1套</w:t>
            </w:r>
          </w:p>
        </w:tc>
        <w:tc>
          <w:tcPr>
            <w:tcW w:w="1276" w:type="dxa"/>
            <w:noWrap w:val="0"/>
            <w:vAlign w:val="center"/>
          </w:tcPr>
          <w:p w14:paraId="71610E4F">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35.0</w:t>
            </w:r>
          </w:p>
        </w:tc>
        <w:tc>
          <w:tcPr>
            <w:tcW w:w="1262" w:type="dxa"/>
            <w:noWrap w:val="0"/>
            <w:vAlign w:val="center"/>
          </w:tcPr>
          <w:p w14:paraId="0C0E9781">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业主提出</w:t>
            </w:r>
          </w:p>
        </w:tc>
      </w:tr>
      <w:tr w14:paraId="1E446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7413131E">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continue"/>
            <w:noWrap w:val="0"/>
            <w:vAlign w:val="center"/>
          </w:tcPr>
          <w:p w14:paraId="76B7F304">
            <w:pPr>
              <w:widowControl w:val="0"/>
              <w:spacing w:line="240" w:lineRule="auto"/>
              <w:ind w:firstLine="0"/>
              <w:jc w:val="center"/>
              <w:rPr>
                <w:rFonts w:hint="eastAsia" w:ascii="宋体" w:hAnsi="宋体" w:eastAsia="宋体" w:cs="Times New Roman"/>
                <w:sz w:val="21"/>
                <w:szCs w:val="21"/>
                <w:lang w:val="en-GB"/>
              </w:rPr>
            </w:pPr>
          </w:p>
        </w:tc>
        <w:tc>
          <w:tcPr>
            <w:tcW w:w="2898" w:type="dxa"/>
            <w:noWrap w:val="0"/>
            <w:vAlign w:val="center"/>
          </w:tcPr>
          <w:p w14:paraId="789A8D9A">
            <w:pPr>
              <w:widowControl w:val="0"/>
              <w:spacing w:before="171" w:after="0" w:line="240" w:lineRule="auto"/>
              <w:ind w:left="147" w:right="120" w:firstLine="0"/>
              <w:jc w:val="center"/>
              <w:rPr>
                <w:rFonts w:hint="eastAsia" w:ascii="Times New Roman" w:hAnsi="宋体" w:eastAsia="宋体" w:cs="Times New Roman"/>
                <w:sz w:val="21"/>
                <w:szCs w:val="21"/>
                <w:lang w:eastAsia="zh-CN"/>
              </w:rPr>
            </w:pPr>
            <w:r>
              <w:rPr>
                <w:rFonts w:ascii="Times New Roman" w:hAnsi="Times New Roman" w:eastAsia="宋体" w:cs="Times New Roman"/>
                <w:color w:val="000000"/>
                <w:sz w:val="21"/>
                <w:szCs w:val="21"/>
                <w:lang w:val="en-US" w:eastAsia="zh-CN" w:bidi="ar-SA"/>
              </w:rPr>
              <w:t>环刨机设置1套布袋除尘器，其余刨片机出料口配置自制的布袋除尘器；刨片粉尘呈无组织排放</w:t>
            </w:r>
          </w:p>
        </w:tc>
        <w:tc>
          <w:tcPr>
            <w:tcW w:w="900" w:type="dxa"/>
            <w:noWrap w:val="0"/>
            <w:vAlign w:val="center"/>
          </w:tcPr>
          <w:p w14:paraId="42552BBF">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1套</w:t>
            </w:r>
          </w:p>
        </w:tc>
        <w:tc>
          <w:tcPr>
            <w:tcW w:w="1276" w:type="dxa"/>
            <w:noWrap w:val="0"/>
            <w:vAlign w:val="center"/>
          </w:tcPr>
          <w:p w14:paraId="6DF59941">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1262" w:type="dxa"/>
            <w:noWrap w:val="0"/>
            <w:vAlign w:val="center"/>
          </w:tcPr>
          <w:p w14:paraId="5E37653D">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环评提出</w:t>
            </w:r>
          </w:p>
        </w:tc>
      </w:tr>
      <w:tr w14:paraId="016F6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0B62932F">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continue"/>
            <w:noWrap w:val="0"/>
            <w:vAlign w:val="center"/>
          </w:tcPr>
          <w:p w14:paraId="46F7F3AC">
            <w:pPr>
              <w:widowControl w:val="0"/>
              <w:spacing w:line="240" w:lineRule="auto"/>
              <w:ind w:firstLine="0"/>
              <w:jc w:val="center"/>
              <w:rPr>
                <w:rFonts w:hint="eastAsia" w:ascii="宋体" w:hAnsi="宋体" w:eastAsia="宋体" w:cs="Times New Roman"/>
                <w:sz w:val="21"/>
                <w:szCs w:val="21"/>
                <w:lang w:val="en-GB"/>
              </w:rPr>
            </w:pPr>
          </w:p>
        </w:tc>
        <w:tc>
          <w:tcPr>
            <w:tcW w:w="2898" w:type="dxa"/>
            <w:noWrap w:val="0"/>
            <w:vAlign w:val="center"/>
          </w:tcPr>
          <w:p w14:paraId="7E18CC3C">
            <w:pPr>
              <w:widowControl w:val="0"/>
              <w:spacing w:before="171" w:after="0" w:line="240" w:lineRule="auto"/>
              <w:ind w:left="147" w:right="120" w:firstLine="0"/>
              <w:jc w:val="center"/>
              <w:rPr>
                <w:rFonts w:hint="eastAsia" w:ascii="Times New Roman" w:hAnsi="宋体" w:eastAsia="宋体" w:cs="Times New Roman"/>
                <w:sz w:val="21"/>
                <w:szCs w:val="21"/>
                <w:lang w:eastAsia="zh-CN"/>
              </w:rPr>
            </w:pPr>
            <w:r>
              <w:rPr>
                <w:rFonts w:hint="eastAsia" w:ascii="Times New Roman" w:hAnsi="Times New Roman" w:eastAsia="宋体" w:cs="Times New Roman"/>
                <w:color w:val="000000"/>
                <w:sz w:val="21"/>
                <w:szCs w:val="21"/>
                <w:lang w:val="en-US" w:eastAsia="zh-CN" w:bidi="ar-SA"/>
              </w:rPr>
              <w:t>砂光、开槽、锯边工段</w:t>
            </w:r>
            <w:r>
              <w:rPr>
                <w:rFonts w:ascii="Times New Roman" w:hAnsi="Times New Roman" w:eastAsia="宋体" w:cs="Times New Roman"/>
                <w:color w:val="000000"/>
                <w:sz w:val="21"/>
                <w:szCs w:val="21"/>
                <w:lang w:val="en-US" w:eastAsia="zh-CN" w:bidi="ar-SA"/>
              </w:rPr>
              <w:t>采用1套正压布袋除尘器净化处理后，无组织排放</w:t>
            </w:r>
          </w:p>
        </w:tc>
        <w:tc>
          <w:tcPr>
            <w:tcW w:w="900" w:type="dxa"/>
            <w:noWrap w:val="0"/>
            <w:vAlign w:val="center"/>
          </w:tcPr>
          <w:p w14:paraId="750EAE6C">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1套</w:t>
            </w:r>
          </w:p>
        </w:tc>
        <w:tc>
          <w:tcPr>
            <w:tcW w:w="1276" w:type="dxa"/>
            <w:noWrap w:val="0"/>
            <w:vAlign w:val="center"/>
          </w:tcPr>
          <w:p w14:paraId="2A94CBFF">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62" w:type="dxa"/>
            <w:noWrap w:val="0"/>
            <w:vAlign w:val="center"/>
          </w:tcPr>
          <w:p w14:paraId="20EA3F04">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14:paraId="2C2B9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08B599C0">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continue"/>
            <w:noWrap w:val="0"/>
            <w:vAlign w:val="center"/>
          </w:tcPr>
          <w:p w14:paraId="03F57123">
            <w:pPr>
              <w:widowControl w:val="0"/>
              <w:spacing w:line="240" w:lineRule="auto"/>
              <w:ind w:firstLine="0"/>
              <w:jc w:val="center"/>
              <w:rPr>
                <w:rFonts w:hint="eastAsia" w:ascii="宋体" w:hAnsi="宋体" w:eastAsia="宋体" w:cs="Times New Roman"/>
                <w:sz w:val="21"/>
                <w:szCs w:val="21"/>
                <w:lang w:val="en-GB"/>
              </w:rPr>
            </w:pPr>
          </w:p>
        </w:tc>
        <w:tc>
          <w:tcPr>
            <w:tcW w:w="2898" w:type="dxa"/>
            <w:noWrap w:val="0"/>
            <w:vAlign w:val="center"/>
          </w:tcPr>
          <w:p w14:paraId="7E4F181D">
            <w:pPr>
              <w:widowControl w:val="0"/>
              <w:spacing w:line="240" w:lineRule="auto"/>
              <w:ind w:firstLine="0"/>
              <w:jc w:val="center"/>
              <w:rPr>
                <w:rFonts w:ascii="Times New Roman" w:hAnsi="宋体" w:eastAsia="宋体" w:cs="Times New Roman"/>
                <w:color w:val="FF0000"/>
                <w:sz w:val="21"/>
                <w:szCs w:val="21"/>
                <w:lang w:val="en-US" w:eastAsia="zh-CN"/>
              </w:rPr>
            </w:pPr>
            <w:r>
              <w:rPr>
                <w:rFonts w:hint="eastAsia" w:ascii="Times New Roman" w:hAnsi="宋体" w:eastAsia="宋体" w:cs="Times New Roman"/>
                <w:color w:val="FF0000"/>
                <w:sz w:val="21"/>
                <w:szCs w:val="21"/>
                <w:lang w:val="en-US" w:eastAsia="zh-CN"/>
              </w:rPr>
              <w:t>加强管理，车间加强通风，发放员工个人防护用品</w:t>
            </w:r>
          </w:p>
        </w:tc>
        <w:tc>
          <w:tcPr>
            <w:tcW w:w="900" w:type="dxa"/>
            <w:noWrap w:val="0"/>
            <w:vAlign w:val="center"/>
          </w:tcPr>
          <w:p w14:paraId="762420B7">
            <w:pPr>
              <w:widowControl w:val="0"/>
              <w:spacing w:line="240" w:lineRule="auto"/>
              <w:ind w:firstLine="0"/>
              <w:jc w:val="center"/>
              <w:rPr>
                <w:rFonts w:ascii="Times New Roman" w:hAnsi="宋体" w:eastAsia="宋体" w:cs="Times New Roman"/>
                <w:color w:val="FF0000"/>
                <w:sz w:val="21"/>
                <w:szCs w:val="21"/>
                <w:lang w:val="en-US" w:eastAsia="zh-CN"/>
              </w:rPr>
            </w:pPr>
            <w:r>
              <w:rPr>
                <w:rFonts w:hint="eastAsia" w:ascii="Times New Roman" w:hAnsi="宋体" w:eastAsia="宋体" w:cs="Times New Roman"/>
                <w:color w:val="FF0000"/>
                <w:sz w:val="21"/>
                <w:szCs w:val="21"/>
                <w:lang w:val="en-US" w:eastAsia="zh-CN"/>
              </w:rPr>
              <w:t>/</w:t>
            </w:r>
          </w:p>
        </w:tc>
        <w:tc>
          <w:tcPr>
            <w:tcW w:w="1276" w:type="dxa"/>
            <w:noWrap w:val="0"/>
            <w:vAlign w:val="center"/>
          </w:tcPr>
          <w:p w14:paraId="5970370E">
            <w:pPr>
              <w:widowControl w:val="0"/>
              <w:spacing w:line="240" w:lineRule="auto"/>
              <w:ind w:firstLine="0"/>
              <w:jc w:val="center"/>
              <w:rPr>
                <w:rFonts w:ascii="Times New Roman" w:hAnsi="宋体" w:eastAsia="宋体" w:cs="Times New Roman"/>
                <w:color w:val="FF0000"/>
                <w:sz w:val="21"/>
                <w:szCs w:val="21"/>
                <w:lang w:val="en-US" w:eastAsia="zh-CN"/>
              </w:rPr>
            </w:pPr>
            <w:r>
              <w:rPr>
                <w:rFonts w:hint="eastAsia" w:ascii="Times New Roman" w:hAnsi="宋体" w:eastAsia="宋体" w:cs="Times New Roman"/>
                <w:color w:val="FF0000"/>
                <w:sz w:val="21"/>
                <w:szCs w:val="21"/>
                <w:lang w:val="en-US" w:eastAsia="zh-CN"/>
              </w:rPr>
              <w:t>3.0</w:t>
            </w:r>
          </w:p>
        </w:tc>
        <w:tc>
          <w:tcPr>
            <w:tcW w:w="1262" w:type="dxa"/>
            <w:noWrap w:val="0"/>
            <w:vAlign w:val="center"/>
          </w:tcPr>
          <w:p w14:paraId="6F845BA1">
            <w:pPr>
              <w:widowControl w:val="0"/>
              <w:spacing w:line="240" w:lineRule="auto"/>
              <w:ind w:firstLine="0"/>
              <w:jc w:val="center"/>
              <w:rPr>
                <w:rFonts w:ascii="Times New Roman" w:hAnsi="宋体" w:eastAsia="宋体" w:cs="Times New Roman"/>
                <w:color w:val="FF0000"/>
                <w:sz w:val="21"/>
                <w:szCs w:val="21"/>
                <w:lang w:val="en-US" w:eastAsia="zh-CN"/>
              </w:rPr>
            </w:pPr>
            <w:r>
              <w:rPr>
                <w:rFonts w:hint="eastAsia" w:ascii="Times New Roman" w:hAnsi="宋体" w:eastAsia="宋体" w:cs="Times New Roman"/>
                <w:color w:val="FF0000"/>
                <w:sz w:val="21"/>
                <w:szCs w:val="21"/>
                <w:lang w:val="en-US" w:eastAsia="zh-CN"/>
              </w:rPr>
              <w:t>环评提出</w:t>
            </w:r>
          </w:p>
        </w:tc>
      </w:tr>
      <w:tr w14:paraId="6C2FF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4E2F0AE9">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continue"/>
            <w:noWrap w:val="0"/>
            <w:vAlign w:val="center"/>
          </w:tcPr>
          <w:p w14:paraId="341CB4A2">
            <w:pPr>
              <w:widowControl w:val="0"/>
              <w:spacing w:line="240" w:lineRule="auto"/>
              <w:ind w:firstLine="0"/>
              <w:jc w:val="center"/>
              <w:rPr>
                <w:rFonts w:hint="eastAsia" w:ascii="宋体" w:hAnsi="宋体" w:eastAsia="宋体" w:cs="Times New Roman"/>
                <w:sz w:val="21"/>
                <w:szCs w:val="21"/>
                <w:lang w:val="en-GB"/>
              </w:rPr>
            </w:pPr>
          </w:p>
        </w:tc>
        <w:tc>
          <w:tcPr>
            <w:tcW w:w="2898" w:type="dxa"/>
            <w:noWrap w:val="0"/>
            <w:vAlign w:val="center"/>
          </w:tcPr>
          <w:p w14:paraId="16EB6C93">
            <w:pPr>
              <w:widowControl w:val="0"/>
              <w:spacing w:line="240" w:lineRule="auto"/>
              <w:ind w:firstLine="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eastAsia="zh-CN"/>
              </w:rPr>
              <w:t>食堂安装油烟净化装置</w:t>
            </w:r>
            <w:r>
              <w:rPr>
                <w:rFonts w:hint="eastAsia" w:ascii="Times New Roman" w:hAnsi="宋体" w:eastAsia="宋体" w:cs="Times New Roman"/>
                <w:sz w:val="21"/>
                <w:szCs w:val="21"/>
                <w:lang w:val="en-US" w:eastAsia="zh-CN"/>
              </w:rPr>
              <w:t>，净化效率不低于60%</w:t>
            </w:r>
          </w:p>
        </w:tc>
        <w:tc>
          <w:tcPr>
            <w:tcW w:w="900" w:type="dxa"/>
            <w:noWrap w:val="0"/>
            <w:vAlign w:val="center"/>
          </w:tcPr>
          <w:p w14:paraId="5B4EB5CA">
            <w:pPr>
              <w:widowControl w:val="0"/>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1套</w:t>
            </w:r>
          </w:p>
        </w:tc>
        <w:tc>
          <w:tcPr>
            <w:tcW w:w="1276" w:type="dxa"/>
            <w:noWrap w:val="0"/>
            <w:vAlign w:val="center"/>
          </w:tcPr>
          <w:p w14:paraId="7B5585C7">
            <w:pPr>
              <w:widowControl w:val="0"/>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c>
          <w:tcPr>
            <w:tcW w:w="1262" w:type="dxa"/>
            <w:noWrap w:val="0"/>
            <w:vAlign w:val="center"/>
          </w:tcPr>
          <w:p w14:paraId="6904A9E2">
            <w:pPr>
              <w:widowControl w:val="0"/>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环评提出</w:t>
            </w:r>
          </w:p>
        </w:tc>
      </w:tr>
      <w:tr w14:paraId="2F874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exact"/>
          <w:jc w:val="center"/>
        </w:trPr>
        <w:tc>
          <w:tcPr>
            <w:tcW w:w="846" w:type="dxa"/>
            <w:vMerge w:val="continue"/>
            <w:noWrap w:val="0"/>
            <w:vAlign w:val="center"/>
          </w:tcPr>
          <w:p w14:paraId="2F099BE8">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restart"/>
            <w:noWrap w:val="0"/>
            <w:vAlign w:val="center"/>
          </w:tcPr>
          <w:p w14:paraId="331E6441">
            <w:pPr>
              <w:widowControl w:val="0"/>
              <w:spacing w:line="240" w:lineRule="auto"/>
              <w:ind w:firstLine="0"/>
              <w:jc w:val="center"/>
              <w:rPr>
                <w:rFonts w:hint="eastAsia" w:ascii="宋体" w:hAnsi="宋体" w:eastAsia="宋体" w:cs="Times New Roman"/>
                <w:sz w:val="21"/>
                <w:szCs w:val="21"/>
              </w:rPr>
            </w:pPr>
            <w:r>
              <w:rPr>
                <w:rFonts w:hint="eastAsia" w:ascii="宋体" w:hAnsi="宋体" w:eastAsia="宋体" w:cs="Times New Roman"/>
                <w:sz w:val="21"/>
                <w:szCs w:val="21"/>
              </w:rPr>
              <w:t>废水</w:t>
            </w:r>
          </w:p>
        </w:tc>
        <w:tc>
          <w:tcPr>
            <w:tcW w:w="2898" w:type="dxa"/>
            <w:noWrap w:val="0"/>
            <w:vAlign w:val="center"/>
          </w:tcPr>
          <w:p w14:paraId="2B5B6553">
            <w:pPr>
              <w:widowControl w:val="0"/>
              <w:spacing w:line="240" w:lineRule="auto"/>
              <w:ind w:firstLine="0"/>
              <w:jc w:val="center"/>
              <w:rPr>
                <w:rFonts w:hint="eastAsia" w:ascii="宋体" w:hAnsi="宋体" w:eastAsia="宋体" w:cs="Times New Roman"/>
                <w:sz w:val="21"/>
                <w:szCs w:val="21"/>
                <w:lang w:eastAsia="zh-CN"/>
              </w:rPr>
            </w:pPr>
            <w:r>
              <w:rPr>
                <w:rFonts w:hint="eastAsia" w:ascii="宋体" w:hAnsi="宋体" w:eastAsia="宋体" w:cs="Times New Roman"/>
                <w:sz w:val="21"/>
                <w:szCs w:val="21"/>
              </w:rPr>
              <w:t>雨污分流系统</w:t>
            </w:r>
            <w:r>
              <w:rPr>
                <w:rFonts w:hint="eastAsia" w:ascii="宋体" w:hAnsi="宋体" w:eastAsia="宋体" w:cs="Times New Roman"/>
                <w:sz w:val="21"/>
                <w:szCs w:val="21"/>
                <w:lang w:eastAsia="zh-CN"/>
              </w:rPr>
              <w:t>改造</w:t>
            </w:r>
          </w:p>
        </w:tc>
        <w:tc>
          <w:tcPr>
            <w:tcW w:w="900" w:type="dxa"/>
            <w:noWrap w:val="0"/>
            <w:vAlign w:val="center"/>
          </w:tcPr>
          <w:p w14:paraId="24D08E98">
            <w:pPr>
              <w:widowControl w:val="0"/>
              <w:spacing w:line="240" w:lineRule="auto"/>
              <w:ind w:firstLine="0"/>
              <w:jc w:val="center"/>
              <w:rPr>
                <w:rFonts w:hint="eastAsia" w:ascii="Times New Roman" w:hAnsi="Times New Roman" w:eastAsia="宋体" w:cs="Times New Roman"/>
                <w:sz w:val="21"/>
                <w:szCs w:val="21"/>
                <w:lang w:val="en-GB" w:eastAsia="zh-TW"/>
              </w:rPr>
            </w:pPr>
            <w:r>
              <w:rPr>
                <w:rFonts w:hint="eastAsia" w:ascii="Times New Roman" w:hAnsi="Times New Roman" w:eastAsia="宋体" w:cs="Times New Roman"/>
                <w:sz w:val="21"/>
                <w:szCs w:val="21"/>
                <w:lang w:val="en-GB" w:eastAsia="zh-TW"/>
              </w:rPr>
              <w:t>1套</w:t>
            </w:r>
          </w:p>
        </w:tc>
        <w:tc>
          <w:tcPr>
            <w:tcW w:w="1276" w:type="dxa"/>
            <w:noWrap w:val="0"/>
            <w:vAlign w:val="center"/>
          </w:tcPr>
          <w:p w14:paraId="1AFD2FFF">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262" w:type="dxa"/>
            <w:noWrap w:val="0"/>
            <w:vAlign w:val="center"/>
          </w:tcPr>
          <w:p w14:paraId="2AF78634">
            <w:pPr>
              <w:widowControl w:val="0"/>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环评提出</w:t>
            </w:r>
          </w:p>
        </w:tc>
      </w:tr>
      <w:tr w14:paraId="36593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exact"/>
          <w:jc w:val="center"/>
        </w:trPr>
        <w:tc>
          <w:tcPr>
            <w:tcW w:w="846" w:type="dxa"/>
            <w:vMerge w:val="continue"/>
            <w:noWrap w:val="0"/>
            <w:vAlign w:val="center"/>
          </w:tcPr>
          <w:p w14:paraId="0E358A77">
            <w:pPr>
              <w:widowControl w:val="0"/>
              <w:spacing w:line="240" w:lineRule="auto"/>
              <w:ind w:firstLine="0"/>
              <w:jc w:val="center"/>
              <w:rPr>
                <w:rFonts w:hint="eastAsia" w:ascii="Times New Roman" w:hAnsi="Times New Roman" w:eastAsia="宋体" w:cs="Times New Roman"/>
                <w:sz w:val="21"/>
                <w:szCs w:val="21"/>
                <w:highlight w:val="yellow"/>
              </w:rPr>
            </w:pPr>
          </w:p>
        </w:tc>
        <w:tc>
          <w:tcPr>
            <w:tcW w:w="1133" w:type="dxa"/>
            <w:vMerge w:val="continue"/>
            <w:noWrap w:val="0"/>
            <w:vAlign w:val="center"/>
          </w:tcPr>
          <w:p w14:paraId="13049CDD">
            <w:pPr>
              <w:widowControl w:val="0"/>
              <w:spacing w:line="240" w:lineRule="auto"/>
              <w:ind w:firstLine="0"/>
              <w:jc w:val="center"/>
              <w:rPr>
                <w:rFonts w:hint="eastAsia" w:ascii="Times New Roman" w:hAnsi="Times New Roman" w:eastAsia="宋体" w:cs="Times New Roman"/>
                <w:sz w:val="21"/>
                <w:szCs w:val="21"/>
                <w:highlight w:val="yellow"/>
                <w:lang w:val="en-GB"/>
              </w:rPr>
            </w:pPr>
          </w:p>
        </w:tc>
        <w:tc>
          <w:tcPr>
            <w:tcW w:w="2898" w:type="dxa"/>
            <w:noWrap w:val="0"/>
            <w:vAlign w:val="center"/>
          </w:tcPr>
          <w:p w14:paraId="39D0C424">
            <w:pPr>
              <w:pStyle w:val="445"/>
              <w:widowControl w:val="0"/>
              <w:ind w:firstLine="0"/>
              <w:jc w:val="center"/>
              <w:rPr>
                <w:rFonts w:hint="eastAsia" w:ascii="Times New Roman" w:hAnsi="Times New Roman" w:eastAsia="宋体" w:cs="Times New Roman"/>
                <w:sz w:val="21"/>
                <w:szCs w:val="21"/>
                <w:lang w:val="en-GB"/>
              </w:rPr>
            </w:pPr>
            <w:r>
              <w:rPr>
                <w:color w:val="000000"/>
                <w:sz w:val="21"/>
                <w:szCs w:val="21"/>
                <w:lang w:val="en-US"/>
              </w:rPr>
              <w:t>隔油沉淀池</w:t>
            </w:r>
            <w:r>
              <w:rPr>
                <w:rFonts w:hint="eastAsia"/>
                <w:color w:val="000000"/>
                <w:sz w:val="21"/>
                <w:szCs w:val="21"/>
                <w:lang w:val="en-US" w:eastAsia="zh-CN"/>
              </w:rPr>
              <w:t>8.0</w:t>
            </w:r>
            <w:r>
              <w:rPr>
                <w:color w:val="000000"/>
                <w:sz w:val="21"/>
                <w:szCs w:val="21"/>
                <w:lang w:val="en-US"/>
              </w:rPr>
              <w:t>m</w:t>
            </w:r>
            <w:r>
              <w:rPr>
                <w:color w:val="000000"/>
                <w:sz w:val="21"/>
                <w:szCs w:val="21"/>
                <w:vertAlign w:val="superscript"/>
                <w:lang w:val="en-US"/>
              </w:rPr>
              <w:t>3</w:t>
            </w:r>
          </w:p>
        </w:tc>
        <w:tc>
          <w:tcPr>
            <w:tcW w:w="900" w:type="dxa"/>
            <w:noWrap w:val="0"/>
            <w:vAlign w:val="center"/>
          </w:tcPr>
          <w:p w14:paraId="67D0095D">
            <w:pPr>
              <w:widowControl w:val="0"/>
              <w:spacing w:line="240" w:lineRule="auto"/>
              <w:ind w:firstLine="0"/>
              <w:jc w:val="center"/>
              <w:rPr>
                <w:rFonts w:hint="eastAsia" w:ascii="Times New Roman" w:hAnsi="Times New Roman" w:eastAsia="宋体" w:cs="Times New Roman"/>
                <w:sz w:val="21"/>
                <w:szCs w:val="21"/>
                <w:lang w:val="en-GB" w:eastAsia="zh-TW"/>
              </w:rPr>
            </w:pPr>
            <w:r>
              <w:rPr>
                <w:rFonts w:hint="eastAsia" w:ascii="Times New Roman" w:hAnsi="Times New Roman" w:eastAsia="宋体" w:cs="Times New Roman"/>
                <w:sz w:val="21"/>
                <w:szCs w:val="21"/>
                <w:lang w:val="en-GB" w:eastAsia="zh-TW"/>
              </w:rPr>
              <w:t>1座</w:t>
            </w:r>
          </w:p>
        </w:tc>
        <w:tc>
          <w:tcPr>
            <w:tcW w:w="1276" w:type="dxa"/>
            <w:noWrap w:val="0"/>
            <w:vAlign w:val="center"/>
          </w:tcPr>
          <w:p w14:paraId="40232F74">
            <w:pPr>
              <w:widowControl w:val="0"/>
              <w:spacing w:line="240" w:lineRule="auto"/>
              <w:ind w:firstLine="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0.2</w:t>
            </w:r>
          </w:p>
        </w:tc>
        <w:tc>
          <w:tcPr>
            <w:tcW w:w="1262" w:type="dxa"/>
            <w:noWrap w:val="0"/>
            <w:vAlign w:val="center"/>
          </w:tcPr>
          <w:p w14:paraId="15689CB6">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环评提出</w:t>
            </w:r>
          </w:p>
        </w:tc>
      </w:tr>
      <w:tr w14:paraId="3F9B1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exact"/>
          <w:jc w:val="center"/>
        </w:trPr>
        <w:tc>
          <w:tcPr>
            <w:tcW w:w="846" w:type="dxa"/>
            <w:vMerge w:val="continue"/>
            <w:noWrap w:val="0"/>
            <w:vAlign w:val="center"/>
          </w:tcPr>
          <w:p w14:paraId="1C595DA2">
            <w:pPr>
              <w:widowControl w:val="0"/>
              <w:spacing w:line="240" w:lineRule="auto"/>
              <w:ind w:firstLine="0"/>
              <w:jc w:val="center"/>
              <w:rPr>
                <w:rFonts w:hint="eastAsia" w:ascii="Times New Roman" w:hAnsi="Times New Roman" w:eastAsia="宋体" w:cs="Times New Roman"/>
                <w:sz w:val="21"/>
                <w:szCs w:val="21"/>
                <w:highlight w:val="yellow"/>
              </w:rPr>
            </w:pPr>
          </w:p>
        </w:tc>
        <w:tc>
          <w:tcPr>
            <w:tcW w:w="1133" w:type="dxa"/>
            <w:vMerge w:val="continue"/>
            <w:noWrap w:val="0"/>
            <w:vAlign w:val="center"/>
          </w:tcPr>
          <w:p w14:paraId="1F390DF8">
            <w:pPr>
              <w:widowControl w:val="0"/>
              <w:spacing w:line="240" w:lineRule="auto"/>
              <w:ind w:firstLine="0"/>
              <w:jc w:val="center"/>
              <w:rPr>
                <w:rFonts w:hint="eastAsia" w:ascii="Times New Roman" w:hAnsi="Times New Roman" w:eastAsia="宋体" w:cs="Times New Roman"/>
                <w:sz w:val="21"/>
                <w:szCs w:val="21"/>
                <w:highlight w:val="yellow"/>
                <w:lang w:val="en-GB"/>
              </w:rPr>
            </w:pPr>
          </w:p>
        </w:tc>
        <w:tc>
          <w:tcPr>
            <w:tcW w:w="2898" w:type="dxa"/>
            <w:noWrap w:val="0"/>
            <w:vAlign w:val="center"/>
          </w:tcPr>
          <w:p w14:paraId="4C23D048">
            <w:pPr>
              <w:widowControl w:val="0"/>
              <w:spacing w:line="240" w:lineRule="auto"/>
              <w:ind w:firstLine="0"/>
              <w:jc w:val="center"/>
              <w:rPr>
                <w:rFonts w:hint="eastAsia" w:ascii="Times New Roman" w:hAnsi="Times New Roman" w:eastAsia="宋体" w:cs="Times New Roman"/>
                <w:sz w:val="21"/>
                <w:szCs w:val="21"/>
              </w:rPr>
            </w:pPr>
            <w:r>
              <w:rPr>
                <w:rFonts w:hint="eastAsia"/>
                <w:bCs/>
                <w:sz w:val="21"/>
                <w:szCs w:val="21"/>
                <w:lang w:val="en-US" w:eastAsia="zh-CN"/>
              </w:rPr>
              <w:t>化粪池6座，总容积80</w:t>
            </w:r>
            <w:r>
              <w:rPr>
                <w:rFonts w:hint="eastAsia"/>
                <w:bCs/>
                <w:sz w:val="21"/>
                <w:szCs w:val="21"/>
              </w:rPr>
              <w:t>m</w:t>
            </w:r>
            <w:r>
              <w:rPr>
                <w:rFonts w:hint="eastAsia"/>
                <w:bCs/>
                <w:sz w:val="21"/>
                <w:szCs w:val="21"/>
                <w:vertAlign w:val="superscript"/>
              </w:rPr>
              <w:t>3</w:t>
            </w:r>
            <w:r>
              <w:rPr>
                <w:rFonts w:hint="eastAsia"/>
                <w:bCs/>
                <w:sz w:val="21"/>
                <w:szCs w:val="21"/>
              </w:rPr>
              <w:t>/d</w:t>
            </w:r>
          </w:p>
        </w:tc>
        <w:tc>
          <w:tcPr>
            <w:tcW w:w="900" w:type="dxa"/>
            <w:noWrap w:val="0"/>
            <w:vAlign w:val="center"/>
          </w:tcPr>
          <w:p w14:paraId="56E985F1">
            <w:pPr>
              <w:widowControl w:val="0"/>
              <w:spacing w:line="240" w:lineRule="auto"/>
              <w:ind w:firstLine="0"/>
              <w:jc w:val="center"/>
              <w:rPr>
                <w:rFonts w:hint="eastAsia" w:ascii="Times New Roman" w:hAnsi="Times New Roman" w:eastAsia="宋体" w:cs="Times New Roman"/>
                <w:sz w:val="21"/>
                <w:szCs w:val="21"/>
                <w:lang w:val="en-GB" w:eastAsia="zh-TW"/>
              </w:rPr>
            </w:pPr>
            <w:r>
              <w:rPr>
                <w:rFonts w:hint="eastAsia" w:ascii="Times New Roman" w:hAnsi="Times New Roman" w:eastAsia="宋体" w:cs="Times New Roman"/>
                <w:sz w:val="21"/>
                <w:szCs w:val="21"/>
                <w:lang w:val="en-US" w:eastAsia="zh-CN"/>
              </w:rPr>
              <w:t>6</w:t>
            </w:r>
            <w:r>
              <w:rPr>
                <w:rFonts w:hint="eastAsia" w:ascii="Times New Roman" w:hAnsi="Times New Roman" w:eastAsia="宋体" w:cs="Times New Roman"/>
                <w:sz w:val="21"/>
                <w:szCs w:val="21"/>
                <w:lang w:val="en-GB" w:eastAsia="zh-TW"/>
              </w:rPr>
              <w:t>座</w:t>
            </w:r>
          </w:p>
        </w:tc>
        <w:tc>
          <w:tcPr>
            <w:tcW w:w="1276" w:type="dxa"/>
            <w:noWrap w:val="0"/>
            <w:vAlign w:val="center"/>
          </w:tcPr>
          <w:p w14:paraId="068F83A0">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262" w:type="dxa"/>
            <w:noWrap w:val="0"/>
            <w:vAlign w:val="center"/>
          </w:tcPr>
          <w:p w14:paraId="1116374F">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14:paraId="0C843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exact"/>
          <w:jc w:val="center"/>
        </w:trPr>
        <w:tc>
          <w:tcPr>
            <w:tcW w:w="846" w:type="dxa"/>
            <w:vMerge w:val="continue"/>
            <w:noWrap w:val="0"/>
            <w:vAlign w:val="center"/>
          </w:tcPr>
          <w:p w14:paraId="6DC52546">
            <w:pPr>
              <w:widowControl w:val="0"/>
              <w:spacing w:line="240" w:lineRule="auto"/>
              <w:ind w:firstLine="0"/>
              <w:jc w:val="center"/>
              <w:rPr>
                <w:rFonts w:hint="eastAsia" w:ascii="Times New Roman" w:hAnsi="Times New Roman" w:eastAsia="宋体" w:cs="Times New Roman"/>
                <w:sz w:val="21"/>
                <w:szCs w:val="21"/>
                <w:highlight w:val="yellow"/>
              </w:rPr>
            </w:pPr>
          </w:p>
        </w:tc>
        <w:tc>
          <w:tcPr>
            <w:tcW w:w="1133" w:type="dxa"/>
            <w:vMerge w:val="continue"/>
            <w:noWrap w:val="0"/>
            <w:vAlign w:val="center"/>
          </w:tcPr>
          <w:p w14:paraId="389F9470">
            <w:pPr>
              <w:widowControl w:val="0"/>
              <w:spacing w:line="240" w:lineRule="auto"/>
              <w:ind w:firstLine="0"/>
              <w:jc w:val="center"/>
              <w:rPr>
                <w:rFonts w:hint="eastAsia" w:ascii="Times New Roman" w:hAnsi="Times New Roman" w:eastAsia="宋体" w:cs="Times New Roman"/>
                <w:sz w:val="21"/>
                <w:szCs w:val="21"/>
                <w:highlight w:val="yellow"/>
                <w:lang w:val="en-GB"/>
              </w:rPr>
            </w:pPr>
          </w:p>
        </w:tc>
        <w:tc>
          <w:tcPr>
            <w:tcW w:w="2898" w:type="dxa"/>
            <w:noWrap w:val="0"/>
            <w:vAlign w:val="center"/>
          </w:tcPr>
          <w:p w14:paraId="17E036F9">
            <w:pPr>
              <w:widowControl w:val="0"/>
              <w:spacing w:line="240" w:lineRule="auto"/>
              <w:ind w:firstLine="0"/>
              <w:jc w:val="center"/>
              <w:rPr>
                <w:rFonts w:hint="eastAsia" w:ascii="Times New Roman" w:hAnsi="宋体" w:eastAsia="宋体" w:cs="Times New Roman"/>
                <w:sz w:val="21"/>
                <w:szCs w:val="21"/>
                <w:lang w:eastAsia="zh-CN"/>
              </w:rPr>
            </w:pPr>
            <w:r>
              <w:rPr>
                <w:rFonts w:hint="eastAsia"/>
                <w:bCs/>
                <w:sz w:val="21"/>
                <w:szCs w:val="21"/>
                <w:lang w:val="en-US" w:eastAsia="zh-CN"/>
              </w:rPr>
              <w:t>初期雨水收集池兼顾</w:t>
            </w:r>
            <w:r>
              <w:rPr>
                <w:rFonts w:hint="eastAsia"/>
                <w:bCs/>
                <w:sz w:val="21"/>
                <w:szCs w:val="21"/>
              </w:rPr>
              <w:t>事故应急池（容积</w:t>
            </w:r>
            <w:r>
              <w:rPr>
                <w:rFonts w:hint="eastAsia"/>
                <w:bCs/>
                <w:sz w:val="21"/>
                <w:szCs w:val="21"/>
                <w:lang w:val="en-US" w:eastAsia="zh-CN"/>
              </w:rPr>
              <w:t>150</w:t>
            </w:r>
            <w:r>
              <w:rPr>
                <w:rFonts w:hint="eastAsia"/>
                <w:bCs/>
                <w:sz w:val="21"/>
                <w:szCs w:val="21"/>
              </w:rPr>
              <w:t>m</w:t>
            </w:r>
            <w:r>
              <w:rPr>
                <w:rFonts w:hint="eastAsia"/>
                <w:bCs/>
                <w:sz w:val="21"/>
                <w:szCs w:val="21"/>
                <w:vertAlign w:val="superscript"/>
              </w:rPr>
              <w:t>3</w:t>
            </w:r>
            <w:r>
              <w:rPr>
                <w:rFonts w:hint="eastAsia"/>
                <w:bCs/>
                <w:sz w:val="21"/>
                <w:szCs w:val="21"/>
              </w:rPr>
              <w:t>）</w:t>
            </w:r>
          </w:p>
        </w:tc>
        <w:tc>
          <w:tcPr>
            <w:tcW w:w="900" w:type="dxa"/>
            <w:noWrap w:val="0"/>
            <w:vAlign w:val="center"/>
          </w:tcPr>
          <w:p w14:paraId="04B18F46">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1座</w:t>
            </w:r>
          </w:p>
        </w:tc>
        <w:tc>
          <w:tcPr>
            <w:tcW w:w="1276" w:type="dxa"/>
            <w:noWrap w:val="0"/>
            <w:vAlign w:val="center"/>
          </w:tcPr>
          <w:p w14:paraId="3E1CBF5E">
            <w:pPr>
              <w:widowControl w:val="0"/>
              <w:spacing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w:t>
            </w:r>
          </w:p>
        </w:tc>
        <w:tc>
          <w:tcPr>
            <w:tcW w:w="1262" w:type="dxa"/>
            <w:noWrap w:val="0"/>
            <w:vAlign w:val="center"/>
          </w:tcPr>
          <w:p w14:paraId="679D4930">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环评提出</w:t>
            </w:r>
          </w:p>
        </w:tc>
      </w:tr>
      <w:tr w14:paraId="3EBAC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exact"/>
          <w:jc w:val="center"/>
        </w:trPr>
        <w:tc>
          <w:tcPr>
            <w:tcW w:w="846" w:type="dxa"/>
            <w:vMerge w:val="continue"/>
            <w:noWrap w:val="0"/>
            <w:vAlign w:val="center"/>
          </w:tcPr>
          <w:p w14:paraId="38FE3E7D">
            <w:pPr>
              <w:widowControl w:val="0"/>
              <w:spacing w:line="240" w:lineRule="auto"/>
              <w:ind w:firstLine="0"/>
              <w:jc w:val="center"/>
              <w:rPr>
                <w:rFonts w:hint="eastAsia" w:ascii="Times New Roman" w:hAnsi="Times New Roman" w:eastAsia="宋体" w:cs="Times New Roman"/>
                <w:sz w:val="21"/>
                <w:szCs w:val="21"/>
                <w:highlight w:val="yellow"/>
              </w:rPr>
            </w:pPr>
          </w:p>
        </w:tc>
        <w:tc>
          <w:tcPr>
            <w:tcW w:w="1133" w:type="dxa"/>
            <w:vMerge w:val="continue"/>
            <w:noWrap w:val="0"/>
            <w:vAlign w:val="center"/>
          </w:tcPr>
          <w:p w14:paraId="403A920C">
            <w:pPr>
              <w:widowControl w:val="0"/>
              <w:spacing w:line="240" w:lineRule="auto"/>
              <w:ind w:firstLine="0"/>
              <w:jc w:val="center"/>
              <w:rPr>
                <w:rFonts w:hint="eastAsia" w:ascii="Times New Roman" w:hAnsi="Times New Roman" w:eastAsia="宋体" w:cs="Times New Roman"/>
                <w:sz w:val="21"/>
                <w:szCs w:val="21"/>
                <w:highlight w:val="yellow"/>
                <w:lang w:val="en-GB"/>
              </w:rPr>
            </w:pPr>
          </w:p>
        </w:tc>
        <w:tc>
          <w:tcPr>
            <w:tcW w:w="2898" w:type="dxa"/>
            <w:noWrap w:val="0"/>
            <w:vAlign w:val="center"/>
          </w:tcPr>
          <w:p w14:paraId="50092754">
            <w:pPr>
              <w:widowControl w:val="0"/>
              <w:spacing w:line="240" w:lineRule="auto"/>
              <w:ind w:firstLine="0"/>
              <w:jc w:val="center"/>
              <w:rPr>
                <w:rFonts w:hint="eastAsia" w:ascii="Times New Roman" w:hAnsi="宋体" w:eastAsia="宋体" w:cs="Times New Roman"/>
                <w:sz w:val="21"/>
                <w:szCs w:val="21"/>
              </w:rPr>
            </w:pPr>
            <w:r>
              <w:rPr>
                <w:rFonts w:hint="eastAsia" w:ascii="Times New Roman" w:hAnsi="宋体" w:eastAsia="宋体" w:cs="Times New Roman"/>
                <w:sz w:val="21"/>
                <w:szCs w:val="21"/>
              </w:rPr>
              <w:t>规范化排污口</w:t>
            </w:r>
          </w:p>
        </w:tc>
        <w:tc>
          <w:tcPr>
            <w:tcW w:w="900" w:type="dxa"/>
            <w:noWrap w:val="0"/>
            <w:vAlign w:val="center"/>
          </w:tcPr>
          <w:p w14:paraId="547B087E">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noWrap w:val="0"/>
            <w:vAlign w:val="center"/>
          </w:tcPr>
          <w:p w14:paraId="7CD92C35">
            <w:pPr>
              <w:widowControl w:val="0"/>
              <w:spacing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0.8</w:t>
            </w:r>
          </w:p>
        </w:tc>
        <w:tc>
          <w:tcPr>
            <w:tcW w:w="1262" w:type="dxa"/>
            <w:noWrap w:val="0"/>
            <w:vAlign w:val="center"/>
          </w:tcPr>
          <w:p w14:paraId="5E1CF680">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环评提出</w:t>
            </w:r>
          </w:p>
        </w:tc>
      </w:tr>
      <w:tr w14:paraId="591E0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exact"/>
          <w:jc w:val="center"/>
        </w:trPr>
        <w:tc>
          <w:tcPr>
            <w:tcW w:w="846" w:type="dxa"/>
            <w:vMerge w:val="continue"/>
            <w:noWrap w:val="0"/>
            <w:vAlign w:val="center"/>
          </w:tcPr>
          <w:p w14:paraId="77938C82">
            <w:pPr>
              <w:widowControl w:val="0"/>
              <w:spacing w:line="240" w:lineRule="auto"/>
              <w:ind w:firstLine="0"/>
              <w:jc w:val="center"/>
              <w:rPr>
                <w:rFonts w:hint="eastAsia" w:ascii="Times New Roman" w:hAnsi="Times New Roman" w:eastAsia="宋体" w:cs="Times New Roman"/>
                <w:sz w:val="21"/>
                <w:szCs w:val="21"/>
              </w:rPr>
            </w:pPr>
          </w:p>
        </w:tc>
        <w:tc>
          <w:tcPr>
            <w:tcW w:w="1133" w:type="dxa"/>
            <w:noWrap w:val="0"/>
            <w:vAlign w:val="center"/>
          </w:tcPr>
          <w:p w14:paraId="154E06CD">
            <w:pPr>
              <w:widowControl w:val="0"/>
              <w:spacing w:line="240" w:lineRule="auto"/>
              <w:ind w:firstLine="0"/>
              <w:jc w:val="center"/>
              <w:rPr>
                <w:rFonts w:hint="eastAsia" w:ascii="Times New Roman" w:hAnsi="Times New Roman" w:eastAsia="宋体" w:cs="Times New Roman"/>
                <w:sz w:val="21"/>
                <w:szCs w:val="21"/>
                <w:lang w:val="en-GB"/>
              </w:rPr>
            </w:pPr>
            <w:r>
              <w:rPr>
                <w:rFonts w:hint="eastAsia" w:ascii="Times New Roman" w:hAnsi="Times New Roman" w:eastAsia="宋体" w:cs="Times New Roman"/>
                <w:sz w:val="21"/>
                <w:szCs w:val="21"/>
                <w:lang w:val="en-GB"/>
              </w:rPr>
              <w:t>噪声</w:t>
            </w:r>
          </w:p>
        </w:tc>
        <w:tc>
          <w:tcPr>
            <w:tcW w:w="2898" w:type="dxa"/>
            <w:noWrap w:val="0"/>
            <w:vAlign w:val="center"/>
          </w:tcPr>
          <w:p w14:paraId="27CC64B0">
            <w:pPr>
              <w:widowControl/>
              <w:spacing w:line="240" w:lineRule="auto"/>
              <w:ind w:firstLine="0"/>
              <w:jc w:val="center"/>
              <w:rPr>
                <w:rFonts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进一步加强基础减震、防振措施，隔声措施等，同时合理控制高噪声运行时间</w:t>
            </w:r>
          </w:p>
        </w:tc>
        <w:tc>
          <w:tcPr>
            <w:tcW w:w="900" w:type="dxa"/>
            <w:noWrap w:val="0"/>
            <w:vAlign w:val="center"/>
          </w:tcPr>
          <w:p w14:paraId="2EE1469A">
            <w:pPr>
              <w:widowControl/>
              <w:spacing w:line="240" w:lineRule="auto"/>
              <w:ind w:firstLine="0"/>
              <w:jc w:val="center"/>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w:t>
            </w:r>
          </w:p>
        </w:tc>
        <w:tc>
          <w:tcPr>
            <w:tcW w:w="1276" w:type="dxa"/>
            <w:noWrap w:val="0"/>
            <w:vAlign w:val="center"/>
          </w:tcPr>
          <w:p w14:paraId="319B5B07">
            <w:pPr>
              <w:widowControl/>
              <w:spacing w:line="240" w:lineRule="auto"/>
              <w:ind w:firstLine="0"/>
              <w:jc w:val="center"/>
              <w:rPr>
                <w:rFonts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2.0</w:t>
            </w:r>
          </w:p>
        </w:tc>
        <w:tc>
          <w:tcPr>
            <w:tcW w:w="1262" w:type="dxa"/>
            <w:noWrap w:val="0"/>
            <w:vAlign w:val="center"/>
          </w:tcPr>
          <w:p w14:paraId="2DB6E37B">
            <w:pPr>
              <w:widowControl w:val="0"/>
              <w:spacing w:line="240" w:lineRule="auto"/>
              <w:ind w:firstLine="0"/>
              <w:jc w:val="center"/>
              <w:rPr>
                <w:rFonts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环评提出</w:t>
            </w:r>
          </w:p>
        </w:tc>
      </w:tr>
      <w:tr w14:paraId="21840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exact"/>
          <w:jc w:val="center"/>
        </w:trPr>
        <w:tc>
          <w:tcPr>
            <w:tcW w:w="846" w:type="dxa"/>
            <w:vMerge w:val="continue"/>
            <w:noWrap w:val="0"/>
            <w:vAlign w:val="center"/>
          </w:tcPr>
          <w:p w14:paraId="2EDC251C">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restart"/>
            <w:noWrap w:val="0"/>
            <w:vAlign w:val="center"/>
          </w:tcPr>
          <w:p w14:paraId="7B72F978">
            <w:pPr>
              <w:widowControl w:val="0"/>
              <w:spacing w:line="240" w:lineRule="auto"/>
              <w:ind w:firstLine="0"/>
              <w:jc w:val="center"/>
              <w:rPr>
                <w:rFonts w:hint="eastAsia" w:ascii="Times New Roman" w:hAnsi="Times New Roman" w:eastAsia="宋体" w:cs="Times New Roman"/>
                <w:sz w:val="21"/>
                <w:szCs w:val="21"/>
                <w:lang w:val="en-GB"/>
              </w:rPr>
            </w:pPr>
            <w:r>
              <w:rPr>
                <w:rFonts w:hint="eastAsia" w:ascii="Times New Roman" w:hAnsi="Times New Roman" w:eastAsia="宋体" w:cs="Times New Roman"/>
                <w:sz w:val="21"/>
                <w:szCs w:val="21"/>
                <w:lang w:val="en-GB"/>
              </w:rPr>
              <w:t>固废</w:t>
            </w:r>
          </w:p>
        </w:tc>
        <w:tc>
          <w:tcPr>
            <w:tcW w:w="2898" w:type="dxa"/>
            <w:noWrap w:val="0"/>
            <w:vAlign w:val="center"/>
          </w:tcPr>
          <w:p w14:paraId="638891EC">
            <w:pPr>
              <w:pStyle w:val="445"/>
              <w:widowControl w:val="0"/>
              <w:ind w:firstLine="0"/>
              <w:jc w:val="center"/>
              <w:rPr>
                <w:rFonts w:hint="eastAsia" w:ascii="Times New Roman" w:hAnsi="Times New Roman" w:eastAsia="宋体" w:cs="Times New Roman"/>
                <w:sz w:val="21"/>
                <w:szCs w:val="21"/>
              </w:rPr>
            </w:pPr>
            <w:r>
              <w:rPr>
                <w:rFonts w:hint="eastAsia"/>
                <w:color w:val="000000"/>
                <w:sz w:val="21"/>
                <w:szCs w:val="21"/>
                <w:lang w:val="en-US" w:eastAsia="zh-CN"/>
              </w:rPr>
              <w:t>环保垃圾收集桶5</w:t>
            </w:r>
            <w:r>
              <w:rPr>
                <w:rFonts w:hint="eastAsia"/>
                <w:color w:val="000000"/>
                <w:sz w:val="21"/>
                <w:szCs w:val="21"/>
              </w:rPr>
              <w:t>个</w:t>
            </w:r>
          </w:p>
        </w:tc>
        <w:tc>
          <w:tcPr>
            <w:tcW w:w="900" w:type="dxa"/>
            <w:noWrap w:val="0"/>
            <w:vAlign w:val="center"/>
          </w:tcPr>
          <w:p w14:paraId="21249A01">
            <w:pPr>
              <w:widowControl/>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1276" w:type="dxa"/>
            <w:noWrap w:val="0"/>
            <w:vAlign w:val="center"/>
          </w:tcPr>
          <w:p w14:paraId="469FAADF">
            <w:pPr>
              <w:widowControl/>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1262" w:type="dxa"/>
            <w:noWrap w:val="0"/>
            <w:vAlign w:val="center"/>
          </w:tcPr>
          <w:p w14:paraId="6CABE78D">
            <w:pPr>
              <w:widowControl w:val="0"/>
              <w:spacing w:line="240" w:lineRule="auto"/>
              <w:ind w:left="0"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依托</w:t>
            </w:r>
            <w:r>
              <w:rPr>
                <w:rFonts w:hint="eastAsia" w:ascii="Times New Roman" w:hAnsi="Times New Roman" w:eastAsia="宋体" w:cs="Times New Roman"/>
                <w:sz w:val="21"/>
                <w:szCs w:val="21"/>
                <w:lang w:val="en-US" w:eastAsia="zh-CN"/>
              </w:rPr>
              <w:t>原</w:t>
            </w:r>
            <w:r>
              <w:rPr>
                <w:rFonts w:hint="eastAsia" w:ascii="Times New Roman" w:hAnsi="Times New Roman" w:eastAsia="宋体" w:cs="Times New Roman"/>
                <w:sz w:val="21"/>
                <w:szCs w:val="21"/>
                <w:lang w:eastAsia="zh-CN"/>
              </w:rPr>
              <w:t>有</w:t>
            </w:r>
          </w:p>
        </w:tc>
      </w:tr>
      <w:tr w14:paraId="0E7EB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exact"/>
          <w:jc w:val="center"/>
        </w:trPr>
        <w:tc>
          <w:tcPr>
            <w:tcW w:w="846" w:type="dxa"/>
            <w:vMerge w:val="continue"/>
            <w:noWrap w:val="0"/>
            <w:vAlign w:val="center"/>
          </w:tcPr>
          <w:p w14:paraId="300DFDB8">
            <w:pPr>
              <w:widowControl w:val="0"/>
              <w:spacing w:line="240" w:lineRule="auto"/>
              <w:ind w:firstLine="0"/>
              <w:jc w:val="center"/>
              <w:rPr>
                <w:rFonts w:hint="eastAsia" w:ascii="Times New Roman" w:hAnsi="Times New Roman" w:eastAsia="宋体" w:cs="Times New Roman"/>
                <w:sz w:val="21"/>
                <w:szCs w:val="21"/>
              </w:rPr>
            </w:pPr>
          </w:p>
        </w:tc>
        <w:tc>
          <w:tcPr>
            <w:tcW w:w="1133" w:type="dxa"/>
            <w:vMerge w:val="continue"/>
            <w:noWrap w:val="0"/>
            <w:vAlign w:val="center"/>
          </w:tcPr>
          <w:p w14:paraId="701200A7">
            <w:pPr>
              <w:widowControl w:val="0"/>
              <w:spacing w:line="240" w:lineRule="auto"/>
              <w:ind w:firstLine="0"/>
              <w:jc w:val="center"/>
              <w:rPr>
                <w:rFonts w:hint="eastAsia" w:ascii="Times New Roman" w:hAnsi="Times New Roman" w:eastAsia="宋体" w:cs="Times New Roman"/>
                <w:sz w:val="21"/>
                <w:szCs w:val="21"/>
                <w:lang w:val="en-GB"/>
              </w:rPr>
            </w:pPr>
          </w:p>
        </w:tc>
        <w:tc>
          <w:tcPr>
            <w:tcW w:w="2898" w:type="dxa"/>
            <w:noWrap w:val="0"/>
            <w:vAlign w:val="center"/>
          </w:tcPr>
          <w:p w14:paraId="327F0F8A">
            <w:pPr>
              <w:pStyle w:val="445"/>
              <w:widowControl w:val="0"/>
              <w:ind w:firstLine="0"/>
              <w:jc w:val="center"/>
              <w:rPr>
                <w:rFonts w:hint="eastAsia" w:ascii="Times New Roman" w:hAnsi="Times New Roman" w:eastAsia="宋体" w:cs="Times New Roman"/>
                <w:sz w:val="21"/>
                <w:szCs w:val="21"/>
              </w:rPr>
            </w:pPr>
            <w:r>
              <w:rPr>
                <w:rFonts w:ascii="Times New Roman" w:hAnsi="Times New Roman" w:cs="Times New Roman"/>
                <w:color w:val="000000"/>
                <w:sz w:val="21"/>
                <w:szCs w:val="21"/>
                <w:lang w:val="en-US" w:eastAsia="zh-CN"/>
              </w:rPr>
              <w:t>一般固废暂存间1间，建筑面积100m</w:t>
            </w:r>
            <w:r>
              <w:rPr>
                <w:rFonts w:ascii="Times New Roman" w:hAnsi="Times New Roman" w:cs="Times New Roman"/>
                <w:color w:val="000000"/>
                <w:sz w:val="21"/>
                <w:szCs w:val="21"/>
                <w:vertAlign w:val="superscript"/>
                <w:lang w:val="en-US" w:eastAsia="zh-CN"/>
              </w:rPr>
              <w:t>2</w:t>
            </w:r>
          </w:p>
        </w:tc>
        <w:tc>
          <w:tcPr>
            <w:tcW w:w="900" w:type="dxa"/>
            <w:noWrap w:val="0"/>
            <w:vAlign w:val="center"/>
          </w:tcPr>
          <w:p w14:paraId="07A080BC">
            <w:pPr>
              <w:widowControl w:val="0"/>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76" w:type="dxa"/>
            <w:noWrap w:val="0"/>
            <w:vAlign w:val="center"/>
          </w:tcPr>
          <w:p w14:paraId="712C170F">
            <w:pPr>
              <w:widowControl w:val="0"/>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1262" w:type="dxa"/>
            <w:noWrap w:val="0"/>
            <w:vAlign w:val="center"/>
          </w:tcPr>
          <w:p w14:paraId="64A33E91">
            <w:pPr>
              <w:widowControl w:val="0"/>
              <w:spacing w:line="240" w:lineRule="auto"/>
              <w:ind w:left="0"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依托</w:t>
            </w:r>
            <w:r>
              <w:rPr>
                <w:rFonts w:hint="eastAsia" w:ascii="Times New Roman" w:hAnsi="Times New Roman" w:eastAsia="宋体" w:cs="Times New Roman"/>
                <w:sz w:val="21"/>
                <w:szCs w:val="21"/>
                <w:lang w:val="en-US" w:eastAsia="zh-CN"/>
              </w:rPr>
              <w:t>原</w:t>
            </w:r>
            <w:r>
              <w:rPr>
                <w:rFonts w:hint="eastAsia" w:ascii="Times New Roman" w:hAnsi="Times New Roman" w:eastAsia="宋体" w:cs="Times New Roman"/>
                <w:sz w:val="21"/>
                <w:szCs w:val="21"/>
                <w:lang w:eastAsia="zh-CN"/>
              </w:rPr>
              <w:t>有</w:t>
            </w:r>
          </w:p>
        </w:tc>
      </w:tr>
      <w:tr w14:paraId="1D3D6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exact"/>
          <w:jc w:val="center"/>
        </w:trPr>
        <w:tc>
          <w:tcPr>
            <w:tcW w:w="846" w:type="dxa"/>
            <w:vMerge w:val="continue"/>
            <w:noWrap w:val="0"/>
            <w:vAlign w:val="center"/>
          </w:tcPr>
          <w:p w14:paraId="1286553C">
            <w:pPr>
              <w:widowControl w:val="0"/>
              <w:spacing w:line="240" w:lineRule="auto"/>
              <w:ind w:firstLine="0"/>
              <w:jc w:val="center"/>
              <w:rPr>
                <w:rFonts w:hint="eastAsia" w:ascii="Times New Roman" w:hAnsi="Times New Roman" w:eastAsia="宋体" w:cs="Times New Roman"/>
                <w:sz w:val="21"/>
                <w:szCs w:val="21"/>
              </w:rPr>
            </w:pPr>
          </w:p>
        </w:tc>
        <w:tc>
          <w:tcPr>
            <w:tcW w:w="1133" w:type="dxa"/>
            <w:noWrap w:val="0"/>
            <w:vAlign w:val="center"/>
          </w:tcPr>
          <w:p w14:paraId="15C775A7">
            <w:pPr>
              <w:widowControl w:val="0"/>
              <w:spacing w:line="240" w:lineRule="auto"/>
              <w:ind w:firstLine="0"/>
              <w:jc w:val="center"/>
              <w:rPr>
                <w:rFonts w:hint="eastAsia" w:ascii="Times New Roman" w:hAnsi="Times New Roman" w:eastAsia="宋体" w:cs="Times New Roman"/>
                <w:sz w:val="21"/>
                <w:szCs w:val="21"/>
                <w:lang w:val="en-GB"/>
              </w:rPr>
            </w:pPr>
          </w:p>
        </w:tc>
        <w:tc>
          <w:tcPr>
            <w:tcW w:w="2898" w:type="dxa"/>
            <w:noWrap w:val="0"/>
            <w:vAlign w:val="center"/>
          </w:tcPr>
          <w:p w14:paraId="0EEAE00F">
            <w:pPr>
              <w:pStyle w:val="445"/>
              <w:widowControl w:val="0"/>
              <w:ind w:firstLine="0"/>
              <w:jc w:val="center"/>
              <w:rPr>
                <w:rFonts w:hint="eastAsia" w:ascii="Times New Roman" w:hAnsi="Times New Roman" w:eastAsia="宋体" w:cs="Times New Roman"/>
                <w:sz w:val="21"/>
                <w:szCs w:val="21"/>
              </w:rPr>
            </w:pPr>
            <w:r>
              <w:rPr>
                <w:rFonts w:ascii="Times New Roman" w:hAnsi="Times New Roman" w:cs="Times New Roman"/>
                <w:color w:val="000000"/>
                <w:sz w:val="21"/>
                <w:szCs w:val="21"/>
                <w:lang w:val="en-US"/>
              </w:rPr>
              <w:t>危险废物暂存间</w:t>
            </w:r>
            <w:r>
              <w:rPr>
                <w:rFonts w:ascii="Times New Roman" w:hAnsi="Times New Roman" w:cs="Times New Roman"/>
                <w:color w:val="000000"/>
                <w:sz w:val="21"/>
                <w:szCs w:val="21"/>
                <w:lang w:val="en-US" w:eastAsia="zh-CN"/>
              </w:rPr>
              <w:t>1个</w:t>
            </w:r>
            <w:r>
              <w:rPr>
                <w:rFonts w:ascii="Times New Roman" w:hAnsi="Times New Roman" w:cs="Times New Roman"/>
                <w:color w:val="000000"/>
                <w:sz w:val="21"/>
                <w:szCs w:val="21"/>
                <w:lang w:val="en-US"/>
              </w:rPr>
              <w:t>5</w:t>
            </w:r>
            <w:r>
              <w:rPr>
                <w:rFonts w:ascii="Times New Roman" w:hAnsi="Times New Roman" w:cs="Times New Roman"/>
                <w:color w:val="000000"/>
                <w:sz w:val="21"/>
                <w:szCs w:val="21"/>
                <w:lang w:val="en-US" w:eastAsia="zh-CN"/>
              </w:rPr>
              <w:t>7</w:t>
            </w:r>
            <w:r>
              <w:rPr>
                <w:rFonts w:ascii="Times New Roman" w:hAnsi="Times New Roman" w:cs="Times New Roman"/>
                <w:color w:val="000000"/>
                <w:sz w:val="21"/>
                <w:szCs w:val="21"/>
                <w:lang w:val="en-US"/>
              </w:rPr>
              <w:t>m</w:t>
            </w:r>
            <w:r>
              <w:rPr>
                <w:rFonts w:ascii="Times New Roman" w:hAnsi="Times New Roman" w:cs="Times New Roman"/>
                <w:color w:val="000000"/>
                <w:sz w:val="21"/>
                <w:szCs w:val="21"/>
                <w:vertAlign w:val="superscript"/>
                <w:lang w:val="en-US"/>
              </w:rPr>
              <w:t>2</w:t>
            </w:r>
            <w:r>
              <w:rPr>
                <w:rFonts w:ascii="Times New Roman" w:hAnsi="Times New Roman" w:cs="Times New Roman"/>
                <w:color w:val="000000"/>
                <w:sz w:val="21"/>
                <w:szCs w:val="21"/>
                <w:vertAlign w:val="baseline"/>
                <w:lang w:val="en-US" w:eastAsia="zh-CN"/>
              </w:rPr>
              <w:t>，与有资质单位签订协议</w:t>
            </w:r>
          </w:p>
        </w:tc>
        <w:tc>
          <w:tcPr>
            <w:tcW w:w="900" w:type="dxa"/>
            <w:noWrap w:val="0"/>
            <w:vAlign w:val="center"/>
          </w:tcPr>
          <w:p w14:paraId="46BC548E">
            <w:pPr>
              <w:widowControl w:val="0"/>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76" w:type="dxa"/>
            <w:noWrap w:val="0"/>
            <w:vAlign w:val="center"/>
          </w:tcPr>
          <w:p w14:paraId="13DFF2C2">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262" w:type="dxa"/>
            <w:noWrap w:val="0"/>
            <w:vAlign w:val="center"/>
          </w:tcPr>
          <w:p w14:paraId="55359441">
            <w:pPr>
              <w:widowControl w:val="0"/>
              <w:spacing w:line="240" w:lineRule="auto"/>
              <w:ind w:left="0"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环评提出整改</w:t>
            </w:r>
          </w:p>
        </w:tc>
      </w:tr>
      <w:tr w14:paraId="47538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exact"/>
          <w:jc w:val="center"/>
        </w:trPr>
        <w:tc>
          <w:tcPr>
            <w:tcW w:w="846" w:type="dxa"/>
            <w:vMerge w:val="continue"/>
            <w:noWrap w:val="0"/>
            <w:vAlign w:val="center"/>
          </w:tcPr>
          <w:p w14:paraId="4B56FF0C">
            <w:pPr>
              <w:widowControl w:val="0"/>
              <w:spacing w:line="240" w:lineRule="auto"/>
              <w:ind w:firstLine="0"/>
              <w:jc w:val="center"/>
              <w:rPr>
                <w:rFonts w:hint="eastAsia" w:ascii="Times New Roman" w:hAnsi="Times New Roman" w:eastAsia="宋体" w:cs="Times New Roman"/>
                <w:sz w:val="21"/>
                <w:szCs w:val="21"/>
              </w:rPr>
            </w:pPr>
          </w:p>
        </w:tc>
        <w:tc>
          <w:tcPr>
            <w:tcW w:w="1133" w:type="dxa"/>
            <w:noWrap w:val="0"/>
            <w:vAlign w:val="center"/>
          </w:tcPr>
          <w:p w14:paraId="518492F1">
            <w:pPr>
              <w:widowControl w:val="0"/>
              <w:spacing w:line="240" w:lineRule="auto"/>
              <w:ind w:firstLine="0"/>
              <w:jc w:val="center"/>
              <w:rPr>
                <w:rFonts w:hint="eastAsia" w:ascii="Times New Roman" w:hAnsi="Times New Roman" w:eastAsia="宋体" w:cs="Times New Roman"/>
                <w:sz w:val="21"/>
                <w:szCs w:val="21"/>
                <w:lang w:val="en-GB"/>
              </w:rPr>
            </w:pPr>
            <w:r>
              <w:rPr>
                <w:rFonts w:hint="eastAsia" w:ascii="Times New Roman" w:hAnsi="Times New Roman" w:eastAsia="宋体" w:cs="Times New Roman"/>
                <w:sz w:val="21"/>
                <w:szCs w:val="21"/>
                <w:lang w:val="en-GB"/>
              </w:rPr>
              <w:t>生态</w:t>
            </w:r>
          </w:p>
        </w:tc>
        <w:tc>
          <w:tcPr>
            <w:tcW w:w="2898" w:type="dxa"/>
            <w:noWrap w:val="0"/>
            <w:vAlign w:val="center"/>
          </w:tcPr>
          <w:p w14:paraId="7DCBB264">
            <w:pPr>
              <w:widowControl w:val="0"/>
              <w:spacing w:line="240" w:lineRule="auto"/>
              <w:ind w:firstLine="945"/>
              <w:rPr>
                <w:rFonts w:hint="eastAsia" w:ascii="Times New Roman" w:hAnsi="Times New Roman" w:eastAsia="宋体" w:cs="Times New Roman"/>
                <w:sz w:val="21"/>
                <w:szCs w:val="21"/>
                <w:lang w:val="en-GB"/>
              </w:rPr>
            </w:pPr>
            <w:r>
              <w:rPr>
                <w:rFonts w:hint="eastAsia" w:ascii="Times New Roman" w:hAnsi="Times New Roman" w:eastAsia="宋体" w:cs="Times New Roman"/>
                <w:sz w:val="21"/>
                <w:szCs w:val="21"/>
                <w:lang w:val="en-GB"/>
              </w:rPr>
              <w:t>绿化</w:t>
            </w:r>
          </w:p>
        </w:tc>
        <w:tc>
          <w:tcPr>
            <w:tcW w:w="900" w:type="dxa"/>
            <w:noWrap w:val="0"/>
            <w:vAlign w:val="center"/>
          </w:tcPr>
          <w:p w14:paraId="3960727C">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2</w:t>
            </w:r>
          </w:p>
        </w:tc>
        <w:tc>
          <w:tcPr>
            <w:tcW w:w="1276" w:type="dxa"/>
            <w:noWrap w:val="0"/>
            <w:vAlign w:val="center"/>
          </w:tcPr>
          <w:p w14:paraId="2ABC9EB8">
            <w:pPr>
              <w:widowControl w:val="0"/>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62" w:type="dxa"/>
            <w:noWrap w:val="0"/>
            <w:vAlign w:val="center"/>
          </w:tcPr>
          <w:p w14:paraId="1C9A235B">
            <w:pPr>
              <w:widowControl w:val="0"/>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依托原有</w:t>
            </w:r>
          </w:p>
        </w:tc>
      </w:tr>
      <w:tr w14:paraId="4A703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exact"/>
          <w:jc w:val="center"/>
        </w:trPr>
        <w:tc>
          <w:tcPr>
            <w:tcW w:w="846" w:type="dxa"/>
            <w:vMerge w:val="continue"/>
            <w:noWrap w:val="0"/>
            <w:vAlign w:val="center"/>
          </w:tcPr>
          <w:p w14:paraId="04C5DD38">
            <w:pPr>
              <w:widowControl w:val="0"/>
              <w:spacing w:line="240" w:lineRule="auto"/>
              <w:ind w:firstLine="0"/>
              <w:jc w:val="center"/>
              <w:rPr>
                <w:rFonts w:hint="eastAsia" w:ascii="Times New Roman" w:hAnsi="Times New Roman" w:eastAsia="宋体" w:cs="Times New Roman"/>
                <w:sz w:val="21"/>
                <w:szCs w:val="21"/>
              </w:rPr>
            </w:pPr>
          </w:p>
        </w:tc>
        <w:tc>
          <w:tcPr>
            <w:tcW w:w="1133" w:type="dxa"/>
            <w:noWrap w:val="0"/>
            <w:vAlign w:val="center"/>
          </w:tcPr>
          <w:p w14:paraId="18D3D9DB">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GB"/>
              </w:rPr>
              <w:t>地下水防治措施</w:t>
            </w:r>
          </w:p>
        </w:tc>
        <w:tc>
          <w:tcPr>
            <w:tcW w:w="2898" w:type="dxa"/>
            <w:noWrap w:val="0"/>
            <w:vAlign w:val="center"/>
          </w:tcPr>
          <w:p w14:paraId="13419036">
            <w:pPr>
              <w:widowControl w:val="0"/>
              <w:spacing w:line="240" w:lineRule="auto"/>
              <w:ind w:firstLine="420"/>
              <w:rPr>
                <w:rFonts w:hint="eastAsia" w:ascii="Times New Roman" w:hAnsi="Times New Roman" w:eastAsia="宋体" w:cs="Times New Roman"/>
                <w:sz w:val="21"/>
                <w:szCs w:val="21"/>
                <w:lang w:val="en-GB"/>
              </w:rPr>
            </w:pPr>
            <w:r>
              <w:rPr>
                <w:rFonts w:hint="eastAsia" w:ascii="Times New Roman" w:hAnsi="Times New Roman" w:eastAsia="宋体" w:cs="Times New Roman"/>
                <w:sz w:val="21"/>
                <w:szCs w:val="21"/>
                <w:lang w:val="en-GB"/>
              </w:rPr>
              <w:t>地面硬化防渗处理</w:t>
            </w:r>
          </w:p>
        </w:tc>
        <w:tc>
          <w:tcPr>
            <w:tcW w:w="900" w:type="dxa"/>
            <w:noWrap w:val="0"/>
            <w:vAlign w:val="center"/>
          </w:tcPr>
          <w:p w14:paraId="0A08C2B6">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noWrap w:val="0"/>
            <w:vAlign w:val="center"/>
          </w:tcPr>
          <w:p w14:paraId="2E21AFAE">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262" w:type="dxa"/>
            <w:noWrap w:val="0"/>
            <w:vAlign w:val="center"/>
          </w:tcPr>
          <w:p w14:paraId="414E3AAA">
            <w:pPr>
              <w:widowControl w:val="0"/>
              <w:spacing w:line="240" w:lineRule="auto"/>
              <w:ind w:firstLine="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环评提出</w:t>
            </w:r>
          </w:p>
        </w:tc>
      </w:tr>
      <w:tr w14:paraId="2597B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6" w:hRule="exact"/>
          <w:jc w:val="center"/>
        </w:trPr>
        <w:tc>
          <w:tcPr>
            <w:tcW w:w="846" w:type="dxa"/>
            <w:noWrap w:val="0"/>
            <w:vAlign w:val="center"/>
          </w:tcPr>
          <w:p w14:paraId="293D2793">
            <w:pPr>
              <w:widowControl w:val="0"/>
              <w:spacing w:line="240" w:lineRule="auto"/>
              <w:ind w:firstLine="0"/>
              <w:jc w:val="center"/>
              <w:rPr>
                <w:rFonts w:hint="eastAsia" w:ascii="Times New Roman" w:hAnsi="Times New Roman" w:eastAsia="宋体" w:cs="Times New Roman"/>
                <w:sz w:val="21"/>
                <w:szCs w:val="21"/>
              </w:rPr>
            </w:pPr>
          </w:p>
        </w:tc>
        <w:tc>
          <w:tcPr>
            <w:tcW w:w="1133" w:type="dxa"/>
            <w:noWrap w:val="0"/>
            <w:vAlign w:val="center"/>
          </w:tcPr>
          <w:p w14:paraId="39E875A8">
            <w:pPr>
              <w:widowControl w:val="0"/>
              <w:spacing w:line="240" w:lineRule="auto"/>
              <w:ind w:firstLine="0"/>
              <w:jc w:val="center"/>
              <w:rPr>
                <w:rFonts w:hint="eastAsia" w:ascii="Times New Roman" w:hAnsi="Times New Roman" w:eastAsia="宋体" w:cs="Times New Roman"/>
                <w:sz w:val="21"/>
                <w:szCs w:val="21"/>
                <w:lang w:val="en-GB"/>
              </w:rPr>
            </w:pPr>
            <w:r>
              <w:rPr>
                <w:rFonts w:hint="eastAsia"/>
                <w:bCs/>
                <w:sz w:val="21"/>
                <w:szCs w:val="21"/>
              </w:rPr>
              <w:t>风险防范措施</w:t>
            </w:r>
          </w:p>
        </w:tc>
        <w:tc>
          <w:tcPr>
            <w:tcW w:w="2898" w:type="dxa"/>
            <w:noWrap w:val="0"/>
            <w:vAlign w:val="center"/>
          </w:tcPr>
          <w:p w14:paraId="5A3CF150">
            <w:pPr>
              <w:pStyle w:val="2"/>
              <w:spacing w:line="240" w:lineRule="auto"/>
              <w:ind w:firstLine="0"/>
              <w:jc w:val="center"/>
              <w:rPr>
                <w:rFonts w:hint="eastAsia" w:ascii="Times New Roman" w:hAnsi="Times New Roman" w:eastAsia="宋体" w:cs="Times New Roman"/>
                <w:sz w:val="21"/>
                <w:szCs w:val="21"/>
                <w:lang w:val="en-GB"/>
              </w:rPr>
            </w:pPr>
            <w:r>
              <w:rPr>
                <w:rFonts w:ascii="Times New Roman" w:hAnsi="Times New Roman" w:cs="Times New Roman"/>
                <w:bCs/>
              </w:rPr>
              <w:t>委托编制机构编制突发环境事件应急预案，并落实相关组织机构、应急设施，设备与器材等</w:t>
            </w:r>
            <w:r>
              <w:rPr>
                <w:rFonts w:hint="eastAsia" w:ascii="Times New Roman" w:hAnsi="Times New Roman" w:cs="Times New Roman"/>
                <w:bCs/>
              </w:rPr>
              <w:t>。</w:t>
            </w:r>
          </w:p>
        </w:tc>
        <w:tc>
          <w:tcPr>
            <w:tcW w:w="900" w:type="dxa"/>
            <w:noWrap w:val="0"/>
            <w:vAlign w:val="center"/>
          </w:tcPr>
          <w:p w14:paraId="0CAD3D89">
            <w:pPr>
              <w:widowControl w:val="0"/>
              <w:spacing w:line="240" w:lineRule="auto"/>
              <w:ind w:firstLine="0"/>
              <w:jc w:val="center"/>
              <w:rPr>
                <w:rFonts w:hint="eastAsia" w:ascii="Times New Roman" w:hAnsi="Times New Roman" w:eastAsia="宋体" w:cs="Times New Roman"/>
                <w:sz w:val="21"/>
                <w:szCs w:val="21"/>
              </w:rPr>
            </w:pPr>
            <w:r>
              <w:rPr>
                <w:rFonts w:hint="eastAsia"/>
                <w:bCs/>
                <w:sz w:val="21"/>
                <w:szCs w:val="21"/>
              </w:rPr>
              <w:t>/</w:t>
            </w:r>
          </w:p>
        </w:tc>
        <w:tc>
          <w:tcPr>
            <w:tcW w:w="1276" w:type="dxa"/>
            <w:noWrap w:val="0"/>
            <w:vAlign w:val="center"/>
          </w:tcPr>
          <w:p w14:paraId="6A32885B">
            <w:pPr>
              <w:widowControl w:val="0"/>
              <w:spacing w:line="240" w:lineRule="auto"/>
              <w:ind w:firstLine="0"/>
              <w:jc w:val="center"/>
              <w:rPr>
                <w:rFonts w:hint="eastAsia" w:ascii="Times New Roman" w:hAnsi="Times New Roman" w:eastAsia="宋体" w:cs="Times New Roman"/>
                <w:sz w:val="21"/>
                <w:szCs w:val="21"/>
                <w:lang w:val="en-US" w:eastAsia="zh-CN"/>
              </w:rPr>
            </w:pPr>
            <w:r>
              <w:rPr>
                <w:rFonts w:hint="eastAsia"/>
                <w:bCs/>
                <w:sz w:val="21"/>
                <w:szCs w:val="21"/>
              </w:rPr>
              <w:t>5.0</w:t>
            </w:r>
          </w:p>
        </w:tc>
        <w:tc>
          <w:tcPr>
            <w:tcW w:w="1262" w:type="dxa"/>
            <w:noWrap w:val="0"/>
            <w:vAlign w:val="center"/>
          </w:tcPr>
          <w:p w14:paraId="66AB9F92">
            <w:pPr>
              <w:widowControl w:val="0"/>
              <w:spacing w:line="240" w:lineRule="auto"/>
              <w:ind w:firstLine="0"/>
              <w:jc w:val="center"/>
              <w:rPr>
                <w:rFonts w:hint="eastAsia" w:ascii="Times New Roman" w:hAnsi="Times New Roman" w:eastAsia="宋体" w:cs="Times New Roman"/>
                <w:sz w:val="21"/>
                <w:szCs w:val="21"/>
              </w:rPr>
            </w:pPr>
            <w:r>
              <w:rPr>
                <w:rFonts w:hint="eastAsia"/>
                <w:bCs/>
                <w:sz w:val="21"/>
                <w:szCs w:val="21"/>
              </w:rPr>
              <w:t>环评提出</w:t>
            </w:r>
          </w:p>
        </w:tc>
      </w:tr>
      <w:tr w14:paraId="6ED85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exact"/>
          <w:jc w:val="center"/>
        </w:trPr>
        <w:tc>
          <w:tcPr>
            <w:tcW w:w="5777" w:type="dxa"/>
            <w:gridSpan w:val="4"/>
            <w:noWrap w:val="0"/>
            <w:vAlign w:val="center"/>
          </w:tcPr>
          <w:p w14:paraId="78B8F947">
            <w:pPr>
              <w:widowControl w:val="0"/>
              <w:spacing w:line="240" w:lineRule="auto"/>
              <w:ind w:firstLine="0"/>
              <w:jc w:val="center"/>
              <w:rPr>
                <w:rFonts w:ascii="Times New Roman" w:hAnsi="Times New Roman" w:eastAsia="宋体" w:cs="Times New Roman"/>
                <w:sz w:val="21"/>
                <w:szCs w:val="21"/>
                <w:highlight w:val="yellow"/>
              </w:rPr>
            </w:pPr>
            <w:r>
              <w:rPr>
                <w:rFonts w:ascii="Times New Roman" w:hAnsi="Times New Roman" w:eastAsia="宋体" w:cs="Times New Roman"/>
                <w:sz w:val="21"/>
                <w:szCs w:val="21"/>
              </w:rPr>
              <w:t>合计</w:t>
            </w:r>
          </w:p>
        </w:tc>
        <w:tc>
          <w:tcPr>
            <w:tcW w:w="1276" w:type="dxa"/>
            <w:noWrap w:val="0"/>
            <w:vAlign w:val="center"/>
          </w:tcPr>
          <w:p w14:paraId="0F1AF79F">
            <w:pPr>
              <w:widowControl w:val="0"/>
              <w:spacing w:line="240" w:lineRule="auto"/>
              <w:ind w:firstLine="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85.0</w:t>
            </w:r>
          </w:p>
        </w:tc>
        <w:tc>
          <w:tcPr>
            <w:tcW w:w="1262" w:type="dxa"/>
            <w:noWrap w:val="0"/>
            <w:vAlign w:val="center"/>
          </w:tcPr>
          <w:p w14:paraId="39373C25">
            <w:pPr>
              <w:widowControl w:val="0"/>
              <w:spacing w:line="240" w:lineRule="auto"/>
              <w:ind w:firstLine="0"/>
              <w:jc w:val="center"/>
              <w:rPr>
                <w:rFonts w:hint="eastAsia" w:ascii="Times New Roman" w:hAnsi="Times New Roman" w:eastAsia="宋体" w:cs="Times New Roman"/>
                <w:sz w:val="21"/>
                <w:szCs w:val="21"/>
                <w:lang w:val="en-GB" w:eastAsia="zh-TW"/>
              </w:rPr>
            </w:pPr>
          </w:p>
        </w:tc>
      </w:tr>
    </w:tbl>
    <w:p w14:paraId="70DA73BE">
      <w:pPr>
        <w:ind w:firstLine="0"/>
        <w:contextualSpacing/>
        <w:outlineLvl w:val="2"/>
        <w:rPr>
          <w:rFonts w:eastAsia="黑体"/>
          <w:sz w:val="28"/>
          <w:szCs w:val="28"/>
        </w:rPr>
      </w:pPr>
      <w:bookmarkStart w:id="343" w:name="_Toc2525"/>
      <w:r>
        <w:rPr>
          <w:rFonts w:hint="eastAsia" w:eastAsia="黑体"/>
          <w:sz w:val="28"/>
          <w:szCs w:val="28"/>
          <w:lang w:val="en-US" w:eastAsia="zh-CN"/>
        </w:rPr>
        <w:t>10</w:t>
      </w:r>
      <w:r>
        <w:rPr>
          <w:rFonts w:hint="eastAsia" w:eastAsia="黑体"/>
          <w:sz w:val="28"/>
          <w:szCs w:val="28"/>
        </w:rPr>
        <w:t>.3.2</w:t>
      </w:r>
      <w:r>
        <w:rPr>
          <w:rFonts w:eastAsia="黑体"/>
          <w:sz w:val="28"/>
          <w:szCs w:val="28"/>
        </w:rPr>
        <w:t>环境效益</w:t>
      </w:r>
      <w:bookmarkEnd w:id="341"/>
    </w:p>
    <w:p w14:paraId="39CEA86E">
      <w:pPr>
        <w:ind w:firstLine="480"/>
        <w:rPr>
          <w:rFonts w:hint="eastAsia"/>
          <w:color w:val="000000"/>
        </w:rPr>
      </w:pPr>
      <w:r>
        <w:rPr>
          <w:color w:val="000000"/>
        </w:rPr>
        <w:t>本工程环保投资约</w:t>
      </w:r>
      <w:r>
        <w:rPr>
          <w:rFonts w:hint="eastAsia"/>
          <w:color w:val="000000"/>
          <w:lang w:val="en-US" w:eastAsia="zh-CN"/>
        </w:rPr>
        <w:t>85.0</w:t>
      </w:r>
      <w:r>
        <w:rPr>
          <w:color w:val="000000"/>
        </w:rPr>
        <w:t>万</w:t>
      </w:r>
      <w:r>
        <w:rPr>
          <w:rFonts w:hint="eastAsia"/>
          <w:color w:val="000000"/>
        </w:rPr>
        <w:t>元</w:t>
      </w:r>
      <w:r>
        <w:rPr>
          <w:color w:val="000000"/>
        </w:rPr>
        <w:t>，主要用于工程工艺“三废”及职工生活污水的处理。本工程采取了较有效的</w:t>
      </w:r>
      <w:r>
        <w:rPr>
          <w:rFonts w:hint="eastAsia"/>
          <w:color w:val="000000"/>
          <w:lang w:val="en-US" w:eastAsia="zh-CN"/>
        </w:rPr>
        <w:t>废气</w:t>
      </w:r>
      <w:r>
        <w:rPr>
          <w:color w:val="000000"/>
        </w:rPr>
        <w:t>污染治理措施，</w:t>
      </w:r>
      <w:r>
        <w:rPr>
          <w:rFonts w:hint="eastAsia"/>
          <w:color w:val="000000"/>
          <w:lang w:val="en-US" w:eastAsia="zh-CN"/>
        </w:rPr>
        <w:t>废气达标排放</w:t>
      </w:r>
      <w:r>
        <w:rPr>
          <w:rFonts w:hint="eastAsia"/>
          <w:color w:val="000000"/>
        </w:rPr>
        <w:t>。生产废水全部回用于生产，生活污水经过隔油</w:t>
      </w:r>
      <w:r>
        <w:rPr>
          <w:rFonts w:hint="eastAsia"/>
          <w:color w:val="000000"/>
          <w:lang w:eastAsia="zh-CN"/>
        </w:rPr>
        <w:t>、</w:t>
      </w:r>
      <w:r>
        <w:rPr>
          <w:rFonts w:hint="eastAsia"/>
          <w:color w:val="000000"/>
          <w:lang w:val="en-US" w:eastAsia="zh-CN"/>
        </w:rPr>
        <w:t>化粪池处理后排入市政污水管网，最终排入芒市污水处理厂</w:t>
      </w:r>
      <w:r>
        <w:rPr>
          <w:rFonts w:hint="eastAsia"/>
          <w:bCs/>
          <w:color w:val="000000"/>
        </w:rPr>
        <w:t>；</w:t>
      </w:r>
      <w:r>
        <w:rPr>
          <w:color w:val="000000"/>
        </w:rPr>
        <w:t>噪声采取安装隔声、减震、绿化阻隔等措施，减少设备噪声。营运期</w:t>
      </w:r>
      <w:r>
        <w:rPr>
          <w:rFonts w:hint="eastAsia"/>
          <w:color w:val="000000"/>
        </w:rPr>
        <w:t>固废主要为一般固体废物和危险废物。固体废物均有效处理。</w:t>
      </w:r>
    </w:p>
    <w:p w14:paraId="6D6D5B56">
      <w:pPr>
        <w:ind w:firstLine="480"/>
        <w:rPr>
          <w:color w:val="000000"/>
        </w:rPr>
      </w:pPr>
      <w:r>
        <w:rPr>
          <w:color w:val="000000"/>
        </w:rPr>
        <w:t>综上所述，</w:t>
      </w:r>
      <w:r>
        <w:rPr>
          <w:rFonts w:hint="eastAsia"/>
          <w:color w:val="000000"/>
        </w:rPr>
        <w:t>本工程在取得良好的经济效益和社会效益的前提下，对环境的影响比较小，从此角度讲，工程的环境效益是可行的。</w:t>
      </w:r>
    </w:p>
    <w:p w14:paraId="15474B16">
      <w:pPr>
        <w:pStyle w:val="187"/>
        <w:rPr>
          <w:rFonts w:ascii="Times New Roman" w:hAnsi="Times New Roman"/>
        </w:rPr>
      </w:pPr>
      <w:bookmarkStart w:id="344" w:name="_Toc486107844"/>
      <w:bookmarkStart w:id="345" w:name="_Toc18062"/>
      <w:bookmarkStart w:id="346" w:name="_Toc407717422"/>
      <w:bookmarkStart w:id="347" w:name="_Toc7744"/>
      <w:bookmarkStart w:id="348" w:name="_Toc15416"/>
      <w:bookmarkStart w:id="349" w:name="_Toc439079834"/>
      <w:r>
        <w:rPr>
          <w:rFonts w:hint="eastAsia" w:ascii="Times New Roman" w:hAnsi="Times New Roman"/>
          <w:lang w:val="en-US" w:eastAsia="zh-CN"/>
        </w:rPr>
        <w:t>10</w:t>
      </w:r>
      <w:r>
        <w:rPr>
          <w:rFonts w:ascii="Times New Roman" w:hAnsi="Times New Roman"/>
        </w:rPr>
        <w:t>.4小结</w:t>
      </w:r>
      <w:bookmarkEnd w:id="342"/>
      <w:bookmarkEnd w:id="343"/>
      <w:bookmarkEnd w:id="344"/>
      <w:bookmarkEnd w:id="345"/>
      <w:bookmarkEnd w:id="346"/>
      <w:bookmarkEnd w:id="347"/>
    </w:p>
    <w:p w14:paraId="744A7DFD">
      <w:pPr>
        <w:ind w:firstLine="480"/>
        <w:rPr>
          <w:color w:val="000000"/>
        </w:rPr>
      </w:pPr>
      <w:r>
        <w:rPr>
          <w:color w:val="000000"/>
        </w:rPr>
        <w:t>本项目是以经济效益为前提，以环境效益为基础而进行建设的。通过本工程的建设，可大大促进当地经济的发展，同时又可提供就业机会。本工程总投资</w:t>
      </w:r>
      <w:r>
        <w:rPr>
          <w:rFonts w:hint="eastAsia"/>
          <w:color w:val="000000"/>
          <w:lang w:val="en-US" w:eastAsia="zh-CN"/>
        </w:rPr>
        <w:t>100</w:t>
      </w:r>
      <w:r>
        <w:rPr>
          <w:color w:val="000000"/>
        </w:rPr>
        <w:t>万元，其中环保投资为</w:t>
      </w:r>
      <w:r>
        <w:rPr>
          <w:rFonts w:hint="eastAsia"/>
          <w:color w:val="000000"/>
          <w:lang w:val="en-US" w:eastAsia="zh-CN"/>
        </w:rPr>
        <w:t>85.0</w:t>
      </w:r>
      <w:r>
        <w:rPr>
          <w:color w:val="000000"/>
        </w:rPr>
        <w:t>万元，占总投资的</w:t>
      </w:r>
      <w:r>
        <w:rPr>
          <w:rFonts w:hint="eastAsia"/>
          <w:color w:val="000000"/>
          <w:lang w:val="en-US" w:eastAsia="zh-CN"/>
        </w:rPr>
        <w:t>85.0</w:t>
      </w:r>
      <w:r>
        <w:rPr>
          <w:color w:val="000000"/>
        </w:rPr>
        <w:t>%，主要用于废气、废水、噪声的治理。</w:t>
      </w:r>
      <w:r>
        <w:rPr>
          <w:rFonts w:hint="eastAsia"/>
          <w:color w:val="000000"/>
        </w:rPr>
        <w:t>建设方</w:t>
      </w:r>
      <w:r>
        <w:rPr>
          <w:color w:val="000000"/>
        </w:rPr>
        <w:t>采取的环保措施后生产排污对环境的不利可控制在可接受范围，做到了以较少的环保投资取得较大的社会经济效益，其社会、环境、经济综合效益显著。</w:t>
      </w:r>
    </w:p>
    <w:p w14:paraId="151A2AB6">
      <w:pPr>
        <w:pStyle w:val="2"/>
        <w:ind w:firstLine="420"/>
      </w:pPr>
    </w:p>
    <w:p w14:paraId="4941C93F">
      <w:pPr>
        <w:pStyle w:val="2"/>
        <w:ind w:firstLine="420"/>
      </w:pPr>
    </w:p>
    <w:p w14:paraId="7162D4DE">
      <w:pPr>
        <w:pStyle w:val="2"/>
        <w:ind w:firstLine="420"/>
      </w:pPr>
    </w:p>
    <w:p w14:paraId="40A52869">
      <w:pPr>
        <w:pStyle w:val="2"/>
        <w:ind w:firstLine="420"/>
      </w:pPr>
    </w:p>
    <w:p w14:paraId="274A0384">
      <w:pPr>
        <w:pStyle w:val="2"/>
        <w:ind w:firstLine="420"/>
      </w:pPr>
    </w:p>
    <w:p w14:paraId="72EE2565">
      <w:pPr>
        <w:pStyle w:val="2"/>
        <w:ind w:firstLine="420"/>
      </w:pPr>
    </w:p>
    <w:p w14:paraId="3ED562A3">
      <w:pPr>
        <w:pStyle w:val="2"/>
        <w:ind w:firstLine="420"/>
      </w:pPr>
    </w:p>
    <w:p w14:paraId="657DE3D3">
      <w:pPr>
        <w:pStyle w:val="2"/>
        <w:ind w:firstLine="420"/>
      </w:pPr>
    </w:p>
    <w:p w14:paraId="59F71E6D">
      <w:pPr>
        <w:pStyle w:val="2"/>
        <w:ind w:firstLine="420"/>
      </w:pPr>
    </w:p>
    <w:p w14:paraId="47E139DC">
      <w:pPr>
        <w:pStyle w:val="2"/>
        <w:ind w:firstLine="420"/>
      </w:pPr>
    </w:p>
    <w:p w14:paraId="4DEC6ABF">
      <w:pPr>
        <w:pStyle w:val="2"/>
        <w:ind w:firstLine="420"/>
      </w:pPr>
    </w:p>
    <w:p w14:paraId="65EB3AFC">
      <w:pPr>
        <w:pStyle w:val="2"/>
        <w:ind w:firstLine="420"/>
      </w:pPr>
    </w:p>
    <w:p w14:paraId="09B66935">
      <w:pPr>
        <w:pStyle w:val="2"/>
        <w:ind w:firstLine="420"/>
      </w:pPr>
    </w:p>
    <w:p w14:paraId="3F9A3CCE">
      <w:pPr>
        <w:pStyle w:val="186"/>
        <w:ind w:firstLine="640"/>
      </w:pPr>
      <w:bookmarkStart w:id="350" w:name="_Toc335320894"/>
      <w:bookmarkStart w:id="351" w:name="_Toc418954644"/>
      <w:bookmarkStart w:id="352" w:name="_Toc27909"/>
      <w:r>
        <w:rPr>
          <w:rFonts w:hint="eastAsia"/>
        </w:rPr>
        <w:t>第十</w:t>
      </w:r>
      <w:r>
        <w:rPr>
          <w:rFonts w:hint="eastAsia"/>
          <w:lang w:val="en-US" w:eastAsia="zh-CN"/>
        </w:rPr>
        <w:t>一</w:t>
      </w:r>
      <w:r>
        <w:rPr>
          <w:rFonts w:hint="eastAsia"/>
        </w:rPr>
        <w:t>章  环境管理与监测计划</w:t>
      </w:r>
      <w:bookmarkEnd w:id="348"/>
      <w:bookmarkEnd w:id="349"/>
      <w:bookmarkEnd w:id="350"/>
    </w:p>
    <w:bookmarkEnd w:id="351"/>
    <w:bookmarkEnd w:id="352"/>
    <w:p w14:paraId="243CCB83">
      <w:pPr>
        <w:ind w:firstLine="480"/>
        <w:rPr>
          <w:rFonts w:hint="eastAsia"/>
          <w:szCs w:val="22"/>
          <w:lang w:val="zh-CN" w:eastAsia="zh-CN"/>
        </w:rPr>
      </w:pPr>
      <w:bookmarkStart w:id="353" w:name="_Toc169159777"/>
      <w:bookmarkEnd w:id="353"/>
      <w:bookmarkStart w:id="354" w:name="_Toc286776466"/>
      <w:bookmarkEnd w:id="354"/>
      <w:r>
        <w:rPr>
          <w:rFonts w:hint="eastAsia"/>
          <w:szCs w:val="22"/>
          <w:lang w:val="zh-CN" w:eastAsia="zh-CN"/>
        </w:rPr>
        <w:t>根据《建设项目环境保护设计规定》的要求，建设单位应在“三同时”的原则下配套相应的污染治理设施，制定相应的环境保护管理计划，为有效地保护厂区周围环境提供了良好的技术基础。另外，必须科学地监督管理环保设施的运行情况，以保证达到应有的治理效果。</w:t>
      </w:r>
    </w:p>
    <w:p w14:paraId="5636A9FF">
      <w:pPr>
        <w:pStyle w:val="187"/>
        <w:rPr>
          <w:rFonts w:hint="eastAsia" w:ascii="Times New Roman" w:hAnsi="Times New Roman"/>
          <w:bCs/>
          <w:lang w:val="zh-CN" w:eastAsia="zh-CN"/>
        </w:rPr>
      </w:pPr>
      <w:r>
        <w:rPr>
          <w:rFonts w:hint="eastAsia" w:ascii="Times New Roman" w:hAnsi="Times New Roman"/>
          <w:bCs/>
          <w:lang w:val="en-US" w:eastAsia="zh-CN"/>
        </w:rPr>
        <w:t>11.1</w:t>
      </w:r>
      <w:r>
        <w:rPr>
          <w:rFonts w:hint="eastAsia" w:ascii="Times New Roman" w:hAnsi="Times New Roman"/>
          <w:bCs/>
          <w:lang w:val="zh-CN" w:eastAsia="zh-CN"/>
        </w:rPr>
        <w:t>环境管理计划及要求</w:t>
      </w:r>
    </w:p>
    <w:p w14:paraId="0DDA8879">
      <w:pPr>
        <w:ind w:firstLine="480"/>
        <w:rPr>
          <w:rFonts w:hint="eastAsia"/>
          <w:szCs w:val="22"/>
          <w:lang w:val="zh-CN" w:eastAsia="zh-CN"/>
        </w:rPr>
      </w:pPr>
      <w:r>
        <w:rPr>
          <w:rFonts w:hint="eastAsia"/>
          <w:szCs w:val="22"/>
          <w:lang w:val="en-US" w:eastAsia="zh-CN"/>
        </w:rPr>
        <w:t>企业</w:t>
      </w:r>
      <w:r>
        <w:rPr>
          <w:rFonts w:hint="eastAsia"/>
          <w:szCs w:val="22"/>
          <w:lang w:val="zh-CN" w:eastAsia="zh-CN"/>
        </w:rPr>
        <w:t>环境管理应通过行政、经济、技术、法律和教育等手段对生产和环保进行协调，达到既发展生产又保护环境的目的。为了对本项目的环保措施实施进行有效的监督与管理，应设置专门的机构及相应的监督管理体系，对环境污染进行有效的控制与管理。必须明确该项目环境保护各相关机构的具体职责和分工。</w:t>
      </w:r>
    </w:p>
    <w:p w14:paraId="07AF9C06">
      <w:pPr>
        <w:ind w:firstLine="480"/>
        <w:rPr>
          <w:rFonts w:hint="eastAsia"/>
          <w:szCs w:val="22"/>
          <w:lang w:val="zh-CN" w:eastAsia="zh-CN"/>
        </w:rPr>
      </w:pPr>
      <w:r>
        <w:rPr>
          <w:rFonts w:hint="eastAsia"/>
          <w:szCs w:val="22"/>
          <w:lang w:val="zh-CN" w:eastAsia="zh-CN"/>
        </w:rPr>
        <w:t>项目应建立健全的环境管理制度，明确责任主体、管理重点，确保各项环境保护设施和措施的建设、运行及维护费用保障计划。公司内部应建立专门的环境管理机构，并指定公司领导分管环保工作，对公司的环境管理工作进行监督。日常运行中，要做好相关环境管理的台账记录，主要包括危险废物台账记录、环保设施维护维修、生产废水排放等台账记录。</w:t>
      </w:r>
    </w:p>
    <w:p w14:paraId="2C160DC1">
      <w:pPr>
        <w:ind w:firstLine="0"/>
        <w:contextualSpacing/>
        <w:outlineLvl w:val="2"/>
        <w:rPr>
          <w:rFonts w:hint="eastAsia" w:eastAsia="黑体"/>
          <w:sz w:val="28"/>
          <w:szCs w:val="28"/>
          <w:lang w:val="zh-CN" w:eastAsia="zh-CN"/>
        </w:rPr>
      </w:pPr>
      <w:r>
        <w:rPr>
          <w:rFonts w:hint="eastAsia" w:eastAsia="黑体"/>
          <w:sz w:val="28"/>
          <w:szCs w:val="28"/>
          <w:lang w:val="en-US" w:eastAsia="zh-CN"/>
        </w:rPr>
        <w:t>11.1.1</w:t>
      </w:r>
      <w:r>
        <w:rPr>
          <w:rFonts w:hint="eastAsia" w:eastAsia="黑体"/>
          <w:sz w:val="28"/>
          <w:szCs w:val="28"/>
          <w:lang w:val="zh-CN" w:eastAsia="zh-CN"/>
        </w:rPr>
        <w:t>施工期环境管理计划</w:t>
      </w:r>
    </w:p>
    <w:p w14:paraId="18463BB9">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在施工期间，项目工程建设单位应组织人员进行施工期的环境管理与监控工作，主要工作内容包括：</w:t>
      </w:r>
    </w:p>
    <w:p w14:paraId="1942A8F1">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①根据国家有关的施工管理条例和操作规程，按照施工期环境保护要求，制定项目的施工环境保护管理方案；</w:t>
      </w:r>
    </w:p>
    <w:p w14:paraId="14D4B194">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②监督施工单位执行施工环境保护管理方案的情况，对不符合该管理方案的施工行为及时予以制止、纠正；</w:t>
      </w:r>
    </w:p>
    <w:p w14:paraId="31D05C02">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③向当地生态环境局提交施工期的环境保护工作阶段报告。</w:t>
      </w:r>
    </w:p>
    <w:p w14:paraId="5956FE75">
      <w:pPr>
        <w:ind w:firstLine="0"/>
        <w:contextualSpacing/>
        <w:outlineLvl w:val="2"/>
        <w:rPr>
          <w:rFonts w:hint="eastAsia" w:eastAsia="黑体"/>
          <w:sz w:val="28"/>
          <w:szCs w:val="28"/>
          <w:lang w:val="zh-CN" w:eastAsia="zh-CN"/>
        </w:rPr>
      </w:pPr>
      <w:r>
        <w:rPr>
          <w:rFonts w:hint="eastAsia" w:eastAsia="黑体"/>
          <w:sz w:val="28"/>
          <w:szCs w:val="28"/>
          <w:lang w:val="en-US" w:eastAsia="zh-CN"/>
        </w:rPr>
        <w:t>11.1.2</w:t>
      </w:r>
      <w:r>
        <w:rPr>
          <w:rFonts w:hint="eastAsia" w:eastAsia="黑体"/>
          <w:sz w:val="28"/>
          <w:szCs w:val="28"/>
          <w:lang w:val="zh-CN" w:eastAsia="zh-CN"/>
        </w:rPr>
        <w:t>营运期环境管理计划</w:t>
      </w:r>
    </w:p>
    <w:p w14:paraId="03B4C210">
      <w:pPr>
        <w:widowControl w:val="0"/>
        <w:spacing w:before="1" w:after="0" w:line="240" w:lineRule="auto"/>
        <w:ind w:right="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项目营运期环境管理计划详见表</w:t>
      </w:r>
      <w:r>
        <w:rPr>
          <w:rFonts w:ascii="Times New Roman" w:hAnsi="Times New Roman" w:eastAsia="宋体" w:cs="Times New Roman"/>
          <w:sz w:val="24"/>
          <w:szCs w:val="24"/>
          <w:lang w:val="en-US" w:eastAsia="zh-CN" w:bidi="zh-CN"/>
        </w:rPr>
        <w:t>11.</w:t>
      </w:r>
      <w:r>
        <w:rPr>
          <w:rFonts w:hint="eastAsia" w:ascii="Times New Roman" w:hAnsi="Times New Roman" w:eastAsia="宋体" w:cs="Times New Roman"/>
          <w:sz w:val="24"/>
          <w:szCs w:val="24"/>
          <w:lang w:val="en-US" w:eastAsia="zh-CN" w:bidi="zh-CN"/>
        </w:rPr>
        <w:t>1</w:t>
      </w:r>
      <w:r>
        <w:rPr>
          <w:rFonts w:ascii="Times New Roman" w:hAnsi="Times New Roman" w:eastAsia="宋体" w:cs="Times New Roman"/>
          <w:sz w:val="24"/>
          <w:szCs w:val="24"/>
          <w:lang w:val="zh-CN" w:eastAsia="zh-CN" w:bidi="zh-CN"/>
        </w:rPr>
        <w:t>-1。</w:t>
      </w:r>
    </w:p>
    <w:p w14:paraId="33CEE323">
      <w:pPr>
        <w:widowControl w:val="0"/>
        <w:tabs>
          <w:tab w:val="left" w:pos="1039"/>
        </w:tabs>
        <w:spacing w:before="172" w:after="3" w:line="240" w:lineRule="auto"/>
        <w:ind w:left="0" w:right="0"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 xml:space="preserve">11.1-1 </w:t>
      </w:r>
      <w:r>
        <w:rPr>
          <w:rFonts w:ascii="Times New Roman" w:hAnsi="Times New Roman" w:eastAsia="宋体" w:cs="Times New Roman"/>
          <w:b/>
          <w:bCs/>
          <w:sz w:val="24"/>
          <w:szCs w:val="24"/>
          <w:lang w:val="zh-CN" w:eastAsia="zh-CN" w:bidi="zh-CN"/>
        </w:rPr>
        <w:t>项目营运期环境管理计划一览表</w:t>
      </w:r>
    </w:p>
    <w:tbl>
      <w:tblPr>
        <w:tblStyle w:val="3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394"/>
        <w:gridCol w:w="5209"/>
        <w:gridCol w:w="945"/>
        <w:gridCol w:w="1381"/>
      </w:tblGrid>
      <w:tr w14:paraId="21A0E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97" w:hRule="atLeast"/>
          <w:jc w:val="center"/>
        </w:trPr>
        <w:tc>
          <w:tcPr>
            <w:tcW w:w="1394" w:type="dxa"/>
            <w:noWrap w:val="0"/>
            <w:vAlign w:val="top"/>
          </w:tcPr>
          <w:p w14:paraId="04BEF52E">
            <w:pPr>
              <w:widowControl w:val="0"/>
              <w:spacing w:before="77" w:after="0" w:line="240" w:lineRule="auto"/>
              <w:ind w:left="77" w:right="10" w:firstLine="0"/>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环境问题</w:t>
            </w:r>
          </w:p>
        </w:tc>
        <w:tc>
          <w:tcPr>
            <w:tcW w:w="5209" w:type="dxa"/>
            <w:noWrap w:val="0"/>
            <w:vAlign w:val="top"/>
          </w:tcPr>
          <w:p w14:paraId="308203E4">
            <w:pPr>
              <w:widowControl w:val="0"/>
              <w:spacing w:before="77" w:after="0" w:line="240" w:lineRule="auto"/>
              <w:ind w:left="175" w:right="144" w:firstLine="0"/>
              <w:jc w:val="center"/>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减缓措施</w:t>
            </w:r>
          </w:p>
        </w:tc>
        <w:tc>
          <w:tcPr>
            <w:tcW w:w="945" w:type="dxa"/>
            <w:noWrap w:val="0"/>
            <w:vAlign w:val="top"/>
          </w:tcPr>
          <w:p w14:paraId="196F2318">
            <w:pPr>
              <w:widowControl w:val="0"/>
              <w:spacing w:before="77" w:after="0" w:line="240" w:lineRule="auto"/>
              <w:ind w:left="61" w:right="0" w:firstLine="0"/>
              <w:jc w:val="left"/>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执行机构</w:t>
            </w:r>
          </w:p>
        </w:tc>
        <w:tc>
          <w:tcPr>
            <w:tcW w:w="1381" w:type="dxa"/>
            <w:noWrap w:val="0"/>
            <w:vAlign w:val="top"/>
          </w:tcPr>
          <w:p w14:paraId="194F3FB7">
            <w:pPr>
              <w:widowControl w:val="0"/>
              <w:spacing w:before="77" w:after="0" w:line="240" w:lineRule="auto"/>
              <w:ind w:left="52" w:right="0" w:firstLine="0"/>
              <w:jc w:val="left"/>
              <w:rPr>
                <w:rFonts w:hint="eastAsia" w:ascii="宋体" w:hAnsi="Times New Roman" w:eastAsia="宋体" w:cs="Times New Roman"/>
                <w:b/>
                <w:sz w:val="21"/>
                <w:szCs w:val="22"/>
                <w:lang w:val="zh-CN" w:eastAsia="zh-CN" w:bidi="zh-CN"/>
              </w:rPr>
            </w:pPr>
            <w:r>
              <w:rPr>
                <w:rFonts w:hint="eastAsia" w:ascii="宋体" w:hAnsi="Times New Roman" w:eastAsia="宋体" w:cs="Times New Roman"/>
                <w:b/>
                <w:sz w:val="21"/>
                <w:szCs w:val="22"/>
                <w:lang w:val="zh-CN" w:eastAsia="zh-CN" w:bidi="zh-CN"/>
              </w:rPr>
              <w:t>监督管理机构</w:t>
            </w:r>
          </w:p>
        </w:tc>
      </w:tr>
      <w:tr w14:paraId="4FD68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87" w:hRule="atLeast"/>
          <w:jc w:val="center"/>
        </w:trPr>
        <w:tc>
          <w:tcPr>
            <w:tcW w:w="1394" w:type="dxa"/>
            <w:noWrap w:val="0"/>
            <w:vAlign w:val="top"/>
          </w:tcPr>
          <w:p w14:paraId="174839CD">
            <w:pPr>
              <w:widowControl w:val="0"/>
              <w:spacing w:before="78" w:after="0" w:line="240" w:lineRule="auto"/>
              <w:ind w:left="75" w:right="12" w:firstLine="0"/>
              <w:jc w:val="center"/>
              <w:rPr>
                <w:rFonts w:hint="eastAsia" w:ascii="宋体" w:hAnsi="Times New Roman" w:eastAsia="宋体" w:cs="Times New Roman"/>
                <w:sz w:val="21"/>
                <w:szCs w:val="22"/>
                <w:lang w:val="zh-CN" w:eastAsia="zh-CN" w:bidi="zh-CN"/>
              </w:rPr>
            </w:pPr>
            <w:r>
              <w:rPr>
                <w:rFonts w:hint="eastAsia" w:ascii="宋体" w:hAnsi="Times New Roman" w:eastAsia="宋体" w:cs="Times New Roman"/>
                <w:sz w:val="21"/>
                <w:szCs w:val="22"/>
                <w:lang w:val="zh-CN" w:eastAsia="zh-CN" w:bidi="zh-CN"/>
              </w:rPr>
              <w:t>水污染防治</w:t>
            </w:r>
          </w:p>
        </w:tc>
        <w:tc>
          <w:tcPr>
            <w:tcW w:w="5209" w:type="dxa"/>
            <w:noWrap w:val="0"/>
            <w:vAlign w:val="top"/>
          </w:tcPr>
          <w:p w14:paraId="6CE73E08">
            <w:pPr>
              <w:widowControl w:val="0"/>
              <w:ind w:firstLine="0"/>
              <w:jc w:val="left"/>
              <w:rPr>
                <w:rFonts w:hint="eastAsia"/>
                <w:sz w:val="21"/>
                <w:szCs w:val="21"/>
                <w:lang w:val="zh-CN" w:eastAsia="zh-CN"/>
              </w:rPr>
            </w:pPr>
            <w:r>
              <w:rPr>
                <w:rFonts w:hint="eastAsia"/>
                <w:sz w:val="21"/>
                <w:szCs w:val="21"/>
                <w:lang w:val="zh-CN" w:eastAsia="zh-CN"/>
              </w:rPr>
              <w:t>加强污水处理的管理，保证废水得到有效处理。</w:t>
            </w:r>
          </w:p>
        </w:tc>
        <w:tc>
          <w:tcPr>
            <w:tcW w:w="945" w:type="dxa"/>
            <w:vMerge w:val="restart"/>
            <w:noWrap w:val="0"/>
            <w:vAlign w:val="top"/>
          </w:tcPr>
          <w:p w14:paraId="1984F586">
            <w:pPr>
              <w:widowControl w:val="0"/>
              <w:ind w:firstLine="0"/>
              <w:jc w:val="center"/>
              <w:rPr>
                <w:rFonts w:hint="eastAsia"/>
                <w:sz w:val="21"/>
                <w:szCs w:val="21"/>
                <w:lang w:val="zh-CN" w:eastAsia="zh-CN"/>
              </w:rPr>
            </w:pPr>
          </w:p>
          <w:p w14:paraId="45AB7CF4">
            <w:pPr>
              <w:widowControl w:val="0"/>
              <w:ind w:firstLine="0"/>
              <w:jc w:val="center"/>
              <w:rPr>
                <w:rFonts w:hint="eastAsia"/>
                <w:sz w:val="21"/>
                <w:szCs w:val="21"/>
                <w:lang w:val="zh-CN" w:eastAsia="zh-CN"/>
              </w:rPr>
            </w:pPr>
          </w:p>
          <w:p w14:paraId="11FF4C6A">
            <w:pPr>
              <w:widowControl w:val="0"/>
              <w:ind w:firstLine="0"/>
              <w:jc w:val="center"/>
              <w:rPr>
                <w:rFonts w:hint="eastAsia"/>
                <w:sz w:val="21"/>
                <w:szCs w:val="21"/>
                <w:lang w:val="zh-CN" w:eastAsia="zh-CN"/>
              </w:rPr>
            </w:pPr>
          </w:p>
          <w:p w14:paraId="398A1CF0">
            <w:pPr>
              <w:widowControl w:val="0"/>
              <w:ind w:firstLine="0"/>
              <w:jc w:val="center"/>
              <w:rPr>
                <w:rFonts w:hint="eastAsia"/>
                <w:sz w:val="21"/>
                <w:szCs w:val="21"/>
                <w:lang w:val="zh-CN" w:eastAsia="zh-CN"/>
              </w:rPr>
            </w:pPr>
          </w:p>
          <w:p w14:paraId="0EBB2EE1">
            <w:pPr>
              <w:widowControl w:val="0"/>
              <w:ind w:firstLine="0"/>
              <w:jc w:val="center"/>
              <w:rPr>
                <w:rFonts w:hint="eastAsia"/>
                <w:sz w:val="21"/>
                <w:szCs w:val="21"/>
                <w:lang w:val="zh-CN" w:eastAsia="zh-CN"/>
              </w:rPr>
            </w:pPr>
          </w:p>
          <w:p w14:paraId="41C24248">
            <w:pPr>
              <w:widowControl w:val="0"/>
              <w:ind w:firstLine="0"/>
              <w:jc w:val="center"/>
              <w:rPr>
                <w:sz w:val="21"/>
                <w:szCs w:val="21"/>
                <w:lang w:val="en-US" w:eastAsia="zh-CN"/>
              </w:rPr>
            </w:pPr>
            <w:r>
              <w:rPr>
                <w:rFonts w:hint="eastAsia"/>
                <w:sz w:val="21"/>
                <w:szCs w:val="21"/>
                <w:lang w:val="en-US" w:eastAsia="zh-CN"/>
              </w:rPr>
              <w:t>建设单位</w:t>
            </w:r>
          </w:p>
        </w:tc>
        <w:tc>
          <w:tcPr>
            <w:tcW w:w="1381" w:type="dxa"/>
            <w:vMerge w:val="restart"/>
            <w:noWrap w:val="0"/>
            <w:vAlign w:val="top"/>
          </w:tcPr>
          <w:p w14:paraId="3B8CFF8A">
            <w:pPr>
              <w:widowControl w:val="0"/>
              <w:spacing w:before="0" w:after="0" w:line="240" w:lineRule="auto"/>
              <w:ind w:left="0" w:right="0" w:firstLine="0"/>
              <w:jc w:val="left"/>
              <w:rPr>
                <w:rFonts w:ascii="黑体" w:hAnsi="Times New Roman" w:eastAsia="Times New Roman" w:cs="Times New Roman"/>
                <w:sz w:val="20"/>
                <w:szCs w:val="22"/>
                <w:lang w:val="zh-CN" w:eastAsia="zh-CN" w:bidi="zh-CN"/>
              </w:rPr>
            </w:pPr>
          </w:p>
          <w:p w14:paraId="311FB726">
            <w:pPr>
              <w:widowControl w:val="0"/>
              <w:spacing w:before="0" w:after="0" w:line="240" w:lineRule="auto"/>
              <w:ind w:left="0" w:right="0" w:firstLine="0"/>
              <w:jc w:val="left"/>
              <w:rPr>
                <w:rFonts w:ascii="黑体" w:hAnsi="Times New Roman" w:eastAsia="Times New Roman" w:cs="Times New Roman"/>
                <w:sz w:val="20"/>
                <w:szCs w:val="22"/>
                <w:lang w:val="zh-CN" w:eastAsia="zh-CN" w:bidi="zh-CN"/>
              </w:rPr>
            </w:pPr>
          </w:p>
          <w:p w14:paraId="471B995C">
            <w:pPr>
              <w:widowControl w:val="0"/>
              <w:spacing w:before="0" w:after="0" w:line="240" w:lineRule="auto"/>
              <w:ind w:left="0" w:right="0" w:firstLine="0"/>
              <w:jc w:val="left"/>
              <w:rPr>
                <w:rFonts w:ascii="黑体" w:hAnsi="Times New Roman" w:eastAsia="Times New Roman" w:cs="Times New Roman"/>
                <w:sz w:val="20"/>
                <w:szCs w:val="22"/>
                <w:lang w:val="zh-CN" w:eastAsia="zh-CN" w:bidi="zh-CN"/>
              </w:rPr>
            </w:pPr>
          </w:p>
          <w:p w14:paraId="3C879356">
            <w:pPr>
              <w:widowControl w:val="0"/>
              <w:spacing w:before="0" w:after="0" w:line="240" w:lineRule="auto"/>
              <w:ind w:left="0" w:right="0" w:firstLine="0"/>
              <w:jc w:val="left"/>
              <w:rPr>
                <w:rFonts w:ascii="黑体" w:hAnsi="Times New Roman" w:eastAsia="Times New Roman" w:cs="Times New Roman"/>
                <w:sz w:val="20"/>
                <w:szCs w:val="22"/>
                <w:lang w:val="zh-CN" w:eastAsia="zh-CN" w:bidi="zh-CN"/>
              </w:rPr>
            </w:pPr>
          </w:p>
          <w:p w14:paraId="0A5E4707">
            <w:pPr>
              <w:widowControl w:val="0"/>
              <w:spacing w:before="0" w:after="0" w:line="240" w:lineRule="auto"/>
              <w:ind w:left="0" w:right="0" w:firstLine="0"/>
              <w:jc w:val="left"/>
              <w:rPr>
                <w:rFonts w:ascii="黑体" w:hAnsi="Times New Roman" w:eastAsia="Times New Roman" w:cs="Times New Roman"/>
                <w:sz w:val="20"/>
                <w:szCs w:val="22"/>
                <w:lang w:val="zh-CN" w:eastAsia="zh-CN" w:bidi="zh-CN"/>
              </w:rPr>
            </w:pPr>
          </w:p>
          <w:p w14:paraId="4BF5E5BB">
            <w:pPr>
              <w:widowControl w:val="0"/>
              <w:spacing w:before="0" w:after="0" w:line="240" w:lineRule="auto"/>
              <w:ind w:left="0" w:right="0" w:firstLine="0"/>
              <w:jc w:val="left"/>
              <w:rPr>
                <w:rFonts w:ascii="黑体" w:hAnsi="Times New Roman" w:eastAsia="Times New Roman" w:cs="Times New Roman"/>
                <w:sz w:val="20"/>
                <w:szCs w:val="22"/>
                <w:lang w:val="zh-CN" w:eastAsia="zh-CN" w:bidi="zh-CN"/>
              </w:rPr>
            </w:pPr>
          </w:p>
          <w:p w14:paraId="49E67352">
            <w:pPr>
              <w:widowControl w:val="0"/>
              <w:spacing w:before="146" w:after="0" w:line="266" w:lineRule="auto"/>
              <w:ind w:left="23" w:right="34" w:firstLine="2"/>
              <w:jc w:val="center"/>
              <w:rPr>
                <w:rFonts w:ascii="宋体" w:hAnsi="Times New Roman" w:eastAsia="宋体" w:cs="Times New Roman"/>
                <w:sz w:val="21"/>
                <w:szCs w:val="22"/>
                <w:lang w:val="en-US" w:eastAsia="zh-CN" w:bidi="zh-CN"/>
              </w:rPr>
            </w:pPr>
            <w:r>
              <w:rPr>
                <w:rFonts w:hint="eastAsia" w:ascii="宋体" w:hAnsi="Times New Roman" w:eastAsia="宋体" w:cs="Times New Roman"/>
                <w:sz w:val="21"/>
                <w:szCs w:val="22"/>
                <w:lang w:val="en-US" w:eastAsia="zh-CN" w:bidi="zh-CN"/>
              </w:rPr>
              <w:t>德宏州</w:t>
            </w:r>
            <w:r>
              <w:rPr>
                <w:rFonts w:hint="eastAsia" w:ascii="宋体" w:hAnsi="Times New Roman" w:eastAsia="宋体" w:cs="Times New Roman"/>
                <w:sz w:val="21"/>
                <w:szCs w:val="22"/>
                <w:lang w:val="zh-CN" w:eastAsia="zh-CN" w:bidi="zh-CN"/>
              </w:rPr>
              <w:t>生态环境局</w:t>
            </w:r>
            <w:r>
              <w:rPr>
                <w:rFonts w:hint="eastAsia" w:ascii="宋体" w:hAnsi="Times New Roman" w:eastAsia="宋体" w:cs="Times New Roman"/>
                <w:sz w:val="21"/>
                <w:szCs w:val="22"/>
                <w:lang w:val="en-US" w:eastAsia="zh-CN" w:bidi="zh-CN"/>
              </w:rPr>
              <w:t>芒市分局</w:t>
            </w:r>
          </w:p>
        </w:tc>
      </w:tr>
      <w:tr w14:paraId="05636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80" w:hRule="atLeast"/>
          <w:jc w:val="center"/>
        </w:trPr>
        <w:tc>
          <w:tcPr>
            <w:tcW w:w="1394" w:type="dxa"/>
            <w:noWrap w:val="0"/>
            <w:vAlign w:val="top"/>
          </w:tcPr>
          <w:p w14:paraId="4CD7CEF0">
            <w:pPr>
              <w:widowControl w:val="0"/>
              <w:ind w:firstLine="0"/>
              <w:jc w:val="center"/>
              <w:rPr>
                <w:rFonts w:hint="eastAsia"/>
                <w:sz w:val="21"/>
                <w:szCs w:val="21"/>
                <w:lang w:val="zh-CN" w:eastAsia="zh-CN"/>
              </w:rPr>
            </w:pPr>
            <w:r>
              <w:rPr>
                <w:rFonts w:hint="eastAsia"/>
                <w:sz w:val="21"/>
                <w:szCs w:val="21"/>
                <w:lang w:val="zh-CN" w:eastAsia="zh-CN"/>
              </w:rPr>
              <w:t>空气污染防治</w:t>
            </w:r>
          </w:p>
        </w:tc>
        <w:tc>
          <w:tcPr>
            <w:tcW w:w="5209" w:type="dxa"/>
            <w:noWrap w:val="0"/>
            <w:vAlign w:val="top"/>
          </w:tcPr>
          <w:p w14:paraId="60C0C3DD">
            <w:pPr>
              <w:widowControl w:val="0"/>
              <w:ind w:firstLine="0"/>
              <w:jc w:val="left"/>
              <w:rPr>
                <w:rFonts w:hint="eastAsia"/>
                <w:sz w:val="21"/>
                <w:szCs w:val="21"/>
                <w:lang w:val="zh-CN" w:eastAsia="zh-CN"/>
              </w:rPr>
            </w:pPr>
            <w:r>
              <w:rPr>
                <w:rFonts w:hint="eastAsia"/>
                <w:sz w:val="21"/>
                <w:szCs w:val="21"/>
                <w:lang w:val="zh-CN" w:eastAsia="zh-CN"/>
              </w:rPr>
              <w:t>确保</w:t>
            </w:r>
            <w:r>
              <w:rPr>
                <w:rFonts w:hint="eastAsia"/>
                <w:sz w:val="21"/>
                <w:szCs w:val="21"/>
                <w:lang w:val="en-US" w:eastAsia="zh-CN"/>
              </w:rPr>
              <w:t>废气净化处理</w:t>
            </w:r>
            <w:r>
              <w:rPr>
                <w:rFonts w:hint="eastAsia"/>
                <w:sz w:val="21"/>
                <w:szCs w:val="21"/>
                <w:lang w:val="zh-CN" w:eastAsia="zh-CN"/>
              </w:rPr>
              <w:t>装置的正常运行，随时监控</w:t>
            </w:r>
            <w:r>
              <w:rPr>
                <w:rFonts w:hint="eastAsia"/>
                <w:sz w:val="21"/>
                <w:szCs w:val="21"/>
                <w:lang w:val="en-US" w:eastAsia="zh-CN"/>
              </w:rPr>
              <w:t>废气</w:t>
            </w:r>
            <w:r>
              <w:rPr>
                <w:rFonts w:hint="eastAsia"/>
                <w:sz w:val="21"/>
                <w:szCs w:val="21"/>
                <w:lang w:val="zh-CN" w:eastAsia="zh-CN"/>
              </w:rPr>
              <w:t>排放</w:t>
            </w:r>
          </w:p>
          <w:p w14:paraId="6B3FE164">
            <w:pPr>
              <w:widowControl w:val="0"/>
              <w:ind w:firstLine="0"/>
              <w:jc w:val="left"/>
              <w:rPr>
                <w:rFonts w:hint="eastAsia"/>
                <w:sz w:val="21"/>
                <w:szCs w:val="21"/>
                <w:lang w:val="zh-CN" w:eastAsia="zh-CN"/>
              </w:rPr>
            </w:pPr>
            <w:r>
              <w:rPr>
                <w:rFonts w:hint="eastAsia"/>
                <w:sz w:val="21"/>
                <w:szCs w:val="21"/>
                <w:lang w:val="zh-CN" w:eastAsia="zh-CN"/>
              </w:rPr>
              <w:t>的变化情况，确保</w:t>
            </w:r>
            <w:r>
              <w:rPr>
                <w:rFonts w:hint="eastAsia"/>
                <w:sz w:val="21"/>
                <w:szCs w:val="21"/>
                <w:lang w:val="en-US" w:eastAsia="zh-CN"/>
              </w:rPr>
              <w:t>废气</w:t>
            </w:r>
            <w:r>
              <w:rPr>
                <w:rFonts w:hint="eastAsia"/>
                <w:sz w:val="21"/>
                <w:szCs w:val="21"/>
                <w:lang w:val="zh-CN" w:eastAsia="zh-CN"/>
              </w:rPr>
              <w:t>达标排放。</w:t>
            </w:r>
          </w:p>
        </w:tc>
        <w:tc>
          <w:tcPr>
            <w:tcW w:w="945" w:type="dxa"/>
            <w:vMerge w:val="continue"/>
            <w:noWrap w:val="0"/>
            <w:vAlign w:val="top"/>
          </w:tcPr>
          <w:p w14:paraId="41EBDEF3">
            <w:pPr>
              <w:widowControl w:val="0"/>
              <w:ind w:firstLine="0"/>
              <w:jc w:val="center"/>
              <w:rPr>
                <w:rFonts w:hint="eastAsia"/>
                <w:sz w:val="21"/>
                <w:szCs w:val="21"/>
                <w:lang w:val="zh-CN" w:eastAsia="zh-CN"/>
              </w:rPr>
            </w:pPr>
          </w:p>
        </w:tc>
        <w:tc>
          <w:tcPr>
            <w:tcW w:w="1381" w:type="dxa"/>
            <w:vMerge w:val="continue"/>
            <w:noWrap w:val="0"/>
            <w:vAlign w:val="top"/>
          </w:tcPr>
          <w:p w14:paraId="5BCF3AA0">
            <w:pPr>
              <w:widowControl w:val="0"/>
              <w:spacing w:before="0" w:after="0" w:line="240" w:lineRule="auto"/>
              <w:ind w:left="0" w:right="0" w:firstLine="0"/>
              <w:jc w:val="left"/>
              <w:rPr>
                <w:rFonts w:ascii="宋体" w:hAnsi="宋体" w:eastAsia="宋体" w:cs="宋体"/>
                <w:sz w:val="2"/>
                <w:szCs w:val="2"/>
                <w:lang w:val="zh-CN" w:bidi="zh-CN"/>
              </w:rPr>
            </w:pPr>
          </w:p>
        </w:tc>
      </w:tr>
      <w:tr w14:paraId="4388B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77" w:hRule="atLeast"/>
          <w:jc w:val="center"/>
        </w:trPr>
        <w:tc>
          <w:tcPr>
            <w:tcW w:w="1394" w:type="dxa"/>
            <w:noWrap w:val="0"/>
            <w:vAlign w:val="top"/>
          </w:tcPr>
          <w:p w14:paraId="0D09EF22">
            <w:pPr>
              <w:widowControl w:val="0"/>
              <w:ind w:firstLine="0"/>
              <w:jc w:val="center"/>
              <w:rPr>
                <w:rFonts w:hint="eastAsia"/>
                <w:sz w:val="21"/>
                <w:szCs w:val="21"/>
                <w:lang w:val="zh-CN" w:eastAsia="zh-CN"/>
              </w:rPr>
            </w:pPr>
            <w:r>
              <w:rPr>
                <w:rFonts w:hint="eastAsia"/>
                <w:sz w:val="21"/>
                <w:szCs w:val="21"/>
                <w:lang w:val="zh-CN" w:eastAsia="zh-CN"/>
              </w:rPr>
              <w:t>噪声污染防治</w:t>
            </w:r>
          </w:p>
        </w:tc>
        <w:tc>
          <w:tcPr>
            <w:tcW w:w="5209" w:type="dxa"/>
            <w:noWrap w:val="0"/>
            <w:vAlign w:val="top"/>
          </w:tcPr>
          <w:p w14:paraId="36260EFD">
            <w:pPr>
              <w:widowControl w:val="0"/>
              <w:ind w:firstLine="0"/>
              <w:jc w:val="left"/>
              <w:rPr>
                <w:rFonts w:hint="eastAsia"/>
                <w:sz w:val="21"/>
                <w:szCs w:val="21"/>
                <w:lang w:val="zh-CN" w:eastAsia="zh-CN"/>
              </w:rPr>
            </w:pPr>
            <w:r>
              <w:rPr>
                <w:rFonts w:hint="eastAsia"/>
                <w:sz w:val="21"/>
                <w:szCs w:val="21"/>
                <w:lang w:val="zh-CN" w:eastAsia="zh-CN"/>
              </w:rPr>
              <w:t>做好隔声措施，确保厂界噪声达标。</w:t>
            </w:r>
          </w:p>
        </w:tc>
        <w:tc>
          <w:tcPr>
            <w:tcW w:w="945" w:type="dxa"/>
            <w:vMerge w:val="continue"/>
            <w:noWrap w:val="0"/>
            <w:vAlign w:val="top"/>
          </w:tcPr>
          <w:p w14:paraId="1AB72975">
            <w:pPr>
              <w:widowControl w:val="0"/>
              <w:ind w:firstLine="0"/>
              <w:jc w:val="center"/>
              <w:rPr>
                <w:rFonts w:hint="eastAsia"/>
                <w:sz w:val="21"/>
                <w:szCs w:val="21"/>
                <w:lang w:val="zh-CN" w:eastAsia="zh-CN"/>
              </w:rPr>
            </w:pPr>
          </w:p>
        </w:tc>
        <w:tc>
          <w:tcPr>
            <w:tcW w:w="1381" w:type="dxa"/>
            <w:vMerge w:val="continue"/>
            <w:noWrap w:val="0"/>
            <w:vAlign w:val="top"/>
          </w:tcPr>
          <w:p w14:paraId="2FC720CD">
            <w:pPr>
              <w:widowControl w:val="0"/>
              <w:spacing w:before="0" w:after="0" w:line="240" w:lineRule="auto"/>
              <w:ind w:left="0" w:right="0" w:firstLine="0"/>
              <w:jc w:val="left"/>
              <w:rPr>
                <w:rFonts w:ascii="宋体" w:hAnsi="宋体" w:eastAsia="宋体" w:cs="宋体"/>
                <w:sz w:val="2"/>
                <w:szCs w:val="2"/>
                <w:lang w:val="zh-CN" w:bidi="zh-CN"/>
              </w:rPr>
            </w:pPr>
          </w:p>
        </w:tc>
      </w:tr>
      <w:tr w14:paraId="464B1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76" w:hRule="atLeast"/>
          <w:jc w:val="center"/>
        </w:trPr>
        <w:tc>
          <w:tcPr>
            <w:tcW w:w="1394" w:type="dxa"/>
            <w:noWrap w:val="0"/>
            <w:vAlign w:val="top"/>
          </w:tcPr>
          <w:p w14:paraId="1BC16617">
            <w:pPr>
              <w:widowControl w:val="0"/>
              <w:ind w:firstLine="0"/>
              <w:jc w:val="center"/>
              <w:rPr>
                <w:rFonts w:hint="eastAsia"/>
                <w:sz w:val="21"/>
                <w:szCs w:val="21"/>
                <w:lang w:val="zh-CN" w:eastAsia="zh-CN"/>
              </w:rPr>
            </w:pPr>
            <w:r>
              <w:rPr>
                <w:rFonts w:hint="eastAsia"/>
                <w:sz w:val="21"/>
                <w:szCs w:val="21"/>
                <w:lang w:val="zh-CN" w:eastAsia="zh-CN"/>
              </w:rPr>
              <w:t>固体废物</w:t>
            </w:r>
          </w:p>
        </w:tc>
        <w:tc>
          <w:tcPr>
            <w:tcW w:w="5209" w:type="dxa"/>
            <w:noWrap w:val="0"/>
            <w:vAlign w:val="top"/>
          </w:tcPr>
          <w:p w14:paraId="02AF1F14">
            <w:pPr>
              <w:widowControl w:val="0"/>
              <w:ind w:firstLine="0"/>
              <w:jc w:val="left"/>
              <w:rPr>
                <w:rFonts w:hint="eastAsia"/>
                <w:sz w:val="21"/>
                <w:szCs w:val="21"/>
                <w:lang w:val="zh-CN" w:eastAsia="zh-CN"/>
              </w:rPr>
            </w:pPr>
            <w:r>
              <w:rPr>
                <w:rFonts w:hint="eastAsia"/>
                <w:sz w:val="21"/>
                <w:szCs w:val="21"/>
                <w:lang w:val="zh-CN" w:eastAsia="zh-CN"/>
              </w:rPr>
              <w:t>加强固体废物的暂存管理，保证固体废物得到妥善处置。</w:t>
            </w:r>
          </w:p>
        </w:tc>
        <w:tc>
          <w:tcPr>
            <w:tcW w:w="945" w:type="dxa"/>
            <w:vMerge w:val="continue"/>
            <w:noWrap w:val="0"/>
            <w:vAlign w:val="top"/>
          </w:tcPr>
          <w:p w14:paraId="453C25EF">
            <w:pPr>
              <w:widowControl w:val="0"/>
              <w:ind w:firstLine="0"/>
              <w:jc w:val="center"/>
              <w:rPr>
                <w:rFonts w:hint="eastAsia"/>
                <w:sz w:val="21"/>
                <w:szCs w:val="21"/>
                <w:lang w:val="zh-CN" w:eastAsia="zh-CN"/>
              </w:rPr>
            </w:pPr>
          </w:p>
        </w:tc>
        <w:tc>
          <w:tcPr>
            <w:tcW w:w="1381" w:type="dxa"/>
            <w:vMerge w:val="continue"/>
            <w:noWrap w:val="0"/>
            <w:vAlign w:val="top"/>
          </w:tcPr>
          <w:p w14:paraId="5B8DA3FC">
            <w:pPr>
              <w:widowControl w:val="0"/>
              <w:spacing w:before="0" w:after="0" w:line="240" w:lineRule="auto"/>
              <w:ind w:left="0" w:right="0" w:firstLine="0"/>
              <w:jc w:val="left"/>
              <w:rPr>
                <w:rFonts w:ascii="宋体" w:hAnsi="宋体" w:eastAsia="宋体" w:cs="宋体"/>
                <w:sz w:val="2"/>
                <w:szCs w:val="2"/>
                <w:lang w:val="zh-CN" w:bidi="zh-CN"/>
              </w:rPr>
            </w:pPr>
          </w:p>
        </w:tc>
      </w:tr>
      <w:tr w14:paraId="06E64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1480" w:hRule="atLeast"/>
          <w:jc w:val="center"/>
        </w:trPr>
        <w:tc>
          <w:tcPr>
            <w:tcW w:w="1394" w:type="dxa"/>
            <w:noWrap w:val="0"/>
            <w:vAlign w:val="top"/>
          </w:tcPr>
          <w:p w14:paraId="7226BB06">
            <w:pPr>
              <w:widowControl w:val="0"/>
              <w:ind w:firstLine="0"/>
              <w:jc w:val="center"/>
              <w:rPr>
                <w:rFonts w:hint="eastAsia"/>
                <w:sz w:val="21"/>
                <w:szCs w:val="21"/>
                <w:lang w:val="zh-CN" w:eastAsia="zh-CN"/>
              </w:rPr>
            </w:pPr>
          </w:p>
          <w:p w14:paraId="15732BAE">
            <w:pPr>
              <w:widowControl w:val="0"/>
              <w:ind w:firstLine="0"/>
              <w:jc w:val="center"/>
              <w:rPr>
                <w:rFonts w:hint="eastAsia"/>
                <w:sz w:val="21"/>
                <w:szCs w:val="21"/>
                <w:lang w:val="zh-CN" w:eastAsia="zh-CN"/>
              </w:rPr>
            </w:pPr>
          </w:p>
          <w:p w14:paraId="1BB90417">
            <w:pPr>
              <w:widowControl w:val="0"/>
              <w:ind w:firstLine="0"/>
              <w:jc w:val="center"/>
              <w:rPr>
                <w:rFonts w:hint="eastAsia"/>
                <w:sz w:val="21"/>
                <w:szCs w:val="21"/>
                <w:lang w:val="zh-CN" w:eastAsia="zh-CN"/>
              </w:rPr>
            </w:pPr>
            <w:r>
              <w:rPr>
                <w:rFonts w:hint="eastAsia"/>
                <w:sz w:val="21"/>
                <w:szCs w:val="21"/>
                <w:lang w:val="zh-CN" w:eastAsia="zh-CN"/>
              </w:rPr>
              <w:t>环境风险管理</w:t>
            </w:r>
          </w:p>
        </w:tc>
        <w:tc>
          <w:tcPr>
            <w:tcW w:w="5209" w:type="dxa"/>
            <w:noWrap w:val="0"/>
            <w:vAlign w:val="center"/>
          </w:tcPr>
          <w:p w14:paraId="74F78B9E">
            <w:pPr>
              <w:widowControl w:val="0"/>
              <w:ind w:firstLine="0"/>
              <w:jc w:val="left"/>
              <w:rPr>
                <w:rFonts w:ascii="Times New Roman" w:hAnsi="Times New Roman" w:eastAsia="宋体" w:cs="Times New Roman"/>
                <w:sz w:val="21"/>
                <w:szCs w:val="21"/>
                <w:lang w:val="zh-CN" w:eastAsia="zh-CN"/>
              </w:rPr>
            </w:pPr>
            <w:r>
              <w:rPr>
                <w:rFonts w:ascii="Times New Roman" w:hAnsi="Times New Roman" w:eastAsia="宋体" w:cs="Times New Roman"/>
                <w:sz w:val="21"/>
                <w:szCs w:val="21"/>
                <w:lang w:val="zh-CN" w:eastAsia="zh-CN"/>
              </w:rPr>
              <w:t>①实时监控各风险源，一旦发现不正常情况应立即采取措施；</w:t>
            </w:r>
          </w:p>
          <w:p w14:paraId="0389603D">
            <w:pPr>
              <w:widowControl w:val="0"/>
              <w:ind w:firstLine="0"/>
              <w:jc w:val="left"/>
              <w:rPr>
                <w:rFonts w:ascii="Times New Roman" w:hAnsi="Times New Roman" w:eastAsia="宋体" w:cs="Times New Roman"/>
                <w:sz w:val="21"/>
                <w:szCs w:val="21"/>
                <w:lang w:val="zh-CN" w:eastAsia="zh-CN"/>
              </w:rPr>
            </w:pPr>
            <w:r>
              <w:rPr>
                <w:rFonts w:ascii="Times New Roman" w:hAnsi="Times New Roman" w:eastAsia="宋体" w:cs="Times New Roman"/>
                <w:sz w:val="21"/>
                <w:szCs w:val="21"/>
                <w:lang w:val="zh-CN" w:eastAsia="zh-CN"/>
              </w:rPr>
              <w:t>②配备污染事故应急处理设备，制订相应处理措施，明确 人员和操作规程，加强职工培训，</w:t>
            </w:r>
            <w:r>
              <w:rPr>
                <w:rFonts w:hint="eastAsia" w:ascii="Times New Roman" w:hAnsi="Times New Roman" w:eastAsia="宋体" w:cs="Times New Roman"/>
                <w:sz w:val="21"/>
                <w:szCs w:val="21"/>
                <w:lang w:val="en-US" w:eastAsia="zh-CN"/>
              </w:rPr>
              <w:t>健全</w:t>
            </w:r>
            <w:r>
              <w:rPr>
                <w:rFonts w:ascii="Times New Roman" w:hAnsi="Times New Roman" w:eastAsia="宋体" w:cs="Times New Roman"/>
                <w:sz w:val="21"/>
                <w:szCs w:val="21"/>
                <w:lang w:val="zh-CN" w:eastAsia="zh-CN"/>
              </w:rPr>
              <w:t>安全生产制度，防止生产事故发生，确保无污染事故发生。</w:t>
            </w:r>
          </w:p>
        </w:tc>
        <w:tc>
          <w:tcPr>
            <w:tcW w:w="945" w:type="dxa"/>
            <w:vMerge w:val="continue"/>
            <w:noWrap w:val="0"/>
            <w:vAlign w:val="top"/>
          </w:tcPr>
          <w:p w14:paraId="53B4BE49">
            <w:pPr>
              <w:widowControl w:val="0"/>
              <w:ind w:firstLine="0"/>
              <w:jc w:val="center"/>
              <w:rPr>
                <w:rFonts w:hint="eastAsia"/>
                <w:sz w:val="21"/>
                <w:szCs w:val="21"/>
                <w:lang w:val="zh-CN" w:eastAsia="zh-CN"/>
              </w:rPr>
            </w:pPr>
          </w:p>
        </w:tc>
        <w:tc>
          <w:tcPr>
            <w:tcW w:w="1381" w:type="dxa"/>
            <w:vMerge w:val="continue"/>
            <w:noWrap w:val="0"/>
            <w:vAlign w:val="top"/>
          </w:tcPr>
          <w:p w14:paraId="06F7F852">
            <w:pPr>
              <w:widowControl w:val="0"/>
              <w:spacing w:before="0" w:after="0" w:line="240" w:lineRule="auto"/>
              <w:ind w:left="0" w:right="0" w:firstLine="0"/>
              <w:jc w:val="left"/>
              <w:rPr>
                <w:rFonts w:ascii="宋体" w:hAnsi="宋体" w:eastAsia="宋体" w:cs="宋体"/>
                <w:sz w:val="2"/>
                <w:szCs w:val="2"/>
                <w:lang w:val="zh-CN" w:bidi="zh-CN"/>
              </w:rPr>
            </w:pPr>
          </w:p>
        </w:tc>
      </w:tr>
      <w:tr w14:paraId="3BEA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889" w:hRule="atLeast"/>
          <w:jc w:val="center"/>
        </w:trPr>
        <w:tc>
          <w:tcPr>
            <w:tcW w:w="1394" w:type="dxa"/>
            <w:noWrap w:val="0"/>
            <w:vAlign w:val="top"/>
          </w:tcPr>
          <w:p w14:paraId="4E36840D">
            <w:pPr>
              <w:widowControl w:val="0"/>
              <w:ind w:firstLine="0"/>
              <w:jc w:val="center"/>
              <w:rPr>
                <w:rFonts w:hint="eastAsia"/>
                <w:sz w:val="21"/>
                <w:szCs w:val="21"/>
                <w:lang w:val="zh-CN" w:eastAsia="zh-CN"/>
              </w:rPr>
            </w:pPr>
          </w:p>
          <w:p w14:paraId="61BBDB5D">
            <w:pPr>
              <w:widowControl w:val="0"/>
              <w:ind w:firstLine="0"/>
              <w:jc w:val="center"/>
              <w:rPr>
                <w:rFonts w:hint="eastAsia"/>
                <w:sz w:val="21"/>
                <w:szCs w:val="21"/>
                <w:lang w:val="zh-CN" w:eastAsia="zh-CN"/>
              </w:rPr>
            </w:pPr>
            <w:r>
              <w:rPr>
                <w:rFonts w:hint="eastAsia"/>
                <w:sz w:val="21"/>
                <w:szCs w:val="21"/>
                <w:lang w:val="zh-CN" w:eastAsia="zh-CN"/>
              </w:rPr>
              <w:t>环境监测</w:t>
            </w:r>
          </w:p>
        </w:tc>
        <w:tc>
          <w:tcPr>
            <w:tcW w:w="5209" w:type="dxa"/>
            <w:noWrap w:val="0"/>
            <w:vAlign w:val="center"/>
          </w:tcPr>
          <w:p w14:paraId="5369E29B">
            <w:pPr>
              <w:widowControl w:val="0"/>
              <w:ind w:firstLine="0"/>
              <w:jc w:val="left"/>
              <w:rPr>
                <w:rFonts w:ascii="Times New Roman" w:hAnsi="Times New Roman" w:eastAsia="宋体" w:cs="Times New Roman"/>
                <w:sz w:val="21"/>
                <w:szCs w:val="21"/>
                <w:lang w:val="zh-CN" w:eastAsia="zh-CN"/>
              </w:rPr>
            </w:pPr>
            <w:r>
              <w:rPr>
                <w:rFonts w:ascii="Times New Roman" w:hAnsi="Times New Roman" w:eastAsia="宋体" w:cs="Times New Roman"/>
                <w:sz w:val="21"/>
                <w:szCs w:val="21"/>
                <w:lang w:val="zh-CN" w:eastAsia="zh-CN"/>
              </w:rPr>
              <w:t>按照环境监测技术规范和</w:t>
            </w:r>
            <w:r>
              <w:rPr>
                <w:rFonts w:hint="eastAsia" w:cs="Times New Roman"/>
                <w:sz w:val="21"/>
                <w:szCs w:val="21"/>
                <w:lang w:val="zh-CN" w:eastAsia="zh-CN"/>
              </w:rPr>
              <w:t>生态环境部</w:t>
            </w:r>
            <w:r>
              <w:rPr>
                <w:rFonts w:ascii="Times New Roman" w:hAnsi="Times New Roman" w:eastAsia="宋体" w:cs="Times New Roman"/>
                <w:sz w:val="21"/>
                <w:szCs w:val="21"/>
                <w:lang w:val="zh-CN" w:eastAsia="zh-CN"/>
              </w:rPr>
              <w:t>颁布的监测标准 方法执行。</w:t>
            </w:r>
          </w:p>
        </w:tc>
        <w:tc>
          <w:tcPr>
            <w:tcW w:w="945" w:type="dxa"/>
            <w:noWrap w:val="0"/>
            <w:vAlign w:val="top"/>
          </w:tcPr>
          <w:p w14:paraId="0DF9C85A">
            <w:pPr>
              <w:widowControl w:val="0"/>
              <w:ind w:firstLine="0"/>
              <w:jc w:val="center"/>
              <w:rPr>
                <w:rFonts w:hint="eastAsia"/>
                <w:sz w:val="21"/>
                <w:szCs w:val="21"/>
                <w:lang w:val="zh-CN" w:eastAsia="zh-CN"/>
              </w:rPr>
            </w:pPr>
            <w:r>
              <w:rPr>
                <w:rFonts w:hint="eastAsia"/>
                <w:sz w:val="21"/>
                <w:szCs w:val="21"/>
                <w:lang w:val="zh-CN" w:eastAsia="zh-CN"/>
              </w:rPr>
              <w:t>有资质的</w:t>
            </w:r>
          </w:p>
          <w:p w14:paraId="6A5FF65E">
            <w:pPr>
              <w:widowControl w:val="0"/>
              <w:ind w:firstLine="0"/>
              <w:jc w:val="center"/>
              <w:rPr>
                <w:rFonts w:hint="eastAsia"/>
                <w:sz w:val="21"/>
                <w:szCs w:val="21"/>
                <w:lang w:val="zh-CN" w:eastAsia="zh-CN"/>
              </w:rPr>
            </w:pPr>
            <w:r>
              <w:rPr>
                <w:rFonts w:hint="eastAsia"/>
                <w:sz w:val="21"/>
                <w:szCs w:val="21"/>
                <w:lang w:val="zh-CN" w:eastAsia="zh-CN"/>
              </w:rPr>
              <w:t>环境监测</w:t>
            </w:r>
          </w:p>
          <w:p w14:paraId="14365E63">
            <w:pPr>
              <w:widowControl w:val="0"/>
              <w:ind w:firstLine="0"/>
              <w:jc w:val="center"/>
              <w:rPr>
                <w:rFonts w:hint="eastAsia"/>
                <w:sz w:val="21"/>
                <w:szCs w:val="21"/>
                <w:lang w:val="zh-CN" w:eastAsia="zh-CN"/>
              </w:rPr>
            </w:pPr>
            <w:r>
              <w:rPr>
                <w:rFonts w:hint="eastAsia"/>
                <w:sz w:val="21"/>
                <w:szCs w:val="21"/>
                <w:lang w:val="zh-CN" w:eastAsia="zh-CN"/>
              </w:rPr>
              <w:t>单位</w:t>
            </w:r>
          </w:p>
        </w:tc>
        <w:tc>
          <w:tcPr>
            <w:tcW w:w="1381" w:type="dxa"/>
            <w:vMerge w:val="continue"/>
            <w:noWrap w:val="0"/>
            <w:vAlign w:val="top"/>
          </w:tcPr>
          <w:p w14:paraId="39E210E3">
            <w:pPr>
              <w:widowControl w:val="0"/>
              <w:spacing w:before="0" w:after="0" w:line="240" w:lineRule="auto"/>
              <w:ind w:left="0" w:right="0" w:firstLine="0"/>
              <w:jc w:val="left"/>
              <w:rPr>
                <w:rFonts w:ascii="宋体" w:hAnsi="宋体" w:eastAsia="宋体" w:cs="宋体"/>
                <w:sz w:val="2"/>
                <w:szCs w:val="2"/>
                <w:lang w:val="zh-CN" w:bidi="zh-CN"/>
              </w:rPr>
            </w:pPr>
          </w:p>
        </w:tc>
      </w:tr>
    </w:tbl>
    <w:p w14:paraId="240C1738">
      <w:pPr>
        <w:pStyle w:val="187"/>
        <w:rPr>
          <w:rFonts w:hint="eastAsia" w:ascii="Times New Roman" w:hAnsi="Times New Roman"/>
          <w:bCs/>
          <w:lang w:val="zh-CN" w:eastAsia="zh-CN"/>
        </w:rPr>
      </w:pPr>
      <w:r>
        <w:rPr>
          <w:rFonts w:hint="eastAsia" w:ascii="Times New Roman" w:hAnsi="Times New Roman"/>
          <w:bCs/>
          <w:lang w:val="en-US" w:eastAsia="zh-CN"/>
        </w:rPr>
        <w:t>11.2</w:t>
      </w:r>
      <w:r>
        <w:rPr>
          <w:rFonts w:hint="eastAsia" w:ascii="Times New Roman" w:hAnsi="Times New Roman"/>
          <w:bCs/>
          <w:lang w:val="zh-CN" w:eastAsia="zh-CN"/>
        </w:rPr>
        <w:t>污染物排放清单及管理要求</w:t>
      </w:r>
    </w:p>
    <w:p w14:paraId="45177DA5">
      <w:pPr>
        <w:ind w:firstLine="0"/>
        <w:contextualSpacing/>
        <w:outlineLvl w:val="2"/>
        <w:rPr>
          <w:rFonts w:hint="eastAsia" w:eastAsia="黑体"/>
          <w:sz w:val="28"/>
          <w:szCs w:val="28"/>
          <w:lang w:val="zh-CN" w:eastAsia="zh-CN"/>
        </w:rPr>
      </w:pPr>
      <w:r>
        <w:rPr>
          <w:rFonts w:hint="eastAsia" w:eastAsia="黑体"/>
          <w:sz w:val="28"/>
          <w:szCs w:val="28"/>
          <w:lang w:val="en-US" w:eastAsia="zh-CN"/>
        </w:rPr>
        <w:t>11.2.1</w:t>
      </w:r>
      <w:r>
        <w:rPr>
          <w:rFonts w:hint="eastAsia" w:eastAsia="黑体"/>
          <w:sz w:val="28"/>
          <w:szCs w:val="28"/>
          <w:lang w:val="zh-CN" w:eastAsia="zh-CN"/>
        </w:rPr>
        <w:t>污染物排放清单</w:t>
      </w:r>
    </w:p>
    <w:p w14:paraId="216213B2">
      <w:pPr>
        <w:widowControl w:val="0"/>
        <w:spacing w:before="1" w:after="0" w:line="240" w:lineRule="auto"/>
        <w:ind w:right="0"/>
        <w:jc w:val="left"/>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 xml:space="preserve">根据项目工程分析，项目主要的污染物排放清单见表 </w:t>
      </w:r>
      <w:r>
        <w:rPr>
          <w:rFonts w:hint="eastAsia" w:ascii="Times New Roman" w:hAnsi="Times New Roman" w:eastAsia="宋体" w:cs="Times New Roman"/>
          <w:sz w:val="24"/>
          <w:szCs w:val="24"/>
          <w:lang w:val="en-US" w:eastAsia="zh-CN" w:bidi="zh-CN"/>
        </w:rPr>
        <w:t>11</w:t>
      </w:r>
      <w:r>
        <w:rPr>
          <w:rFonts w:ascii="Times New Roman" w:hAnsi="Times New Roman" w:eastAsia="宋体" w:cs="Times New Roman"/>
          <w:sz w:val="24"/>
          <w:szCs w:val="24"/>
          <w:lang w:val="zh-CN" w:eastAsia="zh-CN" w:bidi="zh-CN"/>
        </w:rPr>
        <w:t>.2-1。</w:t>
      </w:r>
    </w:p>
    <w:p w14:paraId="790D3AF2">
      <w:pPr>
        <w:widowControl w:val="0"/>
        <w:spacing w:before="172" w:after="0" w:line="240" w:lineRule="auto"/>
        <w:ind w:left="0" w:right="1"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en-US" w:eastAsia="zh-CN" w:bidi="zh-CN"/>
        </w:rPr>
        <w:t>11</w:t>
      </w:r>
      <w:r>
        <w:rPr>
          <w:rFonts w:ascii="Times New Roman" w:hAnsi="Times New Roman" w:eastAsia="宋体" w:cs="Times New Roman"/>
          <w:b/>
          <w:bCs/>
          <w:sz w:val="24"/>
          <w:szCs w:val="24"/>
          <w:lang w:val="zh-CN" w:eastAsia="zh-CN" w:bidi="zh-CN"/>
        </w:rPr>
        <w:t>.2-1</w:t>
      </w:r>
      <w:r>
        <w:rPr>
          <w:rFonts w:ascii="Times New Roman" w:hAnsi="Times New Roman" w:eastAsia="宋体" w:cs="Times New Roman"/>
          <w:b/>
          <w:bCs/>
          <w:spacing w:val="59"/>
          <w:sz w:val="24"/>
          <w:szCs w:val="24"/>
          <w:lang w:val="zh-CN" w:eastAsia="zh-CN" w:bidi="zh-CN"/>
        </w:rPr>
        <w:t xml:space="preserve"> </w:t>
      </w:r>
      <w:r>
        <w:rPr>
          <w:rFonts w:ascii="Times New Roman" w:hAnsi="Times New Roman" w:eastAsia="宋体" w:cs="Times New Roman"/>
          <w:b/>
          <w:bCs/>
          <w:sz w:val="24"/>
          <w:szCs w:val="24"/>
          <w:lang w:val="zh-CN" w:eastAsia="zh-CN" w:bidi="zh-CN"/>
        </w:rPr>
        <w:t>项目污染物排放清单</w:t>
      </w:r>
    </w:p>
    <w:tbl>
      <w:tblPr>
        <w:tblStyle w:val="32"/>
        <w:tblW w:w="895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781"/>
        <w:gridCol w:w="866"/>
        <w:gridCol w:w="942"/>
        <w:gridCol w:w="1263"/>
        <w:gridCol w:w="1420"/>
        <w:gridCol w:w="1745"/>
        <w:gridCol w:w="1935"/>
      </w:tblGrid>
      <w:tr w14:paraId="1F49B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68" w:hRule="atLeast"/>
          <w:jc w:val="center"/>
        </w:trPr>
        <w:tc>
          <w:tcPr>
            <w:tcW w:w="781" w:type="dxa"/>
            <w:vMerge w:val="restart"/>
            <w:noWrap w:val="0"/>
            <w:vAlign w:val="center"/>
          </w:tcPr>
          <w:p w14:paraId="5ACCCB3B">
            <w:pPr>
              <w:widowControl w:val="0"/>
              <w:spacing w:before="0" w:after="0" w:line="267" w:lineRule="exact"/>
              <w:ind w:left="160" w:right="138" w:firstLine="0"/>
              <w:jc w:val="center"/>
              <w:rPr>
                <w:rFonts w:ascii="Times New Roman" w:hAnsi="Times New Roman" w:eastAsia="宋体" w:cs="Times New Roman"/>
                <w:b/>
                <w:bCs/>
                <w:sz w:val="21"/>
                <w:szCs w:val="21"/>
                <w:lang w:val="zh-CN" w:eastAsia="zh-CN" w:bidi="zh-CN"/>
              </w:rPr>
            </w:pPr>
            <w:r>
              <w:rPr>
                <w:rFonts w:hint="eastAsia" w:ascii="Times New Roman" w:hAnsi="Times New Roman" w:eastAsia="宋体" w:cs="Times New Roman"/>
                <w:b/>
                <w:bCs/>
                <w:sz w:val="21"/>
                <w:szCs w:val="21"/>
                <w:lang w:val="en-US" w:eastAsia="zh-CN" w:bidi="zh-CN"/>
              </w:rPr>
              <w:t>污染源</w:t>
            </w:r>
          </w:p>
        </w:tc>
        <w:tc>
          <w:tcPr>
            <w:tcW w:w="1808" w:type="dxa"/>
            <w:gridSpan w:val="2"/>
            <w:vMerge w:val="restart"/>
            <w:noWrap w:val="0"/>
            <w:vAlign w:val="center"/>
          </w:tcPr>
          <w:p w14:paraId="33955634">
            <w:pPr>
              <w:widowControl w:val="0"/>
              <w:spacing w:before="0" w:after="0" w:line="267" w:lineRule="exact"/>
              <w:ind w:left="160" w:right="138" w:firstLine="0"/>
              <w:jc w:val="center"/>
              <w:rPr>
                <w:rFonts w:ascii="Times New Roman" w:hAnsi="Times New Roman" w:eastAsia="宋体" w:cs="Times New Roman"/>
                <w:b/>
                <w:bCs/>
                <w:sz w:val="21"/>
                <w:szCs w:val="21"/>
                <w:lang w:val="zh-CN" w:eastAsia="zh-CN" w:bidi="zh-CN"/>
              </w:rPr>
            </w:pPr>
            <w:r>
              <w:rPr>
                <w:rFonts w:ascii="Times New Roman" w:hAnsi="Times New Roman" w:eastAsia="宋体" w:cs="Times New Roman"/>
                <w:b/>
                <w:bCs/>
                <w:sz w:val="21"/>
                <w:szCs w:val="21"/>
                <w:lang w:val="zh-CN" w:eastAsia="zh-CN" w:bidi="zh-CN"/>
              </w:rPr>
              <w:t>污染物</w:t>
            </w:r>
          </w:p>
        </w:tc>
        <w:tc>
          <w:tcPr>
            <w:tcW w:w="2683" w:type="dxa"/>
            <w:gridSpan w:val="2"/>
            <w:noWrap w:val="0"/>
            <w:vAlign w:val="center"/>
          </w:tcPr>
          <w:p w14:paraId="60459D70">
            <w:pPr>
              <w:widowControl w:val="0"/>
              <w:spacing w:before="4" w:after="0" w:line="244" w:lineRule="exact"/>
              <w:ind w:left="908" w:right="880" w:firstLine="0"/>
              <w:jc w:val="center"/>
              <w:rPr>
                <w:rFonts w:ascii="Times New Roman" w:hAnsi="Times New Roman" w:eastAsia="宋体" w:cs="Times New Roman"/>
                <w:b/>
                <w:sz w:val="21"/>
                <w:szCs w:val="21"/>
                <w:lang w:val="zh-CN" w:eastAsia="zh-CN" w:bidi="zh-CN"/>
              </w:rPr>
            </w:pPr>
            <w:r>
              <w:rPr>
                <w:rFonts w:ascii="Times New Roman" w:hAnsi="Times New Roman" w:eastAsia="宋体" w:cs="Times New Roman"/>
                <w:b/>
                <w:sz w:val="21"/>
                <w:szCs w:val="21"/>
                <w:lang w:val="zh-CN" w:eastAsia="zh-CN" w:bidi="zh-CN"/>
              </w:rPr>
              <w:t>排放情况</w:t>
            </w:r>
          </w:p>
        </w:tc>
        <w:tc>
          <w:tcPr>
            <w:tcW w:w="1745" w:type="dxa"/>
            <w:vMerge w:val="restart"/>
            <w:noWrap w:val="0"/>
            <w:vAlign w:val="center"/>
          </w:tcPr>
          <w:p w14:paraId="19298B1C">
            <w:pPr>
              <w:widowControl w:val="0"/>
              <w:spacing w:before="148" w:after="0" w:line="240" w:lineRule="auto"/>
              <w:ind w:left="358" w:right="0" w:firstLine="0"/>
              <w:jc w:val="center"/>
              <w:rPr>
                <w:rFonts w:ascii="Times New Roman" w:hAnsi="Times New Roman" w:eastAsia="宋体" w:cs="Times New Roman"/>
                <w:b/>
                <w:sz w:val="21"/>
                <w:szCs w:val="21"/>
                <w:lang w:val="zh-CN" w:eastAsia="zh-CN" w:bidi="zh-CN"/>
              </w:rPr>
            </w:pPr>
            <w:r>
              <w:rPr>
                <w:rFonts w:ascii="Times New Roman" w:hAnsi="Times New Roman" w:eastAsia="宋体" w:cs="Times New Roman"/>
                <w:b/>
                <w:sz w:val="21"/>
                <w:szCs w:val="21"/>
                <w:lang w:val="zh-CN" w:eastAsia="zh-CN" w:bidi="zh-CN"/>
              </w:rPr>
              <w:t>治理措施</w:t>
            </w:r>
          </w:p>
        </w:tc>
        <w:tc>
          <w:tcPr>
            <w:tcW w:w="1935" w:type="dxa"/>
            <w:vMerge w:val="restart"/>
            <w:noWrap w:val="0"/>
            <w:vAlign w:val="center"/>
          </w:tcPr>
          <w:p w14:paraId="05D4F310">
            <w:pPr>
              <w:widowControl w:val="0"/>
              <w:spacing w:before="148" w:after="0" w:line="240" w:lineRule="auto"/>
              <w:ind w:left="686" w:right="0" w:firstLine="0"/>
              <w:jc w:val="center"/>
              <w:rPr>
                <w:rFonts w:ascii="Times New Roman" w:hAnsi="Times New Roman" w:eastAsia="宋体" w:cs="Times New Roman"/>
                <w:b/>
                <w:sz w:val="21"/>
                <w:szCs w:val="21"/>
                <w:lang w:val="zh-CN" w:eastAsia="zh-CN" w:bidi="zh-CN"/>
              </w:rPr>
            </w:pPr>
            <w:r>
              <w:rPr>
                <w:rFonts w:ascii="Times New Roman" w:hAnsi="Times New Roman" w:eastAsia="宋体" w:cs="Times New Roman"/>
                <w:b/>
                <w:sz w:val="21"/>
                <w:szCs w:val="21"/>
                <w:lang w:val="zh-CN" w:eastAsia="zh-CN" w:bidi="zh-CN"/>
              </w:rPr>
              <w:t>排放标准</w:t>
            </w:r>
          </w:p>
        </w:tc>
      </w:tr>
      <w:tr w14:paraId="710CA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67" w:hRule="atLeast"/>
          <w:jc w:val="center"/>
        </w:trPr>
        <w:tc>
          <w:tcPr>
            <w:tcW w:w="781" w:type="dxa"/>
            <w:vMerge w:val="continue"/>
            <w:noWrap w:val="0"/>
            <w:vAlign w:val="top"/>
          </w:tcPr>
          <w:p w14:paraId="518E52B7">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1808" w:type="dxa"/>
            <w:gridSpan w:val="2"/>
            <w:vMerge w:val="continue"/>
            <w:noWrap w:val="0"/>
            <w:vAlign w:val="top"/>
          </w:tcPr>
          <w:p w14:paraId="1F79FA19">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1263" w:type="dxa"/>
            <w:noWrap w:val="0"/>
            <w:vAlign w:val="top"/>
          </w:tcPr>
          <w:p w14:paraId="608036B1">
            <w:pPr>
              <w:widowControl w:val="0"/>
              <w:spacing w:before="0" w:after="0" w:line="248" w:lineRule="exact"/>
              <w:ind w:left="92" w:right="65" w:firstLine="0"/>
              <w:jc w:val="center"/>
              <w:rPr>
                <w:rFonts w:ascii="Times New Roman" w:hAnsi="Times New Roman" w:eastAsia="宋体" w:cs="Times New Roman"/>
                <w:b/>
                <w:sz w:val="21"/>
                <w:szCs w:val="21"/>
                <w:lang w:val="zh-CN" w:eastAsia="zh-CN" w:bidi="zh-CN"/>
              </w:rPr>
            </w:pPr>
            <w:r>
              <w:rPr>
                <w:rFonts w:ascii="Times New Roman" w:hAnsi="Times New Roman" w:eastAsia="宋体" w:cs="Times New Roman"/>
                <w:b/>
                <w:sz w:val="21"/>
                <w:szCs w:val="21"/>
                <w:lang w:val="zh-CN" w:eastAsia="zh-CN" w:bidi="zh-CN"/>
              </w:rPr>
              <w:t>排放量</w:t>
            </w:r>
          </w:p>
        </w:tc>
        <w:tc>
          <w:tcPr>
            <w:tcW w:w="1420" w:type="dxa"/>
            <w:noWrap w:val="0"/>
            <w:vAlign w:val="top"/>
          </w:tcPr>
          <w:p w14:paraId="7A8778EC">
            <w:pPr>
              <w:widowControl w:val="0"/>
              <w:spacing w:before="0" w:after="0" w:line="248" w:lineRule="exact"/>
              <w:ind w:left="165" w:right="133" w:firstLine="0"/>
              <w:jc w:val="center"/>
              <w:rPr>
                <w:rFonts w:ascii="Times New Roman" w:hAnsi="Times New Roman" w:eastAsia="宋体" w:cs="Times New Roman"/>
                <w:b/>
                <w:sz w:val="21"/>
                <w:szCs w:val="21"/>
                <w:lang w:val="zh-CN" w:eastAsia="zh-CN" w:bidi="zh-CN"/>
              </w:rPr>
            </w:pPr>
            <w:r>
              <w:rPr>
                <w:rFonts w:ascii="Times New Roman" w:hAnsi="Times New Roman" w:eastAsia="宋体" w:cs="Times New Roman"/>
                <w:b/>
                <w:sz w:val="21"/>
                <w:szCs w:val="21"/>
                <w:lang w:val="zh-CN" w:eastAsia="zh-CN" w:bidi="zh-CN"/>
              </w:rPr>
              <w:t>排放浓度</w:t>
            </w:r>
          </w:p>
        </w:tc>
        <w:tc>
          <w:tcPr>
            <w:tcW w:w="1745" w:type="dxa"/>
            <w:vMerge w:val="continue"/>
            <w:noWrap w:val="0"/>
            <w:vAlign w:val="top"/>
          </w:tcPr>
          <w:p w14:paraId="5E70CC92">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1935" w:type="dxa"/>
            <w:vMerge w:val="continue"/>
            <w:noWrap w:val="0"/>
            <w:vAlign w:val="top"/>
          </w:tcPr>
          <w:p w14:paraId="65EA40D2">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r>
      <w:tr w14:paraId="14F4F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49" w:hRule="atLeast"/>
          <w:jc w:val="center"/>
        </w:trPr>
        <w:tc>
          <w:tcPr>
            <w:tcW w:w="781" w:type="dxa"/>
            <w:vMerge w:val="restart"/>
            <w:noWrap w:val="0"/>
            <w:vAlign w:val="top"/>
          </w:tcPr>
          <w:p w14:paraId="37405141">
            <w:pPr>
              <w:widowControl w:val="0"/>
              <w:spacing w:before="0" w:after="0" w:line="240" w:lineRule="auto"/>
              <w:ind w:left="0" w:right="0" w:firstLine="0"/>
              <w:jc w:val="left"/>
              <w:rPr>
                <w:rFonts w:ascii="Times New Roman" w:hAnsi="Times New Roman" w:eastAsia="宋体" w:cs="Times New Roman"/>
                <w:sz w:val="21"/>
                <w:szCs w:val="21"/>
                <w:lang w:val="zh-CN" w:eastAsia="zh-CN" w:bidi="zh-CN"/>
              </w:rPr>
            </w:pPr>
          </w:p>
          <w:p w14:paraId="5940EAD5">
            <w:pPr>
              <w:widowControl w:val="0"/>
              <w:spacing w:before="0" w:after="0" w:line="240" w:lineRule="auto"/>
              <w:ind w:left="0" w:right="0" w:firstLine="0"/>
              <w:jc w:val="left"/>
              <w:rPr>
                <w:rFonts w:ascii="Times New Roman" w:hAnsi="Times New Roman" w:eastAsia="宋体" w:cs="Times New Roman"/>
                <w:sz w:val="21"/>
                <w:szCs w:val="21"/>
                <w:lang w:val="zh-CN" w:eastAsia="zh-CN" w:bidi="zh-CN"/>
              </w:rPr>
            </w:pPr>
          </w:p>
          <w:p w14:paraId="7BF2E93E">
            <w:pPr>
              <w:widowControl w:val="0"/>
              <w:spacing w:before="0" w:after="0" w:line="240" w:lineRule="auto"/>
              <w:ind w:left="0" w:right="0" w:firstLine="0"/>
              <w:jc w:val="left"/>
              <w:rPr>
                <w:rFonts w:ascii="Times New Roman" w:hAnsi="Times New Roman" w:eastAsia="宋体" w:cs="Times New Roman"/>
                <w:sz w:val="21"/>
                <w:szCs w:val="21"/>
                <w:lang w:val="zh-CN" w:eastAsia="zh-CN" w:bidi="zh-CN"/>
              </w:rPr>
            </w:pPr>
          </w:p>
          <w:p w14:paraId="16A58CB9">
            <w:pPr>
              <w:widowControl w:val="0"/>
              <w:spacing w:before="0" w:after="0" w:line="240" w:lineRule="auto"/>
              <w:ind w:left="0" w:right="0" w:firstLine="0"/>
              <w:jc w:val="left"/>
              <w:rPr>
                <w:rFonts w:ascii="Times New Roman" w:hAnsi="Times New Roman" w:eastAsia="宋体" w:cs="Times New Roman"/>
                <w:sz w:val="21"/>
                <w:szCs w:val="21"/>
                <w:lang w:val="zh-CN" w:eastAsia="zh-CN" w:bidi="zh-CN"/>
              </w:rPr>
            </w:pPr>
          </w:p>
          <w:p w14:paraId="50AF7EAA">
            <w:pPr>
              <w:widowControl w:val="0"/>
              <w:spacing w:before="0" w:after="0" w:line="240" w:lineRule="auto"/>
              <w:ind w:left="0" w:right="0" w:firstLine="0"/>
              <w:jc w:val="left"/>
              <w:rPr>
                <w:rFonts w:ascii="Times New Roman" w:hAnsi="Times New Roman" w:eastAsia="宋体" w:cs="Times New Roman"/>
                <w:sz w:val="21"/>
                <w:szCs w:val="21"/>
                <w:lang w:val="zh-CN" w:eastAsia="zh-CN" w:bidi="zh-CN"/>
              </w:rPr>
            </w:pPr>
          </w:p>
          <w:p w14:paraId="14510D98">
            <w:pPr>
              <w:widowControl w:val="0"/>
              <w:spacing w:before="0" w:after="0" w:line="240" w:lineRule="auto"/>
              <w:ind w:left="0" w:right="0" w:firstLine="0"/>
              <w:jc w:val="left"/>
              <w:rPr>
                <w:rFonts w:ascii="Times New Roman" w:hAnsi="Times New Roman" w:eastAsia="宋体" w:cs="Times New Roman"/>
                <w:sz w:val="21"/>
                <w:szCs w:val="21"/>
                <w:lang w:val="zh-CN" w:eastAsia="zh-CN" w:bidi="zh-CN"/>
              </w:rPr>
            </w:pPr>
          </w:p>
          <w:p w14:paraId="044E5021">
            <w:pPr>
              <w:widowControl w:val="0"/>
              <w:spacing w:before="0" w:after="0" w:line="240" w:lineRule="auto"/>
              <w:ind w:left="0" w:right="0" w:firstLine="0"/>
              <w:jc w:val="left"/>
              <w:rPr>
                <w:rFonts w:ascii="Times New Roman" w:hAnsi="Times New Roman" w:eastAsia="宋体" w:cs="Times New Roman"/>
                <w:sz w:val="21"/>
                <w:szCs w:val="21"/>
                <w:lang w:val="zh-CN" w:eastAsia="zh-CN" w:bidi="zh-CN"/>
              </w:rPr>
            </w:pPr>
          </w:p>
          <w:p w14:paraId="6EF68043">
            <w:pPr>
              <w:widowControl w:val="0"/>
              <w:spacing w:before="3" w:after="0" w:line="240" w:lineRule="auto"/>
              <w:ind w:left="0" w:right="0" w:firstLine="0"/>
              <w:jc w:val="left"/>
              <w:rPr>
                <w:rFonts w:ascii="Times New Roman" w:hAnsi="Times New Roman" w:eastAsia="宋体" w:cs="Times New Roman"/>
                <w:sz w:val="21"/>
                <w:szCs w:val="21"/>
                <w:lang w:val="zh-CN" w:eastAsia="zh-CN" w:bidi="zh-CN"/>
              </w:rPr>
            </w:pPr>
          </w:p>
          <w:p w14:paraId="04CB352F">
            <w:pPr>
              <w:widowControl w:val="0"/>
              <w:spacing w:before="0" w:after="0" w:line="240" w:lineRule="auto"/>
              <w:ind w:left="156" w:right="0" w:firstLine="0"/>
              <w:jc w:val="left"/>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废气</w:t>
            </w:r>
          </w:p>
        </w:tc>
        <w:tc>
          <w:tcPr>
            <w:tcW w:w="866" w:type="dxa"/>
            <w:noWrap w:val="0"/>
            <w:vAlign w:val="center"/>
          </w:tcPr>
          <w:p w14:paraId="0B817B3B">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干燥工段</w:t>
            </w:r>
          </w:p>
        </w:tc>
        <w:tc>
          <w:tcPr>
            <w:tcW w:w="942" w:type="dxa"/>
            <w:noWrap w:val="0"/>
            <w:vAlign w:val="center"/>
          </w:tcPr>
          <w:p w14:paraId="7DB88AB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粉尘</w:t>
            </w:r>
          </w:p>
        </w:tc>
        <w:tc>
          <w:tcPr>
            <w:tcW w:w="1263" w:type="dxa"/>
            <w:noWrap w:val="0"/>
            <w:vAlign w:val="center"/>
          </w:tcPr>
          <w:p w14:paraId="725FE710">
            <w:pPr>
              <w:widowControl w:val="0"/>
              <w:spacing w:before="36" w:after="0" w:line="240" w:lineRule="auto"/>
              <w:ind w:left="92" w:right="64"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1.5</w:t>
            </w:r>
            <w:r>
              <w:rPr>
                <w:rFonts w:ascii="Times New Roman" w:hAnsi="Times New Roman" w:eastAsia="宋体" w:cs="Times New Roman"/>
                <w:sz w:val="21"/>
                <w:szCs w:val="21"/>
                <w:lang w:val="zh-CN" w:eastAsia="zh-CN" w:bidi="zh-CN"/>
              </w:rPr>
              <w:t>t/a</w:t>
            </w:r>
          </w:p>
        </w:tc>
        <w:tc>
          <w:tcPr>
            <w:tcW w:w="1420" w:type="dxa"/>
            <w:noWrap w:val="0"/>
            <w:vAlign w:val="center"/>
          </w:tcPr>
          <w:p w14:paraId="5FDA04A7">
            <w:pPr>
              <w:widowControl w:val="0"/>
              <w:spacing w:before="36"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10.4</w:t>
            </w:r>
            <w:r>
              <w:rPr>
                <w:rFonts w:ascii="Times New Roman" w:hAnsi="Times New Roman" w:eastAsia="宋体" w:cs="Times New Roman"/>
                <w:sz w:val="21"/>
                <w:szCs w:val="21"/>
                <w:lang w:val="zh-CN" w:eastAsia="zh-CN" w:bidi="zh-CN"/>
              </w:rPr>
              <w:t>mg/m</w:t>
            </w:r>
            <w:r>
              <w:rPr>
                <w:rFonts w:hint="eastAsia" w:ascii="Times New Roman" w:hAnsi="Times New Roman" w:eastAsia="宋体" w:cs="Times New Roman"/>
                <w:sz w:val="21"/>
                <w:szCs w:val="21"/>
                <w:vertAlign w:val="superscript"/>
                <w:lang w:val="en-US" w:eastAsia="zh-CN" w:bidi="zh-CN"/>
              </w:rPr>
              <w:t>3</w:t>
            </w:r>
          </w:p>
        </w:tc>
        <w:tc>
          <w:tcPr>
            <w:tcW w:w="1745" w:type="dxa"/>
            <w:vMerge w:val="restart"/>
            <w:noWrap w:val="0"/>
            <w:vAlign w:val="center"/>
          </w:tcPr>
          <w:p w14:paraId="0CA5A78C">
            <w:pPr>
              <w:widowControl w:val="0"/>
              <w:spacing w:before="0" w:after="0" w:line="240" w:lineRule="auto"/>
              <w:ind w:left="0" w:right="0"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bidi="ar-SA"/>
              </w:rPr>
              <w:t>将干燥、筛选、铺装工序粉尘合并处理，在现有的旋风除尘器后端增设1套布袋除尘器，净化处理后通过1根15m高排气筒排放（P1）</w:t>
            </w:r>
          </w:p>
        </w:tc>
        <w:tc>
          <w:tcPr>
            <w:tcW w:w="1935" w:type="dxa"/>
            <w:vMerge w:val="restart"/>
            <w:noWrap w:val="0"/>
            <w:vAlign w:val="center"/>
          </w:tcPr>
          <w:p w14:paraId="178D2C6B">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满足</w:t>
            </w:r>
            <w:r>
              <w:rPr>
                <w:rFonts w:hint="eastAsia"/>
                <w:color w:val="000000"/>
                <w:sz w:val="21"/>
                <w:szCs w:val="21"/>
              </w:rPr>
              <w:t>《大气污染物综合排放标准》（GB16297</w:t>
            </w:r>
            <w:r>
              <w:rPr>
                <w:rFonts w:hint="eastAsia" w:eastAsia="宋体"/>
                <w:color w:val="000000"/>
                <w:sz w:val="21"/>
                <w:szCs w:val="21"/>
                <w:lang w:val="en-US" w:eastAsia="zh-CN"/>
              </w:rPr>
              <w:t>-</w:t>
            </w:r>
            <w:r>
              <w:rPr>
                <w:rFonts w:hint="eastAsia"/>
                <w:color w:val="000000"/>
                <w:sz w:val="21"/>
                <w:szCs w:val="21"/>
              </w:rPr>
              <w:t>1996）</w:t>
            </w:r>
            <w:r>
              <w:rPr>
                <w:rFonts w:hint="eastAsia" w:eastAsia="宋体"/>
                <w:color w:val="000000"/>
                <w:sz w:val="21"/>
                <w:szCs w:val="21"/>
                <w:lang w:val="en-US" w:eastAsia="zh-CN"/>
              </w:rPr>
              <w:t>表2中颗粒物最高允许排放浓度限值120mg/m</w:t>
            </w:r>
            <w:r>
              <w:rPr>
                <w:rFonts w:hint="eastAsia" w:eastAsia="宋体"/>
                <w:color w:val="000000"/>
                <w:sz w:val="21"/>
                <w:szCs w:val="21"/>
                <w:vertAlign w:val="superscript"/>
                <w:lang w:val="en-US" w:eastAsia="zh-CN"/>
              </w:rPr>
              <w:t>3</w:t>
            </w:r>
          </w:p>
        </w:tc>
      </w:tr>
      <w:tr w14:paraId="05864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738" w:hRule="atLeast"/>
          <w:jc w:val="center"/>
        </w:trPr>
        <w:tc>
          <w:tcPr>
            <w:tcW w:w="781" w:type="dxa"/>
            <w:vMerge w:val="continue"/>
            <w:noWrap w:val="0"/>
            <w:vAlign w:val="top"/>
          </w:tcPr>
          <w:p w14:paraId="336BA01D">
            <w:pPr>
              <w:widowControl w:val="0"/>
              <w:spacing w:before="0" w:after="0" w:line="240" w:lineRule="auto"/>
              <w:ind w:left="156" w:right="0" w:firstLine="0"/>
              <w:jc w:val="left"/>
              <w:rPr>
                <w:rFonts w:ascii="Times New Roman" w:hAnsi="Times New Roman" w:eastAsia="宋体" w:cs="Times New Roman"/>
                <w:sz w:val="21"/>
                <w:szCs w:val="21"/>
                <w:lang w:val="zh-CN" w:eastAsia="zh-CN" w:bidi="zh-CN"/>
              </w:rPr>
            </w:pPr>
          </w:p>
        </w:tc>
        <w:tc>
          <w:tcPr>
            <w:tcW w:w="866" w:type="dxa"/>
            <w:noWrap w:val="0"/>
            <w:vAlign w:val="center"/>
          </w:tcPr>
          <w:p w14:paraId="35AA3297">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筛分工段</w:t>
            </w:r>
          </w:p>
        </w:tc>
        <w:tc>
          <w:tcPr>
            <w:tcW w:w="942" w:type="dxa"/>
            <w:noWrap w:val="0"/>
            <w:vAlign w:val="center"/>
          </w:tcPr>
          <w:p w14:paraId="31561D6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粉尘</w:t>
            </w:r>
          </w:p>
        </w:tc>
        <w:tc>
          <w:tcPr>
            <w:tcW w:w="1263" w:type="dxa"/>
            <w:noWrap w:val="0"/>
            <w:vAlign w:val="center"/>
          </w:tcPr>
          <w:p w14:paraId="34DC62E8">
            <w:pPr>
              <w:widowControl w:val="0"/>
              <w:spacing w:before="36" w:after="0" w:line="240" w:lineRule="auto"/>
              <w:ind w:left="92" w:right="64"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4.1t/a</w:t>
            </w:r>
          </w:p>
        </w:tc>
        <w:tc>
          <w:tcPr>
            <w:tcW w:w="1420" w:type="dxa"/>
            <w:noWrap w:val="0"/>
            <w:vAlign w:val="center"/>
          </w:tcPr>
          <w:p w14:paraId="0C16CC1C">
            <w:pPr>
              <w:widowControl w:val="0"/>
              <w:spacing w:before="36"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28.5</w:t>
            </w:r>
            <w:r>
              <w:rPr>
                <w:rFonts w:ascii="Times New Roman" w:hAnsi="Times New Roman" w:eastAsia="宋体" w:cs="Times New Roman"/>
                <w:sz w:val="21"/>
                <w:szCs w:val="21"/>
                <w:lang w:val="zh-CN" w:eastAsia="zh-CN" w:bidi="zh-CN"/>
              </w:rPr>
              <w:t>mg/m</w:t>
            </w:r>
            <w:r>
              <w:rPr>
                <w:rFonts w:hint="eastAsia"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500AEDDA">
            <w:pPr>
              <w:widowControl w:val="0"/>
              <w:spacing w:before="0" w:after="0" w:line="240" w:lineRule="auto"/>
              <w:ind w:left="358" w:right="0" w:firstLine="0"/>
              <w:jc w:val="center"/>
              <w:rPr>
                <w:rFonts w:ascii="Times New Roman" w:hAnsi="Times New Roman" w:eastAsia="宋体" w:cs="Times New Roman"/>
                <w:sz w:val="21"/>
                <w:szCs w:val="21"/>
                <w:lang w:val="zh-CN" w:eastAsia="zh-CN" w:bidi="zh-CN"/>
              </w:rPr>
            </w:pPr>
          </w:p>
        </w:tc>
        <w:tc>
          <w:tcPr>
            <w:tcW w:w="1935" w:type="dxa"/>
            <w:vMerge w:val="continue"/>
            <w:noWrap w:val="0"/>
            <w:vAlign w:val="center"/>
          </w:tcPr>
          <w:p w14:paraId="6473B80D">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r>
      <w:tr w14:paraId="6C4FA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954" w:hRule="atLeast"/>
          <w:jc w:val="center"/>
        </w:trPr>
        <w:tc>
          <w:tcPr>
            <w:tcW w:w="781" w:type="dxa"/>
            <w:vMerge w:val="continue"/>
            <w:noWrap w:val="0"/>
            <w:vAlign w:val="top"/>
          </w:tcPr>
          <w:p w14:paraId="2264FC64">
            <w:pPr>
              <w:widowControl w:val="0"/>
              <w:spacing w:before="0" w:after="0" w:line="240" w:lineRule="auto"/>
              <w:ind w:left="156" w:right="0" w:firstLine="0"/>
              <w:jc w:val="left"/>
              <w:rPr>
                <w:rFonts w:ascii="Times New Roman" w:hAnsi="Times New Roman" w:eastAsia="宋体" w:cs="Times New Roman"/>
                <w:sz w:val="21"/>
                <w:szCs w:val="21"/>
                <w:lang w:val="zh-CN" w:eastAsia="zh-CN" w:bidi="zh-CN"/>
              </w:rPr>
            </w:pPr>
          </w:p>
        </w:tc>
        <w:tc>
          <w:tcPr>
            <w:tcW w:w="866" w:type="dxa"/>
            <w:noWrap w:val="0"/>
            <w:vAlign w:val="center"/>
          </w:tcPr>
          <w:p w14:paraId="64105BC5">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铺装工段</w:t>
            </w:r>
          </w:p>
        </w:tc>
        <w:tc>
          <w:tcPr>
            <w:tcW w:w="942" w:type="dxa"/>
            <w:noWrap w:val="0"/>
            <w:vAlign w:val="center"/>
          </w:tcPr>
          <w:p w14:paraId="1BCDD0F9">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粉尘</w:t>
            </w:r>
          </w:p>
        </w:tc>
        <w:tc>
          <w:tcPr>
            <w:tcW w:w="1263" w:type="dxa"/>
            <w:noWrap w:val="0"/>
            <w:vAlign w:val="center"/>
          </w:tcPr>
          <w:p w14:paraId="20DF89A3">
            <w:pPr>
              <w:widowControl w:val="0"/>
              <w:spacing w:before="36" w:after="0" w:line="240" w:lineRule="auto"/>
              <w:ind w:left="92" w:right="64"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3.04t/a</w:t>
            </w:r>
          </w:p>
        </w:tc>
        <w:tc>
          <w:tcPr>
            <w:tcW w:w="1420" w:type="dxa"/>
            <w:noWrap w:val="0"/>
            <w:vAlign w:val="center"/>
          </w:tcPr>
          <w:p w14:paraId="53815F9F">
            <w:pPr>
              <w:widowControl w:val="0"/>
              <w:spacing w:before="36"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21.0</w:t>
            </w:r>
            <w:r>
              <w:rPr>
                <w:rFonts w:ascii="Times New Roman" w:hAnsi="Times New Roman" w:eastAsia="宋体" w:cs="Times New Roman"/>
                <w:sz w:val="21"/>
                <w:szCs w:val="21"/>
                <w:lang w:val="zh-CN" w:eastAsia="zh-CN" w:bidi="zh-CN"/>
              </w:rPr>
              <w:t>mg/m</w:t>
            </w:r>
            <w:r>
              <w:rPr>
                <w:rFonts w:hint="eastAsia"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1F6EB805">
            <w:pPr>
              <w:widowControl w:val="0"/>
              <w:spacing w:before="0" w:after="0" w:line="240" w:lineRule="auto"/>
              <w:ind w:left="358" w:right="0" w:firstLine="0"/>
              <w:jc w:val="center"/>
              <w:rPr>
                <w:rFonts w:ascii="Times New Roman" w:hAnsi="Times New Roman" w:eastAsia="宋体" w:cs="Times New Roman"/>
                <w:sz w:val="21"/>
                <w:szCs w:val="21"/>
                <w:lang w:val="zh-CN" w:eastAsia="zh-CN" w:bidi="zh-CN"/>
              </w:rPr>
            </w:pPr>
          </w:p>
        </w:tc>
        <w:tc>
          <w:tcPr>
            <w:tcW w:w="1935" w:type="dxa"/>
            <w:vMerge w:val="continue"/>
            <w:noWrap w:val="0"/>
            <w:vAlign w:val="center"/>
          </w:tcPr>
          <w:p w14:paraId="26F5533D">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r>
      <w:tr w14:paraId="2CD67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7" w:hRule="atLeast"/>
          <w:jc w:val="center"/>
        </w:trPr>
        <w:tc>
          <w:tcPr>
            <w:tcW w:w="781" w:type="dxa"/>
            <w:vMerge w:val="continue"/>
            <w:noWrap w:val="0"/>
            <w:vAlign w:val="top"/>
          </w:tcPr>
          <w:p w14:paraId="324CE0A1">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restart"/>
            <w:noWrap w:val="0"/>
            <w:vAlign w:val="center"/>
          </w:tcPr>
          <w:p w14:paraId="6BC5F288">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热压、贴面</w:t>
            </w:r>
          </w:p>
        </w:tc>
        <w:tc>
          <w:tcPr>
            <w:tcW w:w="942" w:type="dxa"/>
            <w:noWrap w:val="0"/>
            <w:vAlign w:val="center"/>
          </w:tcPr>
          <w:p w14:paraId="03036465">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甲醛</w:t>
            </w:r>
          </w:p>
        </w:tc>
        <w:tc>
          <w:tcPr>
            <w:tcW w:w="1263" w:type="dxa"/>
            <w:noWrap w:val="0"/>
            <w:vAlign w:val="center"/>
          </w:tcPr>
          <w:p w14:paraId="307470EC">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0.81</w:t>
            </w:r>
            <w:r>
              <w:rPr>
                <w:rFonts w:ascii="Times New Roman" w:hAnsi="Times New Roman" w:eastAsia="宋体" w:cs="Times New Roman"/>
                <w:sz w:val="21"/>
                <w:szCs w:val="21"/>
                <w:lang w:val="zh-CN" w:eastAsia="zh-CN" w:bidi="zh-CN"/>
              </w:rPr>
              <w:t>t/a</w:t>
            </w:r>
          </w:p>
        </w:tc>
        <w:tc>
          <w:tcPr>
            <w:tcW w:w="1420" w:type="dxa"/>
            <w:noWrap w:val="0"/>
            <w:vAlign w:val="center"/>
          </w:tcPr>
          <w:p w14:paraId="60CD1800">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11</w:t>
            </w:r>
            <w:r>
              <w:rPr>
                <w:rFonts w:ascii="Times New Roman" w:hAnsi="Times New Roman" w:eastAsia="宋体" w:cs="Times New Roman"/>
                <w:sz w:val="21"/>
                <w:szCs w:val="21"/>
                <w:lang w:val="zh-CN" w:eastAsia="zh-CN" w:bidi="zh-CN"/>
              </w:rPr>
              <w:t>mg/m³</w:t>
            </w:r>
          </w:p>
        </w:tc>
        <w:tc>
          <w:tcPr>
            <w:tcW w:w="1745" w:type="dxa"/>
            <w:vMerge w:val="restart"/>
            <w:noWrap w:val="0"/>
            <w:vAlign w:val="center"/>
          </w:tcPr>
          <w:p w14:paraId="7F3238E7">
            <w:pPr>
              <w:widowControl w:val="0"/>
              <w:spacing w:before="0" w:after="0" w:line="267" w:lineRule="exact"/>
              <w:ind w:left="160" w:right="138" w:firstLine="0"/>
              <w:jc w:val="center"/>
              <w:rPr>
                <w:rFonts w:ascii="Times New Roman" w:hAnsi="Times New Roman" w:eastAsia="宋体" w:cs="Times New Roman"/>
                <w:color w:val="FF0000"/>
                <w:sz w:val="21"/>
                <w:szCs w:val="21"/>
                <w:lang w:val="zh-CN" w:eastAsia="zh-CN" w:bidi="zh-CN"/>
              </w:rPr>
            </w:pPr>
            <w:r>
              <w:rPr>
                <w:rFonts w:hint="eastAsia" w:ascii="Times New Roman" w:hAnsi="Times New Roman" w:eastAsia="宋体" w:cs="Times New Roman"/>
                <w:color w:val="FF0000"/>
                <w:sz w:val="21"/>
                <w:szCs w:val="21"/>
                <w:lang w:val="en-US" w:eastAsia="zh-CN" w:bidi="zh-CN"/>
              </w:rPr>
              <w:t>与制胶废气共用1套UV光催化活性炭吸附一体设备+15m高排气筒（P2）</w:t>
            </w:r>
          </w:p>
        </w:tc>
        <w:tc>
          <w:tcPr>
            <w:tcW w:w="1935" w:type="dxa"/>
            <w:vMerge w:val="restart"/>
            <w:noWrap w:val="0"/>
            <w:vAlign w:val="center"/>
          </w:tcPr>
          <w:p w14:paraId="409F3DC6">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满足《大气污染物综合排放标准》（GB16297-1996）表2中标准限值</w:t>
            </w:r>
          </w:p>
          <w:p w14:paraId="61F98A9C">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r>
      <w:tr w14:paraId="31250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7" w:hRule="atLeast"/>
          <w:jc w:val="center"/>
        </w:trPr>
        <w:tc>
          <w:tcPr>
            <w:tcW w:w="781" w:type="dxa"/>
            <w:vMerge w:val="continue"/>
            <w:noWrap w:val="0"/>
            <w:vAlign w:val="top"/>
          </w:tcPr>
          <w:p w14:paraId="166F874C">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784D8757">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c>
          <w:tcPr>
            <w:tcW w:w="942" w:type="dxa"/>
            <w:noWrap w:val="0"/>
            <w:vAlign w:val="center"/>
          </w:tcPr>
          <w:p w14:paraId="0C456E54">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酚类</w:t>
            </w:r>
          </w:p>
        </w:tc>
        <w:tc>
          <w:tcPr>
            <w:tcW w:w="1263" w:type="dxa"/>
            <w:noWrap w:val="0"/>
            <w:vAlign w:val="center"/>
          </w:tcPr>
          <w:p w14:paraId="414B4F33">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0.9t/a</w:t>
            </w:r>
          </w:p>
        </w:tc>
        <w:tc>
          <w:tcPr>
            <w:tcW w:w="1420" w:type="dxa"/>
            <w:noWrap w:val="0"/>
            <w:vAlign w:val="center"/>
          </w:tcPr>
          <w:p w14:paraId="135C3517">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10</w:t>
            </w:r>
            <w:r>
              <w:rPr>
                <w:rFonts w:ascii="Times New Roman" w:hAnsi="Times New Roman" w:eastAsia="宋体" w:cs="Times New Roman"/>
                <w:sz w:val="21"/>
                <w:szCs w:val="21"/>
                <w:lang w:val="zh-CN" w:eastAsia="zh-CN" w:bidi="zh-CN"/>
              </w:rPr>
              <w:t>mg/m³</w:t>
            </w:r>
          </w:p>
        </w:tc>
        <w:tc>
          <w:tcPr>
            <w:tcW w:w="1745" w:type="dxa"/>
            <w:vMerge w:val="continue"/>
            <w:noWrap w:val="0"/>
            <w:vAlign w:val="center"/>
          </w:tcPr>
          <w:p w14:paraId="6A8CA64A">
            <w:pPr>
              <w:widowControl w:val="0"/>
              <w:spacing w:before="0" w:after="0" w:line="267" w:lineRule="exact"/>
              <w:ind w:left="160" w:right="138" w:firstLine="0"/>
              <w:jc w:val="center"/>
              <w:rPr>
                <w:rFonts w:ascii="Times New Roman" w:hAnsi="Times New Roman" w:eastAsia="宋体" w:cs="Times New Roman"/>
                <w:color w:val="FF0000"/>
                <w:sz w:val="21"/>
                <w:szCs w:val="21"/>
                <w:lang w:val="zh-CN" w:eastAsia="zh-CN" w:bidi="zh-CN"/>
              </w:rPr>
            </w:pPr>
          </w:p>
        </w:tc>
        <w:tc>
          <w:tcPr>
            <w:tcW w:w="1935" w:type="dxa"/>
            <w:vMerge w:val="continue"/>
            <w:noWrap w:val="0"/>
            <w:vAlign w:val="center"/>
          </w:tcPr>
          <w:p w14:paraId="785A4CFE">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r>
      <w:tr w14:paraId="5CDDB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7" w:hRule="atLeast"/>
          <w:jc w:val="center"/>
        </w:trPr>
        <w:tc>
          <w:tcPr>
            <w:tcW w:w="781" w:type="dxa"/>
            <w:vMerge w:val="continue"/>
            <w:noWrap w:val="0"/>
            <w:vAlign w:val="top"/>
          </w:tcPr>
          <w:p w14:paraId="7FD3A591">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6CA30450">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c>
          <w:tcPr>
            <w:tcW w:w="942" w:type="dxa"/>
            <w:noWrap w:val="0"/>
            <w:vAlign w:val="center"/>
          </w:tcPr>
          <w:p w14:paraId="19CB8C3E">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VOCs</w:t>
            </w:r>
          </w:p>
        </w:tc>
        <w:tc>
          <w:tcPr>
            <w:tcW w:w="1263" w:type="dxa"/>
            <w:noWrap w:val="0"/>
            <w:vAlign w:val="center"/>
          </w:tcPr>
          <w:p w14:paraId="75A58A9A">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0.</w:t>
            </w:r>
            <w:r>
              <w:rPr>
                <w:rFonts w:hint="eastAsia" w:ascii="Times New Roman" w:hAnsi="Times New Roman" w:eastAsia="宋体" w:cs="Times New Roman"/>
                <w:sz w:val="21"/>
                <w:szCs w:val="21"/>
                <w:lang w:val="en-US" w:eastAsia="zh-CN" w:bidi="zh-CN"/>
              </w:rPr>
              <w:t>18</w:t>
            </w:r>
            <w:r>
              <w:rPr>
                <w:rFonts w:ascii="Times New Roman" w:hAnsi="Times New Roman" w:eastAsia="宋体" w:cs="Times New Roman"/>
                <w:sz w:val="21"/>
                <w:szCs w:val="21"/>
                <w:lang w:val="zh-CN" w:eastAsia="zh-CN" w:bidi="zh-CN"/>
              </w:rPr>
              <w:t>t/a</w:t>
            </w:r>
          </w:p>
        </w:tc>
        <w:tc>
          <w:tcPr>
            <w:tcW w:w="1420" w:type="dxa"/>
            <w:noWrap w:val="0"/>
            <w:vAlign w:val="center"/>
          </w:tcPr>
          <w:p w14:paraId="10E627B9">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2.5</w:t>
            </w:r>
            <w:r>
              <w:rPr>
                <w:rFonts w:ascii="Times New Roman" w:hAnsi="Times New Roman" w:eastAsia="宋体" w:cs="Times New Roman"/>
                <w:sz w:val="21"/>
                <w:szCs w:val="21"/>
                <w:lang w:val="zh-CN" w:eastAsia="zh-CN" w:bidi="zh-CN"/>
              </w:rPr>
              <w:t>mg/m³</w:t>
            </w:r>
          </w:p>
        </w:tc>
        <w:tc>
          <w:tcPr>
            <w:tcW w:w="1745" w:type="dxa"/>
            <w:vMerge w:val="continue"/>
            <w:noWrap w:val="0"/>
            <w:vAlign w:val="center"/>
          </w:tcPr>
          <w:p w14:paraId="0032278E">
            <w:pPr>
              <w:widowControl w:val="0"/>
              <w:spacing w:before="0" w:after="0" w:line="267" w:lineRule="exact"/>
              <w:ind w:left="160" w:right="138" w:firstLine="0"/>
              <w:jc w:val="center"/>
              <w:rPr>
                <w:rFonts w:ascii="Times New Roman" w:hAnsi="Times New Roman" w:eastAsia="宋体" w:cs="Times New Roman"/>
                <w:color w:val="FF0000"/>
                <w:sz w:val="21"/>
                <w:szCs w:val="21"/>
                <w:lang w:val="zh-CN" w:eastAsia="zh-CN" w:bidi="zh-CN"/>
              </w:rPr>
            </w:pPr>
          </w:p>
        </w:tc>
        <w:tc>
          <w:tcPr>
            <w:tcW w:w="1935" w:type="dxa"/>
            <w:vMerge w:val="continue"/>
            <w:noWrap w:val="0"/>
            <w:vAlign w:val="center"/>
          </w:tcPr>
          <w:p w14:paraId="768183FD">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r>
      <w:tr w14:paraId="5C354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21" w:hRule="atLeast"/>
          <w:jc w:val="center"/>
        </w:trPr>
        <w:tc>
          <w:tcPr>
            <w:tcW w:w="781" w:type="dxa"/>
            <w:vMerge w:val="continue"/>
            <w:noWrap w:val="0"/>
            <w:vAlign w:val="top"/>
          </w:tcPr>
          <w:p w14:paraId="1D6F128E">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restart"/>
            <w:noWrap w:val="0"/>
            <w:vAlign w:val="center"/>
          </w:tcPr>
          <w:p w14:paraId="7F0DA578">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p w14:paraId="18DAFF25">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供热系统</w:t>
            </w:r>
          </w:p>
        </w:tc>
        <w:tc>
          <w:tcPr>
            <w:tcW w:w="942" w:type="dxa"/>
            <w:noWrap w:val="0"/>
            <w:vAlign w:val="center"/>
          </w:tcPr>
          <w:p w14:paraId="6C982A35">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烟尘</w:t>
            </w:r>
          </w:p>
        </w:tc>
        <w:tc>
          <w:tcPr>
            <w:tcW w:w="1263" w:type="dxa"/>
            <w:noWrap w:val="0"/>
            <w:vAlign w:val="center"/>
          </w:tcPr>
          <w:p w14:paraId="094E2EF9">
            <w:pPr>
              <w:widowControl w:val="0"/>
              <w:spacing w:before="27" w:after="0" w:line="240" w:lineRule="auto"/>
              <w:ind w:left="92" w:right="64" w:firstLine="0"/>
              <w:jc w:val="center"/>
              <w:rPr>
                <w:rFonts w:ascii="Times New Roman" w:hAnsi="Times New Roman" w:eastAsia="宋体" w:cs="Times New Roman"/>
                <w:color w:val="000000"/>
                <w:sz w:val="21"/>
                <w:szCs w:val="21"/>
                <w:lang w:val="zh-CN" w:eastAsia="zh-CN" w:bidi="zh-CN"/>
              </w:rPr>
            </w:pPr>
            <w:r>
              <w:rPr>
                <w:rFonts w:hint="eastAsia" w:ascii="Times New Roman" w:hAnsi="Times New Roman" w:eastAsia="宋体" w:cs="Times New Roman"/>
                <w:color w:val="000000"/>
                <w:sz w:val="21"/>
                <w:szCs w:val="21"/>
                <w:lang w:val="en-US" w:eastAsia="zh-CN" w:bidi="zh-CN"/>
              </w:rPr>
              <w:t>3.96</w:t>
            </w:r>
            <w:r>
              <w:rPr>
                <w:rFonts w:ascii="Times New Roman" w:hAnsi="Times New Roman" w:eastAsia="宋体" w:cs="Times New Roman"/>
                <w:color w:val="000000"/>
                <w:sz w:val="21"/>
                <w:szCs w:val="21"/>
                <w:lang w:val="zh-CN" w:eastAsia="zh-CN" w:bidi="zh-CN"/>
              </w:rPr>
              <w:t>t/a</w:t>
            </w:r>
          </w:p>
        </w:tc>
        <w:tc>
          <w:tcPr>
            <w:tcW w:w="1420" w:type="dxa"/>
            <w:noWrap w:val="0"/>
            <w:vAlign w:val="center"/>
          </w:tcPr>
          <w:p w14:paraId="30DA4986">
            <w:pPr>
              <w:widowControl w:val="0"/>
              <w:spacing w:before="27"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43.3</w:t>
            </w:r>
            <w:r>
              <w:rPr>
                <w:rFonts w:ascii="Times New Roman" w:hAnsi="Times New Roman" w:eastAsia="宋体" w:cs="Times New Roman"/>
                <w:sz w:val="21"/>
                <w:szCs w:val="21"/>
                <w:lang w:val="zh-CN" w:eastAsia="zh-CN" w:bidi="zh-CN"/>
              </w:rPr>
              <w:t>mg/m</w:t>
            </w:r>
            <w:r>
              <w:rPr>
                <w:rFonts w:hint="eastAsia" w:ascii="Times New Roman" w:hAnsi="Times New Roman" w:eastAsia="宋体" w:cs="Times New Roman"/>
                <w:sz w:val="21"/>
                <w:szCs w:val="21"/>
                <w:vertAlign w:val="superscript"/>
                <w:lang w:val="en-US" w:eastAsia="zh-CN" w:bidi="zh-CN"/>
              </w:rPr>
              <w:t>3</w:t>
            </w:r>
          </w:p>
        </w:tc>
        <w:tc>
          <w:tcPr>
            <w:tcW w:w="1745" w:type="dxa"/>
            <w:vMerge w:val="restart"/>
            <w:noWrap w:val="0"/>
            <w:vAlign w:val="center"/>
          </w:tcPr>
          <w:p w14:paraId="20365496">
            <w:pPr>
              <w:widowControl w:val="0"/>
              <w:spacing w:before="0" w:after="0" w:line="267" w:lineRule="exact"/>
              <w:ind w:left="160" w:right="138" w:firstLine="0"/>
              <w:jc w:val="center"/>
              <w:rPr>
                <w:rFonts w:ascii="Times New Roman" w:hAnsi="Times New Roman" w:eastAsia="宋体" w:cs="Times New Roman"/>
                <w:color w:val="FF0000"/>
                <w:sz w:val="21"/>
                <w:szCs w:val="21"/>
                <w:lang w:val="zh-CN" w:eastAsia="zh-CN" w:bidi="zh-CN"/>
              </w:rPr>
            </w:pPr>
            <w:r>
              <w:rPr>
                <w:rFonts w:hint="eastAsia" w:ascii="Times New Roman" w:hAnsi="Times New Roman" w:eastAsia="宋体" w:cs="Times New Roman"/>
                <w:color w:val="FF0000"/>
                <w:sz w:val="21"/>
                <w:szCs w:val="21"/>
                <w:lang w:val="en-US" w:eastAsia="zh-CN" w:bidi="zh-CN"/>
              </w:rPr>
              <w:t>增设1套电离捕捉器；后期将6t/h锅炉、热载体炉水膜除尘器处理后的烟气引入增设的1套电离捕捉器进行集中处理，通过25m排气筒集中排放（P3）</w:t>
            </w:r>
          </w:p>
        </w:tc>
        <w:tc>
          <w:tcPr>
            <w:tcW w:w="1935" w:type="dxa"/>
            <w:vMerge w:val="restart"/>
            <w:noWrap w:val="0"/>
            <w:vAlign w:val="center"/>
          </w:tcPr>
          <w:p w14:paraId="064D5A12">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满足</w:t>
            </w:r>
            <w:r>
              <w:rPr>
                <w:rFonts w:hint="eastAsia" w:ascii="Times New Roman" w:hAnsi="Times New Roman" w:eastAsia="宋体" w:cs="Times New Roman"/>
                <w:sz w:val="21"/>
                <w:szCs w:val="21"/>
                <w:lang w:val="zh-CN" w:eastAsia="zh-CN" w:bidi="zh-CN"/>
              </w:rPr>
              <w:t>《锅炉大气污染物排放标准》（GB13271-2014）新建锅炉大气污染物排放标准</w:t>
            </w:r>
          </w:p>
        </w:tc>
      </w:tr>
      <w:tr w14:paraId="746B1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717" w:hRule="atLeast"/>
          <w:jc w:val="center"/>
        </w:trPr>
        <w:tc>
          <w:tcPr>
            <w:tcW w:w="781" w:type="dxa"/>
            <w:vMerge w:val="continue"/>
            <w:noWrap w:val="0"/>
            <w:vAlign w:val="top"/>
          </w:tcPr>
          <w:p w14:paraId="79562CBB">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3ECFF60C">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c>
          <w:tcPr>
            <w:tcW w:w="942" w:type="dxa"/>
            <w:noWrap w:val="0"/>
            <w:vAlign w:val="center"/>
          </w:tcPr>
          <w:p w14:paraId="56982C5B">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SO</w:t>
            </w:r>
            <w:r>
              <w:rPr>
                <w:rFonts w:hint="eastAsia" w:ascii="Times New Roman" w:hAnsi="Times New Roman" w:eastAsia="宋体" w:cs="Times New Roman"/>
                <w:sz w:val="21"/>
                <w:szCs w:val="21"/>
                <w:vertAlign w:val="subscript"/>
                <w:lang w:val="en-US" w:eastAsia="zh-CN" w:bidi="zh-CN"/>
              </w:rPr>
              <w:t>2</w:t>
            </w:r>
          </w:p>
        </w:tc>
        <w:tc>
          <w:tcPr>
            <w:tcW w:w="1263" w:type="dxa"/>
            <w:noWrap w:val="0"/>
            <w:vAlign w:val="center"/>
          </w:tcPr>
          <w:p w14:paraId="26462215">
            <w:pPr>
              <w:widowControl w:val="0"/>
              <w:spacing w:before="26" w:after="0" w:line="240" w:lineRule="auto"/>
              <w:ind w:left="92" w:right="64" w:firstLine="0"/>
              <w:jc w:val="center"/>
              <w:rPr>
                <w:rFonts w:ascii="Times New Roman" w:hAnsi="Times New Roman" w:eastAsia="宋体" w:cs="Times New Roman"/>
                <w:color w:val="000000"/>
                <w:sz w:val="21"/>
                <w:szCs w:val="21"/>
                <w:lang w:val="zh-CN" w:eastAsia="zh-CN" w:bidi="zh-CN"/>
              </w:rPr>
            </w:pPr>
            <w:r>
              <w:rPr>
                <w:rFonts w:hint="eastAsia" w:ascii="Times New Roman" w:hAnsi="Times New Roman" w:eastAsia="宋体" w:cs="Times New Roman"/>
                <w:color w:val="000000"/>
                <w:sz w:val="21"/>
                <w:szCs w:val="21"/>
                <w:lang w:val="en-US" w:eastAsia="zh-CN" w:bidi="zh-CN"/>
              </w:rPr>
              <w:t>1.0</w:t>
            </w:r>
            <w:r>
              <w:rPr>
                <w:rFonts w:ascii="Times New Roman" w:hAnsi="Times New Roman" w:eastAsia="宋体" w:cs="Times New Roman"/>
                <w:color w:val="000000"/>
                <w:sz w:val="21"/>
                <w:szCs w:val="21"/>
                <w:lang w:val="zh-CN" w:eastAsia="zh-CN" w:bidi="zh-CN"/>
              </w:rPr>
              <w:t>t/a</w:t>
            </w:r>
          </w:p>
        </w:tc>
        <w:tc>
          <w:tcPr>
            <w:tcW w:w="1420" w:type="dxa"/>
            <w:noWrap w:val="0"/>
            <w:vAlign w:val="center"/>
          </w:tcPr>
          <w:p w14:paraId="75F99D7D">
            <w:pPr>
              <w:widowControl w:val="0"/>
              <w:spacing w:before="26"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12</w:t>
            </w:r>
            <w:r>
              <w:rPr>
                <w:rFonts w:ascii="Times New Roman" w:hAnsi="Times New Roman" w:eastAsia="宋体" w:cs="Times New Roman"/>
                <w:sz w:val="21"/>
                <w:szCs w:val="21"/>
                <w:lang w:val="zh-CN" w:eastAsia="zh-CN" w:bidi="zh-CN"/>
              </w:rPr>
              <w:t>mg/m</w:t>
            </w:r>
            <w:r>
              <w:rPr>
                <w:rFonts w:hint="eastAsia"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6867BC3A">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c>
          <w:tcPr>
            <w:tcW w:w="1935" w:type="dxa"/>
            <w:vMerge w:val="continue"/>
            <w:noWrap w:val="0"/>
            <w:vAlign w:val="center"/>
          </w:tcPr>
          <w:p w14:paraId="71C8C191">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r>
      <w:tr w14:paraId="60C29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7" w:hRule="atLeast"/>
          <w:jc w:val="center"/>
        </w:trPr>
        <w:tc>
          <w:tcPr>
            <w:tcW w:w="781" w:type="dxa"/>
            <w:vMerge w:val="continue"/>
            <w:noWrap w:val="0"/>
            <w:vAlign w:val="top"/>
          </w:tcPr>
          <w:p w14:paraId="3C3F8313">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5842C6B9">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p>
        </w:tc>
        <w:tc>
          <w:tcPr>
            <w:tcW w:w="942" w:type="dxa"/>
            <w:noWrap w:val="0"/>
            <w:vAlign w:val="center"/>
          </w:tcPr>
          <w:p w14:paraId="0A940210">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NOx</w:t>
            </w:r>
          </w:p>
        </w:tc>
        <w:tc>
          <w:tcPr>
            <w:tcW w:w="1263" w:type="dxa"/>
            <w:noWrap w:val="0"/>
            <w:vAlign w:val="center"/>
          </w:tcPr>
          <w:p w14:paraId="1C3C06A3">
            <w:pPr>
              <w:widowControl w:val="0"/>
              <w:spacing w:before="26" w:after="0" w:line="240" w:lineRule="auto"/>
              <w:ind w:left="92" w:right="64" w:firstLine="0"/>
              <w:jc w:val="center"/>
              <w:rPr>
                <w:rFonts w:ascii="Times New Roman" w:hAnsi="Times New Roman" w:eastAsia="宋体" w:cs="Times New Roman"/>
                <w:color w:val="000000"/>
                <w:sz w:val="21"/>
                <w:szCs w:val="21"/>
                <w:lang w:val="zh-CN" w:eastAsia="zh-CN" w:bidi="zh-CN"/>
              </w:rPr>
            </w:pPr>
            <w:r>
              <w:rPr>
                <w:rFonts w:hint="eastAsia" w:ascii="Times New Roman" w:hAnsi="Times New Roman" w:eastAsia="宋体" w:cs="Times New Roman"/>
                <w:color w:val="000000"/>
                <w:sz w:val="21"/>
                <w:szCs w:val="21"/>
                <w:lang w:val="en-US" w:eastAsia="zh-CN" w:bidi="zh-CN"/>
              </w:rPr>
              <w:t>5.976</w:t>
            </w:r>
            <w:r>
              <w:rPr>
                <w:rFonts w:ascii="Times New Roman" w:hAnsi="Times New Roman" w:eastAsia="宋体" w:cs="Times New Roman"/>
                <w:color w:val="000000"/>
                <w:sz w:val="21"/>
                <w:szCs w:val="21"/>
                <w:lang w:val="zh-CN" w:eastAsia="zh-CN" w:bidi="zh-CN"/>
              </w:rPr>
              <w:t>t/a</w:t>
            </w:r>
          </w:p>
        </w:tc>
        <w:tc>
          <w:tcPr>
            <w:tcW w:w="1420" w:type="dxa"/>
            <w:noWrap w:val="0"/>
            <w:vAlign w:val="center"/>
          </w:tcPr>
          <w:p w14:paraId="297E1F4B">
            <w:pPr>
              <w:widowControl w:val="0"/>
              <w:spacing w:before="26"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66</w:t>
            </w:r>
            <w:r>
              <w:rPr>
                <w:rFonts w:ascii="Times New Roman" w:hAnsi="Times New Roman" w:eastAsia="宋体" w:cs="Times New Roman"/>
                <w:sz w:val="21"/>
                <w:szCs w:val="21"/>
                <w:lang w:val="zh-CN" w:eastAsia="zh-CN" w:bidi="zh-CN"/>
              </w:rPr>
              <w:t>mg/m</w:t>
            </w:r>
            <w:r>
              <w:rPr>
                <w:rFonts w:hint="eastAsia"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7CA5CD44">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c>
          <w:tcPr>
            <w:tcW w:w="1935" w:type="dxa"/>
            <w:vMerge w:val="continue"/>
            <w:noWrap w:val="0"/>
            <w:vAlign w:val="center"/>
          </w:tcPr>
          <w:p w14:paraId="7B7866D9">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r>
      <w:tr w14:paraId="00E56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4" w:hRule="atLeast"/>
          <w:jc w:val="center"/>
        </w:trPr>
        <w:tc>
          <w:tcPr>
            <w:tcW w:w="781" w:type="dxa"/>
            <w:vMerge w:val="continue"/>
            <w:noWrap w:val="0"/>
            <w:vAlign w:val="top"/>
          </w:tcPr>
          <w:p w14:paraId="4D485734">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restart"/>
            <w:noWrap w:val="0"/>
            <w:vAlign w:val="center"/>
          </w:tcPr>
          <w:p w14:paraId="339E775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脲醛树脂胶生产</w:t>
            </w:r>
          </w:p>
        </w:tc>
        <w:tc>
          <w:tcPr>
            <w:tcW w:w="942" w:type="dxa"/>
            <w:noWrap w:val="0"/>
            <w:vAlign w:val="center"/>
          </w:tcPr>
          <w:p w14:paraId="7FE0073C">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甲醛</w:t>
            </w:r>
          </w:p>
        </w:tc>
        <w:tc>
          <w:tcPr>
            <w:tcW w:w="1263" w:type="dxa"/>
            <w:noWrap w:val="0"/>
            <w:vAlign w:val="center"/>
          </w:tcPr>
          <w:p w14:paraId="368F4811">
            <w:pPr>
              <w:widowControl w:val="0"/>
              <w:spacing w:before="184" w:after="0" w:line="240" w:lineRule="auto"/>
              <w:ind w:left="92" w:right="64"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0.00</w:t>
            </w:r>
            <w:r>
              <w:rPr>
                <w:rFonts w:ascii="Times New Roman" w:hAnsi="Times New Roman" w:eastAsia="宋体" w:cs="Times New Roman"/>
                <w:sz w:val="21"/>
                <w:szCs w:val="21"/>
                <w:lang w:val="en-US" w:eastAsia="zh-CN" w:bidi="zh-CN"/>
              </w:rPr>
              <w:t>035</w:t>
            </w:r>
            <w:r>
              <w:rPr>
                <w:rFonts w:ascii="Times New Roman" w:hAnsi="Times New Roman" w:eastAsia="宋体" w:cs="Times New Roman"/>
                <w:sz w:val="21"/>
                <w:szCs w:val="21"/>
                <w:lang w:val="zh-CN" w:eastAsia="zh-CN" w:bidi="zh-CN"/>
              </w:rPr>
              <w:t>t/a</w:t>
            </w:r>
          </w:p>
        </w:tc>
        <w:tc>
          <w:tcPr>
            <w:tcW w:w="1420" w:type="dxa"/>
            <w:noWrap w:val="0"/>
            <w:vAlign w:val="center"/>
          </w:tcPr>
          <w:p w14:paraId="3E88F40B">
            <w:pPr>
              <w:widowControl w:val="0"/>
              <w:spacing w:before="184" w:after="0" w:line="240" w:lineRule="auto"/>
              <w:ind w:left="165" w:right="137"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0.01</w:t>
            </w:r>
            <w:r>
              <w:rPr>
                <w:rFonts w:ascii="Times New Roman" w:hAnsi="Times New Roman" w:eastAsia="宋体" w:cs="Times New Roman"/>
                <w:sz w:val="21"/>
                <w:szCs w:val="21"/>
                <w:lang w:val="zh-CN" w:eastAsia="zh-CN" w:bidi="zh-CN"/>
              </w:rPr>
              <w:t>mg/m</w:t>
            </w:r>
            <w:r>
              <w:rPr>
                <w:rFonts w:ascii="Times New Roman" w:hAnsi="Times New Roman" w:eastAsia="宋体" w:cs="Times New Roman"/>
                <w:sz w:val="21"/>
                <w:szCs w:val="21"/>
                <w:vertAlign w:val="superscript"/>
                <w:lang w:val="en-US" w:eastAsia="zh-CN" w:bidi="zh-CN"/>
              </w:rPr>
              <w:t>3</w:t>
            </w:r>
          </w:p>
        </w:tc>
        <w:tc>
          <w:tcPr>
            <w:tcW w:w="1745" w:type="dxa"/>
            <w:vMerge w:val="restart"/>
            <w:noWrap w:val="0"/>
            <w:vAlign w:val="center"/>
          </w:tcPr>
          <w:p w14:paraId="4B181649">
            <w:pPr>
              <w:widowControl w:val="0"/>
              <w:spacing w:before="170" w:after="0" w:line="240" w:lineRule="auto"/>
              <w:ind w:left="147" w:right="120"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bCs w:val="0"/>
                <w:color w:val="FF0000"/>
                <w:sz w:val="21"/>
                <w:szCs w:val="21"/>
                <w:lang w:val="en-US" w:eastAsia="zh-CN" w:bidi="ar-SA"/>
              </w:rPr>
              <w:t>设置1套UV光催化活性炭吸附一体设备</w:t>
            </w:r>
            <w:r>
              <w:rPr>
                <w:rFonts w:ascii="Times New Roman" w:hAnsi="Times New Roman" w:eastAsia="宋体" w:cs="Times New Roman"/>
                <w:color w:val="FF0000"/>
                <w:sz w:val="21"/>
                <w:szCs w:val="21"/>
                <w:lang w:val="en-US" w:eastAsia="zh-CN" w:bidi="ar-SA"/>
              </w:rPr>
              <w:t>+15m高排气筒（P</w:t>
            </w:r>
            <w:r>
              <w:rPr>
                <w:rFonts w:hint="eastAsia" w:ascii="Times New Roman" w:hAnsi="Times New Roman" w:eastAsia="宋体" w:cs="Times New Roman"/>
                <w:color w:val="FF0000"/>
                <w:sz w:val="21"/>
                <w:szCs w:val="21"/>
                <w:lang w:val="en-US" w:eastAsia="zh-CN" w:bidi="ar-SA"/>
              </w:rPr>
              <w:t>2</w:t>
            </w:r>
            <w:r>
              <w:rPr>
                <w:rFonts w:ascii="Times New Roman" w:hAnsi="Times New Roman" w:eastAsia="宋体" w:cs="Times New Roman"/>
                <w:color w:val="FF0000"/>
                <w:sz w:val="21"/>
                <w:szCs w:val="21"/>
                <w:lang w:val="en-US" w:eastAsia="zh-CN" w:bidi="ar-SA"/>
              </w:rPr>
              <w:t>）</w:t>
            </w:r>
          </w:p>
        </w:tc>
        <w:tc>
          <w:tcPr>
            <w:tcW w:w="1935" w:type="dxa"/>
            <w:vMerge w:val="restart"/>
            <w:noWrap w:val="0"/>
            <w:vAlign w:val="center"/>
          </w:tcPr>
          <w:p w14:paraId="0524E601">
            <w:pPr>
              <w:widowControl w:val="0"/>
              <w:spacing w:before="0" w:after="0" w:line="240" w:lineRule="auto"/>
              <w:ind w:left="0" w:right="0" w:firstLine="0"/>
              <w:jc w:val="center"/>
              <w:rPr>
                <w:rFonts w:ascii="Times New Roman" w:hAnsi="Times New Roman" w:eastAsia="宋体" w:cs="Times New Roman"/>
                <w:sz w:val="21"/>
                <w:szCs w:val="21"/>
                <w:lang w:val="zh-CN" w:bidi="zh-CN"/>
              </w:rPr>
            </w:pPr>
            <w:r>
              <w:rPr>
                <w:rFonts w:ascii="Times New Roman" w:hAnsi="Times New Roman" w:eastAsia="宋体" w:cs="Times New Roman"/>
                <w:sz w:val="21"/>
                <w:szCs w:val="21"/>
                <w:lang w:val="zh-CN" w:eastAsia="zh-CN" w:bidi="ar-SA"/>
              </w:rPr>
              <w:t>甲醛、</w:t>
            </w:r>
            <w:r>
              <w:rPr>
                <w:rFonts w:ascii="Times New Roman" w:hAnsi="Times New Roman" w:eastAsia="宋体" w:cs="Times New Roman"/>
                <w:sz w:val="21"/>
                <w:szCs w:val="21"/>
                <w:lang w:val="en-US" w:eastAsia="zh-CN" w:bidi="ar-SA"/>
              </w:rPr>
              <w:t>酚类</w:t>
            </w:r>
            <w:r>
              <w:rPr>
                <w:rFonts w:ascii="Times New Roman" w:hAnsi="Times New Roman" w:eastAsia="宋体" w:cs="Times New Roman"/>
                <w:sz w:val="21"/>
                <w:szCs w:val="21"/>
                <w:lang w:val="zh-CN" w:eastAsia="zh-CN" w:bidi="ar-SA"/>
              </w:rPr>
              <w:t>、氨、</w:t>
            </w:r>
            <w:r>
              <w:rPr>
                <w:rFonts w:ascii="Times New Roman" w:hAnsi="Times New Roman" w:eastAsia="宋体" w:cs="Times New Roman"/>
                <w:sz w:val="21"/>
                <w:szCs w:val="21"/>
                <w:lang w:val="en-US" w:eastAsia="zh-CN" w:bidi="ar-SA"/>
              </w:rPr>
              <w:t>VOCs（非甲烷总烃）</w:t>
            </w:r>
            <w:r>
              <w:rPr>
                <w:rFonts w:hint="eastAsia" w:ascii="Times New Roman" w:hAnsi="Times New Roman" w:eastAsia="宋体" w:cs="Times New Roman"/>
                <w:sz w:val="21"/>
                <w:szCs w:val="21"/>
                <w:lang w:val="en-US" w:eastAsia="zh-CN" w:bidi="ar-SA"/>
              </w:rPr>
              <w:t>满足</w:t>
            </w:r>
            <w:r>
              <w:rPr>
                <w:rFonts w:ascii="Times New Roman" w:hAnsi="Times New Roman" w:eastAsia="宋体" w:cs="Times New Roman"/>
                <w:sz w:val="21"/>
                <w:szCs w:val="21"/>
                <w:lang w:val="zh-CN" w:eastAsia="zh-CN" w:bidi="ar-SA"/>
              </w:rPr>
              <w:t>《合成树脂工业污染物排放标准》（GB31572-2015）表 4 的排放浓度限值</w:t>
            </w:r>
          </w:p>
        </w:tc>
      </w:tr>
      <w:tr w14:paraId="245C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4" w:hRule="atLeast"/>
          <w:jc w:val="center"/>
        </w:trPr>
        <w:tc>
          <w:tcPr>
            <w:tcW w:w="781" w:type="dxa"/>
            <w:vMerge w:val="continue"/>
            <w:noWrap w:val="0"/>
            <w:vAlign w:val="top"/>
          </w:tcPr>
          <w:p w14:paraId="22EA18DA">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0DD4C3CA">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3B782DAA">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氨</w:t>
            </w:r>
          </w:p>
        </w:tc>
        <w:tc>
          <w:tcPr>
            <w:tcW w:w="1263" w:type="dxa"/>
            <w:noWrap w:val="0"/>
            <w:vAlign w:val="center"/>
          </w:tcPr>
          <w:p w14:paraId="6A247781">
            <w:pPr>
              <w:widowControl w:val="0"/>
              <w:spacing w:before="184"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0.00185t/a</w:t>
            </w:r>
          </w:p>
        </w:tc>
        <w:tc>
          <w:tcPr>
            <w:tcW w:w="1420" w:type="dxa"/>
            <w:noWrap w:val="0"/>
            <w:vAlign w:val="center"/>
          </w:tcPr>
          <w:p w14:paraId="25109C31">
            <w:pPr>
              <w:widowControl w:val="0"/>
              <w:spacing w:before="184" w:after="0" w:line="240" w:lineRule="auto"/>
              <w:ind w:left="165" w:right="137"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0.052</w:t>
            </w:r>
            <w:r>
              <w:rPr>
                <w:rFonts w:ascii="Times New Roman" w:hAnsi="Times New Roman" w:eastAsia="宋体" w:cs="Times New Roman"/>
                <w:sz w:val="21"/>
                <w:szCs w:val="21"/>
                <w:lang w:val="zh-CN" w:eastAsia="zh-CN" w:bidi="zh-CN"/>
              </w:rPr>
              <w:t>mg/m</w:t>
            </w:r>
            <w:r>
              <w:rPr>
                <w:rFonts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549D6D24">
            <w:pPr>
              <w:widowControl w:val="0"/>
              <w:spacing w:before="170" w:after="0" w:line="240" w:lineRule="auto"/>
              <w:ind w:left="147" w:right="120" w:firstLine="0"/>
              <w:jc w:val="center"/>
              <w:rPr>
                <w:rFonts w:ascii="Times New Roman" w:hAnsi="Times New Roman" w:eastAsia="宋体" w:cs="Times New Roman"/>
                <w:bCs w:val="0"/>
                <w:color w:val="000000"/>
                <w:sz w:val="21"/>
                <w:szCs w:val="21"/>
                <w:lang w:val="en-US" w:eastAsia="zh-CN" w:bidi="ar-SA"/>
              </w:rPr>
            </w:pPr>
          </w:p>
        </w:tc>
        <w:tc>
          <w:tcPr>
            <w:tcW w:w="1935" w:type="dxa"/>
            <w:vMerge w:val="continue"/>
            <w:noWrap w:val="0"/>
            <w:vAlign w:val="center"/>
          </w:tcPr>
          <w:p w14:paraId="16B6B54C">
            <w:pPr>
              <w:widowControl w:val="0"/>
              <w:spacing w:before="0" w:after="0" w:line="240" w:lineRule="auto"/>
              <w:ind w:left="0" w:right="0" w:firstLine="0"/>
              <w:jc w:val="center"/>
              <w:rPr>
                <w:rFonts w:ascii="Times New Roman" w:hAnsi="Times New Roman" w:eastAsia="宋体" w:cs="Times New Roman"/>
                <w:sz w:val="21"/>
                <w:szCs w:val="21"/>
                <w:lang w:val="zh-CN" w:eastAsia="zh-CN" w:bidi="ar-SA"/>
              </w:rPr>
            </w:pPr>
          </w:p>
        </w:tc>
      </w:tr>
      <w:tr w14:paraId="5319C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4" w:hRule="atLeast"/>
          <w:jc w:val="center"/>
        </w:trPr>
        <w:tc>
          <w:tcPr>
            <w:tcW w:w="781" w:type="dxa"/>
            <w:vMerge w:val="continue"/>
            <w:noWrap w:val="0"/>
            <w:vAlign w:val="top"/>
          </w:tcPr>
          <w:p w14:paraId="24F02571">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67B9A412">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11DB1C37">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VOCs</w:t>
            </w:r>
          </w:p>
        </w:tc>
        <w:tc>
          <w:tcPr>
            <w:tcW w:w="1263" w:type="dxa"/>
            <w:noWrap w:val="0"/>
            <w:vAlign w:val="center"/>
          </w:tcPr>
          <w:p w14:paraId="2CEE6E90">
            <w:pPr>
              <w:widowControl w:val="0"/>
              <w:spacing w:before="184"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0.05t/a</w:t>
            </w:r>
          </w:p>
        </w:tc>
        <w:tc>
          <w:tcPr>
            <w:tcW w:w="1420" w:type="dxa"/>
            <w:noWrap w:val="0"/>
            <w:vAlign w:val="center"/>
          </w:tcPr>
          <w:p w14:paraId="0021D155">
            <w:pPr>
              <w:widowControl w:val="0"/>
              <w:spacing w:before="184" w:after="0" w:line="240" w:lineRule="auto"/>
              <w:ind w:left="165" w:right="137"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1.4</w:t>
            </w:r>
            <w:r>
              <w:rPr>
                <w:rFonts w:ascii="Times New Roman" w:hAnsi="Times New Roman" w:eastAsia="宋体" w:cs="Times New Roman"/>
                <w:sz w:val="21"/>
                <w:szCs w:val="21"/>
                <w:lang w:val="zh-CN" w:eastAsia="zh-CN" w:bidi="zh-CN"/>
              </w:rPr>
              <w:t>mg/m</w:t>
            </w:r>
            <w:r>
              <w:rPr>
                <w:rFonts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67926E56">
            <w:pPr>
              <w:widowControl w:val="0"/>
              <w:spacing w:before="170" w:after="0" w:line="240" w:lineRule="auto"/>
              <w:ind w:left="147" w:right="120" w:firstLine="0"/>
              <w:jc w:val="center"/>
              <w:rPr>
                <w:rFonts w:ascii="Times New Roman" w:hAnsi="Times New Roman" w:eastAsia="宋体" w:cs="Times New Roman"/>
                <w:bCs w:val="0"/>
                <w:color w:val="000000"/>
                <w:sz w:val="21"/>
                <w:szCs w:val="21"/>
                <w:lang w:val="en-US" w:eastAsia="zh-CN" w:bidi="ar-SA"/>
              </w:rPr>
            </w:pPr>
          </w:p>
        </w:tc>
        <w:tc>
          <w:tcPr>
            <w:tcW w:w="1935" w:type="dxa"/>
            <w:vMerge w:val="continue"/>
            <w:noWrap w:val="0"/>
            <w:vAlign w:val="center"/>
          </w:tcPr>
          <w:p w14:paraId="05641C14">
            <w:pPr>
              <w:widowControl w:val="0"/>
              <w:spacing w:before="0" w:after="0" w:line="240" w:lineRule="auto"/>
              <w:ind w:left="0" w:right="0" w:firstLine="0"/>
              <w:jc w:val="center"/>
              <w:rPr>
                <w:rFonts w:ascii="Times New Roman" w:hAnsi="Times New Roman" w:eastAsia="宋体" w:cs="Times New Roman"/>
                <w:sz w:val="21"/>
                <w:szCs w:val="21"/>
                <w:lang w:val="zh-CN" w:eastAsia="zh-CN" w:bidi="ar-SA"/>
              </w:rPr>
            </w:pPr>
          </w:p>
        </w:tc>
      </w:tr>
      <w:tr w14:paraId="17FAB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9" w:hRule="atLeast"/>
          <w:jc w:val="center"/>
        </w:trPr>
        <w:tc>
          <w:tcPr>
            <w:tcW w:w="781" w:type="dxa"/>
            <w:vMerge w:val="continue"/>
            <w:noWrap w:val="0"/>
            <w:vAlign w:val="top"/>
          </w:tcPr>
          <w:p w14:paraId="5C935075">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restart"/>
            <w:noWrap w:val="0"/>
            <w:vAlign w:val="center"/>
          </w:tcPr>
          <w:p w14:paraId="59FE8BFA">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酚醛树脂胶生产</w:t>
            </w:r>
          </w:p>
        </w:tc>
        <w:tc>
          <w:tcPr>
            <w:tcW w:w="942" w:type="dxa"/>
            <w:noWrap w:val="0"/>
            <w:vAlign w:val="center"/>
          </w:tcPr>
          <w:p w14:paraId="00B0B4E7">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甲醛</w:t>
            </w:r>
          </w:p>
        </w:tc>
        <w:tc>
          <w:tcPr>
            <w:tcW w:w="1263" w:type="dxa"/>
            <w:noWrap w:val="0"/>
            <w:vAlign w:val="center"/>
          </w:tcPr>
          <w:p w14:paraId="65E820C8">
            <w:pPr>
              <w:widowControl w:val="0"/>
              <w:spacing w:before="184"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0.098t/a</w:t>
            </w:r>
          </w:p>
        </w:tc>
        <w:tc>
          <w:tcPr>
            <w:tcW w:w="1420" w:type="dxa"/>
            <w:noWrap w:val="0"/>
            <w:vAlign w:val="center"/>
          </w:tcPr>
          <w:p w14:paraId="5EE1C6CD">
            <w:pPr>
              <w:widowControl w:val="0"/>
              <w:spacing w:before="184" w:after="0" w:line="240" w:lineRule="auto"/>
              <w:ind w:left="165" w:right="137"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2.8</w:t>
            </w:r>
            <w:r>
              <w:rPr>
                <w:rFonts w:ascii="Times New Roman" w:hAnsi="Times New Roman" w:eastAsia="宋体" w:cs="Times New Roman"/>
                <w:sz w:val="21"/>
                <w:szCs w:val="21"/>
                <w:lang w:val="zh-CN" w:eastAsia="zh-CN" w:bidi="zh-CN"/>
              </w:rPr>
              <w:t>mg/m</w:t>
            </w:r>
            <w:r>
              <w:rPr>
                <w:rFonts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1E7C07BF">
            <w:pPr>
              <w:widowControl w:val="0"/>
              <w:spacing w:before="170" w:after="0" w:line="240" w:lineRule="auto"/>
              <w:ind w:left="147" w:right="120" w:firstLine="0"/>
              <w:jc w:val="center"/>
              <w:rPr>
                <w:rFonts w:ascii="Times New Roman" w:hAnsi="Times New Roman" w:eastAsia="宋体" w:cs="Times New Roman"/>
                <w:bCs w:val="0"/>
                <w:color w:val="000000"/>
                <w:sz w:val="21"/>
                <w:szCs w:val="21"/>
                <w:lang w:val="en-US" w:eastAsia="zh-CN" w:bidi="ar-SA"/>
              </w:rPr>
            </w:pPr>
          </w:p>
        </w:tc>
        <w:tc>
          <w:tcPr>
            <w:tcW w:w="1935" w:type="dxa"/>
            <w:vMerge w:val="continue"/>
            <w:noWrap w:val="0"/>
            <w:vAlign w:val="center"/>
          </w:tcPr>
          <w:p w14:paraId="4552D333">
            <w:pPr>
              <w:widowControl w:val="0"/>
              <w:spacing w:before="0" w:after="0" w:line="240" w:lineRule="auto"/>
              <w:ind w:left="0" w:right="0" w:firstLine="0"/>
              <w:jc w:val="center"/>
              <w:rPr>
                <w:rFonts w:ascii="Times New Roman" w:hAnsi="Times New Roman" w:eastAsia="宋体" w:cs="Times New Roman"/>
                <w:sz w:val="21"/>
                <w:szCs w:val="21"/>
                <w:lang w:val="zh-CN" w:eastAsia="zh-CN" w:bidi="ar-SA"/>
              </w:rPr>
            </w:pPr>
          </w:p>
        </w:tc>
      </w:tr>
      <w:tr w14:paraId="76610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4" w:hRule="atLeast"/>
          <w:jc w:val="center"/>
        </w:trPr>
        <w:tc>
          <w:tcPr>
            <w:tcW w:w="781" w:type="dxa"/>
            <w:vMerge w:val="continue"/>
            <w:noWrap w:val="0"/>
            <w:vAlign w:val="top"/>
          </w:tcPr>
          <w:p w14:paraId="3975B686">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6EEF41E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247C5A06">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酚类</w:t>
            </w:r>
          </w:p>
        </w:tc>
        <w:tc>
          <w:tcPr>
            <w:tcW w:w="1263" w:type="dxa"/>
            <w:noWrap w:val="0"/>
            <w:vAlign w:val="center"/>
          </w:tcPr>
          <w:p w14:paraId="732CD897">
            <w:pPr>
              <w:widowControl w:val="0"/>
              <w:spacing w:before="184"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0.039t/a</w:t>
            </w:r>
          </w:p>
        </w:tc>
        <w:tc>
          <w:tcPr>
            <w:tcW w:w="1420" w:type="dxa"/>
            <w:noWrap w:val="0"/>
            <w:vAlign w:val="center"/>
          </w:tcPr>
          <w:p w14:paraId="6BEE656C">
            <w:pPr>
              <w:widowControl w:val="0"/>
              <w:spacing w:before="184" w:after="0" w:line="240" w:lineRule="auto"/>
              <w:ind w:left="165" w:right="137"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0.11</w:t>
            </w:r>
            <w:r>
              <w:rPr>
                <w:rFonts w:ascii="Times New Roman" w:hAnsi="Times New Roman" w:eastAsia="宋体" w:cs="Times New Roman"/>
                <w:sz w:val="21"/>
                <w:szCs w:val="21"/>
                <w:lang w:val="zh-CN" w:eastAsia="zh-CN" w:bidi="zh-CN"/>
              </w:rPr>
              <w:t>mg/m</w:t>
            </w:r>
            <w:r>
              <w:rPr>
                <w:rFonts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15D01E14">
            <w:pPr>
              <w:widowControl w:val="0"/>
              <w:spacing w:before="170" w:after="0" w:line="240" w:lineRule="auto"/>
              <w:ind w:left="147" w:right="120" w:firstLine="0"/>
              <w:jc w:val="center"/>
              <w:rPr>
                <w:rFonts w:ascii="Times New Roman" w:hAnsi="Times New Roman" w:eastAsia="宋体" w:cs="Times New Roman"/>
                <w:bCs w:val="0"/>
                <w:color w:val="000000"/>
                <w:sz w:val="21"/>
                <w:szCs w:val="21"/>
                <w:lang w:val="en-US" w:eastAsia="zh-CN" w:bidi="ar-SA"/>
              </w:rPr>
            </w:pPr>
          </w:p>
        </w:tc>
        <w:tc>
          <w:tcPr>
            <w:tcW w:w="1935" w:type="dxa"/>
            <w:vMerge w:val="continue"/>
            <w:noWrap w:val="0"/>
            <w:vAlign w:val="center"/>
          </w:tcPr>
          <w:p w14:paraId="1DD070BA">
            <w:pPr>
              <w:widowControl w:val="0"/>
              <w:spacing w:before="0" w:after="0" w:line="240" w:lineRule="auto"/>
              <w:ind w:left="0" w:right="0" w:firstLine="0"/>
              <w:jc w:val="center"/>
              <w:rPr>
                <w:rFonts w:ascii="Times New Roman" w:hAnsi="Times New Roman" w:eastAsia="宋体" w:cs="Times New Roman"/>
                <w:sz w:val="21"/>
                <w:szCs w:val="21"/>
                <w:lang w:val="zh-CN" w:eastAsia="zh-CN" w:bidi="ar-SA"/>
              </w:rPr>
            </w:pPr>
          </w:p>
        </w:tc>
      </w:tr>
      <w:tr w14:paraId="5B5A9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4" w:hRule="atLeast"/>
          <w:jc w:val="center"/>
        </w:trPr>
        <w:tc>
          <w:tcPr>
            <w:tcW w:w="781" w:type="dxa"/>
            <w:vMerge w:val="continue"/>
            <w:noWrap w:val="0"/>
            <w:vAlign w:val="top"/>
          </w:tcPr>
          <w:p w14:paraId="68CD27C1">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732C4884">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4E8CA2B4">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VOCs</w:t>
            </w:r>
          </w:p>
        </w:tc>
        <w:tc>
          <w:tcPr>
            <w:tcW w:w="1263" w:type="dxa"/>
            <w:noWrap w:val="0"/>
            <w:vAlign w:val="center"/>
          </w:tcPr>
          <w:p w14:paraId="1F776123">
            <w:pPr>
              <w:widowControl w:val="0"/>
              <w:spacing w:before="184"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0.05t/a</w:t>
            </w:r>
          </w:p>
        </w:tc>
        <w:tc>
          <w:tcPr>
            <w:tcW w:w="1420" w:type="dxa"/>
            <w:noWrap w:val="0"/>
            <w:vAlign w:val="center"/>
          </w:tcPr>
          <w:p w14:paraId="0C3AB0B2">
            <w:pPr>
              <w:widowControl w:val="0"/>
              <w:spacing w:before="184" w:after="0" w:line="240" w:lineRule="auto"/>
              <w:ind w:left="165" w:right="137"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1.4</w:t>
            </w:r>
            <w:r>
              <w:rPr>
                <w:rFonts w:ascii="Times New Roman" w:hAnsi="Times New Roman" w:eastAsia="宋体" w:cs="Times New Roman"/>
                <w:sz w:val="21"/>
                <w:szCs w:val="21"/>
                <w:lang w:val="zh-CN" w:eastAsia="zh-CN" w:bidi="zh-CN"/>
              </w:rPr>
              <w:t>mg/m</w:t>
            </w:r>
            <w:r>
              <w:rPr>
                <w:rFonts w:ascii="Times New Roman" w:hAnsi="Times New Roman" w:eastAsia="宋体" w:cs="Times New Roman"/>
                <w:sz w:val="21"/>
                <w:szCs w:val="21"/>
                <w:vertAlign w:val="superscript"/>
                <w:lang w:val="en-US" w:eastAsia="zh-CN" w:bidi="zh-CN"/>
              </w:rPr>
              <w:t>3</w:t>
            </w:r>
          </w:p>
        </w:tc>
        <w:tc>
          <w:tcPr>
            <w:tcW w:w="1745" w:type="dxa"/>
            <w:vMerge w:val="continue"/>
            <w:noWrap w:val="0"/>
            <w:vAlign w:val="center"/>
          </w:tcPr>
          <w:p w14:paraId="3DF37724">
            <w:pPr>
              <w:widowControl w:val="0"/>
              <w:spacing w:before="170" w:after="0" w:line="240" w:lineRule="auto"/>
              <w:ind w:left="147" w:right="120" w:firstLine="0"/>
              <w:jc w:val="center"/>
              <w:rPr>
                <w:rFonts w:ascii="Times New Roman" w:hAnsi="Times New Roman" w:eastAsia="宋体" w:cs="Times New Roman"/>
                <w:bCs w:val="0"/>
                <w:color w:val="000000"/>
                <w:sz w:val="21"/>
                <w:szCs w:val="21"/>
                <w:lang w:val="en-US" w:eastAsia="zh-CN" w:bidi="ar-SA"/>
              </w:rPr>
            </w:pPr>
          </w:p>
        </w:tc>
        <w:tc>
          <w:tcPr>
            <w:tcW w:w="1935" w:type="dxa"/>
            <w:vMerge w:val="continue"/>
            <w:noWrap w:val="0"/>
            <w:vAlign w:val="center"/>
          </w:tcPr>
          <w:p w14:paraId="12E25EC9">
            <w:pPr>
              <w:widowControl w:val="0"/>
              <w:spacing w:before="0" w:after="0" w:line="240" w:lineRule="auto"/>
              <w:ind w:left="0" w:right="0" w:firstLine="0"/>
              <w:jc w:val="center"/>
              <w:rPr>
                <w:rFonts w:ascii="Times New Roman" w:hAnsi="Times New Roman" w:eastAsia="宋体" w:cs="Times New Roman"/>
                <w:sz w:val="21"/>
                <w:szCs w:val="21"/>
                <w:lang w:val="zh-CN" w:eastAsia="zh-CN" w:bidi="ar-SA"/>
              </w:rPr>
            </w:pPr>
          </w:p>
        </w:tc>
      </w:tr>
      <w:tr w14:paraId="38B1E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7C8F0E7D">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noWrap w:val="0"/>
            <w:vAlign w:val="center"/>
          </w:tcPr>
          <w:p w14:paraId="766C41D7">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甲醛储存</w:t>
            </w:r>
          </w:p>
        </w:tc>
        <w:tc>
          <w:tcPr>
            <w:tcW w:w="942" w:type="dxa"/>
            <w:noWrap w:val="0"/>
            <w:vAlign w:val="center"/>
          </w:tcPr>
          <w:p w14:paraId="501DF884">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甲醛</w:t>
            </w:r>
          </w:p>
        </w:tc>
        <w:tc>
          <w:tcPr>
            <w:tcW w:w="1263" w:type="dxa"/>
            <w:noWrap w:val="0"/>
            <w:vAlign w:val="center"/>
          </w:tcPr>
          <w:p w14:paraId="43D76474">
            <w:pPr>
              <w:widowControl w:val="0"/>
              <w:spacing w:before="185" w:after="0" w:line="240" w:lineRule="auto"/>
              <w:ind w:left="92" w:right="64"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0.00015</w:t>
            </w:r>
            <w:r>
              <w:rPr>
                <w:rFonts w:ascii="Times New Roman" w:hAnsi="Times New Roman" w:eastAsia="宋体" w:cs="Times New Roman"/>
                <w:sz w:val="21"/>
                <w:szCs w:val="21"/>
                <w:lang w:val="zh-CN" w:eastAsia="zh-CN" w:bidi="zh-CN"/>
              </w:rPr>
              <w:t>t/a</w:t>
            </w:r>
          </w:p>
        </w:tc>
        <w:tc>
          <w:tcPr>
            <w:tcW w:w="1420" w:type="dxa"/>
            <w:noWrap w:val="0"/>
            <w:vAlign w:val="center"/>
          </w:tcPr>
          <w:p w14:paraId="269E9D28">
            <w:pPr>
              <w:widowControl w:val="0"/>
              <w:spacing w:before="185" w:after="0" w:line="240" w:lineRule="auto"/>
              <w:ind w:left="165" w:right="137"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39960830">
            <w:pPr>
              <w:widowControl w:val="0"/>
              <w:spacing w:before="171" w:after="0" w:line="240" w:lineRule="auto"/>
              <w:ind w:left="147" w:right="120"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加强管理</w:t>
            </w:r>
          </w:p>
        </w:tc>
        <w:tc>
          <w:tcPr>
            <w:tcW w:w="1935" w:type="dxa"/>
            <w:noWrap w:val="0"/>
            <w:vAlign w:val="center"/>
          </w:tcPr>
          <w:p w14:paraId="4BB2D234">
            <w:pPr>
              <w:widowControl w:val="0"/>
              <w:spacing w:before="0" w:after="0" w:line="240" w:lineRule="auto"/>
              <w:ind w:left="0" w:right="0" w:firstLine="0"/>
              <w:jc w:val="center"/>
              <w:rPr>
                <w:rFonts w:ascii="Times New Roman" w:hAnsi="Times New Roman" w:eastAsia="宋体" w:cs="Times New Roman"/>
                <w:sz w:val="21"/>
                <w:szCs w:val="21"/>
                <w:lang w:val="zh-CN" w:bidi="zh-CN"/>
              </w:rPr>
            </w:pPr>
            <w:r>
              <w:rPr>
                <w:rFonts w:ascii="Times New Roman" w:hAnsi="Times New Roman" w:eastAsia="宋体" w:cs="Times New Roman"/>
                <w:sz w:val="21"/>
                <w:szCs w:val="21"/>
                <w:lang w:val="en-US" w:eastAsia="zh-CN" w:bidi="ar-SA"/>
              </w:rPr>
              <w:t>甲醛无组织排放</w:t>
            </w:r>
            <w:r>
              <w:rPr>
                <w:rFonts w:hint="eastAsia" w:ascii="Times New Roman" w:hAnsi="Times New Roman" w:eastAsia="宋体" w:cs="Times New Roman"/>
                <w:sz w:val="21"/>
                <w:szCs w:val="21"/>
                <w:lang w:val="en-US" w:eastAsia="zh-CN" w:bidi="ar-SA"/>
              </w:rPr>
              <w:t>满足</w:t>
            </w:r>
            <w:r>
              <w:rPr>
                <w:rFonts w:ascii="Times New Roman" w:hAnsi="Times New Roman" w:eastAsia="宋体" w:cs="Times New Roman"/>
                <w:sz w:val="21"/>
                <w:szCs w:val="21"/>
                <w:lang w:val="zh-CN" w:eastAsia="zh-CN" w:bidi="ar-SA"/>
              </w:rPr>
              <w:t>《大气污染物综合排放标准》（GB16297-1996）表 2 相应标准限值</w:t>
            </w:r>
          </w:p>
        </w:tc>
      </w:tr>
      <w:tr w14:paraId="5F9A8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53F90EEE">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noWrap w:val="0"/>
            <w:vAlign w:val="center"/>
          </w:tcPr>
          <w:p w14:paraId="07C42300">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制胶过程</w:t>
            </w:r>
          </w:p>
        </w:tc>
        <w:tc>
          <w:tcPr>
            <w:tcW w:w="942" w:type="dxa"/>
            <w:noWrap w:val="0"/>
            <w:vAlign w:val="center"/>
          </w:tcPr>
          <w:p w14:paraId="76923053">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异味</w:t>
            </w:r>
          </w:p>
        </w:tc>
        <w:tc>
          <w:tcPr>
            <w:tcW w:w="1263" w:type="dxa"/>
            <w:noWrap w:val="0"/>
            <w:vAlign w:val="center"/>
          </w:tcPr>
          <w:p w14:paraId="146B2D2B">
            <w:pPr>
              <w:widowControl w:val="0"/>
              <w:spacing w:before="185"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少量</w:t>
            </w:r>
          </w:p>
        </w:tc>
        <w:tc>
          <w:tcPr>
            <w:tcW w:w="1420" w:type="dxa"/>
            <w:noWrap w:val="0"/>
            <w:vAlign w:val="center"/>
          </w:tcPr>
          <w:p w14:paraId="70E1DA58">
            <w:pPr>
              <w:widowControl w:val="0"/>
              <w:spacing w:before="185"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小于20无量纲</w:t>
            </w:r>
          </w:p>
        </w:tc>
        <w:tc>
          <w:tcPr>
            <w:tcW w:w="1745" w:type="dxa"/>
            <w:noWrap w:val="0"/>
            <w:vAlign w:val="center"/>
          </w:tcPr>
          <w:p w14:paraId="48D2A186">
            <w:pPr>
              <w:widowControl w:val="0"/>
              <w:spacing w:before="171" w:after="0" w:line="240" w:lineRule="auto"/>
              <w:ind w:left="147" w:right="120"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加强管理</w:t>
            </w:r>
          </w:p>
        </w:tc>
        <w:tc>
          <w:tcPr>
            <w:tcW w:w="1935" w:type="dxa"/>
            <w:noWrap w:val="0"/>
            <w:vAlign w:val="center"/>
          </w:tcPr>
          <w:p w14:paraId="200847EC">
            <w:pPr>
              <w:pStyle w:val="2"/>
              <w:keepNext w:val="0"/>
              <w:keepLines w:val="0"/>
              <w:pageBreakBefore w:val="0"/>
              <w:widowControl/>
              <w:spacing w:line="240" w:lineRule="auto"/>
              <w:ind w:left="0" w:firstLine="0"/>
              <w:jc w:val="center"/>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臭气浓度</w:t>
            </w:r>
            <w:r>
              <w:rPr>
                <w:rFonts w:hint="eastAsia" w:ascii="Times New Roman" w:hAnsi="Times New Roman" w:eastAsia="宋体" w:cs="Times New Roman"/>
                <w:sz w:val="21"/>
                <w:szCs w:val="21"/>
                <w:lang w:val="en-US" w:eastAsia="zh-CN" w:bidi="ar-SA"/>
              </w:rPr>
              <w:t>满足</w:t>
            </w:r>
            <w:r>
              <w:rPr>
                <w:rFonts w:ascii="Times New Roman" w:hAnsi="Times New Roman" w:eastAsia="宋体" w:cs="Times New Roman"/>
                <w:sz w:val="21"/>
                <w:szCs w:val="21"/>
                <w:lang w:val="zh-CN" w:eastAsia="zh-CN" w:bidi="ar-SA"/>
              </w:rPr>
              <w:t xml:space="preserve">《恶臭污染物排放标准》（GB14554-93）中表 </w:t>
            </w:r>
            <w:r>
              <w:rPr>
                <w:rFonts w:ascii="Times New Roman" w:hAnsi="Times New Roman" w:eastAsia="宋体" w:cs="Times New Roman"/>
                <w:sz w:val="21"/>
                <w:szCs w:val="21"/>
                <w:lang w:val="en-US" w:eastAsia="zh-CN" w:bidi="ar-SA"/>
              </w:rPr>
              <w:t>1</w:t>
            </w:r>
            <w:r>
              <w:rPr>
                <w:rFonts w:ascii="Times New Roman" w:hAnsi="Times New Roman" w:eastAsia="宋体" w:cs="Times New Roman"/>
                <w:sz w:val="21"/>
                <w:szCs w:val="21"/>
                <w:lang w:val="zh-CN" w:eastAsia="zh-CN" w:bidi="ar-SA"/>
              </w:rPr>
              <w:t>相应标准限值</w:t>
            </w:r>
          </w:p>
        </w:tc>
      </w:tr>
      <w:tr w14:paraId="5D08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60F3D540">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noWrap w:val="0"/>
            <w:vAlign w:val="center"/>
          </w:tcPr>
          <w:p w14:paraId="11A47EF3">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断竹工段</w:t>
            </w:r>
          </w:p>
        </w:tc>
        <w:tc>
          <w:tcPr>
            <w:tcW w:w="942" w:type="dxa"/>
            <w:noWrap w:val="0"/>
            <w:vAlign w:val="center"/>
          </w:tcPr>
          <w:p w14:paraId="5D91E16F">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粉尘</w:t>
            </w:r>
          </w:p>
        </w:tc>
        <w:tc>
          <w:tcPr>
            <w:tcW w:w="1263" w:type="dxa"/>
            <w:noWrap w:val="0"/>
            <w:vAlign w:val="center"/>
          </w:tcPr>
          <w:p w14:paraId="66A34854">
            <w:pPr>
              <w:widowControl w:val="0"/>
              <w:spacing w:before="185"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少量</w:t>
            </w:r>
          </w:p>
        </w:tc>
        <w:tc>
          <w:tcPr>
            <w:tcW w:w="1420" w:type="dxa"/>
            <w:noWrap w:val="0"/>
            <w:vAlign w:val="center"/>
          </w:tcPr>
          <w:p w14:paraId="5107B570">
            <w:pPr>
              <w:widowControl w:val="0"/>
              <w:spacing w:before="185" w:after="0" w:line="240" w:lineRule="auto"/>
              <w:ind w:left="165" w:right="137"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1066E60F">
            <w:pPr>
              <w:widowControl w:val="0"/>
              <w:spacing w:before="171" w:after="0" w:line="240" w:lineRule="auto"/>
              <w:ind w:left="147" w:right="120"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bCs/>
                <w:color w:val="000000"/>
                <w:spacing w:val="8"/>
                <w:sz w:val="21"/>
                <w:szCs w:val="21"/>
              </w:rPr>
              <w:t>设置顶棚、细小物料采用管道或密闭输送带进行输送，加强管理</w:t>
            </w:r>
          </w:p>
        </w:tc>
        <w:tc>
          <w:tcPr>
            <w:tcW w:w="1935" w:type="dxa"/>
            <w:vMerge w:val="restart"/>
            <w:noWrap w:val="0"/>
            <w:vAlign w:val="center"/>
          </w:tcPr>
          <w:p w14:paraId="34227C3D">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无组织粉尘</w:t>
            </w:r>
            <w:r>
              <w:rPr>
                <w:rFonts w:ascii="Times New Roman" w:hAnsi="Times New Roman" w:eastAsia="宋体" w:cs="Times New Roman"/>
                <w:sz w:val="21"/>
                <w:szCs w:val="21"/>
                <w:lang w:val="en-US" w:eastAsia="zh-CN" w:bidi="zh-CN"/>
              </w:rPr>
              <w:t>满足《大气污染物综合排放标准》（GB16297-1996）表2</w:t>
            </w:r>
            <w:r>
              <w:rPr>
                <w:rFonts w:hint="eastAsia" w:ascii="Times New Roman" w:hAnsi="Times New Roman" w:eastAsia="宋体" w:cs="Times New Roman"/>
                <w:sz w:val="21"/>
                <w:szCs w:val="21"/>
                <w:lang w:val="en-US" w:eastAsia="zh-CN" w:bidi="zh-CN"/>
              </w:rPr>
              <w:t>中颗粒物无组织排放监控浓度限值1.0mg/m</w:t>
            </w:r>
            <w:r>
              <w:rPr>
                <w:rFonts w:hint="eastAsia" w:ascii="Times New Roman" w:hAnsi="Times New Roman" w:eastAsia="宋体" w:cs="Times New Roman"/>
                <w:sz w:val="21"/>
                <w:szCs w:val="21"/>
                <w:vertAlign w:val="superscript"/>
                <w:lang w:val="en-US" w:eastAsia="zh-CN" w:bidi="zh-CN"/>
              </w:rPr>
              <w:t>3</w:t>
            </w:r>
          </w:p>
          <w:p w14:paraId="34C8BF53">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r>
      <w:tr w14:paraId="41E74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205C0320">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noWrap w:val="0"/>
            <w:vAlign w:val="center"/>
          </w:tcPr>
          <w:p w14:paraId="4DFA410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刨片工段</w:t>
            </w:r>
          </w:p>
        </w:tc>
        <w:tc>
          <w:tcPr>
            <w:tcW w:w="942" w:type="dxa"/>
            <w:noWrap w:val="0"/>
            <w:vAlign w:val="center"/>
          </w:tcPr>
          <w:p w14:paraId="309B47DA">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粉尘</w:t>
            </w:r>
          </w:p>
        </w:tc>
        <w:tc>
          <w:tcPr>
            <w:tcW w:w="1263" w:type="dxa"/>
            <w:noWrap w:val="0"/>
            <w:vAlign w:val="center"/>
          </w:tcPr>
          <w:p w14:paraId="26044FB6">
            <w:pPr>
              <w:widowControl w:val="0"/>
              <w:spacing w:before="185"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0.225t/a</w:t>
            </w:r>
          </w:p>
        </w:tc>
        <w:tc>
          <w:tcPr>
            <w:tcW w:w="1420" w:type="dxa"/>
            <w:noWrap w:val="0"/>
            <w:vAlign w:val="center"/>
          </w:tcPr>
          <w:p w14:paraId="655F3A96">
            <w:pPr>
              <w:widowControl w:val="0"/>
              <w:spacing w:before="185" w:after="0" w:line="240" w:lineRule="auto"/>
              <w:ind w:left="165" w:right="137"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65992591">
            <w:pPr>
              <w:widowControl w:val="0"/>
              <w:spacing w:before="171" w:after="0" w:line="240" w:lineRule="auto"/>
              <w:ind w:left="147" w:right="120"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lang w:val="en-US" w:eastAsia="zh-CN" w:bidi="ar-SA"/>
              </w:rPr>
              <w:t>环刨机设置1套布袋除尘器，其余刨片机出料口配置自制的布袋除尘器；刨片粉尘呈无组织排放</w:t>
            </w:r>
          </w:p>
        </w:tc>
        <w:tc>
          <w:tcPr>
            <w:tcW w:w="1935" w:type="dxa"/>
            <w:vMerge w:val="continue"/>
            <w:noWrap w:val="0"/>
            <w:vAlign w:val="center"/>
          </w:tcPr>
          <w:p w14:paraId="2BAA8CB8">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r>
      <w:tr w14:paraId="19E7D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25881522">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noWrap w:val="0"/>
            <w:vAlign w:val="center"/>
          </w:tcPr>
          <w:p w14:paraId="7DE04A7F">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砂光、开槽、锯边工段</w:t>
            </w:r>
          </w:p>
        </w:tc>
        <w:tc>
          <w:tcPr>
            <w:tcW w:w="942" w:type="dxa"/>
            <w:noWrap w:val="0"/>
            <w:vAlign w:val="center"/>
          </w:tcPr>
          <w:p w14:paraId="7F207BC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粉尘</w:t>
            </w:r>
          </w:p>
        </w:tc>
        <w:tc>
          <w:tcPr>
            <w:tcW w:w="1263" w:type="dxa"/>
            <w:noWrap w:val="0"/>
            <w:vAlign w:val="center"/>
          </w:tcPr>
          <w:p w14:paraId="71B08BB0">
            <w:pPr>
              <w:widowControl w:val="0"/>
              <w:spacing w:before="185"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0.58t/a</w:t>
            </w:r>
          </w:p>
        </w:tc>
        <w:tc>
          <w:tcPr>
            <w:tcW w:w="1420" w:type="dxa"/>
            <w:noWrap w:val="0"/>
            <w:vAlign w:val="center"/>
          </w:tcPr>
          <w:p w14:paraId="1367FD06">
            <w:pPr>
              <w:widowControl w:val="0"/>
              <w:spacing w:before="185" w:after="0" w:line="240" w:lineRule="auto"/>
              <w:ind w:left="165" w:right="137"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3509BD16">
            <w:pPr>
              <w:widowControl w:val="0"/>
              <w:spacing w:before="171" w:after="0" w:line="240" w:lineRule="auto"/>
              <w:ind w:left="147" w:right="120"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color w:val="000000"/>
                <w:sz w:val="21"/>
                <w:szCs w:val="21"/>
                <w:lang w:val="en-US" w:eastAsia="zh-CN" w:bidi="ar-SA"/>
              </w:rPr>
              <w:t>采用1套正压布袋除尘器净化处理后，无组织排放</w:t>
            </w:r>
          </w:p>
        </w:tc>
        <w:tc>
          <w:tcPr>
            <w:tcW w:w="1935" w:type="dxa"/>
            <w:vMerge w:val="continue"/>
            <w:noWrap w:val="0"/>
            <w:vAlign w:val="center"/>
          </w:tcPr>
          <w:p w14:paraId="3289D941">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r>
      <w:tr w14:paraId="0121F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4B4F4D4B">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noWrap w:val="0"/>
            <w:vAlign w:val="center"/>
          </w:tcPr>
          <w:p w14:paraId="76C790A9">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柴油发电机</w:t>
            </w:r>
          </w:p>
        </w:tc>
        <w:tc>
          <w:tcPr>
            <w:tcW w:w="942" w:type="dxa"/>
            <w:noWrap w:val="0"/>
            <w:vAlign w:val="center"/>
          </w:tcPr>
          <w:p w14:paraId="753617AF">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燃油废气</w:t>
            </w:r>
          </w:p>
        </w:tc>
        <w:tc>
          <w:tcPr>
            <w:tcW w:w="1263" w:type="dxa"/>
            <w:noWrap w:val="0"/>
            <w:vAlign w:val="center"/>
          </w:tcPr>
          <w:p w14:paraId="51FD1082">
            <w:pPr>
              <w:widowControl w:val="0"/>
              <w:spacing w:before="185"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少量</w:t>
            </w:r>
          </w:p>
        </w:tc>
        <w:tc>
          <w:tcPr>
            <w:tcW w:w="1420" w:type="dxa"/>
            <w:noWrap w:val="0"/>
            <w:vAlign w:val="center"/>
          </w:tcPr>
          <w:p w14:paraId="4A4E731A">
            <w:pPr>
              <w:widowControl w:val="0"/>
              <w:spacing w:before="185" w:after="0" w:line="240" w:lineRule="auto"/>
              <w:ind w:left="165" w:right="137"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22CA85D7">
            <w:pPr>
              <w:widowControl w:val="0"/>
              <w:spacing w:before="171" w:after="0" w:line="240" w:lineRule="auto"/>
              <w:ind w:left="147" w:right="120"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lang w:val="en-US" w:eastAsia="zh-CN" w:bidi="ar-SA"/>
              </w:rPr>
              <w:t>自带过滤系统净化处理排放</w:t>
            </w:r>
          </w:p>
        </w:tc>
        <w:tc>
          <w:tcPr>
            <w:tcW w:w="1935" w:type="dxa"/>
            <w:noWrap w:val="0"/>
            <w:vAlign w:val="center"/>
          </w:tcPr>
          <w:p w14:paraId="692188F6">
            <w:pPr>
              <w:widowControl w:val="0"/>
              <w:spacing w:before="0" w:after="0" w:line="240" w:lineRule="auto"/>
              <w:ind w:left="0" w:right="0" w:firstLine="0"/>
              <w:jc w:val="center"/>
              <w:rPr>
                <w:rFonts w:ascii="Times New Roman" w:hAnsi="Times New Roman" w:eastAsia="宋体" w:cs="Times New Roman"/>
                <w:sz w:val="21"/>
                <w:szCs w:val="21"/>
                <w:lang w:val="zh-CN" w:bidi="zh-CN"/>
              </w:rPr>
            </w:pPr>
            <w:r>
              <w:rPr>
                <w:rFonts w:ascii="Times New Roman" w:hAnsi="Times New Roman" w:eastAsia="宋体" w:cs="Times New Roman"/>
                <w:sz w:val="21"/>
                <w:szCs w:val="21"/>
                <w:lang w:val="en-US" w:bidi="zh-CN"/>
              </w:rPr>
              <w:t>对周围环境影响不大</w:t>
            </w:r>
          </w:p>
        </w:tc>
      </w:tr>
      <w:tr w14:paraId="163EE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229817F4">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noWrap w:val="0"/>
            <w:vAlign w:val="center"/>
          </w:tcPr>
          <w:p w14:paraId="34DFB13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食堂厨房</w:t>
            </w:r>
          </w:p>
        </w:tc>
        <w:tc>
          <w:tcPr>
            <w:tcW w:w="942" w:type="dxa"/>
            <w:noWrap w:val="0"/>
            <w:vAlign w:val="center"/>
          </w:tcPr>
          <w:p w14:paraId="029E7E1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油烟废气</w:t>
            </w:r>
          </w:p>
        </w:tc>
        <w:tc>
          <w:tcPr>
            <w:tcW w:w="1263" w:type="dxa"/>
            <w:noWrap w:val="0"/>
            <w:vAlign w:val="center"/>
          </w:tcPr>
          <w:p w14:paraId="4055A07D">
            <w:pPr>
              <w:widowControl w:val="0"/>
              <w:spacing w:before="185"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0.009t/a</w:t>
            </w:r>
          </w:p>
        </w:tc>
        <w:tc>
          <w:tcPr>
            <w:tcW w:w="1420" w:type="dxa"/>
            <w:noWrap w:val="0"/>
            <w:vAlign w:val="center"/>
          </w:tcPr>
          <w:p w14:paraId="31171FA6">
            <w:pPr>
              <w:widowControl w:val="0"/>
              <w:spacing w:before="185" w:after="0" w:line="240" w:lineRule="auto"/>
              <w:ind w:left="165" w:right="137"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en-US" w:eastAsia="zh-CN" w:bidi="zh-CN"/>
              </w:rPr>
              <w:t>2.0mg/m</w:t>
            </w:r>
            <w:r>
              <w:rPr>
                <w:rFonts w:ascii="Times New Roman" w:hAnsi="Times New Roman" w:eastAsia="宋体" w:cs="Times New Roman"/>
                <w:sz w:val="21"/>
                <w:szCs w:val="21"/>
                <w:vertAlign w:val="superscript"/>
                <w:lang w:val="en-US" w:eastAsia="zh-CN" w:bidi="zh-CN"/>
              </w:rPr>
              <w:t>3</w:t>
            </w:r>
          </w:p>
        </w:tc>
        <w:tc>
          <w:tcPr>
            <w:tcW w:w="1745" w:type="dxa"/>
            <w:noWrap w:val="0"/>
            <w:vAlign w:val="center"/>
          </w:tcPr>
          <w:p w14:paraId="1DC9D4F4">
            <w:pPr>
              <w:widowControl w:val="0"/>
              <w:spacing w:before="171" w:after="0" w:line="240" w:lineRule="auto"/>
              <w:ind w:left="147" w:right="120"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lang w:val="en-US" w:eastAsia="zh-CN" w:bidi="ar-SA"/>
              </w:rPr>
              <w:t>设置油烟净化装置净化处理后通过专用烟道排放</w:t>
            </w:r>
          </w:p>
        </w:tc>
        <w:tc>
          <w:tcPr>
            <w:tcW w:w="1935" w:type="dxa"/>
            <w:noWrap w:val="0"/>
            <w:vAlign w:val="center"/>
          </w:tcPr>
          <w:p w14:paraId="2BC736AE">
            <w:pPr>
              <w:widowControl w:val="0"/>
              <w:spacing w:before="0" w:after="0" w:line="240" w:lineRule="auto"/>
              <w:ind w:left="0" w:right="0" w:firstLine="0"/>
              <w:jc w:val="center"/>
              <w:rPr>
                <w:rFonts w:ascii="Times New Roman" w:hAnsi="Times New Roman" w:eastAsia="宋体" w:cs="Times New Roman"/>
                <w:sz w:val="21"/>
                <w:szCs w:val="21"/>
                <w:lang w:val="zh-CN" w:bidi="zh-CN"/>
              </w:rPr>
            </w:pPr>
            <w:r>
              <w:rPr>
                <w:rFonts w:ascii="Times New Roman" w:hAnsi="Times New Roman" w:eastAsia="宋体" w:cs="Times New Roman"/>
                <w:color w:val="000000"/>
                <w:sz w:val="21"/>
                <w:szCs w:val="21"/>
                <w:lang w:val="en-US" w:eastAsia="zh-CN"/>
              </w:rPr>
              <w:t>满足</w:t>
            </w:r>
            <w:r>
              <w:rPr>
                <w:rFonts w:ascii="Times New Roman" w:hAnsi="Times New Roman" w:eastAsia="宋体" w:cs="Times New Roman"/>
                <w:color w:val="000000"/>
                <w:sz w:val="21"/>
                <w:szCs w:val="21"/>
              </w:rPr>
              <w:t>《饮食业油烟排放标准（试行）》GB18483-2001要求</w:t>
            </w:r>
          </w:p>
        </w:tc>
      </w:tr>
      <w:tr w14:paraId="2C7B6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0D55F5D2">
            <w:pPr>
              <w:widowControl w:val="0"/>
              <w:spacing w:before="0" w:after="0" w:line="240" w:lineRule="auto"/>
              <w:ind w:left="0" w:right="0" w:firstLine="0"/>
              <w:jc w:val="left"/>
              <w:rPr>
                <w:lang w:val="zh-CN"/>
              </w:rPr>
            </w:pPr>
          </w:p>
          <w:p w14:paraId="4DC414F7">
            <w:pPr>
              <w:pStyle w:val="2"/>
              <w:rPr>
                <w:lang w:val="zh-CN"/>
              </w:rPr>
            </w:pPr>
          </w:p>
          <w:p w14:paraId="18BC6E7E">
            <w:pPr>
              <w:pStyle w:val="2"/>
              <w:rPr>
                <w:lang w:val="zh-CN"/>
              </w:rPr>
            </w:pPr>
          </w:p>
          <w:p w14:paraId="05DF2FD1">
            <w:pPr>
              <w:pStyle w:val="2"/>
              <w:rPr>
                <w:lang w:val="zh-CN"/>
              </w:rPr>
            </w:pPr>
          </w:p>
          <w:p w14:paraId="5F82D796">
            <w:pPr>
              <w:pStyle w:val="2"/>
              <w:rPr>
                <w:lang w:val="zh-CN"/>
              </w:rPr>
            </w:pPr>
          </w:p>
          <w:p w14:paraId="78684E88">
            <w:pPr>
              <w:pStyle w:val="2"/>
              <w:rPr>
                <w:lang w:val="zh-CN"/>
              </w:rPr>
            </w:pPr>
          </w:p>
        </w:tc>
        <w:tc>
          <w:tcPr>
            <w:tcW w:w="866" w:type="dxa"/>
            <w:noWrap w:val="0"/>
            <w:vAlign w:val="center"/>
          </w:tcPr>
          <w:p w14:paraId="41A383B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运输车辆</w:t>
            </w:r>
          </w:p>
        </w:tc>
        <w:tc>
          <w:tcPr>
            <w:tcW w:w="942" w:type="dxa"/>
            <w:noWrap w:val="0"/>
            <w:vAlign w:val="center"/>
          </w:tcPr>
          <w:p w14:paraId="36A4C092">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汽车尾气</w:t>
            </w:r>
          </w:p>
        </w:tc>
        <w:tc>
          <w:tcPr>
            <w:tcW w:w="1263" w:type="dxa"/>
            <w:noWrap w:val="0"/>
            <w:vAlign w:val="center"/>
          </w:tcPr>
          <w:p w14:paraId="69253785">
            <w:pPr>
              <w:widowControl w:val="0"/>
              <w:spacing w:before="185" w:after="0" w:line="240" w:lineRule="auto"/>
              <w:ind w:left="92" w:right="64"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少量</w:t>
            </w:r>
          </w:p>
        </w:tc>
        <w:tc>
          <w:tcPr>
            <w:tcW w:w="1420" w:type="dxa"/>
            <w:noWrap w:val="0"/>
            <w:vAlign w:val="center"/>
          </w:tcPr>
          <w:p w14:paraId="54A2E752">
            <w:pPr>
              <w:widowControl w:val="0"/>
              <w:spacing w:before="185" w:after="0" w:line="240" w:lineRule="auto"/>
              <w:ind w:left="165" w:right="137"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63C6D210">
            <w:pPr>
              <w:widowControl w:val="0"/>
              <w:spacing w:before="171" w:after="0" w:line="240" w:lineRule="auto"/>
              <w:ind w:left="147" w:right="120"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color w:val="000000"/>
                <w:sz w:val="21"/>
                <w:szCs w:val="21"/>
                <w:lang w:val="en-US" w:eastAsia="zh-CN" w:bidi="ar-SA"/>
              </w:rPr>
              <w:t>自然扩散</w:t>
            </w:r>
          </w:p>
        </w:tc>
        <w:tc>
          <w:tcPr>
            <w:tcW w:w="1935" w:type="dxa"/>
            <w:noWrap w:val="0"/>
            <w:vAlign w:val="center"/>
          </w:tcPr>
          <w:p w14:paraId="69A9EEF6">
            <w:pPr>
              <w:widowControl w:val="0"/>
              <w:spacing w:before="0" w:after="0" w:line="240" w:lineRule="auto"/>
              <w:ind w:left="0" w:right="0" w:firstLine="0"/>
              <w:jc w:val="center"/>
              <w:rPr>
                <w:rFonts w:ascii="Times New Roman" w:hAnsi="Times New Roman" w:eastAsia="宋体" w:cs="Times New Roman"/>
                <w:sz w:val="21"/>
                <w:szCs w:val="21"/>
                <w:lang w:val="zh-CN" w:bidi="zh-CN"/>
              </w:rPr>
            </w:pPr>
            <w:r>
              <w:rPr>
                <w:rFonts w:ascii="Times New Roman" w:hAnsi="Times New Roman" w:eastAsia="宋体" w:cs="Times New Roman"/>
                <w:sz w:val="21"/>
                <w:szCs w:val="21"/>
                <w:lang w:val="en-US" w:bidi="zh-CN"/>
              </w:rPr>
              <w:t>对周围环境影响不大</w:t>
            </w:r>
          </w:p>
        </w:tc>
      </w:tr>
      <w:tr w14:paraId="3742B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restart"/>
            <w:noWrap w:val="0"/>
            <w:vAlign w:val="center"/>
          </w:tcPr>
          <w:p w14:paraId="0A3AC5EF">
            <w:pPr>
              <w:widowControl w:val="0"/>
              <w:spacing w:before="0" w:after="0" w:line="240" w:lineRule="auto"/>
              <w:ind w:left="0" w:right="0" w:firstLine="0"/>
              <w:jc w:val="center"/>
              <w:rPr>
                <w:rFonts w:ascii="Times New Roman" w:hAnsi="Times New Roman" w:eastAsia="宋体" w:cs="Times New Roman"/>
                <w:sz w:val="21"/>
                <w:szCs w:val="21"/>
                <w:lang w:val="en-US" w:bidi="zh-CN"/>
              </w:rPr>
            </w:pPr>
            <w:r>
              <w:rPr>
                <w:rFonts w:hint="eastAsia" w:ascii="Times New Roman" w:hAnsi="Times New Roman" w:eastAsia="宋体" w:cs="Times New Roman"/>
                <w:sz w:val="21"/>
                <w:szCs w:val="21"/>
                <w:lang w:val="en-US" w:bidi="zh-CN"/>
              </w:rPr>
              <w:t>废水</w:t>
            </w:r>
          </w:p>
        </w:tc>
        <w:tc>
          <w:tcPr>
            <w:tcW w:w="866" w:type="dxa"/>
            <w:vMerge w:val="restart"/>
            <w:noWrap w:val="0"/>
            <w:vAlign w:val="center"/>
          </w:tcPr>
          <w:p w14:paraId="70102B47">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生活污水</w:t>
            </w:r>
          </w:p>
        </w:tc>
        <w:tc>
          <w:tcPr>
            <w:tcW w:w="942" w:type="dxa"/>
            <w:noWrap w:val="0"/>
            <w:vAlign w:val="top"/>
          </w:tcPr>
          <w:p w14:paraId="2F0FC205">
            <w:pPr>
              <w:widowControl w:val="0"/>
              <w:spacing w:before="2" w:after="0" w:line="256" w:lineRule="exact"/>
              <w:ind w:left="140" w:right="115" w:firstLine="0"/>
              <w:jc w:val="center"/>
              <w:rPr>
                <w:rFonts w:ascii="Times New Roman" w:hAnsi="Times New Roman" w:eastAsia="宋体" w:cs="Times New Roman"/>
                <w:sz w:val="21"/>
                <w:szCs w:val="21"/>
                <w:lang w:val="en-US" w:eastAsia="zh-CN" w:bidi="zh-CN"/>
              </w:rPr>
            </w:pPr>
            <w:r>
              <w:rPr>
                <w:rFonts w:hint="eastAsia" w:ascii="宋体" w:hAnsi="Times New Roman" w:eastAsia="宋体" w:cs="Times New Roman"/>
                <w:sz w:val="21"/>
                <w:szCs w:val="22"/>
                <w:lang w:val="zh-CN" w:eastAsia="zh-CN" w:bidi="zh-CN"/>
              </w:rPr>
              <w:t>废水量</w:t>
            </w:r>
          </w:p>
        </w:tc>
        <w:tc>
          <w:tcPr>
            <w:tcW w:w="2683" w:type="dxa"/>
            <w:gridSpan w:val="2"/>
            <w:noWrap w:val="0"/>
            <w:vAlign w:val="top"/>
          </w:tcPr>
          <w:p w14:paraId="22DD4F37">
            <w:pPr>
              <w:widowControl w:val="0"/>
              <w:spacing w:before="18" w:after="0" w:line="240" w:lineRule="exact"/>
              <w:ind w:left="907" w:right="880" w:firstLine="0"/>
              <w:jc w:val="center"/>
              <w:rPr>
                <w:rFonts w:ascii="Times New Roman" w:hAnsi="Times New Roman" w:eastAsia="宋体" w:cs="Times New Roman"/>
                <w:sz w:val="21"/>
                <w:szCs w:val="21"/>
                <w:lang w:val="zh-CN" w:eastAsia="zh-CN" w:bidi="zh-CN"/>
              </w:rPr>
            </w:pPr>
            <w:r>
              <w:rPr>
                <w:rFonts w:hint="eastAsia" w:ascii="Times New Roman" w:hAnsi="Times New Roman" w:eastAsia="Times New Roman" w:cs="Times New Roman"/>
                <w:sz w:val="21"/>
                <w:szCs w:val="22"/>
                <w:lang w:val="en-US" w:eastAsia="zh-CN" w:bidi="zh-CN"/>
              </w:rPr>
              <w:t>6240</w:t>
            </w:r>
            <w:r>
              <w:rPr>
                <w:rFonts w:ascii="Times New Roman" w:hAnsi="Times New Roman" w:eastAsia="Times New Roman" w:cs="Times New Roman"/>
                <w:sz w:val="21"/>
                <w:szCs w:val="22"/>
                <w:lang w:val="zh-CN" w:eastAsia="zh-CN" w:bidi="zh-CN"/>
              </w:rPr>
              <w:t>m</w:t>
            </w:r>
            <w:r>
              <w:rPr>
                <w:rFonts w:ascii="Times New Roman" w:hAnsi="Times New Roman" w:eastAsia="Times New Roman" w:cs="Times New Roman"/>
                <w:position w:val="7"/>
                <w:sz w:val="13"/>
                <w:szCs w:val="22"/>
                <w:lang w:val="zh-CN" w:eastAsia="zh-CN" w:bidi="zh-CN"/>
              </w:rPr>
              <w:t>3</w:t>
            </w:r>
            <w:r>
              <w:rPr>
                <w:rFonts w:ascii="Times New Roman" w:hAnsi="Times New Roman" w:eastAsia="Times New Roman" w:cs="Times New Roman"/>
                <w:sz w:val="21"/>
                <w:szCs w:val="22"/>
                <w:lang w:val="zh-CN" w:eastAsia="zh-CN" w:bidi="zh-CN"/>
              </w:rPr>
              <w:t>/a</w:t>
            </w:r>
          </w:p>
        </w:tc>
        <w:tc>
          <w:tcPr>
            <w:tcW w:w="1745" w:type="dxa"/>
            <w:vMerge w:val="restart"/>
            <w:noWrap w:val="0"/>
            <w:vAlign w:val="center"/>
          </w:tcPr>
          <w:p w14:paraId="5C31B3BB">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宋体" w:eastAsia="宋体" w:cs="Times New Roman"/>
                <w:color w:val="000000"/>
                <w:sz w:val="21"/>
                <w:szCs w:val="21"/>
                <w:lang w:val="en-US" w:eastAsia="zh-CN"/>
              </w:rPr>
              <w:t>8</w:t>
            </w:r>
            <w:r>
              <w:rPr>
                <w:rFonts w:ascii="Times New Roman" w:hAnsi="Times New Roman" w:eastAsia="宋体" w:cs="Times New Roman"/>
                <w:color w:val="000000"/>
                <w:sz w:val="21"/>
                <w:szCs w:val="21"/>
              </w:rPr>
              <w:t>m</w:t>
            </w:r>
            <w:r>
              <w:rPr>
                <w:rFonts w:ascii="Times New Roman" w:hAnsi="Times New Roman" w:eastAsia="宋体" w:cs="Times New Roman"/>
                <w:color w:val="000000"/>
                <w:sz w:val="21"/>
                <w:szCs w:val="21"/>
                <w:vertAlign w:val="superscript"/>
              </w:rPr>
              <w:t>3</w:t>
            </w:r>
            <w:r>
              <w:rPr>
                <w:rFonts w:hint="eastAsia" w:ascii="Times New Roman" w:hAnsi="宋体" w:eastAsia="宋体" w:cs="Times New Roman"/>
                <w:color w:val="000000"/>
                <w:sz w:val="21"/>
                <w:szCs w:val="21"/>
                <w:lang w:val="en-US" w:eastAsia="zh-CN"/>
              </w:rPr>
              <w:t>隔油池；6座化粪池（总容积为（80m</w:t>
            </w:r>
            <w:r>
              <w:rPr>
                <w:rFonts w:hint="eastAsia" w:ascii="Times New Roman" w:hAnsi="宋体" w:eastAsia="宋体" w:cs="Times New Roman"/>
                <w:color w:val="000000"/>
                <w:sz w:val="21"/>
                <w:szCs w:val="21"/>
                <w:vertAlign w:val="superscript"/>
                <w:lang w:val="en-US" w:eastAsia="zh-CN"/>
              </w:rPr>
              <w:t>3</w:t>
            </w:r>
            <w:r>
              <w:rPr>
                <w:rFonts w:hint="eastAsia" w:ascii="Times New Roman" w:hAnsi="宋体" w:eastAsia="宋体" w:cs="Times New Roman"/>
                <w:color w:val="000000"/>
                <w:sz w:val="21"/>
                <w:szCs w:val="21"/>
                <w:lang w:val="en-US" w:eastAsia="zh-CN"/>
              </w:rPr>
              <w:t>）</w:t>
            </w:r>
          </w:p>
        </w:tc>
        <w:tc>
          <w:tcPr>
            <w:tcW w:w="1935" w:type="dxa"/>
            <w:vMerge w:val="restart"/>
            <w:noWrap w:val="0"/>
            <w:vAlign w:val="center"/>
          </w:tcPr>
          <w:p w14:paraId="18D7F305">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满足</w:t>
            </w:r>
            <w:r>
              <w:rPr>
                <w:rFonts w:ascii="Times New Roman" w:hAnsi="Times New Roman" w:eastAsia="宋体" w:cs="Times New Roman"/>
                <w:sz w:val="21"/>
                <w:szCs w:val="21"/>
                <w:lang w:val="zh-CN" w:eastAsia="zh-CN" w:bidi="zh-CN"/>
              </w:rPr>
              <w:t>《污水综合排放标准》（GB8978-1996）表4三级标准和《污水排入城镇下水道水质标准》（GB/T31962-2015）表</w:t>
            </w:r>
            <w:r>
              <w:rPr>
                <w:rFonts w:ascii="Times New Roman" w:hAnsi="Times New Roman" w:eastAsia="宋体" w:cs="Times New Roman"/>
                <w:sz w:val="21"/>
                <w:szCs w:val="21"/>
                <w:lang w:val="en-US" w:eastAsia="zh-CN" w:bidi="zh-CN"/>
              </w:rPr>
              <w:t>1</w:t>
            </w:r>
            <w:r>
              <w:rPr>
                <w:rFonts w:ascii="Times New Roman" w:hAnsi="Times New Roman" w:eastAsia="宋体" w:cs="Times New Roman"/>
                <w:sz w:val="21"/>
                <w:szCs w:val="21"/>
                <w:lang w:val="zh-CN" w:eastAsia="zh-CN" w:bidi="zh-CN"/>
              </w:rPr>
              <w:t>B等级标准</w:t>
            </w:r>
          </w:p>
        </w:tc>
      </w:tr>
      <w:tr w14:paraId="122E2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center"/>
          </w:tcPr>
          <w:p w14:paraId="351138B6">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c>
          <w:tcPr>
            <w:tcW w:w="866" w:type="dxa"/>
            <w:vMerge w:val="continue"/>
            <w:noWrap w:val="0"/>
            <w:vAlign w:val="center"/>
          </w:tcPr>
          <w:p w14:paraId="736C82C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top"/>
          </w:tcPr>
          <w:p w14:paraId="7259CB04">
            <w:pPr>
              <w:widowControl w:val="0"/>
              <w:spacing w:before="15" w:after="0" w:line="243" w:lineRule="exact"/>
              <w:ind w:left="140" w:right="110" w:firstLine="0"/>
              <w:jc w:val="center"/>
              <w:rPr>
                <w:rFonts w:ascii="Times New Roman" w:hAnsi="Times New Roman" w:eastAsia="宋体" w:cs="Times New Roman"/>
                <w:sz w:val="21"/>
                <w:szCs w:val="21"/>
                <w:lang w:val="en-US" w:eastAsia="zh-CN" w:bidi="zh-CN"/>
              </w:rPr>
            </w:pPr>
            <w:r>
              <w:rPr>
                <w:rFonts w:ascii="Times New Roman" w:hAnsi="Times New Roman" w:eastAsia="Times New Roman" w:cs="Times New Roman"/>
                <w:position w:val="2"/>
                <w:sz w:val="21"/>
                <w:szCs w:val="22"/>
                <w:lang w:val="zh-CN" w:eastAsia="zh-CN" w:bidi="zh-CN"/>
              </w:rPr>
              <w:t>COD</w:t>
            </w:r>
            <w:r>
              <w:rPr>
                <w:rFonts w:ascii="Times New Roman" w:hAnsi="Times New Roman" w:eastAsia="Times New Roman" w:cs="Times New Roman"/>
                <w:position w:val="2"/>
                <w:sz w:val="21"/>
                <w:szCs w:val="22"/>
                <w:vertAlign w:val="subscript"/>
                <w:lang w:val="zh-CN" w:eastAsia="zh-CN" w:bidi="zh-CN"/>
              </w:rPr>
              <w:t>cr</w:t>
            </w:r>
          </w:p>
        </w:tc>
        <w:tc>
          <w:tcPr>
            <w:tcW w:w="1263" w:type="dxa"/>
            <w:noWrap w:val="0"/>
            <w:vAlign w:val="top"/>
          </w:tcPr>
          <w:p w14:paraId="28B1361D">
            <w:pPr>
              <w:widowControl w:val="0"/>
              <w:spacing w:before="18" w:after="0" w:line="240" w:lineRule="exact"/>
              <w:ind w:left="152" w:right="126" w:firstLine="0"/>
              <w:jc w:val="center"/>
              <w:rPr>
                <w:rFonts w:ascii="Times New Roman" w:hAnsi="Times New Roman" w:eastAsia="宋体" w:cs="Times New Roman"/>
                <w:sz w:val="21"/>
                <w:szCs w:val="21"/>
                <w:lang w:val="en-US" w:eastAsia="zh-CN" w:bidi="zh-CN"/>
              </w:rPr>
            </w:pPr>
            <w:r>
              <w:rPr>
                <w:rFonts w:hint="eastAsia" w:ascii="Times New Roman" w:hAnsi="Times New Roman" w:eastAsia="Times New Roman" w:cs="Times New Roman"/>
                <w:sz w:val="21"/>
                <w:szCs w:val="22"/>
                <w:lang w:val="en-US" w:eastAsia="zh-CN" w:bidi="zh-CN"/>
              </w:rPr>
              <w:t>1.25</w:t>
            </w:r>
            <w:r>
              <w:rPr>
                <w:rFonts w:ascii="Times New Roman" w:hAnsi="Times New Roman" w:eastAsia="Times New Roman" w:cs="Times New Roman"/>
                <w:sz w:val="21"/>
                <w:szCs w:val="22"/>
                <w:lang w:val="zh-CN" w:eastAsia="zh-CN" w:bidi="zh-CN"/>
              </w:rPr>
              <w:t>t/a</w:t>
            </w:r>
          </w:p>
        </w:tc>
        <w:tc>
          <w:tcPr>
            <w:tcW w:w="1420" w:type="dxa"/>
            <w:noWrap w:val="0"/>
            <w:vAlign w:val="top"/>
          </w:tcPr>
          <w:p w14:paraId="5183F582">
            <w:pPr>
              <w:widowControl w:val="0"/>
              <w:spacing w:before="18" w:after="0" w:line="240" w:lineRule="exact"/>
              <w:ind w:left="460" w:right="0" w:firstLine="0"/>
              <w:jc w:val="left"/>
              <w:rPr>
                <w:rFonts w:ascii="Times New Roman" w:hAnsi="Times New Roman" w:eastAsia="宋体" w:cs="Times New Roman"/>
                <w:sz w:val="21"/>
                <w:szCs w:val="21"/>
                <w:lang w:val="zh-CN" w:eastAsia="zh-CN" w:bidi="zh-CN"/>
              </w:rPr>
            </w:pPr>
            <w:r>
              <w:rPr>
                <w:rFonts w:hint="eastAsia" w:ascii="Times New Roman" w:hAnsi="Times New Roman" w:eastAsia="Times New Roman" w:cs="Times New Roman"/>
                <w:sz w:val="21"/>
                <w:szCs w:val="22"/>
                <w:lang w:val="en-US" w:eastAsia="zh-CN" w:bidi="zh-CN"/>
              </w:rPr>
              <w:t>200</w:t>
            </w:r>
            <w:r>
              <w:rPr>
                <w:rFonts w:ascii="Times New Roman" w:hAnsi="Times New Roman" w:eastAsia="Times New Roman" w:cs="Times New Roman"/>
                <w:sz w:val="21"/>
                <w:szCs w:val="22"/>
                <w:lang w:val="zh-CN" w:eastAsia="zh-CN" w:bidi="zh-CN"/>
              </w:rPr>
              <w:t>mg/L</w:t>
            </w:r>
          </w:p>
        </w:tc>
        <w:tc>
          <w:tcPr>
            <w:tcW w:w="1745" w:type="dxa"/>
            <w:vMerge w:val="continue"/>
            <w:noWrap w:val="0"/>
            <w:vAlign w:val="center"/>
          </w:tcPr>
          <w:p w14:paraId="1D0F8939">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1935" w:type="dxa"/>
            <w:vMerge w:val="continue"/>
            <w:noWrap w:val="0"/>
            <w:vAlign w:val="center"/>
          </w:tcPr>
          <w:p w14:paraId="6FC4491A">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64D0F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center"/>
          </w:tcPr>
          <w:p w14:paraId="221973F7">
            <w:pPr>
              <w:widowControl w:val="0"/>
              <w:spacing w:before="0" w:after="0" w:line="240" w:lineRule="auto"/>
              <w:ind w:left="0" w:right="0" w:firstLine="0"/>
              <w:jc w:val="center"/>
              <w:rPr>
                <w:rFonts w:ascii="Times New Roman" w:hAnsi="Times New Roman" w:eastAsia="宋体" w:cs="Times New Roman"/>
                <w:sz w:val="21"/>
                <w:szCs w:val="21"/>
                <w:lang w:val="zh-CN" w:bidi="zh-CN"/>
              </w:rPr>
            </w:pPr>
          </w:p>
        </w:tc>
        <w:tc>
          <w:tcPr>
            <w:tcW w:w="866" w:type="dxa"/>
            <w:vMerge w:val="continue"/>
            <w:noWrap w:val="0"/>
            <w:vAlign w:val="center"/>
          </w:tcPr>
          <w:p w14:paraId="5D149F6E">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top"/>
          </w:tcPr>
          <w:p w14:paraId="1309E541">
            <w:pPr>
              <w:widowControl w:val="0"/>
              <w:spacing w:before="15" w:after="0" w:line="243" w:lineRule="exact"/>
              <w:ind w:left="140" w:right="111" w:firstLine="0"/>
              <w:jc w:val="center"/>
              <w:rPr>
                <w:rFonts w:ascii="Times New Roman" w:hAnsi="Times New Roman" w:eastAsia="宋体" w:cs="Times New Roman"/>
                <w:sz w:val="21"/>
                <w:szCs w:val="21"/>
                <w:lang w:val="en-US" w:eastAsia="zh-CN" w:bidi="zh-CN"/>
              </w:rPr>
            </w:pPr>
            <w:r>
              <w:rPr>
                <w:rFonts w:ascii="Times New Roman" w:hAnsi="Times New Roman" w:eastAsia="Times New Roman" w:cs="Times New Roman"/>
                <w:position w:val="2"/>
                <w:sz w:val="21"/>
                <w:szCs w:val="22"/>
                <w:lang w:val="zh-CN" w:eastAsia="zh-CN" w:bidi="zh-CN"/>
              </w:rPr>
              <w:t>BOD</w:t>
            </w:r>
            <w:r>
              <w:rPr>
                <w:rFonts w:ascii="Times New Roman" w:hAnsi="Times New Roman" w:eastAsia="Times New Roman" w:cs="Times New Roman"/>
                <w:position w:val="2"/>
                <w:sz w:val="21"/>
                <w:szCs w:val="22"/>
                <w:vertAlign w:val="subscript"/>
                <w:lang w:val="zh-CN" w:eastAsia="zh-CN" w:bidi="zh-CN"/>
              </w:rPr>
              <w:t>5</w:t>
            </w:r>
          </w:p>
        </w:tc>
        <w:tc>
          <w:tcPr>
            <w:tcW w:w="1263" w:type="dxa"/>
            <w:noWrap w:val="0"/>
            <w:vAlign w:val="top"/>
          </w:tcPr>
          <w:p w14:paraId="0CFFF979">
            <w:pPr>
              <w:widowControl w:val="0"/>
              <w:spacing w:before="18" w:after="0" w:line="240" w:lineRule="exact"/>
              <w:ind w:left="152" w:right="126" w:firstLine="0"/>
              <w:jc w:val="center"/>
              <w:rPr>
                <w:rFonts w:ascii="Times New Roman" w:hAnsi="Times New Roman" w:eastAsia="宋体" w:cs="Times New Roman"/>
                <w:sz w:val="21"/>
                <w:szCs w:val="21"/>
                <w:lang w:val="en-US" w:eastAsia="zh-CN" w:bidi="zh-CN"/>
              </w:rPr>
            </w:pPr>
            <w:r>
              <w:rPr>
                <w:rFonts w:hint="eastAsia" w:ascii="Times New Roman" w:hAnsi="Times New Roman" w:eastAsia="Times New Roman" w:cs="Times New Roman"/>
                <w:sz w:val="21"/>
                <w:szCs w:val="22"/>
                <w:lang w:val="en-US" w:eastAsia="zh-CN" w:bidi="zh-CN"/>
              </w:rPr>
              <w:t>0.62</w:t>
            </w:r>
            <w:r>
              <w:rPr>
                <w:rFonts w:ascii="Times New Roman" w:hAnsi="Times New Roman" w:eastAsia="Times New Roman" w:cs="Times New Roman"/>
                <w:sz w:val="21"/>
                <w:szCs w:val="22"/>
                <w:lang w:val="zh-CN" w:eastAsia="zh-CN" w:bidi="zh-CN"/>
              </w:rPr>
              <w:t>t/a</w:t>
            </w:r>
          </w:p>
        </w:tc>
        <w:tc>
          <w:tcPr>
            <w:tcW w:w="1420" w:type="dxa"/>
            <w:noWrap w:val="0"/>
            <w:vAlign w:val="top"/>
          </w:tcPr>
          <w:p w14:paraId="74D1DBC8">
            <w:pPr>
              <w:widowControl w:val="0"/>
              <w:spacing w:before="18" w:after="0" w:line="240" w:lineRule="exact"/>
              <w:ind w:left="460" w:right="0" w:firstLine="0"/>
              <w:jc w:val="left"/>
              <w:rPr>
                <w:rFonts w:ascii="Times New Roman" w:hAnsi="Times New Roman" w:eastAsia="宋体" w:cs="Times New Roman"/>
                <w:sz w:val="21"/>
                <w:szCs w:val="21"/>
                <w:lang w:val="zh-CN" w:eastAsia="zh-CN" w:bidi="zh-CN"/>
              </w:rPr>
            </w:pPr>
            <w:r>
              <w:rPr>
                <w:rFonts w:ascii="Times New Roman" w:hAnsi="Times New Roman" w:eastAsia="Times New Roman" w:cs="Times New Roman"/>
                <w:sz w:val="21"/>
                <w:szCs w:val="22"/>
                <w:lang w:val="zh-CN" w:eastAsia="zh-CN" w:bidi="zh-CN"/>
              </w:rPr>
              <w:t>10</w:t>
            </w:r>
            <w:r>
              <w:rPr>
                <w:rFonts w:hint="eastAsia" w:ascii="Times New Roman" w:hAnsi="Times New Roman" w:eastAsia="Times New Roman" w:cs="Times New Roman"/>
                <w:sz w:val="21"/>
                <w:szCs w:val="22"/>
                <w:lang w:val="en-US" w:eastAsia="zh-CN" w:bidi="zh-CN"/>
              </w:rPr>
              <w:t>0</w:t>
            </w:r>
            <w:r>
              <w:rPr>
                <w:rFonts w:ascii="Times New Roman" w:hAnsi="Times New Roman" w:eastAsia="Times New Roman" w:cs="Times New Roman"/>
                <w:sz w:val="21"/>
                <w:szCs w:val="22"/>
                <w:lang w:val="zh-CN" w:eastAsia="zh-CN" w:bidi="zh-CN"/>
              </w:rPr>
              <w:t>mg/L</w:t>
            </w:r>
          </w:p>
        </w:tc>
        <w:tc>
          <w:tcPr>
            <w:tcW w:w="1745" w:type="dxa"/>
            <w:vMerge w:val="continue"/>
            <w:noWrap w:val="0"/>
            <w:vAlign w:val="center"/>
          </w:tcPr>
          <w:p w14:paraId="674EB8B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1935" w:type="dxa"/>
            <w:vMerge w:val="continue"/>
            <w:noWrap w:val="0"/>
            <w:vAlign w:val="center"/>
          </w:tcPr>
          <w:p w14:paraId="4B504189">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187EE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1DAC8FCA">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0C392FF9">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790EF8AA">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SS</w:t>
            </w:r>
          </w:p>
        </w:tc>
        <w:tc>
          <w:tcPr>
            <w:tcW w:w="1263" w:type="dxa"/>
            <w:noWrap w:val="0"/>
            <w:vAlign w:val="center"/>
          </w:tcPr>
          <w:p w14:paraId="087CF445">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0.5t/a</w:t>
            </w:r>
          </w:p>
        </w:tc>
        <w:tc>
          <w:tcPr>
            <w:tcW w:w="1420" w:type="dxa"/>
            <w:noWrap w:val="0"/>
            <w:vAlign w:val="center"/>
          </w:tcPr>
          <w:p w14:paraId="3F4F26C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80</w:t>
            </w:r>
            <w:r>
              <w:rPr>
                <w:rFonts w:ascii="Times New Roman" w:hAnsi="Times New Roman" w:eastAsia="Times New Roman" w:cs="Times New Roman"/>
                <w:sz w:val="21"/>
                <w:szCs w:val="22"/>
                <w:lang w:val="zh-CN" w:eastAsia="zh-CN" w:bidi="zh-CN"/>
              </w:rPr>
              <w:t>mg/L</w:t>
            </w:r>
          </w:p>
        </w:tc>
        <w:tc>
          <w:tcPr>
            <w:tcW w:w="1745" w:type="dxa"/>
            <w:vMerge w:val="continue"/>
            <w:noWrap w:val="0"/>
            <w:vAlign w:val="center"/>
          </w:tcPr>
          <w:p w14:paraId="15AAEF44">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1935" w:type="dxa"/>
            <w:vMerge w:val="continue"/>
            <w:noWrap w:val="0"/>
            <w:vAlign w:val="center"/>
          </w:tcPr>
          <w:p w14:paraId="382D4ACE">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6643A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75AAAE11">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0B3D1202">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6C54F758">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NH</w:t>
            </w:r>
            <w:r>
              <w:rPr>
                <w:rFonts w:hint="eastAsia" w:ascii="Times New Roman" w:hAnsi="Times New Roman" w:eastAsia="宋体" w:cs="Times New Roman"/>
                <w:sz w:val="21"/>
                <w:szCs w:val="21"/>
                <w:vertAlign w:val="subscript"/>
                <w:lang w:val="en-US" w:eastAsia="zh-CN" w:bidi="zh-CN"/>
              </w:rPr>
              <w:t>3</w:t>
            </w:r>
            <w:r>
              <w:rPr>
                <w:rFonts w:hint="eastAsia" w:ascii="Times New Roman" w:hAnsi="Times New Roman" w:eastAsia="宋体" w:cs="Times New Roman"/>
                <w:sz w:val="21"/>
                <w:szCs w:val="21"/>
                <w:lang w:val="en-US" w:eastAsia="zh-CN" w:bidi="zh-CN"/>
              </w:rPr>
              <w:t>-N</w:t>
            </w:r>
          </w:p>
        </w:tc>
        <w:tc>
          <w:tcPr>
            <w:tcW w:w="1263" w:type="dxa"/>
            <w:noWrap w:val="0"/>
            <w:vAlign w:val="center"/>
          </w:tcPr>
          <w:p w14:paraId="4B97DE9B">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0.125t/a</w:t>
            </w:r>
          </w:p>
        </w:tc>
        <w:tc>
          <w:tcPr>
            <w:tcW w:w="1420" w:type="dxa"/>
            <w:noWrap w:val="0"/>
            <w:vAlign w:val="center"/>
          </w:tcPr>
          <w:p w14:paraId="6E7E7C14">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20</w:t>
            </w:r>
            <w:r>
              <w:rPr>
                <w:rFonts w:ascii="Times New Roman" w:hAnsi="Times New Roman" w:eastAsia="Times New Roman" w:cs="Times New Roman"/>
                <w:sz w:val="21"/>
                <w:szCs w:val="22"/>
                <w:lang w:val="zh-CN" w:eastAsia="zh-CN" w:bidi="zh-CN"/>
              </w:rPr>
              <w:t>mg/L</w:t>
            </w:r>
          </w:p>
        </w:tc>
        <w:tc>
          <w:tcPr>
            <w:tcW w:w="1745" w:type="dxa"/>
            <w:vMerge w:val="continue"/>
            <w:noWrap w:val="0"/>
            <w:vAlign w:val="center"/>
          </w:tcPr>
          <w:p w14:paraId="47A12CDF">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1935" w:type="dxa"/>
            <w:vMerge w:val="continue"/>
            <w:noWrap w:val="0"/>
            <w:vAlign w:val="center"/>
          </w:tcPr>
          <w:p w14:paraId="6B5D0F19">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6F09D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598AAEE7">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7994230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38FEB897">
            <w:pPr>
              <w:spacing w:line="320" w:lineRule="exact"/>
              <w:ind w:left="0" w:firstLine="0"/>
              <w:jc w:val="center"/>
              <w:rPr>
                <w:rFonts w:hint="eastAsia" w:ascii="Times New Roman" w:hAnsi="Times New Roman" w:eastAsia="宋体" w:cs="Times New Roman"/>
                <w:sz w:val="21"/>
                <w:szCs w:val="21"/>
                <w:lang w:val="en-US" w:eastAsia="zh-CN" w:bidi="zh-CN"/>
              </w:rPr>
            </w:pPr>
            <w:r>
              <w:rPr>
                <w:rFonts w:hint="eastAsia"/>
                <w:color w:val="000000"/>
                <w:sz w:val="21"/>
                <w:szCs w:val="21"/>
              </w:rPr>
              <w:t>总磷</w:t>
            </w:r>
          </w:p>
        </w:tc>
        <w:tc>
          <w:tcPr>
            <w:tcW w:w="1263" w:type="dxa"/>
            <w:noWrap w:val="0"/>
            <w:vAlign w:val="center"/>
          </w:tcPr>
          <w:p w14:paraId="472B41D3">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0.019t/a</w:t>
            </w:r>
          </w:p>
        </w:tc>
        <w:tc>
          <w:tcPr>
            <w:tcW w:w="1420" w:type="dxa"/>
            <w:noWrap w:val="0"/>
            <w:vAlign w:val="center"/>
          </w:tcPr>
          <w:p w14:paraId="494B34A0">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3</w:t>
            </w:r>
            <w:r>
              <w:rPr>
                <w:rFonts w:ascii="Times New Roman" w:hAnsi="Times New Roman" w:eastAsia="Times New Roman" w:cs="Times New Roman"/>
                <w:sz w:val="21"/>
                <w:szCs w:val="22"/>
                <w:lang w:val="zh-CN" w:eastAsia="zh-CN" w:bidi="zh-CN"/>
              </w:rPr>
              <w:t>mg/L</w:t>
            </w:r>
          </w:p>
        </w:tc>
        <w:tc>
          <w:tcPr>
            <w:tcW w:w="1745" w:type="dxa"/>
            <w:vMerge w:val="continue"/>
            <w:noWrap w:val="0"/>
            <w:vAlign w:val="center"/>
          </w:tcPr>
          <w:p w14:paraId="0ACE3D3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1935" w:type="dxa"/>
            <w:vMerge w:val="continue"/>
            <w:noWrap w:val="0"/>
            <w:vAlign w:val="center"/>
          </w:tcPr>
          <w:p w14:paraId="363D5984">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22A25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5D060E6B">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71A54C96">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942" w:type="dxa"/>
            <w:noWrap w:val="0"/>
            <w:vAlign w:val="center"/>
          </w:tcPr>
          <w:p w14:paraId="630A7317">
            <w:pPr>
              <w:spacing w:line="320" w:lineRule="exact"/>
              <w:ind w:left="0" w:firstLine="0"/>
              <w:jc w:val="center"/>
              <w:rPr>
                <w:rFonts w:hint="eastAsia" w:ascii="Times New Roman" w:hAnsi="Times New Roman" w:eastAsia="宋体" w:cs="Times New Roman"/>
                <w:sz w:val="21"/>
                <w:szCs w:val="21"/>
                <w:lang w:val="en-US" w:eastAsia="zh-CN" w:bidi="zh-CN"/>
              </w:rPr>
            </w:pPr>
            <w:r>
              <w:rPr>
                <w:rFonts w:hint="eastAsia"/>
                <w:color w:val="000000"/>
                <w:sz w:val="21"/>
                <w:szCs w:val="21"/>
              </w:rPr>
              <w:t>动植物油</w:t>
            </w:r>
          </w:p>
        </w:tc>
        <w:tc>
          <w:tcPr>
            <w:tcW w:w="1263" w:type="dxa"/>
            <w:noWrap w:val="0"/>
            <w:vAlign w:val="center"/>
          </w:tcPr>
          <w:p w14:paraId="3ED2A018">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0.05t/a</w:t>
            </w:r>
          </w:p>
        </w:tc>
        <w:tc>
          <w:tcPr>
            <w:tcW w:w="1420" w:type="dxa"/>
            <w:noWrap w:val="0"/>
            <w:vAlign w:val="center"/>
          </w:tcPr>
          <w:p w14:paraId="51F3023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8</w:t>
            </w:r>
            <w:r>
              <w:rPr>
                <w:rFonts w:ascii="Times New Roman" w:hAnsi="Times New Roman" w:eastAsia="Times New Roman" w:cs="Times New Roman"/>
                <w:sz w:val="21"/>
                <w:szCs w:val="22"/>
                <w:lang w:val="zh-CN" w:eastAsia="zh-CN" w:bidi="zh-CN"/>
              </w:rPr>
              <w:t>mg/L</w:t>
            </w:r>
          </w:p>
        </w:tc>
        <w:tc>
          <w:tcPr>
            <w:tcW w:w="1745" w:type="dxa"/>
            <w:vMerge w:val="continue"/>
            <w:noWrap w:val="0"/>
            <w:vAlign w:val="center"/>
          </w:tcPr>
          <w:p w14:paraId="1F9D3598">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1935" w:type="dxa"/>
            <w:vMerge w:val="continue"/>
            <w:noWrap w:val="0"/>
            <w:vAlign w:val="center"/>
          </w:tcPr>
          <w:p w14:paraId="3AC7F0E4">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455FF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restart"/>
            <w:noWrap w:val="0"/>
            <w:vAlign w:val="top"/>
          </w:tcPr>
          <w:p w14:paraId="67D80F8F">
            <w:pPr>
              <w:widowControl w:val="0"/>
              <w:spacing w:before="0" w:after="0" w:line="240" w:lineRule="auto"/>
              <w:ind w:left="0" w:right="0" w:firstLine="0"/>
              <w:jc w:val="left"/>
              <w:rPr>
                <w:rFonts w:ascii="Times New Roman" w:hAnsi="Times New Roman" w:eastAsia="宋体" w:cs="Times New Roman"/>
                <w:sz w:val="21"/>
                <w:szCs w:val="21"/>
                <w:lang w:val="en-US" w:bidi="zh-CN"/>
              </w:rPr>
            </w:pPr>
            <w:r>
              <w:rPr>
                <w:rFonts w:hint="eastAsia" w:ascii="Times New Roman" w:hAnsi="Times New Roman" w:eastAsia="宋体" w:cs="Times New Roman"/>
                <w:sz w:val="21"/>
                <w:szCs w:val="21"/>
                <w:lang w:val="en-US" w:bidi="zh-CN"/>
              </w:rPr>
              <w:t>固废</w:t>
            </w:r>
          </w:p>
        </w:tc>
        <w:tc>
          <w:tcPr>
            <w:tcW w:w="866" w:type="dxa"/>
            <w:vMerge w:val="restart"/>
            <w:noWrap w:val="0"/>
            <w:vAlign w:val="center"/>
          </w:tcPr>
          <w:p w14:paraId="567CC870">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一般工业固体废弃物</w:t>
            </w:r>
          </w:p>
        </w:tc>
        <w:tc>
          <w:tcPr>
            <w:tcW w:w="942" w:type="dxa"/>
            <w:noWrap w:val="0"/>
            <w:vAlign w:val="center"/>
          </w:tcPr>
          <w:p w14:paraId="4645CD3A">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废边角料</w:t>
            </w:r>
          </w:p>
        </w:tc>
        <w:tc>
          <w:tcPr>
            <w:tcW w:w="1263" w:type="dxa"/>
            <w:noWrap w:val="0"/>
            <w:vAlign w:val="center"/>
          </w:tcPr>
          <w:p w14:paraId="0394C2F2">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9000</w:t>
            </w:r>
            <w:r>
              <w:rPr>
                <w:rFonts w:hint="eastAsia" w:ascii="Times New Roman" w:hAnsi="Times New Roman" w:eastAsia="宋体" w:cs="Times New Roman"/>
                <w:color w:val="000000"/>
                <w:sz w:val="21"/>
                <w:szCs w:val="21"/>
              </w:rPr>
              <w:t>t/a</w:t>
            </w:r>
          </w:p>
        </w:tc>
        <w:tc>
          <w:tcPr>
            <w:tcW w:w="1420" w:type="dxa"/>
            <w:noWrap w:val="0"/>
            <w:vAlign w:val="center"/>
          </w:tcPr>
          <w:p w14:paraId="26D8D408">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66B7509A">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作为厂区供热系统燃料使用</w:t>
            </w:r>
          </w:p>
        </w:tc>
        <w:tc>
          <w:tcPr>
            <w:tcW w:w="1935" w:type="dxa"/>
            <w:vMerge w:val="restart"/>
            <w:noWrap w:val="0"/>
            <w:vAlign w:val="center"/>
          </w:tcPr>
          <w:p w14:paraId="3FA7CDF7">
            <w:pPr>
              <w:widowControl w:val="0"/>
              <w:spacing w:before="0" w:after="0" w:line="267" w:lineRule="exact"/>
              <w:ind w:left="160" w:right="138" w:firstLine="0"/>
              <w:jc w:val="center"/>
              <w:rPr>
                <w:rFonts w:hint="eastAsia"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zh-CN" w:eastAsia="zh-CN" w:bidi="zh-CN"/>
              </w:rPr>
              <w:t>暂存场所符合《一般工业固体废物贮存、处置场污染控制标准》（GB18599-2001）</w:t>
            </w:r>
          </w:p>
          <w:p w14:paraId="2510CB76">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zh-CN" w:eastAsia="zh-CN" w:bidi="zh-CN"/>
              </w:rPr>
              <w:t>及其修改单要求</w:t>
            </w:r>
          </w:p>
        </w:tc>
      </w:tr>
      <w:tr w14:paraId="7ABE7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12D796F8">
            <w:pPr>
              <w:widowControl w:val="0"/>
              <w:spacing w:before="0" w:after="0" w:line="240" w:lineRule="auto"/>
              <w:ind w:left="0" w:right="0" w:firstLine="0"/>
              <w:jc w:val="left"/>
              <w:rPr>
                <w:rFonts w:hint="eastAsia" w:ascii="Times New Roman" w:hAnsi="Times New Roman" w:eastAsia="宋体" w:cs="Times New Roman"/>
                <w:sz w:val="21"/>
                <w:szCs w:val="21"/>
                <w:lang w:val="en-US" w:bidi="zh-CN"/>
              </w:rPr>
            </w:pPr>
          </w:p>
        </w:tc>
        <w:tc>
          <w:tcPr>
            <w:tcW w:w="866" w:type="dxa"/>
            <w:vMerge w:val="continue"/>
            <w:noWrap w:val="0"/>
            <w:vAlign w:val="center"/>
          </w:tcPr>
          <w:p w14:paraId="0F20FB2F">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4A2BE61A">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炉渣</w:t>
            </w:r>
          </w:p>
        </w:tc>
        <w:tc>
          <w:tcPr>
            <w:tcW w:w="1263" w:type="dxa"/>
            <w:noWrap w:val="0"/>
            <w:vAlign w:val="center"/>
          </w:tcPr>
          <w:p w14:paraId="7F9DFE66">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1800t/a</w:t>
            </w:r>
          </w:p>
        </w:tc>
        <w:tc>
          <w:tcPr>
            <w:tcW w:w="1420" w:type="dxa"/>
            <w:noWrap w:val="0"/>
            <w:vAlign w:val="center"/>
          </w:tcPr>
          <w:p w14:paraId="39E7C494">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vMerge w:val="restart"/>
            <w:noWrap w:val="0"/>
            <w:vAlign w:val="center"/>
          </w:tcPr>
          <w:p w14:paraId="5F3B3687">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eastAsia="zh-CN"/>
              </w:rPr>
              <w:t>由附近村民定期清运用于周边农田施肥</w:t>
            </w:r>
          </w:p>
        </w:tc>
        <w:tc>
          <w:tcPr>
            <w:tcW w:w="1935" w:type="dxa"/>
            <w:vMerge w:val="continue"/>
            <w:noWrap w:val="0"/>
            <w:vAlign w:val="center"/>
          </w:tcPr>
          <w:p w14:paraId="09A92738">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65F23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2AA428B2">
            <w:pPr>
              <w:widowControl w:val="0"/>
              <w:spacing w:before="0" w:after="0" w:line="240" w:lineRule="auto"/>
              <w:ind w:left="0" w:right="0" w:firstLine="0"/>
              <w:jc w:val="left"/>
              <w:rPr>
                <w:rFonts w:hint="eastAsia" w:ascii="Times New Roman" w:hAnsi="Times New Roman" w:eastAsia="宋体" w:cs="Times New Roman"/>
                <w:sz w:val="21"/>
                <w:szCs w:val="21"/>
                <w:lang w:val="en-US" w:bidi="zh-CN"/>
              </w:rPr>
            </w:pPr>
          </w:p>
        </w:tc>
        <w:tc>
          <w:tcPr>
            <w:tcW w:w="866" w:type="dxa"/>
            <w:vMerge w:val="continue"/>
            <w:noWrap w:val="0"/>
            <w:vAlign w:val="center"/>
          </w:tcPr>
          <w:p w14:paraId="608E3C84">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69DCB9DD">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沉淀渣</w:t>
            </w:r>
          </w:p>
        </w:tc>
        <w:tc>
          <w:tcPr>
            <w:tcW w:w="1263" w:type="dxa"/>
            <w:noWrap w:val="0"/>
            <w:vAlign w:val="center"/>
          </w:tcPr>
          <w:p w14:paraId="34723BC3">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76.1t/a</w:t>
            </w:r>
          </w:p>
        </w:tc>
        <w:tc>
          <w:tcPr>
            <w:tcW w:w="1420" w:type="dxa"/>
            <w:noWrap w:val="0"/>
            <w:vAlign w:val="center"/>
          </w:tcPr>
          <w:p w14:paraId="53E60BE7">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vMerge w:val="continue"/>
            <w:noWrap w:val="0"/>
            <w:vAlign w:val="center"/>
          </w:tcPr>
          <w:p w14:paraId="2709AA8E">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c>
          <w:tcPr>
            <w:tcW w:w="1935" w:type="dxa"/>
            <w:vMerge w:val="continue"/>
            <w:noWrap w:val="0"/>
            <w:vAlign w:val="center"/>
          </w:tcPr>
          <w:p w14:paraId="25F5E7B7">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5E07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7602D3C7">
            <w:pPr>
              <w:widowControl w:val="0"/>
              <w:spacing w:before="0" w:after="0" w:line="240" w:lineRule="auto"/>
              <w:ind w:left="0" w:right="0" w:firstLine="0"/>
              <w:jc w:val="left"/>
              <w:rPr>
                <w:rFonts w:hint="eastAsia" w:ascii="Times New Roman" w:hAnsi="Times New Roman" w:eastAsia="宋体" w:cs="Times New Roman"/>
                <w:sz w:val="21"/>
                <w:szCs w:val="21"/>
                <w:lang w:val="en-US" w:bidi="zh-CN"/>
              </w:rPr>
            </w:pPr>
          </w:p>
        </w:tc>
        <w:tc>
          <w:tcPr>
            <w:tcW w:w="866" w:type="dxa"/>
            <w:vMerge w:val="continue"/>
            <w:noWrap w:val="0"/>
            <w:vAlign w:val="center"/>
          </w:tcPr>
          <w:p w14:paraId="7C50D110">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738A9C39">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回收粉尘</w:t>
            </w:r>
          </w:p>
        </w:tc>
        <w:tc>
          <w:tcPr>
            <w:tcW w:w="1263" w:type="dxa"/>
            <w:noWrap w:val="0"/>
            <w:vAlign w:val="center"/>
          </w:tcPr>
          <w:p w14:paraId="25D25099">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2511.935</w:t>
            </w:r>
            <w:r>
              <w:rPr>
                <w:rFonts w:hint="eastAsia" w:ascii="Times New Roman" w:hAnsi="Times New Roman" w:eastAsia="宋体" w:cs="Times New Roman"/>
                <w:color w:val="000000"/>
                <w:sz w:val="21"/>
                <w:szCs w:val="21"/>
              </w:rPr>
              <w:t>t/a</w:t>
            </w:r>
          </w:p>
        </w:tc>
        <w:tc>
          <w:tcPr>
            <w:tcW w:w="1420" w:type="dxa"/>
            <w:noWrap w:val="0"/>
            <w:vAlign w:val="center"/>
          </w:tcPr>
          <w:p w14:paraId="198B2550">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0ED2B4B0">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作为生物质燃料的原料外售</w:t>
            </w:r>
          </w:p>
        </w:tc>
        <w:tc>
          <w:tcPr>
            <w:tcW w:w="1935" w:type="dxa"/>
            <w:vMerge w:val="continue"/>
            <w:noWrap w:val="0"/>
            <w:vAlign w:val="center"/>
          </w:tcPr>
          <w:p w14:paraId="066290B2">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4A477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023C0AD2">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restart"/>
            <w:noWrap w:val="0"/>
            <w:vAlign w:val="center"/>
          </w:tcPr>
          <w:p w14:paraId="7933A43D">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危险废物</w:t>
            </w:r>
          </w:p>
        </w:tc>
        <w:tc>
          <w:tcPr>
            <w:tcW w:w="942" w:type="dxa"/>
            <w:noWrap w:val="0"/>
            <w:vAlign w:val="center"/>
          </w:tcPr>
          <w:p w14:paraId="32B31B88">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制胶生产废包装材料</w:t>
            </w:r>
          </w:p>
        </w:tc>
        <w:tc>
          <w:tcPr>
            <w:tcW w:w="1263" w:type="dxa"/>
            <w:noWrap w:val="0"/>
            <w:vAlign w:val="center"/>
          </w:tcPr>
          <w:p w14:paraId="096FA46C">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0.</w:t>
            </w:r>
            <w:r>
              <w:rPr>
                <w:rFonts w:hint="eastAsia" w:ascii="Times New Roman" w:hAnsi="Times New Roman" w:eastAsia="宋体" w:cs="Times New Roman"/>
                <w:color w:val="000000"/>
                <w:sz w:val="21"/>
                <w:szCs w:val="21"/>
                <w:lang w:val="en-US" w:eastAsia="zh-CN"/>
              </w:rPr>
              <w:t>5</w:t>
            </w:r>
            <w:r>
              <w:rPr>
                <w:rFonts w:hint="eastAsia" w:ascii="Times New Roman" w:hAnsi="Times New Roman" w:eastAsia="宋体" w:cs="Times New Roman"/>
                <w:color w:val="000000"/>
                <w:sz w:val="21"/>
                <w:szCs w:val="21"/>
              </w:rPr>
              <w:t>t/a</w:t>
            </w:r>
          </w:p>
        </w:tc>
        <w:tc>
          <w:tcPr>
            <w:tcW w:w="1420" w:type="dxa"/>
            <w:noWrap w:val="0"/>
            <w:vAlign w:val="center"/>
          </w:tcPr>
          <w:p w14:paraId="0B20A5C3">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50CF0016">
            <w:pPr>
              <w:widowControl w:val="0"/>
              <w:spacing w:line="240" w:lineRule="auto"/>
              <w:ind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color w:val="000000"/>
                <w:sz w:val="21"/>
                <w:szCs w:val="21"/>
                <w:lang w:val="en-US" w:eastAsia="zh-CN" w:bidi="ar"/>
              </w:rPr>
              <w:t>交</w:t>
            </w:r>
            <w:r>
              <w:rPr>
                <w:rFonts w:hint="eastAsia" w:ascii="Times New Roman" w:hAnsi="Times New Roman" w:eastAsia="宋体" w:cs="Times New Roman"/>
                <w:color w:val="000000"/>
                <w:sz w:val="21"/>
                <w:szCs w:val="21"/>
                <w:lang w:val="en-US" w:eastAsia="zh-CN" w:bidi="ar"/>
              </w:rPr>
              <w:t>有</w:t>
            </w:r>
            <w:r>
              <w:rPr>
                <w:rFonts w:ascii="Times New Roman" w:hAnsi="Times New Roman" w:eastAsia="宋体" w:cs="Times New Roman"/>
                <w:color w:val="000000"/>
                <w:sz w:val="21"/>
                <w:szCs w:val="21"/>
                <w:lang w:val="en-US" w:eastAsia="zh-CN" w:bidi="ar"/>
              </w:rPr>
              <w:t>资质单位进行回收处置</w:t>
            </w:r>
          </w:p>
        </w:tc>
        <w:tc>
          <w:tcPr>
            <w:tcW w:w="1935" w:type="dxa"/>
            <w:vMerge w:val="restart"/>
            <w:noWrap w:val="0"/>
            <w:vAlign w:val="center"/>
          </w:tcPr>
          <w:p w14:paraId="150188E1">
            <w:pPr>
              <w:widowControl w:val="0"/>
              <w:spacing w:before="0" w:after="0" w:line="267" w:lineRule="exact"/>
              <w:ind w:left="160" w:right="138" w:firstLine="0"/>
              <w:jc w:val="center"/>
              <w:rPr>
                <w:rFonts w:hint="eastAsia"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zh-CN" w:eastAsia="zh-CN" w:bidi="zh-CN"/>
              </w:rPr>
              <w:t>暂存场所《危险废物贮存污染控制标准》</w:t>
            </w:r>
          </w:p>
          <w:p w14:paraId="0182A6D6">
            <w:pPr>
              <w:widowControl w:val="0"/>
              <w:spacing w:before="0" w:after="0" w:line="267" w:lineRule="exact"/>
              <w:ind w:left="0" w:right="138" w:firstLine="0"/>
              <w:jc w:val="both"/>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zh-CN" w:eastAsia="zh-CN" w:bidi="zh-CN"/>
              </w:rPr>
              <w:t>（GB18597-2001）及其修改单的要求</w:t>
            </w:r>
          </w:p>
        </w:tc>
      </w:tr>
      <w:tr w14:paraId="0266B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03114992">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0BE716F9">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523ADD7F">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废活性炭</w:t>
            </w:r>
          </w:p>
        </w:tc>
        <w:tc>
          <w:tcPr>
            <w:tcW w:w="1263" w:type="dxa"/>
            <w:noWrap w:val="0"/>
            <w:vAlign w:val="center"/>
          </w:tcPr>
          <w:p w14:paraId="6CFC9463">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0.4t/a</w:t>
            </w:r>
          </w:p>
        </w:tc>
        <w:tc>
          <w:tcPr>
            <w:tcW w:w="1420" w:type="dxa"/>
            <w:noWrap w:val="0"/>
            <w:vAlign w:val="center"/>
          </w:tcPr>
          <w:p w14:paraId="42A2232B">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71E48709">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宋体" w:hAnsi="宋体" w:eastAsia="宋体" w:cs="Times New Roman"/>
                <w:color w:val="000000"/>
                <w:sz w:val="21"/>
                <w:szCs w:val="21"/>
                <w:lang w:val="en-US" w:eastAsia="zh-CN"/>
              </w:rPr>
              <w:t>定期更换，</w:t>
            </w:r>
            <w:r>
              <w:rPr>
                <w:rFonts w:ascii="Times New Roman" w:hAnsi="Times New Roman" w:eastAsia="宋体" w:cs="Times New Roman"/>
                <w:color w:val="000000"/>
                <w:sz w:val="21"/>
                <w:szCs w:val="21"/>
                <w:lang w:val="en-US" w:eastAsia="zh-CN" w:bidi="ar"/>
              </w:rPr>
              <w:t>交</w:t>
            </w:r>
            <w:r>
              <w:rPr>
                <w:rFonts w:hint="eastAsia" w:ascii="Times New Roman" w:hAnsi="Times New Roman" w:eastAsia="宋体" w:cs="Times New Roman"/>
                <w:color w:val="000000"/>
                <w:sz w:val="21"/>
                <w:szCs w:val="21"/>
                <w:lang w:val="en-US" w:eastAsia="zh-CN" w:bidi="ar"/>
              </w:rPr>
              <w:t>有</w:t>
            </w:r>
            <w:r>
              <w:rPr>
                <w:rFonts w:ascii="Times New Roman" w:hAnsi="Times New Roman" w:eastAsia="宋体" w:cs="Times New Roman"/>
                <w:color w:val="000000"/>
                <w:sz w:val="21"/>
                <w:szCs w:val="21"/>
                <w:lang w:val="en-US" w:eastAsia="zh-CN" w:bidi="ar"/>
              </w:rPr>
              <w:t>资质单位进行回收处置</w:t>
            </w:r>
          </w:p>
        </w:tc>
        <w:tc>
          <w:tcPr>
            <w:tcW w:w="1935" w:type="dxa"/>
            <w:vMerge w:val="continue"/>
            <w:noWrap w:val="0"/>
            <w:vAlign w:val="center"/>
          </w:tcPr>
          <w:p w14:paraId="6456CED2">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24BF1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38798540">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10EE34F6">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35C1DBFD">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废灯管</w:t>
            </w:r>
          </w:p>
        </w:tc>
        <w:tc>
          <w:tcPr>
            <w:tcW w:w="1263" w:type="dxa"/>
            <w:noWrap w:val="0"/>
            <w:vAlign w:val="center"/>
          </w:tcPr>
          <w:p w14:paraId="4F8E9724">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0.048t/次</w:t>
            </w:r>
          </w:p>
        </w:tc>
        <w:tc>
          <w:tcPr>
            <w:tcW w:w="1420" w:type="dxa"/>
            <w:noWrap w:val="0"/>
            <w:vAlign w:val="center"/>
          </w:tcPr>
          <w:p w14:paraId="1A5DE3D7">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28F4DED8">
            <w:pPr>
              <w:widowControl w:val="0"/>
              <w:spacing w:line="240" w:lineRule="auto"/>
              <w:ind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color w:val="000000"/>
                <w:sz w:val="21"/>
                <w:szCs w:val="21"/>
              </w:rPr>
              <w:t>交有资质的单位</w:t>
            </w:r>
            <w:r>
              <w:rPr>
                <w:rFonts w:hint="eastAsia" w:ascii="Times New Roman" w:hAnsi="Times New Roman" w:eastAsia="宋体" w:cs="Times New Roman"/>
                <w:color w:val="000000"/>
                <w:sz w:val="21"/>
                <w:szCs w:val="21"/>
                <w:lang w:val="en-US" w:eastAsia="zh-CN"/>
              </w:rPr>
              <w:t>进行更换回收</w:t>
            </w:r>
            <w:r>
              <w:rPr>
                <w:rFonts w:ascii="Times New Roman" w:hAnsi="Times New Roman" w:eastAsia="宋体" w:cs="Times New Roman"/>
                <w:color w:val="000000"/>
                <w:sz w:val="21"/>
                <w:szCs w:val="21"/>
              </w:rPr>
              <w:t>处置</w:t>
            </w:r>
          </w:p>
        </w:tc>
        <w:tc>
          <w:tcPr>
            <w:tcW w:w="1935" w:type="dxa"/>
            <w:vMerge w:val="continue"/>
            <w:noWrap w:val="0"/>
            <w:vAlign w:val="center"/>
          </w:tcPr>
          <w:p w14:paraId="377743BD">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4F430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53333140">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392CBFC0">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7D6BBE28">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废导热油</w:t>
            </w:r>
          </w:p>
        </w:tc>
        <w:tc>
          <w:tcPr>
            <w:tcW w:w="1263" w:type="dxa"/>
            <w:noWrap w:val="0"/>
            <w:vAlign w:val="center"/>
          </w:tcPr>
          <w:p w14:paraId="55E2DA07">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15t/a</w:t>
            </w:r>
          </w:p>
        </w:tc>
        <w:tc>
          <w:tcPr>
            <w:tcW w:w="1420" w:type="dxa"/>
            <w:noWrap w:val="0"/>
            <w:vAlign w:val="center"/>
          </w:tcPr>
          <w:p w14:paraId="0EAD718A">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345E4F82">
            <w:pPr>
              <w:widowControl w:val="0"/>
              <w:spacing w:line="240" w:lineRule="auto"/>
              <w:ind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color w:val="000000"/>
                <w:sz w:val="21"/>
                <w:szCs w:val="21"/>
              </w:rPr>
              <w:t>由厂家负责定期更换并返回生产厂家</w:t>
            </w:r>
          </w:p>
        </w:tc>
        <w:tc>
          <w:tcPr>
            <w:tcW w:w="1935" w:type="dxa"/>
            <w:vMerge w:val="continue"/>
            <w:noWrap w:val="0"/>
            <w:vAlign w:val="center"/>
          </w:tcPr>
          <w:p w14:paraId="39F4FA10">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5BBB0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27E727FD">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40F6DE62">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11D7F854">
            <w:pPr>
              <w:pStyle w:val="2"/>
              <w:ind w:firstLine="0"/>
              <w:jc w:val="center"/>
              <w:rPr>
                <w:rFonts w:ascii="Times New Roman" w:hAnsi="Times New Roman" w:eastAsia="宋体" w:cs="Times New Roman"/>
                <w:sz w:val="21"/>
                <w:szCs w:val="21"/>
                <w:lang w:val="en-US" w:eastAsia="zh-CN" w:bidi="zh-CN"/>
              </w:rPr>
            </w:pPr>
            <w:r>
              <w:rPr>
                <w:rFonts w:hint="eastAsia"/>
                <w:color w:val="000000"/>
                <w:sz w:val="21"/>
                <w:szCs w:val="21"/>
              </w:rPr>
              <w:t>废离子树脂</w:t>
            </w:r>
          </w:p>
        </w:tc>
        <w:tc>
          <w:tcPr>
            <w:tcW w:w="1263" w:type="dxa"/>
            <w:noWrap w:val="0"/>
            <w:vAlign w:val="center"/>
          </w:tcPr>
          <w:p w14:paraId="0E6FAF8A">
            <w:pPr>
              <w:pStyle w:val="2"/>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0.1t/a</w:t>
            </w:r>
          </w:p>
        </w:tc>
        <w:tc>
          <w:tcPr>
            <w:tcW w:w="1420" w:type="dxa"/>
            <w:noWrap w:val="0"/>
            <w:vAlign w:val="center"/>
          </w:tcPr>
          <w:p w14:paraId="76575160">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78CB5B29">
            <w:pPr>
              <w:widowControl w:val="0"/>
              <w:spacing w:line="240" w:lineRule="auto"/>
              <w:ind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color w:val="000000"/>
                <w:sz w:val="21"/>
                <w:szCs w:val="21"/>
              </w:rPr>
              <w:t>交由具有危废处置资质的单位处置</w:t>
            </w:r>
          </w:p>
        </w:tc>
        <w:tc>
          <w:tcPr>
            <w:tcW w:w="1935" w:type="dxa"/>
            <w:vMerge w:val="continue"/>
            <w:noWrap w:val="0"/>
            <w:vAlign w:val="center"/>
          </w:tcPr>
          <w:p w14:paraId="124D0CB2">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2D72C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48140F46">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6D680A3E">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3C79597B">
            <w:pPr>
              <w:pStyle w:val="2"/>
              <w:ind w:firstLine="0"/>
              <w:jc w:val="center"/>
              <w:rPr>
                <w:rFonts w:ascii="Times New Roman" w:hAnsi="Times New Roman" w:eastAsia="宋体" w:cs="Times New Roman"/>
                <w:sz w:val="21"/>
                <w:szCs w:val="21"/>
                <w:lang w:val="en-US" w:eastAsia="zh-CN" w:bidi="zh-CN"/>
              </w:rPr>
            </w:pPr>
            <w:r>
              <w:rPr>
                <w:rFonts w:hint="eastAsia"/>
                <w:color w:val="000000"/>
                <w:sz w:val="21"/>
                <w:szCs w:val="21"/>
                <w:lang w:val="en-US" w:eastAsia="zh-CN"/>
              </w:rPr>
              <w:t>废机油</w:t>
            </w:r>
          </w:p>
        </w:tc>
        <w:tc>
          <w:tcPr>
            <w:tcW w:w="1263" w:type="dxa"/>
            <w:noWrap w:val="0"/>
            <w:vAlign w:val="center"/>
          </w:tcPr>
          <w:p w14:paraId="18DFE584">
            <w:pPr>
              <w:pStyle w:val="2"/>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0.5t/a</w:t>
            </w:r>
          </w:p>
        </w:tc>
        <w:tc>
          <w:tcPr>
            <w:tcW w:w="1420" w:type="dxa"/>
            <w:noWrap w:val="0"/>
            <w:vAlign w:val="center"/>
          </w:tcPr>
          <w:p w14:paraId="66B110A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6C410307">
            <w:pPr>
              <w:widowControl w:val="0"/>
              <w:spacing w:line="240" w:lineRule="auto"/>
              <w:ind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color w:val="000000"/>
                <w:sz w:val="21"/>
                <w:szCs w:val="21"/>
                <w:lang w:val="en-US" w:eastAsia="zh-CN" w:bidi="ar"/>
              </w:rPr>
              <w:t>交</w:t>
            </w:r>
            <w:r>
              <w:rPr>
                <w:rFonts w:hint="eastAsia" w:ascii="Times New Roman" w:hAnsi="Times New Roman" w:eastAsia="宋体" w:cs="Times New Roman"/>
                <w:color w:val="000000"/>
                <w:sz w:val="21"/>
                <w:szCs w:val="21"/>
                <w:lang w:val="en-US" w:eastAsia="zh-CN" w:bidi="ar"/>
              </w:rPr>
              <w:t>有</w:t>
            </w:r>
            <w:r>
              <w:rPr>
                <w:rFonts w:ascii="Times New Roman" w:hAnsi="Times New Roman" w:eastAsia="宋体" w:cs="Times New Roman"/>
                <w:color w:val="000000"/>
                <w:sz w:val="21"/>
                <w:szCs w:val="21"/>
                <w:lang w:val="en-US" w:eastAsia="zh-CN" w:bidi="ar"/>
              </w:rPr>
              <w:t>资质单位进行回收处置</w:t>
            </w:r>
          </w:p>
        </w:tc>
        <w:tc>
          <w:tcPr>
            <w:tcW w:w="1935" w:type="dxa"/>
            <w:vMerge w:val="continue"/>
            <w:noWrap w:val="0"/>
            <w:vAlign w:val="center"/>
          </w:tcPr>
          <w:p w14:paraId="5EA4A81F">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3A4B1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0996B06A">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3411FD2A">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002A9D53">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含油废抹布</w:t>
            </w:r>
          </w:p>
        </w:tc>
        <w:tc>
          <w:tcPr>
            <w:tcW w:w="1263" w:type="dxa"/>
            <w:noWrap w:val="0"/>
            <w:vAlign w:val="center"/>
          </w:tcPr>
          <w:p w14:paraId="5CC6C4CB">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0.1t/a</w:t>
            </w:r>
          </w:p>
        </w:tc>
        <w:tc>
          <w:tcPr>
            <w:tcW w:w="1420" w:type="dxa"/>
            <w:noWrap w:val="0"/>
            <w:vAlign w:val="center"/>
          </w:tcPr>
          <w:p w14:paraId="3F54BD1B">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1E0D571D">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混入生活垃圾</w:t>
            </w:r>
          </w:p>
        </w:tc>
        <w:tc>
          <w:tcPr>
            <w:tcW w:w="1935" w:type="dxa"/>
            <w:vMerge w:val="restart"/>
            <w:noWrap w:val="0"/>
            <w:vAlign w:val="center"/>
          </w:tcPr>
          <w:p w14:paraId="1B295AB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妥善处置，处置率100%</w:t>
            </w:r>
          </w:p>
        </w:tc>
      </w:tr>
      <w:tr w14:paraId="64674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78360EA1">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restart"/>
            <w:noWrap w:val="0"/>
            <w:vAlign w:val="center"/>
          </w:tcPr>
          <w:p w14:paraId="61BC068E">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生活垃圾</w:t>
            </w:r>
          </w:p>
        </w:tc>
        <w:tc>
          <w:tcPr>
            <w:tcW w:w="942" w:type="dxa"/>
            <w:noWrap w:val="0"/>
            <w:vAlign w:val="center"/>
          </w:tcPr>
          <w:p w14:paraId="600905FB">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生活垃圾</w:t>
            </w:r>
          </w:p>
        </w:tc>
        <w:tc>
          <w:tcPr>
            <w:tcW w:w="1263" w:type="dxa"/>
            <w:noWrap w:val="0"/>
            <w:vAlign w:val="center"/>
          </w:tcPr>
          <w:p w14:paraId="19D78765">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24</w:t>
            </w:r>
            <w:r>
              <w:rPr>
                <w:rFonts w:hint="eastAsia" w:ascii="Times New Roman" w:hAnsi="Times New Roman" w:eastAsia="宋体" w:cs="Times New Roman"/>
                <w:color w:val="000000"/>
                <w:sz w:val="21"/>
                <w:szCs w:val="21"/>
              </w:rPr>
              <w:t>t/a</w:t>
            </w:r>
          </w:p>
        </w:tc>
        <w:tc>
          <w:tcPr>
            <w:tcW w:w="1420" w:type="dxa"/>
            <w:noWrap w:val="0"/>
            <w:vAlign w:val="center"/>
          </w:tcPr>
          <w:p w14:paraId="77820495">
            <w:pPr>
              <w:widowControl w:val="0"/>
              <w:spacing w:before="0" w:after="0" w:line="267" w:lineRule="exact"/>
              <w:ind w:left="160" w:right="138" w:firstLine="0"/>
              <w:jc w:val="center"/>
              <w:rPr>
                <w:rFonts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293F85F5">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由当地环卫部门定期清运集中处置</w:t>
            </w:r>
          </w:p>
        </w:tc>
        <w:tc>
          <w:tcPr>
            <w:tcW w:w="1935" w:type="dxa"/>
            <w:vMerge w:val="continue"/>
            <w:noWrap w:val="0"/>
            <w:vAlign w:val="center"/>
          </w:tcPr>
          <w:p w14:paraId="11A89A3E">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0DE4D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694B37A1">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2196FF53">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79B69391">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食堂泔水</w:t>
            </w:r>
          </w:p>
        </w:tc>
        <w:tc>
          <w:tcPr>
            <w:tcW w:w="1263" w:type="dxa"/>
            <w:noWrap w:val="0"/>
            <w:vAlign w:val="center"/>
          </w:tcPr>
          <w:p w14:paraId="196013D9">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少量</w:t>
            </w:r>
          </w:p>
        </w:tc>
        <w:tc>
          <w:tcPr>
            <w:tcW w:w="1420" w:type="dxa"/>
            <w:noWrap w:val="0"/>
            <w:vAlign w:val="center"/>
          </w:tcPr>
          <w:p w14:paraId="203D4451">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6AE14F31">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eastAsia="zh-CN"/>
              </w:rPr>
              <w:t>按照当地相关政府部门管理要求进行处置</w:t>
            </w:r>
          </w:p>
        </w:tc>
        <w:tc>
          <w:tcPr>
            <w:tcW w:w="1935" w:type="dxa"/>
            <w:vMerge w:val="continue"/>
            <w:noWrap w:val="0"/>
            <w:vAlign w:val="center"/>
          </w:tcPr>
          <w:p w14:paraId="37F34C16">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3BA99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55CB0BB6">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3C7EA24A">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3BA9A212">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lang w:val="en-US" w:eastAsia="zh-CN"/>
              </w:rPr>
              <w:t>化粪池</w:t>
            </w:r>
            <w:r>
              <w:rPr>
                <w:rFonts w:hint="eastAsia" w:ascii="Times New Roman" w:hAnsi="Times New Roman" w:eastAsia="宋体" w:cs="Times New Roman"/>
                <w:color w:val="000000"/>
                <w:sz w:val="21"/>
                <w:szCs w:val="21"/>
              </w:rPr>
              <w:t>污泥</w:t>
            </w:r>
          </w:p>
        </w:tc>
        <w:tc>
          <w:tcPr>
            <w:tcW w:w="1263" w:type="dxa"/>
            <w:noWrap w:val="0"/>
            <w:vAlign w:val="center"/>
          </w:tcPr>
          <w:p w14:paraId="73B02EA3">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少量</w:t>
            </w:r>
          </w:p>
        </w:tc>
        <w:tc>
          <w:tcPr>
            <w:tcW w:w="1420" w:type="dxa"/>
            <w:noWrap w:val="0"/>
            <w:vAlign w:val="center"/>
          </w:tcPr>
          <w:p w14:paraId="54FB010C">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715A812B">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由附近村民定期清运作为农家肥使用</w:t>
            </w:r>
          </w:p>
        </w:tc>
        <w:tc>
          <w:tcPr>
            <w:tcW w:w="1935" w:type="dxa"/>
            <w:vMerge w:val="continue"/>
            <w:noWrap w:val="0"/>
            <w:vAlign w:val="center"/>
          </w:tcPr>
          <w:p w14:paraId="0791E582">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r w14:paraId="1507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21" w:hRule="atLeast"/>
          <w:jc w:val="center"/>
        </w:trPr>
        <w:tc>
          <w:tcPr>
            <w:tcW w:w="781" w:type="dxa"/>
            <w:vMerge w:val="continue"/>
            <w:noWrap w:val="0"/>
            <w:vAlign w:val="top"/>
          </w:tcPr>
          <w:p w14:paraId="5E86C4B7">
            <w:pPr>
              <w:widowControl w:val="0"/>
              <w:spacing w:before="0" w:after="0" w:line="240" w:lineRule="auto"/>
              <w:ind w:left="0" w:right="0" w:firstLine="0"/>
              <w:jc w:val="left"/>
              <w:rPr>
                <w:rFonts w:ascii="Times New Roman" w:hAnsi="Times New Roman" w:eastAsia="宋体" w:cs="Times New Roman"/>
                <w:sz w:val="21"/>
                <w:szCs w:val="21"/>
                <w:lang w:val="zh-CN" w:bidi="zh-CN"/>
              </w:rPr>
            </w:pPr>
          </w:p>
        </w:tc>
        <w:tc>
          <w:tcPr>
            <w:tcW w:w="866" w:type="dxa"/>
            <w:vMerge w:val="continue"/>
            <w:noWrap w:val="0"/>
            <w:vAlign w:val="center"/>
          </w:tcPr>
          <w:p w14:paraId="43463DB8">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p>
        </w:tc>
        <w:tc>
          <w:tcPr>
            <w:tcW w:w="942" w:type="dxa"/>
            <w:noWrap w:val="0"/>
            <w:vAlign w:val="center"/>
          </w:tcPr>
          <w:p w14:paraId="584DE506">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废油脂</w:t>
            </w:r>
          </w:p>
        </w:tc>
        <w:tc>
          <w:tcPr>
            <w:tcW w:w="1263" w:type="dxa"/>
            <w:noWrap w:val="0"/>
            <w:vAlign w:val="center"/>
          </w:tcPr>
          <w:p w14:paraId="730BF2FB">
            <w:pPr>
              <w:widowControl w:val="0"/>
              <w:spacing w:before="40" w:after="40" w:line="240" w:lineRule="auto"/>
              <w:ind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color w:val="000000"/>
                <w:sz w:val="21"/>
                <w:szCs w:val="21"/>
              </w:rPr>
              <w:t>少量</w:t>
            </w:r>
          </w:p>
        </w:tc>
        <w:tc>
          <w:tcPr>
            <w:tcW w:w="1420" w:type="dxa"/>
            <w:noWrap w:val="0"/>
            <w:vAlign w:val="center"/>
          </w:tcPr>
          <w:p w14:paraId="189D002E">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745" w:type="dxa"/>
            <w:noWrap w:val="0"/>
            <w:vAlign w:val="center"/>
          </w:tcPr>
          <w:p w14:paraId="03BF2F69">
            <w:pPr>
              <w:widowControl w:val="0"/>
              <w:spacing w:line="240" w:lineRule="auto"/>
              <w:ind w:firstLine="0"/>
              <w:jc w:val="center"/>
              <w:rPr>
                <w:rFonts w:ascii="Times New Roman" w:hAnsi="Times New Roman" w:eastAsia="宋体" w:cs="Times New Roman"/>
                <w:sz w:val="21"/>
                <w:szCs w:val="21"/>
                <w:lang w:val="en-US" w:eastAsia="zh-CN" w:bidi="zh-CN"/>
              </w:rPr>
            </w:pPr>
            <w:r>
              <w:rPr>
                <w:rFonts w:hint="eastAsia" w:ascii="宋体" w:hAnsi="宋体" w:eastAsia="宋体" w:cs="Times New Roman"/>
                <w:color w:val="000000"/>
                <w:sz w:val="21"/>
                <w:szCs w:val="21"/>
              </w:rPr>
              <w:t>委托专业的单位清淘处置</w:t>
            </w:r>
          </w:p>
        </w:tc>
        <w:tc>
          <w:tcPr>
            <w:tcW w:w="1935" w:type="dxa"/>
            <w:vMerge w:val="continue"/>
            <w:noWrap w:val="0"/>
            <w:vAlign w:val="center"/>
          </w:tcPr>
          <w:p w14:paraId="64B696F3">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p>
        </w:tc>
      </w:tr>
    </w:tbl>
    <w:p w14:paraId="479FEF74">
      <w:pPr>
        <w:widowControl w:val="0"/>
        <w:spacing w:before="1" w:after="0" w:line="240" w:lineRule="auto"/>
        <w:ind w:left="0" w:right="0" w:firstLine="0"/>
        <w:jc w:val="left"/>
        <w:rPr>
          <w:rFonts w:ascii="Times New Roman" w:hAnsi="宋体" w:eastAsia="宋体" w:cs="宋体"/>
          <w:sz w:val="3"/>
          <w:szCs w:val="24"/>
          <w:lang w:val="zh-CN" w:eastAsia="zh-CN" w:bidi="zh-CN"/>
        </w:rPr>
      </w:pPr>
    </w:p>
    <w:p w14:paraId="6E53E250">
      <w:pPr>
        <w:ind w:firstLine="0"/>
        <w:contextualSpacing/>
        <w:outlineLvl w:val="2"/>
        <w:rPr>
          <w:rFonts w:hint="eastAsia" w:eastAsia="黑体"/>
          <w:sz w:val="28"/>
          <w:szCs w:val="28"/>
          <w:lang w:val="zh-CN" w:eastAsia="zh-CN"/>
        </w:rPr>
      </w:pPr>
      <w:r>
        <w:rPr>
          <w:rFonts w:hint="eastAsia" w:eastAsia="黑体"/>
          <w:sz w:val="28"/>
          <w:szCs w:val="28"/>
          <w:lang w:val="en-US" w:eastAsia="zh-CN"/>
        </w:rPr>
        <w:t>11.2.2</w:t>
      </w:r>
      <w:r>
        <w:rPr>
          <w:rFonts w:hint="eastAsia" w:eastAsia="黑体"/>
          <w:sz w:val="28"/>
          <w:szCs w:val="28"/>
          <w:lang w:val="zh-CN" w:eastAsia="zh-CN"/>
        </w:rPr>
        <w:t>环境管理要求</w:t>
      </w:r>
    </w:p>
    <w:p w14:paraId="26B4DE9D">
      <w:pPr>
        <w:ind w:firstLine="480"/>
        <w:rPr>
          <w:rFonts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1</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工程组成及原辅材料组分要求</w:t>
      </w:r>
    </w:p>
    <w:p w14:paraId="156955B8">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项目组成包括主体工程、公用及辅助工程、环保工程，环保工程必须与主体工程同时设计、同时施工、同时投入使用，环保设施应严格按照本评价及相关环保要求进行设计和建设。</w:t>
      </w:r>
    </w:p>
    <w:p w14:paraId="29C6FAA2">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挥发性有机物流经以下设备与管线组件时，应进行泄漏检测与控制：泵、压缩机、阀门、开口阀或开口管线、法兰及其他连接件、泄压设备、取样连接系统、其他密封设备。其中泵、压缩机、阀门、开口阀或开口管线、气体/蒸汽泄压设备、取样连接系统每</w:t>
      </w:r>
      <w:r>
        <w:rPr>
          <w:rFonts w:hint="eastAsia" w:ascii="Times New Roman" w:hAnsi="Times New Roman" w:eastAsia="宋体" w:cs="Times New Roman"/>
          <w:szCs w:val="22"/>
          <w:lang w:val="en-US" w:eastAsia="zh-CN"/>
        </w:rPr>
        <w:t>3</w:t>
      </w:r>
      <w:r>
        <w:rPr>
          <w:rFonts w:ascii="Times New Roman" w:hAnsi="Times New Roman" w:eastAsia="宋体" w:cs="Times New Roman"/>
          <w:szCs w:val="22"/>
          <w:lang w:val="zh-CN" w:eastAsia="zh-CN"/>
        </w:rPr>
        <w:t>个月检测一次。法兰及其他连接件、其他密封设备每</w:t>
      </w:r>
      <w:r>
        <w:rPr>
          <w:rFonts w:hint="eastAsia" w:ascii="Times New Roman" w:hAnsi="Times New Roman" w:eastAsia="宋体" w:cs="Times New Roman"/>
          <w:szCs w:val="22"/>
          <w:lang w:val="en-US" w:eastAsia="zh-CN"/>
        </w:rPr>
        <w:t>6</w:t>
      </w:r>
      <w:r>
        <w:rPr>
          <w:rFonts w:ascii="Times New Roman" w:hAnsi="Times New Roman" w:eastAsia="宋体" w:cs="Times New Roman"/>
          <w:szCs w:val="22"/>
          <w:lang w:val="zh-CN" w:eastAsia="zh-CN"/>
        </w:rPr>
        <w:t>个月检测一次。对于挥发性有机物流经的初次开工开始运转的设备和管线组件，应在开工后</w:t>
      </w:r>
      <w:r>
        <w:rPr>
          <w:rFonts w:hint="eastAsia" w:ascii="Times New Roman" w:hAnsi="Times New Roman" w:eastAsia="宋体" w:cs="Times New Roman"/>
          <w:szCs w:val="22"/>
          <w:lang w:val="en-US" w:eastAsia="zh-CN"/>
        </w:rPr>
        <w:t>30</w:t>
      </w:r>
      <w:r>
        <w:rPr>
          <w:rFonts w:ascii="Times New Roman" w:hAnsi="Times New Roman" w:eastAsia="宋体" w:cs="Times New Roman"/>
          <w:szCs w:val="22"/>
          <w:lang w:val="zh-CN" w:eastAsia="zh-CN"/>
        </w:rPr>
        <w:t>日内对其进行第一次检测。挥发性有机物液体流经的设备和管线组件每周应进行目视视察，检查其密封处是否出现滴漏迹象。泄漏检测应记录检测时间、检测仪器读数；修复时应记录修复时间和确认已完成修复的时间，记录修复后检测仪器读数</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记录应保存</w:t>
      </w:r>
      <w:r>
        <w:rPr>
          <w:rFonts w:hint="eastAsia" w:ascii="Times New Roman" w:hAnsi="Times New Roman" w:eastAsia="宋体" w:cs="Times New Roman"/>
          <w:szCs w:val="22"/>
          <w:lang w:val="en-US" w:eastAsia="zh-CN"/>
        </w:rPr>
        <w:t>1</w:t>
      </w:r>
      <w:r>
        <w:rPr>
          <w:rFonts w:ascii="Times New Roman" w:hAnsi="Times New Roman" w:eastAsia="宋体" w:cs="Times New Roman"/>
          <w:szCs w:val="22"/>
          <w:lang w:val="zh-CN" w:eastAsia="zh-CN"/>
        </w:rPr>
        <w:t>年以上。</w:t>
      </w:r>
    </w:p>
    <w:p w14:paraId="17BB800A">
      <w:pPr>
        <w:rPr>
          <w:rFonts w:ascii="宋体" w:hAnsi="宋体" w:eastAsia="宋体" w:cs="宋体"/>
          <w:sz w:val="24"/>
          <w:szCs w:val="24"/>
          <w:lang w:val="zh-CN" w:eastAsia="zh-CN" w:bidi="zh-CN"/>
        </w:rPr>
      </w:pPr>
      <w:r>
        <w:rPr>
          <w:rFonts w:ascii="宋体" w:hAnsi="宋体" w:eastAsia="宋体" w:cs="宋体"/>
          <w:sz w:val="24"/>
          <w:szCs w:val="24"/>
          <w:lang w:val="zh-CN" w:eastAsia="zh-CN" w:bidi="zh-CN"/>
        </w:rPr>
        <w:t>苯酚、甲酸、甲醛、三聚氰胺、氢氧化</w:t>
      </w:r>
      <w:r>
        <w:rPr>
          <w:rFonts w:hint="eastAsia" w:ascii="宋体" w:hAnsi="宋体" w:eastAsia="宋体" w:cs="宋体"/>
          <w:sz w:val="24"/>
          <w:szCs w:val="24"/>
          <w:lang w:val="en-US" w:eastAsia="zh-CN" w:bidi="zh-CN"/>
        </w:rPr>
        <w:t>钠</w:t>
      </w:r>
      <w:r>
        <w:rPr>
          <w:rFonts w:ascii="宋体" w:hAnsi="宋体" w:eastAsia="宋体" w:cs="宋体"/>
          <w:sz w:val="24"/>
          <w:szCs w:val="24"/>
          <w:lang w:val="zh-CN" w:eastAsia="zh-CN" w:bidi="zh-CN"/>
        </w:rPr>
        <w:t>等等，多为易燃、易爆及有毒有害等化学品。评价建议项目做好相应</w:t>
      </w:r>
      <w:r>
        <w:rPr>
          <w:rFonts w:hint="eastAsia" w:ascii="宋体" w:hAnsi="宋体" w:eastAsia="宋体" w:cs="宋体"/>
          <w:sz w:val="24"/>
          <w:szCs w:val="24"/>
          <w:lang w:val="zh-CN" w:eastAsia="zh-CN" w:bidi="zh-CN"/>
        </w:rPr>
        <w:t>的</w:t>
      </w:r>
      <w:r>
        <w:rPr>
          <w:rFonts w:ascii="宋体" w:hAnsi="宋体" w:eastAsia="宋体" w:cs="宋体"/>
          <w:sz w:val="24"/>
          <w:szCs w:val="24"/>
          <w:lang w:val="zh-CN" w:eastAsia="zh-CN" w:bidi="zh-CN"/>
        </w:rPr>
        <w:t>风险防范工作，避免风险事故的发生。</w:t>
      </w:r>
    </w:p>
    <w:p w14:paraId="34EDF830">
      <w:pPr>
        <w:ind w:firstLine="480"/>
        <w:rPr>
          <w:rFonts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排污口规范化</w:t>
      </w:r>
    </w:p>
    <w:p w14:paraId="459302A8">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排污口是基地污染物进入受纳环境的通道，做好排污口管理是实施污染物总量控制和达标排放的基础工作之一，必须实行规范化管理。建设项目所有排放口，包括水、气、声、固体废物，必须按照“便于计量监测、便于日常现场监督检查”的原则和规范化要求，设置与之相适应得环境保护图形标志牌，标明排污口分布图。</w:t>
      </w:r>
    </w:p>
    <w:p w14:paraId="523976D7">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①废气排放口要求</w:t>
      </w:r>
    </w:p>
    <w:p w14:paraId="2260CF54">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项目废气采样点应符合 HJ/T397-2007《固定污染源废气监测技术规范》相关要求，排气筒要设置便于采样、监测，安全可靠的采样口，采样点的气流要稳定，采样孔设置为圆形，直径一般不小于 80mm，当采样孔仅用于采集气态污染物时，其内径应不小于 40mm。不使用时应用盖板、管堵和管帽封闭。</w:t>
      </w:r>
    </w:p>
    <w:p w14:paraId="5FC0D5E2">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②废水排放口要求</w:t>
      </w:r>
    </w:p>
    <w:p w14:paraId="7BA2A40A">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项目原则上只能设置一个废水排污口，排放口必须具备采样和流量测定条件， 且应在基地内或基地围墙（界）外不超过 10m 外。排污口一般采用矩形渠道，且要设置平直的、便于测量流量、流速的测流段，测流段的污水水深不得低于 0.1m，流速不小于 0.05m/s，测流段直线长度应有 5~10m。污水面在地下或距地面超过 1m 的</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要配套建设取样台阶或梯架，测流段明渠四周应设置不低于 1.5m 高的护栏和不低于100mm 的脚步挡板。</w:t>
      </w:r>
    </w:p>
    <w:p w14:paraId="12F59CB5">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③排污口立标要求</w:t>
      </w:r>
    </w:p>
    <w:p w14:paraId="4F4C01D5">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排污口规范化整治后要按照国家标准 GB15562.1-1995、B15562.2-1995 设置排污标志牌。标志牌设置位置应距污染物排放口(源)或采样点较近且醒目处，并能长久保留。设置高度一般为：标志牌上缘距离地面2m，标志规格为：60cm*40cm。</w:t>
      </w:r>
    </w:p>
    <w:p w14:paraId="17DA800C">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④排污口建档管理</w:t>
      </w:r>
    </w:p>
    <w:p w14:paraId="27E0F023">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排污单位要建立排污口档案，把排污口规范化资料、监测资料、污染物排放资料等收集、立卷、建档。</w:t>
      </w:r>
    </w:p>
    <w:p w14:paraId="3855591C">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3</w:t>
      </w:r>
      <w:r>
        <w:rPr>
          <w:rFonts w:ascii="Times New Roman" w:hAnsi="Times New Roman" w:eastAsia="宋体" w:cs="Times New Roman"/>
          <w:szCs w:val="22"/>
          <w:lang w:val="zh-CN" w:eastAsia="zh-CN"/>
        </w:rPr>
        <w:t>）申领排污许可证要求</w:t>
      </w:r>
    </w:p>
    <w:p w14:paraId="5314CDAB">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根据生态环境部印发的《排污许可管理办法（试行）》、HJ942-2018《排污许可证申请与核发技术规范 总则》、《排污许可证申请与核发技术规范 石化工业》</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HJ853-2017</w:t>
      </w:r>
      <w:r>
        <w:rPr>
          <w:rFonts w:hint="eastAsia" w:ascii="Times New Roman" w:hAnsi="Times New Roman" w:eastAsia="宋体" w:cs="Times New Roman"/>
          <w:szCs w:val="22"/>
          <w:lang w:val="zh-CN" w:eastAsia="zh-CN"/>
        </w:rPr>
        <w:t>）、</w:t>
      </w:r>
      <w:r>
        <w:rPr>
          <w:rFonts w:hint="eastAsia"/>
          <w:szCs w:val="22"/>
        </w:rPr>
        <w:t xml:space="preserve">《排污许可证申请与核发技术规范 </w:t>
      </w:r>
      <w:r>
        <w:rPr>
          <w:rFonts w:hint="eastAsia"/>
          <w:szCs w:val="22"/>
          <w:lang w:val="en-US" w:eastAsia="zh-CN"/>
        </w:rPr>
        <w:t>人造板工业</w:t>
      </w:r>
      <w:r>
        <w:rPr>
          <w:rFonts w:hint="eastAsia"/>
          <w:szCs w:val="22"/>
        </w:rPr>
        <w:t>》（HJ</w:t>
      </w:r>
      <w:r>
        <w:rPr>
          <w:rFonts w:hint="eastAsia"/>
          <w:szCs w:val="22"/>
          <w:lang w:val="en-US" w:eastAsia="zh-CN"/>
        </w:rPr>
        <w:t>1032</w:t>
      </w:r>
      <w:r>
        <w:rPr>
          <w:rFonts w:hint="eastAsia"/>
          <w:szCs w:val="22"/>
        </w:rPr>
        <w:t>-201</w:t>
      </w:r>
      <w:r>
        <w:rPr>
          <w:rFonts w:hint="eastAsia"/>
          <w:szCs w:val="22"/>
          <w:lang w:val="en-US" w:eastAsia="zh-CN"/>
        </w:rPr>
        <w:t>9</w:t>
      </w:r>
      <w:r>
        <w:rPr>
          <w:rFonts w:hint="eastAsia"/>
          <w:szCs w:val="22"/>
        </w:rPr>
        <w:t>）</w:t>
      </w:r>
      <w:r>
        <w:rPr>
          <w:rFonts w:hint="eastAsia" w:eastAsia="宋体"/>
          <w:szCs w:val="22"/>
          <w:lang w:eastAsia="zh-CN"/>
        </w:rPr>
        <w:t>、</w:t>
      </w:r>
      <w:r>
        <w:rPr>
          <w:rFonts w:hint="eastAsia"/>
          <w:szCs w:val="22"/>
        </w:rPr>
        <w:t xml:space="preserve">《排污许可证申请与核发技术规范 </w:t>
      </w:r>
      <w:r>
        <w:rPr>
          <w:rFonts w:hint="eastAsia"/>
          <w:szCs w:val="22"/>
          <w:lang w:val="en-US" w:eastAsia="zh-CN"/>
        </w:rPr>
        <w:t>锅炉</w:t>
      </w:r>
      <w:r>
        <w:rPr>
          <w:rFonts w:hint="eastAsia"/>
          <w:szCs w:val="22"/>
        </w:rPr>
        <w:t>》（HJ</w:t>
      </w:r>
      <w:r>
        <w:rPr>
          <w:rFonts w:hint="eastAsia"/>
          <w:szCs w:val="22"/>
          <w:lang w:val="en-US" w:eastAsia="zh-CN"/>
        </w:rPr>
        <w:t>953</w:t>
      </w:r>
      <w:r>
        <w:rPr>
          <w:rFonts w:hint="eastAsia"/>
          <w:szCs w:val="22"/>
        </w:rPr>
        <w:t>-201</w:t>
      </w:r>
      <w:r>
        <w:rPr>
          <w:rFonts w:hint="eastAsia"/>
          <w:szCs w:val="22"/>
          <w:lang w:val="en-US" w:eastAsia="zh-CN"/>
        </w:rPr>
        <w:t>8</w:t>
      </w:r>
      <w:r>
        <w:rPr>
          <w:rFonts w:hint="eastAsia"/>
          <w:szCs w:val="22"/>
        </w:rPr>
        <w:t>）</w:t>
      </w:r>
      <w:r>
        <w:rPr>
          <w:rFonts w:ascii="Times New Roman" w:hAnsi="Times New Roman" w:eastAsia="宋体" w:cs="Times New Roman"/>
          <w:szCs w:val="22"/>
          <w:lang w:val="zh-CN" w:eastAsia="zh-CN"/>
        </w:rPr>
        <w:t>，企业应当按照规定的时限申请并取得排污许可证，并按照排污许可证的规定排放污染物。对照</w:t>
      </w:r>
      <w:r>
        <w:rPr>
          <w:rFonts w:hint="eastAsia" w:ascii="Times New Roman" w:hAnsi="Times New Roman" w:eastAsia="宋体" w:cs="Times New Roman"/>
          <w:szCs w:val="22"/>
          <w:lang w:val="en-US" w:eastAsia="zh-CN"/>
        </w:rPr>
        <w:t>以上技术规范，</w:t>
      </w:r>
      <w:r>
        <w:rPr>
          <w:rFonts w:ascii="Times New Roman" w:hAnsi="Times New Roman" w:eastAsia="宋体" w:cs="Times New Roman"/>
          <w:szCs w:val="22"/>
          <w:lang w:val="zh-CN" w:eastAsia="zh-CN"/>
        </w:rPr>
        <w:t>项目产排污节点、污染物及污染治理设施情况见下表。</w:t>
      </w:r>
    </w:p>
    <w:p w14:paraId="380CD90F">
      <w:pPr>
        <w:widowControl w:val="0"/>
        <w:spacing w:before="2" w:after="2" w:line="240" w:lineRule="auto"/>
        <w:ind w:left="0" w:right="0"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ascii="Times New Roman" w:hAnsi="Times New Roman" w:eastAsia="宋体" w:cs="Times New Roman"/>
          <w:b/>
          <w:bCs/>
          <w:sz w:val="24"/>
          <w:szCs w:val="24"/>
          <w:lang w:val="en-US" w:eastAsia="zh-CN" w:bidi="zh-CN"/>
        </w:rPr>
        <w:t>11.2-1</w:t>
      </w:r>
      <w:r>
        <w:rPr>
          <w:rFonts w:ascii="Times New Roman" w:hAnsi="Times New Roman" w:eastAsia="宋体" w:cs="Times New Roman"/>
          <w:b/>
          <w:bCs/>
          <w:sz w:val="24"/>
          <w:szCs w:val="24"/>
          <w:lang w:val="zh-CN" w:eastAsia="zh-CN" w:bidi="zh-CN"/>
        </w:rPr>
        <w:t xml:space="preserve"> 项目废气产排污节点、污染物及治理设施情况表</w:t>
      </w:r>
    </w:p>
    <w:tbl>
      <w:tblPr>
        <w:tblStyle w:val="32"/>
        <w:tblW w:w="89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168"/>
        <w:gridCol w:w="1168"/>
        <w:gridCol w:w="1066"/>
        <w:gridCol w:w="555"/>
        <w:gridCol w:w="1005"/>
        <w:gridCol w:w="1470"/>
        <w:gridCol w:w="1177"/>
        <w:gridCol w:w="1321"/>
      </w:tblGrid>
      <w:tr w14:paraId="0C149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9" w:hRule="atLeast"/>
          <w:jc w:val="center"/>
        </w:trPr>
        <w:tc>
          <w:tcPr>
            <w:tcW w:w="1168" w:type="dxa"/>
            <w:vMerge w:val="restart"/>
            <w:noWrap w:val="0"/>
            <w:vAlign w:val="top"/>
          </w:tcPr>
          <w:p w14:paraId="70718C17">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3DBE2F78">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32EE739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6F70E838">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3C279F0D">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599096A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1F7938D2">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1157B4F6">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b/>
                <w:bCs/>
                <w:color w:val="000000"/>
                <w:sz w:val="21"/>
                <w:szCs w:val="21"/>
                <w:lang w:val="zh-CN" w:eastAsia="zh-CN"/>
              </w:rPr>
              <w:t>废气有组织排放</w:t>
            </w:r>
          </w:p>
        </w:tc>
        <w:tc>
          <w:tcPr>
            <w:tcW w:w="1168" w:type="dxa"/>
            <w:vMerge w:val="restart"/>
            <w:noWrap w:val="0"/>
            <w:vAlign w:val="top"/>
          </w:tcPr>
          <w:p w14:paraId="29A79D3F">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p>
          <w:p w14:paraId="04674D85">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生产设施</w:t>
            </w:r>
          </w:p>
        </w:tc>
        <w:tc>
          <w:tcPr>
            <w:tcW w:w="1066" w:type="dxa"/>
            <w:vMerge w:val="restart"/>
            <w:noWrap w:val="0"/>
            <w:vAlign w:val="top"/>
          </w:tcPr>
          <w:p w14:paraId="1F238CBB">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p>
          <w:p w14:paraId="64BA57A9">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产污环节名称</w:t>
            </w:r>
          </w:p>
        </w:tc>
        <w:tc>
          <w:tcPr>
            <w:tcW w:w="1560" w:type="dxa"/>
            <w:gridSpan w:val="2"/>
            <w:vMerge w:val="restart"/>
            <w:noWrap w:val="0"/>
            <w:vAlign w:val="top"/>
          </w:tcPr>
          <w:p w14:paraId="3491796C">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p>
          <w:p w14:paraId="632C32E9">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污染物种类</w:t>
            </w:r>
          </w:p>
        </w:tc>
        <w:tc>
          <w:tcPr>
            <w:tcW w:w="2647" w:type="dxa"/>
            <w:gridSpan w:val="2"/>
            <w:noWrap w:val="0"/>
            <w:vAlign w:val="top"/>
          </w:tcPr>
          <w:p w14:paraId="466FDEDA">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治理措施</w:t>
            </w:r>
          </w:p>
        </w:tc>
        <w:tc>
          <w:tcPr>
            <w:tcW w:w="1321" w:type="dxa"/>
            <w:vMerge w:val="restart"/>
            <w:noWrap w:val="0"/>
            <w:vAlign w:val="top"/>
          </w:tcPr>
          <w:p w14:paraId="7C3E09B7">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59FC02F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b/>
                <w:bCs/>
                <w:color w:val="000000"/>
                <w:sz w:val="21"/>
                <w:szCs w:val="21"/>
                <w:lang w:val="zh-CN" w:eastAsia="zh-CN"/>
              </w:rPr>
              <w:t>排放口类型</w:t>
            </w:r>
          </w:p>
        </w:tc>
      </w:tr>
      <w:tr w14:paraId="7D824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0" w:hRule="atLeast"/>
          <w:jc w:val="center"/>
        </w:trPr>
        <w:tc>
          <w:tcPr>
            <w:tcW w:w="1168" w:type="dxa"/>
            <w:vMerge w:val="continue"/>
            <w:noWrap w:val="0"/>
            <w:vAlign w:val="top"/>
          </w:tcPr>
          <w:p w14:paraId="35693968">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1168" w:type="dxa"/>
            <w:vMerge w:val="continue"/>
            <w:noWrap w:val="0"/>
            <w:vAlign w:val="top"/>
          </w:tcPr>
          <w:p w14:paraId="7F5C2BCD">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rPr>
            </w:pPr>
          </w:p>
        </w:tc>
        <w:tc>
          <w:tcPr>
            <w:tcW w:w="1066" w:type="dxa"/>
            <w:vMerge w:val="continue"/>
            <w:noWrap w:val="0"/>
            <w:vAlign w:val="top"/>
          </w:tcPr>
          <w:p w14:paraId="107F56F8">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rPr>
            </w:pPr>
          </w:p>
        </w:tc>
        <w:tc>
          <w:tcPr>
            <w:tcW w:w="1560" w:type="dxa"/>
            <w:gridSpan w:val="2"/>
            <w:vMerge w:val="continue"/>
            <w:noWrap w:val="0"/>
            <w:vAlign w:val="top"/>
          </w:tcPr>
          <w:p w14:paraId="23E2FBBE">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rPr>
            </w:pPr>
          </w:p>
        </w:tc>
        <w:tc>
          <w:tcPr>
            <w:tcW w:w="1470" w:type="dxa"/>
            <w:noWrap w:val="0"/>
            <w:vAlign w:val="top"/>
          </w:tcPr>
          <w:p w14:paraId="7B2033CC">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设施名称及工艺</w:t>
            </w:r>
          </w:p>
        </w:tc>
        <w:tc>
          <w:tcPr>
            <w:tcW w:w="1177" w:type="dxa"/>
            <w:noWrap w:val="0"/>
            <w:vAlign w:val="top"/>
          </w:tcPr>
          <w:p w14:paraId="3E63A776">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是否为可行技术</w:t>
            </w:r>
          </w:p>
        </w:tc>
        <w:tc>
          <w:tcPr>
            <w:tcW w:w="1321" w:type="dxa"/>
            <w:vMerge w:val="continue"/>
            <w:noWrap w:val="0"/>
            <w:vAlign w:val="top"/>
          </w:tcPr>
          <w:p w14:paraId="5E27C2D0">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r>
      <w:tr w14:paraId="724C5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34" w:hRule="atLeast"/>
          <w:jc w:val="center"/>
        </w:trPr>
        <w:tc>
          <w:tcPr>
            <w:tcW w:w="1168" w:type="dxa"/>
            <w:vMerge w:val="continue"/>
            <w:noWrap w:val="0"/>
            <w:vAlign w:val="top"/>
          </w:tcPr>
          <w:p w14:paraId="49FC8E4E">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1168" w:type="dxa"/>
            <w:vMerge w:val="restart"/>
            <w:noWrap w:val="0"/>
            <w:vAlign w:val="center"/>
          </w:tcPr>
          <w:p w14:paraId="48924EF8">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板材生产</w:t>
            </w:r>
          </w:p>
        </w:tc>
        <w:tc>
          <w:tcPr>
            <w:tcW w:w="1066" w:type="dxa"/>
            <w:noWrap w:val="0"/>
            <w:vAlign w:val="center"/>
          </w:tcPr>
          <w:p w14:paraId="667A9CD5">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干燥、筛分、铺装工段</w:t>
            </w:r>
          </w:p>
        </w:tc>
        <w:tc>
          <w:tcPr>
            <w:tcW w:w="1560" w:type="dxa"/>
            <w:gridSpan w:val="2"/>
            <w:noWrap w:val="0"/>
            <w:vAlign w:val="center"/>
          </w:tcPr>
          <w:p w14:paraId="315F9599">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颗粒物</w:t>
            </w:r>
          </w:p>
        </w:tc>
        <w:tc>
          <w:tcPr>
            <w:tcW w:w="1470" w:type="dxa"/>
            <w:noWrap w:val="0"/>
            <w:vAlign w:val="center"/>
          </w:tcPr>
          <w:p w14:paraId="6EA6667C">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旋风+布袋除尘器</w:t>
            </w:r>
          </w:p>
        </w:tc>
        <w:tc>
          <w:tcPr>
            <w:tcW w:w="1177" w:type="dxa"/>
            <w:noWrap w:val="0"/>
            <w:vAlign w:val="center"/>
          </w:tcPr>
          <w:p w14:paraId="0C0251A6">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是</w:t>
            </w:r>
          </w:p>
        </w:tc>
        <w:tc>
          <w:tcPr>
            <w:tcW w:w="1321" w:type="dxa"/>
            <w:noWrap w:val="0"/>
            <w:vAlign w:val="center"/>
          </w:tcPr>
          <w:p w14:paraId="23BAFEEB">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主要排放口</w:t>
            </w:r>
          </w:p>
        </w:tc>
      </w:tr>
      <w:tr w14:paraId="29410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97" w:hRule="atLeast"/>
          <w:jc w:val="center"/>
        </w:trPr>
        <w:tc>
          <w:tcPr>
            <w:tcW w:w="1168" w:type="dxa"/>
            <w:vMerge w:val="continue"/>
            <w:noWrap w:val="0"/>
            <w:vAlign w:val="top"/>
          </w:tcPr>
          <w:p w14:paraId="26FD5E72">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1168" w:type="dxa"/>
            <w:vMerge w:val="continue"/>
            <w:noWrap w:val="0"/>
            <w:vAlign w:val="center"/>
          </w:tcPr>
          <w:p w14:paraId="60857070">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1066" w:type="dxa"/>
            <w:noWrap w:val="0"/>
            <w:vAlign w:val="center"/>
          </w:tcPr>
          <w:p w14:paraId="68F64E58">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热压、贴面</w:t>
            </w:r>
          </w:p>
        </w:tc>
        <w:tc>
          <w:tcPr>
            <w:tcW w:w="1560" w:type="dxa"/>
            <w:gridSpan w:val="2"/>
            <w:noWrap w:val="0"/>
            <w:vAlign w:val="center"/>
          </w:tcPr>
          <w:p w14:paraId="5A725726">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甲醛、苯酚、</w:t>
            </w:r>
          </w:p>
          <w:p w14:paraId="4BEF047C">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VOCs</w:t>
            </w:r>
          </w:p>
        </w:tc>
        <w:tc>
          <w:tcPr>
            <w:tcW w:w="1470" w:type="dxa"/>
            <w:noWrap w:val="0"/>
            <w:vAlign w:val="center"/>
          </w:tcPr>
          <w:p w14:paraId="0B5FC5D6">
            <w:pPr>
              <w:widowControl w:val="0"/>
              <w:spacing w:before="40" w:after="40" w:line="240" w:lineRule="auto"/>
              <w:ind w:firstLine="0"/>
              <w:jc w:val="center"/>
              <w:rPr>
                <w:rFonts w:hint="eastAsia" w:ascii="Times New Roman" w:hAnsi="Times New Roman" w:eastAsia="宋体" w:cs="Times New Roman"/>
                <w:color w:val="FF0000"/>
                <w:sz w:val="21"/>
                <w:szCs w:val="21"/>
                <w:lang w:val="zh-CN" w:eastAsia="zh-CN"/>
              </w:rPr>
            </w:pPr>
            <w:r>
              <w:rPr>
                <w:rFonts w:hint="eastAsia" w:ascii="Times New Roman" w:hAnsi="Times New Roman" w:eastAsia="宋体" w:cs="Times New Roman"/>
                <w:color w:val="FF0000"/>
                <w:sz w:val="21"/>
                <w:szCs w:val="21"/>
                <w:lang w:val="en-US" w:eastAsia="zh-CN"/>
              </w:rPr>
              <w:t>与制胶废气共用1套净化处理设施，采用</w:t>
            </w:r>
            <w:r>
              <w:rPr>
                <w:rFonts w:hint="eastAsia" w:ascii="Times New Roman" w:hAnsi="Times New Roman" w:eastAsia="宋体" w:cs="Times New Roman"/>
                <w:color w:val="FF0000"/>
                <w:sz w:val="21"/>
                <w:szCs w:val="21"/>
                <w:lang w:val="zh-CN" w:eastAsia="zh-CN"/>
              </w:rPr>
              <w:t>冷凝</w:t>
            </w:r>
            <w:r>
              <w:rPr>
                <w:rFonts w:hint="eastAsia"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zh-CN" w:eastAsia="zh-CN"/>
              </w:rPr>
              <w:t>光氧催化</w:t>
            </w:r>
            <w:r>
              <w:rPr>
                <w:rFonts w:hint="eastAsia" w:ascii="Times New Roman" w:hAnsi="Times New Roman" w:eastAsia="宋体" w:cs="Times New Roman"/>
                <w:color w:val="FF0000"/>
                <w:sz w:val="21"/>
                <w:szCs w:val="21"/>
                <w:lang w:val="en-US" w:eastAsia="zh-CN"/>
              </w:rPr>
              <w:t>活性炭吸附</w:t>
            </w:r>
            <w:r>
              <w:rPr>
                <w:rFonts w:hint="eastAsia" w:ascii="Times New Roman" w:hAnsi="Times New Roman" w:eastAsia="宋体" w:cs="Times New Roman"/>
                <w:color w:val="FF0000"/>
                <w:sz w:val="21"/>
                <w:szCs w:val="21"/>
                <w:lang w:val="zh-CN" w:eastAsia="zh-CN"/>
              </w:rPr>
              <w:t>法</w:t>
            </w:r>
          </w:p>
        </w:tc>
        <w:tc>
          <w:tcPr>
            <w:tcW w:w="1177" w:type="dxa"/>
            <w:noWrap w:val="0"/>
            <w:vAlign w:val="center"/>
          </w:tcPr>
          <w:p w14:paraId="32C0B7A3">
            <w:pPr>
              <w:widowControl w:val="0"/>
              <w:spacing w:before="40" w:after="40" w:line="240" w:lineRule="auto"/>
              <w:ind w:firstLine="0"/>
              <w:jc w:val="center"/>
              <w:rPr>
                <w:rFonts w:hint="eastAsia" w:ascii="Times New Roman" w:hAnsi="Times New Roman" w:eastAsia="宋体" w:cs="Times New Roman"/>
                <w:color w:val="FF0000"/>
                <w:sz w:val="21"/>
                <w:szCs w:val="21"/>
                <w:lang w:val="zh-CN" w:eastAsia="zh-CN"/>
              </w:rPr>
            </w:pPr>
            <w:r>
              <w:rPr>
                <w:rFonts w:hint="eastAsia" w:ascii="Times New Roman" w:hAnsi="Times New Roman" w:eastAsia="宋体" w:cs="Times New Roman"/>
                <w:color w:val="FF0000"/>
                <w:sz w:val="21"/>
                <w:szCs w:val="21"/>
                <w:lang w:val="zh-CN" w:eastAsia="zh-CN"/>
              </w:rPr>
              <w:t>是</w:t>
            </w:r>
          </w:p>
        </w:tc>
        <w:tc>
          <w:tcPr>
            <w:tcW w:w="1321" w:type="dxa"/>
            <w:noWrap w:val="0"/>
            <w:vAlign w:val="center"/>
          </w:tcPr>
          <w:p w14:paraId="5D6AE8D0">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FF0000"/>
                <w:sz w:val="21"/>
                <w:szCs w:val="21"/>
                <w:lang w:val="en-US" w:eastAsia="zh-CN"/>
              </w:rPr>
              <w:t>与制胶废气共用1个排污口</w:t>
            </w:r>
          </w:p>
        </w:tc>
      </w:tr>
      <w:tr w14:paraId="467EC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97" w:hRule="atLeast"/>
          <w:jc w:val="center"/>
        </w:trPr>
        <w:tc>
          <w:tcPr>
            <w:tcW w:w="1168" w:type="dxa"/>
            <w:vMerge w:val="continue"/>
            <w:noWrap w:val="0"/>
            <w:vAlign w:val="top"/>
          </w:tcPr>
          <w:p w14:paraId="68D23B07">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1168" w:type="dxa"/>
            <w:noWrap w:val="0"/>
            <w:vAlign w:val="center"/>
          </w:tcPr>
          <w:p w14:paraId="77E8A69F">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供热系统</w:t>
            </w:r>
          </w:p>
        </w:tc>
        <w:tc>
          <w:tcPr>
            <w:tcW w:w="1066" w:type="dxa"/>
            <w:noWrap w:val="0"/>
            <w:vAlign w:val="center"/>
          </w:tcPr>
          <w:p w14:paraId="2EE1EDD1">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热载体炉烟气</w:t>
            </w:r>
          </w:p>
        </w:tc>
        <w:tc>
          <w:tcPr>
            <w:tcW w:w="1560" w:type="dxa"/>
            <w:gridSpan w:val="2"/>
            <w:noWrap w:val="0"/>
            <w:vAlign w:val="center"/>
          </w:tcPr>
          <w:p w14:paraId="06D00702">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颗粒物、SO2、NOX</w:t>
            </w:r>
          </w:p>
        </w:tc>
        <w:tc>
          <w:tcPr>
            <w:tcW w:w="1470" w:type="dxa"/>
            <w:noWrap w:val="0"/>
            <w:vAlign w:val="center"/>
          </w:tcPr>
          <w:p w14:paraId="718A828E">
            <w:pPr>
              <w:widowControl w:val="0"/>
              <w:spacing w:before="40" w:after="40" w:line="240" w:lineRule="auto"/>
              <w:ind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水膜除尘器+电离捕捉器</w:t>
            </w:r>
          </w:p>
        </w:tc>
        <w:tc>
          <w:tcPr>
            <w:tcW w:w="1177" w:type="dxa"/>
            <w:noWrap w:val="0"/>
            <w:vAlign w:val="center"/>
          </w:tcPr>
          <w:p w14:paraId="4B12F03C">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是</w:t>
            </w:r>
          </w:p>
        </w:tc>
        <w:tc>
          <w:tcPr>
            <w:tcW w:w="1321" w:type="dxa"/>
            <w:noWrap w:val="0"/>
            <w:vAlign w:val="center"/>
          </w:tcPr>
          <w:p w14:paraId="49F260C1">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主要排放口</w:t>
            </w:r>
          </w:p>
        </w:tc>
      </w:tr>
      <w:tr w14:paraId="17C2B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33" w:hRule="atLeast"/>
          <w:jc w:val="center"/>
        </w:trPr>
        <w:tc>
          <w:tcPr>
            <w:tcW w:w="1168" w:type="dxa"/>
            <w:vMerge w:val="continue"/>
            <w:noWrap w:val="0"/>
            <w:vAlign w:val="top"/>
          </w:tcPr>
          <w:p w14:paraId="01AA059D">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1168" w:type="dxa"/>
            <w:noWrap w:val="0"/>
            <w:vAlign w:val="center"/>
          </w:tcPr>
          <w:p w14:paraId="501C210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制胶</w:t>
            </w:r>
            <w:r>
              <w:rPr>
                <w:rFonts w:hint="eastAsia" w:ascii="Times New Roman" w:hAnsi="Times New Roman" w:eastAsia="宋体" w:cs="Times New Roman"/>
                <w:color w:val="000000"/>
                <w:sz w:val="21"/>
                <w:szCs w:val="21"/>
                <w:lang w:val="zh-CN" w:eastAsia="zh-CN"/>
              </w:rPr>
              <w:t>生产线</w:t>
            </w:r>
          </w:p>
        </w:tc>
        <w:tc>
          <w:tcPr>
            <w:tcW w:w="1066" w:type="dxa"/>
            <w:noWrap w:val="0"/>
            <w:vAlign w:val="center"/>
          </w:tcPr>
          <w:p w14:paraId="704EB09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制胶</w:t>
            </w:r>
          </w:p>
        </w:tc>
        <w:tc>
          <w:tcPr>
            <w:tcW w:w="1560" w:type="dxa"/>
            <w:gridSpan w:val="2"/>
            <w:noWrap w:val="0"/>
            <w:vAlign w:val="center"/>
          </w:tcPr>
          <w:p w14:paraId="56DBE989">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zh-CN" w:eastAsia="zh-CN"/>
              </w:rPr>
              <w:t>甲醛、氨、</w:t>
            </w:r>
            <w:r>
              <w:rPr>
                <w:rFonts w:hint="eastAsia" w:ascii="Times New Roman" w:hAnsi="Times New Roman" w:eastAsia="宋体" w:cs="Times New Roman"/>
                <w:color w:val="000000"/>
                <w:sz w:val="21"/>
                <w:szCs w:val="21"/>
                <w:lang w:val="en-US" w:eastAsia="zh-CN"/>
              </w:rPr>
              <w:t>酚类</w:t>
            </w:r>
          </w:p>
          <w:p w14:paraId="5EAEA6BA">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VOCs</w:t>
            </w:r>
          </w:p>
        </w:tc>
        <w:tc>
          <w:tcPr>
            <w:tcW w:w="1470" w:type="dxa"/>
            <w:noWrap w:val="0"/>
            <w:vAlign w:val="center"/>
          </w:tcPr>
          <w:p w14:paraId="084C1F25">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冷凝</w:t>
            </w:r>
            <w:r>
              <w:rPr>
                <w:rFonts w:hint="eastAsia"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zh-CN" w:eastAsia="zh-CN"/>
              </w:rPr>
              <w:t>光氧催化</w:t>
            </w:r>
            <w:r>
              <w:rPr>
                <w:rFonts w:hint="eastAsia" w:ascii="Times New Roman" w:hAnsi="Times New Roman" w:eastAsia="宋体" w:cs="Times New Roman"/>
                <w:color w:val="000000"/>
                <w:sz w:val="21"/>
                <w:szCs w:val="21"/>
                <w:lang w:val="en-US" w:eastAsia="zh-CN"/>
              </w:rPr>
              <w:t>活性炭吸附</w:t>
            </w:r>
            <w:r>
              <w:rPr>
                <w:rFonts w:hint="eastAsia" w:ascii="Times New Roman" w:hAnsi="Times New Roman" w:eastAsia="宋体" w:cs="Times New Roman"/>
                <w:color w:val="000000"/>
                <w:sz w:val="21"/>
                <w:szCs w:val="21"/>
                <w:lang w:val="zh-CN" w:eastAsia="zh-CN"/>
              </w:rPr>
              <w:t>法</w:t>
            </w:r>
          </w:p>
        </w:tc>
        <w:tc>
          <w:tcPr>
            <w:tcW w:w="1177" w:type="dxa"/>
            <w:noWrap w:val="0"/>
            <w:vAlign w:val="center"/>
          </w:tcPr>
          <w:p w14:paraId="78F63815">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5E9E07C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是</w:t>
            </w:r>
          </w:p>
        </w:tc>
        <w:tc>
          <w:tcPr>
            <w:tcW w:w="1321" w:type="dxa"/>
            <w:noWrap w:val="0"/>
            <w:vAlign w:val="center"/>
          </w:tcPr>
          <w:p w14:paraId="46EA02A8">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zh-CN" w:eastAsia="zh-CN"/>
              </w:rPr>
              <w:t>主要排放口</w:t>
            </w:r>
          </w:p>
        </w:tc>
      </w:tr>
      <w:tr w14:paraId="277BF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6" w:hRule="atLeast"/>
          <w:jc w:val="center"/>
        </w:trPr>
        <w:tc>
          <w:tcPr>
            <w:tcW w:w="1168" w:type="dxa"/>
            <w:vMerge w:val="restart"/>
            <w:noWrap w:val="0"/>
            <w:vAlign w:val="top"/>
          </w:tcPr>
          <w:p w14:paraId="56055B8A">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5DAF54F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42D9DA25">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616FA62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b/>
                <w:bCs/>
                <w:color w:val="000000"/>
                <w:sz w:val="21"/>
                <w:szCs w:val="21"/>
                <w:lang w:val="zh-CN" w:eastAsia="zh-CN"/>
              </w:rPr>
              <w:t>废气无组织排放</w:t>
            </w:r>
          </w:p>
        </w:tc>
        <w:tc>
          <w:tcPr>
            <w:tcW w:w="2789" w:type="dxa"/>
            <w:gridSpan w:val="3"/>
            <w:noWrap w:val="0"/>
            <w:vAlign w:val="top"/>
          </w:tcPr>
          <w:p w14:paraId="1F451342">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生产设施</w:t>
            </w:r>
          </w:p>
        </w:tc>
        <w:tc>
          <w:tcPr>
            <w:tcW w:w="2475" w:type="dxa"/>
            <w:gridSpan w:val="2"/>
            <w:noWrap w:val="0"/>
            <w:vAlign w:val="top"/>
          </w:tcPr>
          <w:p w14:paraId="55D36211">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产污环节</w:t>
            </w:r>
          </w:p>
        </w:tc>
        <w:tc>
          <w:tcPr>
            <w:tcW w:w="2498" w:type="dxa"/>
            <w:gridSpan w:val="2"/>
            <w:noWrap w:val="0"/>
            <w:vAlign w:val="top"/>
          </w:tcPr>
          <w:p w14:paraId="7C2BEAD9">
            <w:pPr>
              <w:widowControl w:val="0"/>
              <w:spacing w:before="40" w:after="40" w:line="240" w:lineRule="auto"/>
              <w:ind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污染物</w:t>
            </w:r>
          </w:p>
        </w:tc>
      </w:tr>
      <w:tr w14:paraId="38DA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37" w:hRule="atLeast"/>
          <w:jc w:val="center"/>
        </w:trPr>
        <w:tc>
          <w:tcPr>
            <w:tcW w:w="1168" w:type="dxa"/>
            <w:vMerge w:val="continue"/>
            <w:noWrap w:val="0"/>
            <w:vAlign w:val="top"/>
          </w:tcPr>
          <w:p w14:paraId="3418E16D">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2789" w:type="dxa"/>
            <w:gridSpan w:val="3"/>
            <w:noWrap w:val="0"/>
            <w:vAlign w:val="center"/>
          </w:tcPr>
          <w:p w14:paraId="2333F6F6">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板材生产车间</w:t>
            </w:r>
          </w:p>
        </w:tc>
        <w:tc>
          <w:tcPr>
            <w:tcW w:w="2475" w:type="dxa"/>
            <w:gridSpan w:val="2"/>
            <w:noWrap w:val="0"/>
            <w:vAlign w:val="center"/>
          </w:tcPr>
          <w:p w14:paraId="1231B3E1">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断竹、刨片、锯边、砂光、开槽等工序</w:t>
            </w:r>
          </w:p>
        </w:tc>
        <w:tc>
          <w:tcPr>
            <w:tcW w:w="2498" w:type="dxa"/>
            <w:gridSpan w:val="2"/>
            <w:noWrap w:val="0"/>
            <w:vAlign w:val="center"/>
          </w:tcPr>
          <w:p w14:paraId="108E764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颗粒物</w:t>
            </w:r>
          </w:p>
        </w:tc>
      </w:tr>
      <w:tr w14:paraId="49E27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127" w:hRule="atLeast"/>
          <w:jc w:val="center"/>
        </w:trPr>
        <w:tc>
          <w:tcPr>
            <w:tcW w:w="1168" w:type="dxa"/>
            <w:vMerge w:val="continue"/>
            <w:noWrap w:val="0"/>
            <w:vAlign w:val="top"/>
          </w:tcPr>
          <w:p w14:paraId="6CED36D8">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2789" w:type="dxa"/>
            <w:gridSpan w:val="3"/>
            <w:noWrap w:val="0"/>
            <w:vAlign w:val="center"/>
          </w:tcPr>
          <w:p w14:paraId="722A3528">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甲醛</w:t>
            </w:r>
            <w:r>
              <w:rPr>
                <w:rFonts w:hint="eastAsia" w:ascii="Times New Roman" w:hAnsi="Times New Roman" w:eastAsia="宋体" w:cs="Times New Roman"/>
                <w:color w:val="000000"/>
                <w:sz w:val="21"/>
                <w:szCs w:val="21"/>
                <w:lang w:val="zh-CN" w:eastAsia="zh-CN"/>
              </w:rPr>
              <w:t>储罐</w:t>
            </w:r>
          </w:p>
        </w:tc>
        <w:tc>
          <w:tcPr>
            <w:tcW w:w="2475" w:type="dxa"/>
            <w:gridSpan w:val="2"/>
            <w:noWrap w:val="0"/>
            <w:vAlign w:val="center"/>
          </w:tcPr>
          <w:p w14:paraId="12917AD0">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大小呼吸</w:t>
            </w:r>
          </w:p>
        </w:tc>
        <w:tc>
          <w:tcPr>
            <w:tcW w:w="2498" w:type="dxa"/>
            <w:gridSpan w:val="2"/>
            <w:noWrap w:val="0"/>
            <w:vAlign w:val="center"/>
          </w:tcPr>
          <w:p w14:paraId="1CEA9F10">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甲醛</w:t>
            </w:r>
          </w:p>
        </w:tc>
      </w:tr>
      <w:tr w14:paraId="40145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3" w:hRule="atLeast"/>
          <w:jc w:val="center"/>
        </w:trPr>
        <w:tc>
          <w:tcPr>
            <w:tcW w:w="1168" w:type="dxa"/>
            <w:vMerge w:val="continue"/>
            <w:noWrap w:val="0"/>
            <w:vAlign w:val="top"/>
          </w:tcPr>
          <w:p w14:paraId="7A5A2D0E">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2789" w:type="dxa"/>
            <w:gridSpan w:val="3"/>
            <w:noWrap w:val="0"/>
            <w:vAlign w:val="center"/>
          </w:tcPr>
          <w:p w14:paraId="10FE4ED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生产区</w:t>
            </w:r>
          </w:p>
        </w:tc>
        <w:tc>
          <w:tcPr>
            <w:tcW w:w="2475" w:type="dxa"/>
            <w:gridSpan w:val="2"/>
            <w:noWrap w:val="0"/>
            <w:vAlign w:val="center"/>
          </w:tcPr>
          <w:p w14:paraId="5BA84E3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化学品使用过程中的刺</w:t>
            </w:r>
          </w:p>
          <w:p w14:paraId="2CCB802A">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激性异味</w:t>
            </w:r>
          </w:p>
        </w:tc>
        <w:tc>
          <w:tcPr>
            <w:tcW w:w="2498" w:type="dxa"/>
            <w:gridSpan w:val="2"/>
            <w:noWrap w:val="0"/>
            <w:vAlign w:val="center"/>
          </w:tcPr>
          <w:p w14:paraId="4F97743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臭气浓度</w:t>
            </w:r>
          </w:p>
        </w:tc>
      </w:tr>
      <w:tr w14:paraId="164AC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6" w:hRule="atLeast"/>
          <w:jc w:val="center"/>
        </w:trPr>
        <w:tc>
          <w:tcPr>
            <w:tcW w:w="1168" w:type="dxa"/>
            <w:vMerge w:val="continue"/>
            <w:noWrap w:val="0"/>
            <w:vAlign w:val="top"/>
          </w:tcPr>
          <w:p w14:paraId="6597D0AD">
            <w:pPr>
              <w:widowControl w:val="0"/>
              <w:spacing w:before="40" w:after="40" w:line="240" w:lineRule="auto"/>
              <w:ind w:firstLine="0"/>
              <w:jc w:val="center"/>
              <w:rPr>
                <w:rFonts w:hint="eastAsia" w:ascii="Times New Roman" w:hAnsi="Times New Roman" w:eastAsia="宋体" w:cs="Times New Roman"/>
                <w:color w:val="000000"/>
                <w:sz w:val="21"/>
                <w:szCs w:val="21"/>
                <w:lang w:val="zh-CN"/>
              </w:rPr>
            </w:pPr>
          </w:p>
        </w:tc>
        <w:tc>
          <w:tcPr>
            <w:tcW w:w="2789" w:type="dxa"/>
            <w:gridSpan w:val="3"/>
            <w:noWrap w:val="0"/>
            <w:vAlign w:val="center"/>
          </w:tcPr>
          <w:p w14:paraId="2F3A06A6">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交通运输</w:t>
            </w:r>
          </w:p>
        </w:tc>
        <w:tc>
          <w:tcPr>
            <w:tcW w:w="2475" w:type="dxa"/>
            <w:gridSpan w:val="2"/>
            <w:noWrap w:val="0"/>
            <w:vAlign w:val="center"/>
          </w:tcPr>
          <w:p w14:paraId="6A540E68">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运输车辆尾气</w:t>
            </w:r>
          </w:p>
        </w:tc>
        <w:tc>
          <w:tcPr>
            <w:tcW w:w="2498" w:type="dxa"/>
            <w:gridSpan w:val="2"/>
            <w:noWrap w:val="0"/>
            <w:vAlign w:val="center"/>
          </w:tcPr>
          <w:p w14:paraId="116F893F">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zh-CN" w:eastAsia="zh-CN"/>
              </w:rPr>
              <w:t>NOx、CO、</w:t>
            </w:r>
            <w:r>
              <w:rPr>
                <w:rFonts w:hint="eastAsia" w:ascii="Times New Roman" w:hAnsi="Times New Roman" w:eastAsia="宋体" w:cs="Times New Roman"/>
                <w:color w:val="000000"/>
                <w:sz w:val="21"/>
                <w:szCs w:val="21"/>
                <w:lang w:val="en-US" w:eastAsia="zh-CN"/>
              </w:rPr>
              <w:t>HC化合物</w:t>
            </w:r>
          </w:p>
        </w:tc>
      </w:tr>
    </w:tbl>
    <w:p w14:paraId="1537608A">
      <w:pPr>
        <w:widowControl w:val="0"/>
        <w:spacing w:before="171" w:after="3" w:line="240" w:lineRule="auto"/>
        <w:ind w:left="0" w:right="0"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ascii="Times New Roman" w:hAnsi="Times New Roman" w:eastAsia="宋体" w:cs="Times New Roman"/>
          <w:b/>
          <w:bCs/>
          <w:sz w:val="24"/>
          <w:szCs w:val="24"/>
          <w:lang w:val="en-US" w:eastAsia="zh-CN" w:bidi="zh-CN"/>
        </w:rPr>
        <w:t>11.2</w:t>
      </w:r>
      <w:r>
        <w:rPr>
          <w:rFonts w:ascii="Times New Roman" w:hAnsi="Times New Roman" w:eastAsia="宋体" w:cs="Times New Roman"/>
          <w:b/>
          <w:bCs/>
          <w:sz w:val="24"/>
          <w:szCs w:val="24"/>
          <w:lang w:val="zh-CN" w:eastAsia="zh-CN" w:bidi="zh-CN"/>
        </w:rPr>
        <w:t>-2  项目废水产污环节名称、排放形式、污染物种类及污染治理设施表</w:t>
      </w:r>
    </w:p>
    <w:tbl>
      <w:tblPr>
        <w:tblStyle w:val="32"/>
        <w:tblW w:w="852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23"/>
        <w:gridCol w:w="1573"/>
        <w:gridCol w:w="2462"/>
        <w:gridCol w:w="1575"/>
        <w:gridCol w:w="1189"/>
      </w:tblGrid>
      <w:tr w14:paraId="16081F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723" w:type="dxa"/>
            <w:vMerge w:val="restart"/>
            <w:noWrap w:val="0"/>
            <w:vAlign w:val="top"/>
          </w:tcPr>
          <w:p w14:paraId="48C09A3A">
            <w:pPr>
              <w:widowControl w:val="0"/>
              <w:spacing w:before="159" w:after="0" w:line="240" w:lineRule="auto"/>
              <w:ind w:left="456" w:right="0" w:firstLine="0"/>
              <w:jc w:val="left"/>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废水种类</w:t>
            </w:r>
          </w:p>
        </w:tc>
        <w:tc>
          <w:tcPr>
            <w:tcW w:w="1573" w:type="dxa"/>
            <w:vMerge w:val="restart"/>
            <w:noWrap w:val="0"/>
            <w:vAlign w:val="top"/>
          </w:tcPr>
          <w:p w14:paraId="23A1C57B">
            <w:pPr>
              <w:widowControl w:val="0"/>
              <w:spacing w:before="159" w:after="0" w:line="240" w:lineRule="auto"/>
              <w:ind w:left="271" w:right="0" w:firstLine="0"/>
              <w:jc w:val="left"/>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主要污染物</w:t>
            </w:r>
          </w:p>
        </w:tc>
        <w:tc>
          <w:tcPr>
            <w:tcW w:w="4037" w:type="dxa"/>
            <w:gridSpan w:val="2"/>
            <w:noWrap w:val="0"/>
            <w:vAlign w:val="top"/>
          </w:tcPr>
          <w:p w14:paraId="387E1994">
            <w:pPr>
              <w:widowControl w:val="0"/>
              <w:spacing w:before="15" w:after="0" w:line="245" w:lineRule="exact"/>
              <w:ind w:left="1292" w:right="0" w:firstLine="0"/>
              <w:jc w:val="left"/>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污染物治理设施</w:t>
            </w:r>
          </w:p>
        </w:tc>
        <w:tc>
          <w:tcPr>
            <w:tcW w:w="1189" w:type="dxa"/>
            <w:vMerge w:val="restart"/>
            <w:noWrap w:val="0"/>
            <w:vAlign w:val="top"/>
          </w:tcPr>
          <w:p w14:paraId="3501A215">
            <w:pPr>
              <w:widowControl w:val="0"/>
              <w:spacing w:before="159" w:after="0" w:line="240" w:lineRule="auto"/>
              <w:ind w:left="183" w:right="0" w:firstLine="0"/>
              <w:jc w:val="left"/>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排放方式</w:t>
            </w:r>
          </w:p>
        </w:tc>
      </w:tr>
      <w:tr w14:paraId="21A6C1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jc w:val="center"/>
        </w:trPr>
        <w:tc>
          <w:tcPr>
            <w:tcW w:w="1723" w:type="dxa"/>
            <w:vMerge w:val="continue"/>
            <w:noWrap w:val="0"/>
            <w:vAlign w:val="top"/>
          </w:tcPr>
          <w:p w14:paraId="3BD630D9">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1573" w:type="dxa"/>
            <w:vMerge w:val="continue"/>
            <w:noWrap w:val="0"/>
            <w:vAlign w:val="top"/>
          </w:tcPr>
          <w:p w14:paraId="47188FDB">
            <w:pPr>
              <w:widowControl w:val="0"/>
              <w:spacing w:before="0" w:after="0" w:line="240" w:lineRule="auto"/>
              <w:ind w:left="0" w:right="0" w:firstLine="0"/>
              <w:jc w:val="left"/>
              <w:rPr>
                <w:rFonts w:ascii="Times New Roman" w:hAnsi="Times New Roman" w:eastAsia="宋体" w:cs="Times New Roman"/>
                <w:sz w:val="2"/>
                <w:szCs w:val="2"/>
                <w:lang w:val="zh-CN" w:bidi="zh-CN"/>
              </w:rPr>
            </w:pPr>
          </w:p>
        </w:tc>
        <w:tc>
          <w:tcPr>
            <w:tcW w:w="2462" w:type="dxa"/>
            <w:noWrap w:val="0"/>
            <w:vAlign w:val="top"/>
          </w:tcPr>
          <w:p w14:paraId="346554E7">
            <w:pPr>
              <w:widowControl w:val="0"/>
              <w:spacing w:before="15" w:after="0" w:line="245" w:lineRule="exact"/>
              <w:ind w:left="63" w:right="29" w:firstLine="0"/>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污染治理设施名称及工艺</w:t>
            </w:r>
          </w:p>
        </w:tc>
        <w:tc>
          <w:tcPr>
            <w:tcW w:w="1575" w:type="dxa"/>
            <w:noWrap w:val="0"/>
            <w:vAlign w:val="top"/>
          </w:tcPr>
          <w:p w14:paraId="24193F4C">
            <w:pPr>
              <w:widowControl w:val="0"/>
              <w:spacing w:before="15" w:after="0" w:line="245" w:lineRule="exact"/>
              <w:ind w:left="40" w:right="8" w:firstLine="0"/>
              <w:jc w:val="center"/>
              <w:rPr>
                <w:rFonts w:ascii="Times New Roman" w:hAnsi="Times New Roman" w:eastAsia="宋体" w:cs="Times New Roman"/>
                <w:b/>
                <w:sz w:val="21"/>
                <w:szCs w:val="22"/>
                <w:lang w:val="zh-CN" w:eastAsia="zh-CN" w:bidi="zh-CN"/>
              </w:rPr>
            </w:pPr>
            <w:r>
              <w:rPr>
                <w:rFonts w:ascii="Times New Roman" w:hAnsi="Times New Roman" w:eastAsia="宋体" w:cs="Times New Roman"/>
                <w:b/>
                <w:sz w:val="21"/>
                <w:szCs w:val="22"/>
                <w:lang w:val="zh-CN" w:eastAsia="zh-CN" w:bidi="zh-CN"/>
              </w:rPr>
              <w:t>是否为可行技术</w:t>
            </w:r>
          </w:p>
        </w:tc>
        <w:tc>
          <w:tcPr>
            <w:tcW w:w="1189" w:type="dxa"/>
            <w:vMerge w:val="continue"/>
            <w:noWrap w:val="0"/>
            <w:vAlign w:val="top"/>
          </w:tcPr>
          <w:p w14:paraId="2D18EBBC">
            <w:pPr>
              <w:widowControl w:val="0"/>
              <w:spacing w:before="0" w:after="0" w:line="240" w:lineRule="auto"/>
              <w:ind w:left="0" w:right="0" w:firstLine="0"/>
              <w:jc w:val="left"/>
              <w:rPr>
                <w:rFonts w:ascii="Times New Roman" w:hAnsi="Times New Roman" w:eastAsia="宋体" w:cs="Times New Roman"/>
                <w:sz w:val="2"/>
                <w:szCs w:val="2"/>
                <w:lang w:val="zh-CN" w:bidi="zh-CN"/>
              </w:rPr>
            </w:pPr>
          </w:p>
        </w:tc>
      </w:tr>
      <w:tr w14:paraId="22D287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0" w:hRule="atLeast"/>
          <w:jc w:val="center"/>
        </w:trPr>
        <w:tc>
          <w:tcPr>
            <w:tcW w:w="1723" w:type="dxa"/>
            <w:noWrap w:val="0"/>
            <w:vAlign w:val="top"/>
          </w:tcPr>
          <w:p w14:paraId="5F493C9A">
            <w:pPr>
              <w:widowControl w:val="0"/>
              <w:spacing w:before="2" w:after="0" w:line="280" w:lineRule="atLeast"/>
              <w:ind w:left="120" w:right="88" w:firstLine="0"/>
              <w:jc w:val="left"/>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生产废水（</w:t>
            </w:r>
            <w:r>
              <w:rPr>
                <w:rFonts w:ascii="Times New Roman" w:hAnsi="Times New Roman" w:eastAsia="宋体" w:cs="Times New Roman"/>
                <w:sz w:val="21"/>
                <w:szCs w:val="22"/>
                <w:lang w:val="en-US" w:eastAsia="zh-CN" w:bidi="zh-CN"/>
              </w:rPr>
              <w:t>设备清洗、制胶废水</w:t>
            </w:r>
            <w:r>
              <w:rPr>
                <w:rFonts w:ascii="Times New Roman" w:hAnsi="Times New Roman" w:eastAsia="宋体" w:cs="Times New Roman"/>
                <w:sz w:val="21"/>
                <w:szCs w:val="22"/>
                <w:lang w:val="zh-CN" w:eastAsia="zh-CN" w:bidi="zh-CN"/>
              </w:rPr>
              <w:t>）</w:t>
            </w:r>
          </w:p>
        </w:tc>
        <w:tc>
          <w:tcPr>
            <w:tcW w:w="1573" w:type="dxa"/>
            <w:noWrap w:val="0"/>
            <w:vAlign w:val="center"/>
          </w:tcPr>
          <w:p w14:paraId="38B1D315">
            <w:pPr>
              <w:widowControl w:val="0"/>
              <w:spacing w:before="154" w:after="0" w:line="240" w:lineRule="auto"/>
              <w:ind w:left="60" w:right="0"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甲醛、苯酚</w:t>
            </w:r>
          </w:p>
        </w:tc>
        <w:tc>
          <w:tcPr>
            <w:tcW w:w="2462" w:type="dxa"/>
            <w:noWrap w:val="0"/>
            <w:vAlign w:val="center"/>
          </w:tcPr>
          <w:p w14:paraId="6B4C9EFD">
            <w:pPr>
              <w:widowControl w:val="0"/>
              <w:spacing w:before="154" w:after="0" w:line="240" w:lineRule="auto"/>
              <w:ind w:left="56" w:right="29"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收集后回用</w:t>
            </w:r>
          </w:p>
        </w:tc>
        <w:tc>
          <w:tcPr>
            <w:tcW w:w="1575" w:type="dxa"/>
            <w:noWrap w:val="0"/>
            <w:vAlign w:val="center"/>
          </w:tcPr>
          <w:p w14:paraId="45506FE4">
            <w:pPr>
              <w:widowControl w:val="0"/>
              <w:spacing w:before="154" w:after="0" w:line="240" w:lineRule="auto"/>
              <w:ind w:left="56" w:right="29"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是</w:t>
            </w:r>
          </w:p>
        </w:tc>
        <w:tc>
          <w:tcPr>
            <w:tcW w:w="1189" w:type="dxa"/>
            <w:noWrap w:val="0"/>
            <w:vAlign w:val="center"/>
          </w:tcPr>
          <w:p w14:paraId="19511476">
            <w:pPr>
              <w:widowControl w:val="0"/>
              <w:spacing w:before="154" w:after="0" w:line="240" w:lineRule="auto"/>
              <w:ind w:left="0" w:right="0" w:firstLine="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不外排</w:t>
            </w:r>
          </w:p>
        </w:tc>
      </w:tr>
      <w:tr w14:paraId="4DC183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37" w:hRule="atLeast"/>
          <w:jc w:val="center"/>
        </w:trPr>
        <w:tc>
          <w:tcPr>
            <w:tcW w:w="1723" w:type="dxa"/>
            <w:noWrap w:val="0"/>
            <w:vAlign w:val="top"/>
          </w:tcPr>
          <w:p w14:paraId="3C87D9EF">
            <w:pPr>
              <w:widowControl w:val="0"/>
              <w:spacing w:before="11" w:after="0" w:line="240" w:lineRule="auto"/>
              <w:ind w:left="0" w:right="0" w:firstLine="0"/>
              <w:jc w:val="left"/>
              <w:rPr>
                <w:rFonts w:ascii="Times New Roman" w:hAnsi="Times New Roman" w:eastAsia="宋体" w:cs="Times New Roman"/>
                <w:sz w:val="22"/>
                <w:szCs w:val="22"/>
                <w:lang w:val="zh-CN" w:eastAsia="zh-CN" w:bidi="zh-CN"/>
              </w:rPr>
            </w:pPr>
          </w:p>
          <w:p w14:paraId="24AF5E51">
            <w:pPr>
              <w:widowControl w:val="0"/>
              <w:spacing w:before="0" w:after="0" w:line="240" w:lineRule="auto"/>
              <w:ind w:left="456" w:right="0" w:firstLine="0"/>
              <w:jc w:val="left"/>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生活污水</w:t>
            </w:r>
          </w:p>
        </w:tc>
        <w:tc>
          <w:tcPr>
            <w:tcW w:w="1573" w:type="dxa"/>
            <w:noWrap w:val="0"/>
            <w:vAlign w:val="top"/>
          </w:tcPr>
          <w:p w14:paraId="386728B9">
            <w:pPr>
              <w:widowControl w:val="0"/>
              <w:spacing w:before="148" w:after="0" w:line="244" w:lineRule="auto"/>
              <w:ind w:left="278" w:right="77" w:hanging="168"/>
              <w:jc w:val="left"/>
              <w:rPr>
                <w:rFonts w:ascii="Times New Roman" w:hAnsi="Times New Roman" w:eastAsia="宋体" w:cs="Times New Roman"/>
                <w:sz w:val="21"/>
                <w:szCs w:val="22"/>
                <w:lang w:val="zh-CN" w:eastAsia="zh-CN" w:bidi="zh-CN"/>
              </w:rPr>
            </w:pPr>
            <w:r>
              <w:rPr>
                <w:rFonts w:ascii="Times New Roman" w:hAnsi="Times New Roman" w:eastAsia="宋体" w:cs="Times New Roman"/>
                <w:position w:val="2"/>
                <w:sz w:val="21"/>
                <w:szCs w:val="22"/>
                <w:lang w:val="zh-CN" w:eastAsia="zh-CN" w:bidi="zh-CN"/>
              </w:rPr>
              <w:t>COD、BOD</w:t>
            </w:r>
            <w:r>
              <w:rPr>
                <w:rFonts w:ascii="Times New Roman" w:hAnsi="Times New Roman" w:eastAsia="宋体" w:cs="Times New Roman"/>
                <w:position w:val="2"/>
                <w:sz w:val="21"/>
                <w:szCs w:val="22"/>
                <w:vertAlign w:val="subscript"/>
                <w:lang w:val="zh-CN" w:eastAsia="zh-CN" w:bidi="zh-CN"/>
              </w:rPr>
              <w:t>5</w:t>
            </w:r>
            <w:r>
              <w:rPr>
                <w:rFonts w:ascii="Times New Roman" w:hAnsi="Times New Roman" w:eastAsia="宋体" w:cs="Times New Roman"/>
                <w:position w:val="2"/>
                <w:sz w:val="21"/>
                <w:szCs w:val="22"/>
                <w:vertAlign w:val="baseline"/>
                <w:lang w:val="zh-CN" w:eastAsia="zh-CN" w:bidi="zh-CN"/>
              </w:rPr>
              <w:t>、NH</w:t>
            </w:r>
            <w:r>
              <w:rPr>
                <w:rFonts w:ascii="Times New Roman" w:hAnsi="Times New Roman" w:eastAsia="宋体" w:cs="Times New Roman"/>
                <w:position w:val="2"/>
                <w:sz w:val="21"/>
                <w:szCs w:val="22"/>
                <w:vertAlign w:val="subscript"/>
                <w:lang w:val="zh-CN" w:eastAsia="zh-CN" w:bidi="zh-CN"/>
              </w:rPr>
              <w:t>3</w:t>
            </w:r>
            <w:r>
              <w:rPr>
                <w:rFonts w:ascii="Times New Roman" w:hAnsi="Times New Roman" w:eastAsia="宋体" w:cs="Times New Roman"/>
                <w:position w:val="2"/>
                <w:sz w:val="21"/>
                <w:szCs w:val="22"/>
                <w:vertAlign w:val="baseline"/>
                <w:lang w:val="zh-CN" w:eastAsia="zh-CN" w:bidi="zh-CN"/>
              </w:rPr>
              <w:t>-N、SS</w:t>
            </w:r>
          </w:p>
        </w:tc>
        <w:tc>
          <w:tcPr>
            <w:tcW w:w="2462" w:type="dxa"/>
            <w:noWrap w:val="0"/>
            <w:vAlign w:val="center"/>
          </w:tcPr>
          <w:p w14:paraId="69D00042">
            <w:pPr>
              <w:widowControl w:val="0"/>
              <w:spacing w:before="1" w:after="0" w:line="280" w:lineRule="atLeast"/>
              <w:ind w:left="925" w:right="28" w:hanging="840"/>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en-US" w:eastAsia="zh-CN" w:bidi="zh-CN"/>
              </w:rPr>
              <w:t>隔油池</w:t>
            </w:r>
            <w:r>
              <w:rPr>
                <w:rFonts w:ascii="Times New Roman" w:hAnsi="Times New Roman" w:eastAsia="宋体" w:cs="Times New Roman"/>
                <w:sz w:val="21"/>
                <w:szCs w:val="22"/>
                <w:lang w:val="zh-CN" w:eastAsia="zh-CN" w:bidi="zh-CN"/>
              </w:rPr>
              <w:t>+化粪池处理</w:t>
            </w:r>
          </w:p>
        </w:tc>
        <w:tc>
          <w:tcPr>
            <w:tcW w:w="1575" w:type="dxa"/>
            <w:noWrap w:val="0"/>
            <w:vAlign w:val="center"/>
          </w:tcPr>
          <w:p w14:paraId="09624ED7">
            <w:pPr>
              <w:widowControl w:val="0"/>
              <w:spacing w:before="154" w:after="0" w:line="240" w:lineRule="auto"/>
              <w:ind w:left="56" w:right="29" w:firstLine="0"/>
              <w:jc w:val="center"/>
              <w:rPr>
                <w:rFonts w:ascii="Times New Roman" w:hAnsi="Times New Roman" w:eastAsia="宋体" w:cs="Times New Roman"/>
                <w:sz w:val="21"/>
                <w:szCs w:val="21"/>
                <w:lang w:val="zh-CN" w:eastAsia="zh-CN" w:bidi="zh-CN"/>
              </w:rPr>
            </w:pPr>
            <w:r>
              <w:rPr>
                <w:rFonts w:ascii="Times New Roman" w:hAnsi="Times New Roman" w:eastAsia="宋体" w:cs="Times New Roman"/>
                <w:sz w:val="21"/>
                <w:szCs w:val="21"/>
                <w:lang w:val="zh-CN" w:eastAsia="zh-CN" w:bidi="zh-CN"/>
              </w:rPr>
              <w:t>是</w:t>
            </w:r>
          </w:p>
        </w:tc>
        <w:tc>
          <w:tcPr>
            <w:tcW w:w="1189" w:type="dxa"/>
            <w:noWrap w:val="0"/>
            <w:vAlign w:val="center"/>
          </w:tcPr>
          <w:p w14:paraId="51905ADF">
            <w:pPr>
              <w:keepNext w:val="0"/>
              <w:keepLines w:val="0"/>
              <w:pageBreakBefore w:val="0"/>
              <w:widowControl w:val="0"/>
              <w:spacing w:after="0" w:line="250" w:lineRule="auto"/>
              <w:ind w:left="317" w:right="0" w:hanging="317"/>
              <w:jc w:val="center"/>
              <w:rPr>
                <w:rFonts w:ascii="Times New Roman" w:hAnsi="Times New Roman" w:eastAsia="宋体" w:cs="Times New Roman"/>
                <w:sz w:val="21"/>
                <w:szCs w:val="22"/>
                <w:lang w:val="zh-CN" w:eastAsia="zh-CN" w:bidi="zh-CN"/>
              </w:rPr>
            </w:pPr>
            <w:r>
              <w:rPr>
                <w:rFonts w:ascii="Times New Roman" w:hAnsi="Times New Roman" w:eastAsia="宋体" w:cs="Times New Roman"/>
                <w:sz w:val="21"/>
                <w:szCs w:val="22"/>
                <w:lang w:val="zh-CN" w:eastAsia="zh-CN" w:bidi="zh-CN"/>
              </w:rPr>
              <w:t>进入</w:t>
            </w:r>
            <w:r>
              <w:rPr>
                <w:rFonts w:ascii="Times New Roman" w:hAnsi="Times New Roman" w:eastAsia="宋体" w:cs="Times New Roman"/>
                <w:sz w:val="21"/>
                <w:szCs w:val="22"/>
                <w:lang w:val="en-US" w:eastAsia="zh-CN" w:bidi="zh-CN"/>
              </w:rPr>
              <w:t>芒市</w:t>
            </w:r>
            <w:r>
              <w:rPr>
                <w:rFonts w:ascii="Times New Roman" w:hAnsi="Times New Roman" w:eastAsia="宋体" w:cs="Times New Roman"/>
                <w:sz w:val="21"/>
                <w:szCs w:val="22"/>
                <w:lang w:val="zh-CN" w:eastAsia="zh-CN" w:bidi="zh-CN"/>
              </w:rPr>
              <w:t>污水处理厂</w:t>
            </w:r>
          </w:p>
        </w:tc>
      </w:tr>
    </w:tbl>
    <w:p w14:paraId="184569A2">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（4）应向社会公布的信息内容</w:t>
      </w:r>
    </w:p>
    <w:p w14:paraId="4315B068">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应向社会公开的信息内容包括污染物排放达标情况、区域</w:t>
      </w:r>
      <w:r>
        <w:rPr>
          <w:rFonts w:hint="eastAsia" w:ascii="Times New Roman" w:hAnsi="Times New Roman" w:eastAsia="宋体" w:cs="Times New Roman"/>
          <w:szCs w:val="22"/>
          <w:lang w:val="zh-CN" w:eastAsia="zh-CN"/>
        </w:rPr>
        <w:t>环境</w:t>
      </w:r>
      <w:r>
        <w:rPr>
          <w:rFonts w:ascii="Times New Roman" w:hAnsi="Times New Roman" w:eastAsia="宋体" w:cs="Times New Roman"/>
          <w:szCs w:val="22"/>
          <w:lang w:val="zh-CN" w:eastAsia="zh-CN"/>
        </w:rPr>
        <w:t>情况、项目环评及竣工验收情况等。</w:t>
      </w:r>
    </w:p>
    <w:p w14:paraId="22C45250">
      <w:pPr>
        <w:pStyle w:val="187"/>
        <w:rPr>
          <w:rFonts w:hint="eastAsia" w:ascii="Times New Roman" w:hAnsi="Times New Roman"/>
          <w:bCs/>
          <w:lang w:val="zh-CN" w:eastAsia="zh-CN"/>
        </w:rPr>
      </w:pPr>
      <w:r>
        <w:rPr>
          <w:rFonts w:hint="eastAsia" w:ascii="Times New Roman" w:hAnsi="Times New Roman"/>
          <w:bCs/>
          <w:lang w:val="en-US" w:eastAsia="zh-CN"/>
        </w:rPr>
        <w:t>11.3</w:t>
      </w:r>
      <w:r>
        <w:rPr>
          <w:rFonts w:hint="eastAsia" w:ascii="Times New Roman" w:hAnsi="Times New Roman"/>
          <w:bCs/>
          <w:lang w:val="zh-CN" w:eastAsia="zh-CN"/>
        </w:rPr>
        <w:t>环境监测计划</w:t>
      </w:r>
    </w:p>
    <w:p w14:paraId="61E02251">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环境监测计划的目的是评价各项环保措施的有效性，对评价项目的施工和运营过程中未曾预测到的环境问题及早做出反应，根据监测的数据制定政策，改进或补充环保措施，以使该项目对环境的影响降到最低的程度。</w:t>
      </w:r>
    </w:p>
    <w:p w14:paraId="262004CF">
      <w:pPr>
        <w:ind w:firstLine="0"/>
        <w:contextualSpacing/>
        <w:outlineLvl w:val="2"/>
        <w:rPr>
          <w:rFonts w:hint="eastAsia" w:eastAsia="黑体"/>
          <w:sz w:val="28"/>
          <w:szCs w:val="28"/>
          <w:lang w:val="zh-CN" w:eastAsia="zh-CN"/>
        </w:rPr>
      </w:pPr>
      <w:r>
        <w:rPr>
          <w:rFonts w:hint="eastAsia" w:eastAsia="黑体"/>
          <w:sz w:val="28"/>
          <w:szCs w:val="28"/>
          <w:lang w:val="en-US" w:eastAsia="zh-CN"/>
        </w:rPr>
        <w:t>11.3.1</w:t>
      </w:r>
      <w:r>
        <w:rPr>
          <w:rFonts w:hint="eastAsia" w:eastAsia="黑体"/>
          <w:sz w:val="28"/>
          <w:szCs w:val="28"/>
          <w:lang w:val="zh-CN" w:eastAsia="zh-CN"/>
        </w:rPr>
        <w:t>施工期监测计划</w:t>
      </w:r>
    </w:p>
    <w:p w14:paraId="0049C403">
      <w:pPr>
        <w:pStyle w:val="445"/>
        <w:rPr>
          <w:color w:val="000000"/>
        </w:rPr>
      </w:pPr>
      <w:r>
        <w:rPr>
          <w:rFonts w:hint="eastAsia" w:ascii="Times New Roman" w:hAnsi="Times New Roman" w:eastAsia="宋体" w:cs="Times New Roman"/>
          <w:color w:val="000000"/>
          <w:szCs w:val="22"/>
          <w:lang w:val="en-US" w:eastAsia="zh-CN"/>
        </w:rPr>
        <w:t>由于项目施工期已经结束，仅进行少部分的整改施工，</w:t>
      </w:r>
      <w:r>
        <w:rPr>
          <w:color w:val="000000"/>
        </w:rPr>
        <w:t>因此本环评在此不做项目施工期的监测。</w:t>
      </w:r>
    </w:p>
    <w:p w14:paraId="4ED86B02">
      <w:pPr>
        <w:ind w:firstLine="0"/>
        <w:contextualSpacing/>
        <w:outlineLvl w:val="2"/>
        <w:rPr>
          <w:rFonts w:hint="eastAsia" w:eastAsia="黑体"/>
          <w:sz w:val="28"/>
          <w:szCs w:val="28"/>
          <w:lang w:val="zh-CN" w:eastAsia="zh-CN"/>
        </w:rPr>
      </w:pPr>
      <w:r>
        <w:rPr>
          <w:rFonts w:hint="eastAsia" w:eastAsia="黑体"/>
          <w:sz w:val="28"/>
          <w:szCs w:val="28"/>
          <w:lang w:val="en-US" w:eastAsia="zh-CN"/>
        </w:rPr>
        <w:t>11.3.2</w:t>
      </w:r>
      <w:r>
        <w:rPr>
          <w:rFonts w:hint="eastAsia" w:eastAsia="黑体"/>
          <w:sz w:val="28"/>
          <w:szCs w:val="28"/>
          <w:lang w:val="zh-CN" w:eastAsia="zh-CN"/>
        </w:rPr>
        <w:t>营运期、</w:t>
      </w:r>
      <w:r>
        <w:rPr>
          <w:rFonts w:hint="eastAsia" w:eastAsia="黑体"/>
          <w:sz w:val="28"/>
          <w:szCs w:val="28"/>
          <w:lang w:val="en-US" w:eastAsia="zh-CN"/>
        </w:rPr>
        <w:t>竣工验收</w:t>
      </w:r>
      <w:r>
        <w:rPr>
          <w:rFonts w:hint="eastAsia" w:eastAsia="黑体"/>
          <w:sz w:val="28"/>
          <w:szCs w:val="28"/>
          <w:lang w:val="zh-CN" w:eastAsia="zh-CN"/>
        </w:rPr>
        <w:t>监测计划</w:t>
      </w:r>
    </w:p>
    <w:p w14:paraId="50A209C8">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（1）污染源监测计划</w:t>
      </w:r>
    </w:p>
    <w:p w14:paraId="0A068CEE">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根据项目特点，营运期污染源监测包括废水、废气和噪声监测。本次评价参考《排污单位自行监测技术指南 石油化学工业》（HJ947-2018）、《排污单位自行监测技术指南 涂料油墨制造（征求意见稿）》制定正常运营情况的环境监测计划表。当发生污染事故时，应根据具体情况相应增加监测频次，并进行追踪监测。</w:t>
      </w:r>
    </w:p>
    <w:p w14:paraId="597FB09A">
      <w:pPr>
        <w:widowControl w:val="0"/>
        <w:spacing w:before="7" w:after="5" w:line="240" w:lineRule="auto"/>
        <w:ind w:left="0" w:right="0"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 xml:space="preserve">表 </w:t>
      </w:r>
      <w:r>
        <w:rPr>
          <w:rFonts w:ascii="Times New Roman" w:hAnsi="Times New Roman" w:eastAsia="宋体" w:cs="Times New Roman"/>
          <w:b/>
          <w:bCs/>
          <w:sz w:val="24"/>
          <w:szCs w:val="24"/>
          <w:lang w:val="en-US" w:eastAsia="zh-CN" w:bidi="zh-CN"/>
        </w:rPr>
        <w:t>11.3</w:t>
      </w:r>
      <w:r>
        <w:rPr>
          <w:rFonts w:ascii="Times New Roman" w:hAnsi="Times New Roman" w:eastAsia="宋体" w:cs="Times New Roman"/>
          <w:b/>
          <w:bCs/>
          <w:sz w:val="24"/>
          <w:szCs w:val="24"/>
          <w:lang w:val="zh-CN" w:eastAsia="zh-CN" w:bidi="zh-CN"/>
        </w:rPr>
        <w:t>-1  项目环境监测计划一览表</w:t>
      </w:r>
    </w:p>
    <w:tbl>
      <w:tblPr>
        <w:tblStyle w:val="32"/>
        <w:tblW w:w="859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396"/>
        <w:gridCol w:w="809"/>
        <w:gridCol w:w="1650"/>
        <w:gridCol w:w="2379"/>
        <w:gridCol w:w="1350"/>
        <w:gridCol w:w="1155"/>
        <w:gridCol w:w="852"/>
      </w:tblGrid>
      <w:tr w14:paraId="0A6A3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45" w:hRule="atLeast"/>
          <w:jc w:val="center"/>
        </w:trPr>
        <w:tc>
          <w:tcPr>
            <w:tcW w:w="396" w:type="dxa"/>
            <w:noWrap w:val="0"/>
            <w:vAlign w:val="center"/>
          </w:tcPr>
          <w:p w14:paraId="48DF40CE">
            <w:pPr>
              <w:widowControl w:val="0"/>
              <w:spacing w:before="0" w:after="0" w:line="242" w:lineRule="auto"/>
              <w:ind w:left="107" w:right="74"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阶段</w:t>
            </w:r>
          </w:p>
        </w:tc>
        <w:tc>
          <w:tcPr>
            <w:tcW w:w="809" w:type="dxa"/>
            <w:noWrap w:val="0"/>
            <w:vAlign w:val="center"/>
          </w:tcPr>
          <w:p w14:paraId="4B4CE7C1">
            <w:pPr>
              <w:widowControl w:val="0"/>
              <w:spacing w:before="0" w:after="0" w:line="242" w:lineRule="auto"/>
              <w:ind w:left="107" w:right="74"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监测要素</w:t>
            </w:r>
          </w:p>
        </w:tc>
        <w:tc>
          <w:tcPr>
            <w:tcW w:w="1650" w:type="dxa"/>
            <w:noWrap w:val="0"/>
            <w:vAlign w:val="center"/>
          </w:tcPr>
          <w:p w14:paraId="07EECBFD">
            <w:pPr>
              <w:widowControl w:val="0"/>
              <w:spacing w:before="0" w:after="0" w:line="242" w:lineRule="auto"/>
              <w:ind w:left="107" w:right="74"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监测点</w:t>
            </w:r>
          </w:p>
        </w:tc>
        <w:tc>
          <w:tcPr>
            <w:tcW w:w="2379" w:type="dxa"/>
            <w:noWrap w:val="0"/>
            <w:vAlign w:val="center"/>
          </w:tcPr>
          <w:p w14:paraId="791C2CBC">
            <w:pPr>
              <w:widowControl w:val="0"/>
              <w:spacing w:before="0" w:after="0" w:line="242" w:lineRule="auto"/>
              <w:ind w:left="107" w:right="74"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监测因子</w:t>
            </w:r>
          </w:p>
        </w:tc>
        <w:tc>
          <w:tcPr>
            <w:tcW w:w="1350" w:type="dxa"/>
            <w:noWrap w:val="0"/>
            <w:vAlign w:val="center"/>
          </w:tcPr>
          <w:p w14:paraId="7072C11F">
            <w:pPr>
              <w:widowControl w:val="0"/>
              <w:spacing w:before="0" w:after="0" w:line="242" w:lineRule="auto"/>
              <w:ind w:left="107" w:right="74"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监测频率</w:t>
            </w:r>
          </w:p>
        </w:tc>
        <w:tc>
          <w:tcPr>
            <w:tcW w:w="1155" w:type="dxa"/>
            <w:noWrap w:val="0"/>
            <w:vAlign w:val="center"/>
          </w:tcPr>
          <w:p w14:paraId="4BCAB212">
            <w:pPr>
              <w:widowControl w:val="0"/>
              <w:spacing w:before="0" w:after="0" w:line="242" w:lineRule="auto"/>
              <w:ind w:left="107" w:right="74"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监测机构</w:t>
            </w:r>
          </w:p>
        </w:tc>
        <w:tc>
          <w:tcPr>
            <w:tcW w:w="852" w:type="dxa"/>
            <w:noWrap w:val="0"/>
            <w:vAlign w:val="center"/>
          </w:tcPr>
          <w:p w14:paraId="191A4F3F">
            <w:pPr>
              <w:widowControl w:val="0"/>
              <w:spacing w:before="0" w:after="0" w:line="242" w:lineRule="auto"/>
              <w:ind w:left="107" w:right="74" w:firstLine="0"/>
              <w:jc w:val="center"/>
              <w:rPr>
                <w:rFonts w:hint="eastAsia" w:ascii="Times New Roman" w:hAnsi="Times New Roman" w:eastAsia="宋体" w:cs="Times New Roman"/>
                <w:b/>
                <w:bCs/>
                <w:color w:val="000000"/>
                <w:sz w:val="21"/>
                <w:szCs w:val="21"/>
                <w:lang w:val="zh-CN" w:eastAsia="zh-CN"/>
              </w:rPr>
            </w:pPr>
            <w:r>
              <w:rPr>
                <w:rFonts w:hint="eastAsia" w:ascii="Times New Roman" w:hAnsi="Times New Roman" w:eastAsia="宋体" w:cs="Times New Roman"/>
                <w:b/>
                <w:bCs/>
                <w:color w:val="000000"/>
                <w:sz w:val="21"/>
                <w:szCs w:val="21"/>
                <w:lang w:val="zh-CN" w:eastAsia="zh-CN"/>
              </w:rPr>
              <w:t>负责机构</w:t>
            </w:r>
          </w:p>
        </w:tc>
      </w:tr>
      <w:tr w14:paraId="7DBC8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7" w:hRule="atLeast"/>
          <w:jc w:val="center"/>
        </w:trPr>
        <w:tc>
          <w:tcPr>
            <w:tcW w:w="396" w:type="dxa"/>
            <w:vMerge w:val="restart"/>
            <w:noWrap w:val="0"/>
            <w:vAlign w:val="center"/>
          </w:tcPr>
          <w:p w14:paraId="4DD7AD0D">
            <w:pPr>
              <w:widowControl w:val="0"/>
              <w:spacing w:before="9" w:after="0" w:line="240" w:lineRule="auto"/>
              <w:ind w:left="0" w:right="0" w:firstLine="0"/>
              <w:jc w:val="center"/>
              <w:rPr>
                <w:rFonts w:ascii="黑体" w:hAnsi="Times New Roman" w:eastAsia="Times New Roman" w:cs="Times New Roman"/>
                <w:sz w:val="27"/>
                <w:szCs w:val="22"/>
                <w:lang w:val="zh-CN" w:eastAsia="zh-CN" w:bidi="zh-CN"/>
              </w:rPr>
            </w:pPr>
          </w:p>
          <w:p w14:paraId="1EE6E79B">
            <w:pPr>
              <w:widowControl w:val="0"/>
              <w:spacing w:before="0" w:after="0" w:line="242" w:lineRule="auto"/>
              <w:ind w:left="107" w:right="74" w:firstLine="0"/>
              <w:jc w:val="center"/>
              <w:rPr>
                <w:rFonts w:ascii="宋体" w:hAnsi="Times New Roman" w:eastAsia="宋体" w:cs="Times New Roman"/>
                <w:sz w:val="21"/>
                <w:szCs w:val="22"/>
                <w:lang w:val="en-US" w:eastAsia="zh-CN" w:bidi="zh-CN"/>
              </w:rPr>
            </w:pPr>
            <w:r>
              <w:rPr>
                <w:rFonts w:hint="eastAsia" w:ascii="Times New Roman" w:hAnsi="Times New Roman" w:eastAsia="宋体" w:cs="Times New Roman"/>
                <w:color w:val="000000"/>
                <w:sz w:val="21"/>
                <w:szCs w:val="21"/>
                <w:lang w:val="zh-CN" w:eastAsia="zh-CN"/>
              </w:rPr>
              <w:t>营运期</w:t>
            </w:r>
            <w:r>
              <w:rPr>
                <w:rFonts w:hint="eastAsia" w:ascii="Times New Roman" w:hAnsi="Times New Roman" w:eastAsia="宋体" w:cs="Times New Roman"/>
                <w:color w:val="000000"/>
                <w:sz w:val="21"/>
                <w:szCs w:val="21"/>
                <w:lang w:val="en-US" w:eastAsia="zh-CN"/>
              </w:rPr>
              <w:t>/竣工验收</w:t>
            </w:r>
          </w:p>
        </w:tc>
        <w:tc>
          <w:tcPr>
            <w:tcW w:w="809" w:type="dxa"/>
            <w:vMerge w:val="restart"/>
            <w:noWrap w:val="0"/>
            <w:vAlign w:val="center"/>
          </w:tcPr>
          <w:p w14:paraId="29EDD2C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0C4C4C36">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1DB42B4B">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0B43383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p w14:paraId="4A3F242E">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废气</w:t>
            </w:r>
          </w:p>
        </w:tc>
        <w:tc>
          <w:tcPr>
            <w:tcW w:w="1650" w:type="dxa"/>
            <w:noWrap w:val="0"/>
            <w:vAlign w:val="center"/>
          </w:tcPr>
          <w:p w14:paraId="4CA2ADC8">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1#排气筒</w:t>
            </w:r>
          </w:p>
        </w:tc>
        <w:tc>
          <w:tcPr>
            <w:tcW w:w="2379" w:type="dxa"/>
            <w:noWrap w:val="0"/>
            <w:vAlign w:val="center"/>
          </w:tcPr>
          <w:p w14:paraId="15A25FE5">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1350" w:type="dxa"/>
            <w:vMerge w:val="restart"/>
            <w:noWrap w:val="0"/>
            <w:vAlign w:val="center"/>
          </w:tcPr>
          <w:p w14:paraId="55996812">
            <w:pPr>
              <w:ind w:firstLine="0"/>
              <w:contextualSpacing/>
              <w:jc w:val="center"/>
              <w:outlineLvl w:val="2"/>
              <w:rPr>
                <w:rFonts w:hint="eastAsia" w:ascii="Times New Roman" w:hAnsi="Times New Roman" w:eastAsia="宋体" w:cs="Times New Roman"/>
                <w:color w:val="000000"/>
                <w:sz w:val="21"/>
                <w:szCs w:val="21"/>
                <w:lang w:val="zh-CN" w:eastAsia="zh-CN"/>
              </w:rPr>
            </w:pPr>
            <w:r>
              <w:rPr>
                <w:rFonts w:hint="eastAsia"/>
                <w:sz w:val="21"/>
                <w:szCs w:val="21"/>
              </w:rPr>
              <w:t>每年监测频率不少于2次，每次</w:t>
            </w:r>
            <w:r>
              <w:rPr>
                <w:sz w:val="21"/>
                <w:szCs w:val="21"/>
              </w:rPr>
              <w:t>连续2天，每天采3个样</w:t>
            </w:r>
          </w:p>
        </w:tc>
        <w:tc>
          <w:tcPr>
            <w:tcW w:w="1155" w:type="dxa"/>
            <w:vMerge w:val="restart"/>
            <w:noWrap w:val="0"/>
            <w:vAlign w:val="center"/>
          </w:tcPr>
          <w:p w14:paraId="543DEA85">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有环境监测资质的单位</w:t>
            </w:r>
          </w:p>
        </w:tc>
        <w:tc>
          <w:tcPr>
            <w:tcW w:w="852" w:type="dxa"/>
            <w:vMerge w:val="restart"/>
            <w:noWrap w:val="0"/>
            <w:vAlign w:val="center"/>
          </w:tcPr>
          <w:p w14:paraId="10FA65D4">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建设单位</w:t>
            </w:r>
          </w:p>
        </w:tc>
      </w:tr>
      <w:tr w14:paraId="3FEC6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7" w:hRule="atLeast"/>
          <w:jc w:val="center"/>
        </w:trPr>
        <w:tc>
          <w:tcPr>
            <w:tcW w:w="396" w:type="dxa"/>
            <w:vMerge w:val="continue"/>
            <w:noWrap w:val="0"/>
            <w:vAlign w:val="center"/>
          </w:tcPr>
          <w:p w14:paraId="5CF03CB2">
            <w:pPr>
              <w:widowControl w:val="0"/>
              <w:spacing w:before="0" w:after="0" w:line="240" w:lineRule="auto"/>
              <w:ind w:left="0" w:right="0" w:firstLine="0"/>
              <w:jc w:val="center"/>
              <w:rPr>
                <w:rFonts w:ascii="宋体" w:hAnsi="宋体" w:eastAsia="宋体" w:cs="宋体"/>
                <w:sz w:val="2"/>
                <w:szCs w:val="2"/>
                <w:lang w:val="zh-CN" w:bidi="zh-CN"/>
              </w:rPr>
            </w:pPr>
          </w:p>
        </w:tc>
        <w:tc>
          <w:tcPr>
            <w:tcW w:w="809" w:type="dxa"/>
            <w:vMerge w:val="continue"/>
            <w:noWrap w:val="0"/>
            <w:vAlign w:val="center"/>
          </w:tcPr>
          <w:p w14:paraId="5D75C2A4">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1650" w:type="dxa"/>
            <w:noWrap w:val="0"/>
            <w:vAlign w:val="center"/>
          </w:tcPr>
          <w:p w14:paraId="57A2178D">
            <w:pPr>
              <w:widowControl w:val="0"/>
              <w:spacing w:before="40" w:after="40" w:line="240" w:lineRule="auto"/>
              <w:ind w:firstLine="0"/>
              <w:jc w:val="center"/>
              <w:rPr>
                <w:rFonts w:hint="eastAsia" w:ascii="Times New Roman" w:hAnsi="Times New Roman" w:eastAsia="宋体" w:cs="Times New Roman"/>
                <w:color w:val="FF0000"/>
                <w:sz w:val="21"/>
                <w:szCs w:val="21"/>
                <w:lang w:val="zh-CN" w:eastAsia="zh-CN"/>
              </w:rPr>
            </w:pPr>
            <w:r>
              <w:rPr>
                <w:rFonts w:hint="eastAsia" w:ascii="Times New Roman" w:hAnsi="Times New Roman" w:eastAsia="宋体" w:cs="Times New Roman"/>
                <w:color w:val="FF0000"/>
                <w:sz w:val="21"/>
                <w:szCs w:val="21"/>
                <w:lang w:val="zh-CN" w:eastAsia="zh-CN"/>
              </w:rPr>
              <w:t>2#排气筒</w:t>
            </w:r>
          </w:p>
        </w:tc>
        <w:tc>
          <w:tcPr>
            <w:tcW w:w="2379" w:type="dxa"/>
            <w:noWrap w:val="0"/>
            <w:vAlign w:val="center"/>
          </w:tcPr>
          <w:p w14:paraId="33812944">
            <w:pPr>
              <w:widowControl w:val="0"/>
              <w:spacing w:before="40" w:after="40" w:line="240" w:lineRule="auto"/>
              <w:ind w:firstLine="0"/>
              <w:jc w:val="center"/>
              <w:rPr>
                <w:rFonts w:hint="eastAsia" w:ascii="Times New Roman" w:hAnsi="Times New Roman" w:eastAsia="宋体" w:cs="Times New Roman"/>
                <w:color w:val="FF0000"/>
                <w:sz w:val="21"/>
                <w:szCs w:val="21"/>
                <w:lang w:val="zh-CN" w:eastAsia="zh-CN"/>
              </w:rPr>
            </w:pPr>
            <w:r>
              <w:rPr>
                <w:rFonts w:hint="eastAsia" w:ascii="Times New Roman" w:hAnsi="Times New Roman" w:eastAsia="宋体" w:cs="Times New Roman"/>
                <w:color w:val="FF0000"/>
                <w:sz w:val="21"/>
                <w:szCs w:val="21"/>
                <w:lang w:val="zh-CN" w:eastAsia="zh-CN"/>
              </w:rPr>
              <w:t>甲醛、</w:t>
            </w:r>
            <w:r>
              <w:rPr>
                <w:rFonts w:hint="eastAsia" w:ascii="Times New Roman" w:hAnsi="Times New Roman" w:eastAsia="宋体" w:cs="Times New Roman"/>
                <w:color w:val="FF0000"/>
                <w:sz w:val="21"/>
                <w:szCs w:val="21"/>
                <w:lang w:val="en-US" w:eastAsia="zh-CN"/>
              </w:rPr>
              <w:t>氨、酚类</w:t>
            </w:r>
            <w:r>
              <w:rPr>
                <w:rFonts w:hint="eastAsia" w:ascii="Times New Roman" w:hAnsi="Times New Roman" w:eastAsia="宋体" w:cs="Times New Roman"/>
                <w:color w:val="FF0000"/>
                <w:sz w:val="21"/>
                <w:szCs w:val="21"/>
                <w:lang w:val="zh-CN" w:eastAsia="zh-CN"/>
              </w:rPr>
              <w:t>、VOCs</w:t>
            </w:r>
          </w:p>
        </w:tc>
        <w:tc>
          <w:tcPr>
            <w:tcW w:w="1350" w:type="dxa"/>
            <w:vMerge w:val="continue"/>
            <w:noWrap w:val="0"/>
            <w:vAlign w:val="center"/>
          </w:tcPr>
          <w:p w14:paraId="0128F64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1155" w:type="dxa"/>
            <w:vMerge w:val="continue"/>
            <w:noWrap w:val="0"/>
            <w:vAlign w:val="center"/>
          </w:tcPr>
          <w:p w14:paraId="3A70B2BA">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852" w:type="dxa"/>
            <w:vMerge w:val="continue"/>
            <w:noWrap w:val="0"/>
            <w:vAlign w:val="center"/>
          </w:tcPr>
          <w:p w14:paraId="3CABC6C4">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r>
      <w:tr w14:paraId="4680A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7" w:hRule="atLeast"/>
          <w:jc w:val="center"/>
        </w:trPr>
        <w:tc>
          <w:tcPr>
            <w:tcW w:w="396" w:type="dxa"/>
            <w:vMerge w:val="continue"/>
            <w:noWrap w:val="0"/>
            <w:vAlign w:val="center"/>
          </w:tcPr>
          <w:p w14:paraId="2507A5A5">
            <w:pPr>
              <w:widowControl w:val="0"/>
              <w:spacing w:before="0" w:after="0" w:line="240" w:lineRule="auto"/>
              <w:ind w:left="0" w:right="0" w:firstLine="0"/>
              <w:jc w:val="center"/>
              <w:rPr>
                <w:rFonts w:ascii="宋体" w:hAnsi="宋体" w:eastAsia="宋体" w:cs="宋体"/>
                <w:sz w:val="2"/>
                <w:szCs w:val="2"/>
                <w:lang w:val="zh-CN" w:bidi="zh-CN"/>
              </w:rPr>
            </w:pPr>
          </w:p>
        </w:tc>
        <w:tc>
          <w:tcPr>
            <w:tcW w:w="809" w:type="dxa"/>
            <w:vMerge w:val="continue"/>
            <w:noWrap w:val="0"/>
            <w:vAlign w:val="center"/>
          </w:tcPr>
          <w:p w14:paraId="4ADB7A36">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1650" w:type="dxa"/>
            <w:noWrap w:val="0"/>
            <w:vAlign w:val="center"/>
          </w:tcPr>
          <w:p w14:paraId="6923A78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3#排气筒</w:t>
            </w:r>
          </w:p>
        </w:tc>
        <w:tc>
          <w:tcPr>
            <w:tcW w:w="2379" w:type="dxa"/>
            <w:noWrap w:val="0"/>
            <w:vAlign w:val="center"/>
          </w:tcPr>
          <w:p w14:paraId="11F07C8F">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r>
              <w:rPr>
                <w:rFonts w:hint="eastAsia" w:ascii="Times New Roman" w:hAnsi="Times New Roman" w:eastAsia="宋体" w:cs="Times New Roman"/>
                <w:color w:val="000000"/>
                <w:sz w:val="21"/>
                <w:szCs w:val="21"/>
                <w:lang w:val="zh-CN" w:eastAsia="zh-CN"/>
              </w:rPr>
              <w:t>、</w:t>
            </w:r>
            <w:r>
              <w:rPr>
                <w:rFonts w:hint="eastAsia" w:ascii="Times New Roman" w:hAnsi="Times New Roman" w:eastAsia="宋体" w:cs="Times New Roman"/>
                <w:color w:val="000000"/>
                <w:sz w:val="21"/>
                <w:szCs w:val="21"/>
                <w:lang w:val="en-US" w:eastAsia="zh-CN"/>
              </w:rPr>
              <w:t>SO</w:t>
            </w:r>
            <w:r>
              <w:rPr>
                <w:rFonts w:hint="eastAsia" w:ascii="Times New Roman" w:hAnsi="Times New Roman" w:eastAsia="宋体" w:cs="Times New Roman"/>
                <w:color w:val="000000"/>
                <w:sz w:val="21"/>
                <w:szCs w:val="21"/>
                <w:vertAlign w:val="subscript"/>
                <w:lang w:val="en-US" w:eastAsia="zh-CN"/>
              </w:rPr>
              <w:t>2</w:t>
            </w:r>
            <w:r>
              <w:rPr>
                <w:rFonts w:hint="eastAsia" w:ascii="Times New Roman" w:hAnsi="Times New Roman" w:eastAsia="宋体" w:cs="Times New Roman"/>
                <w:color w:val="000000"/>
                <w:sz w:val="21"/>
                <w:szCs w:val="21"/>
                <w:lang w:val="zh-CN" w:eastAsia="zh-CN"/>
              </w:rPr>
              <w:t>、</w:t>
            </w:r>
            <w:r>
              <w:rPr>
                <w:rFonts w:hint="eastAsia" w:ascii="Times New Roman" w:hAnsi="Times New Roman" w:eastAsia="宋体" w:cs="Times New Roman"/>
                <w:color w:val="000000"/>
                <w:sz w:val="21"/>
                <w:szCs w:val="21"/>
                <w:lang w:val="en-US" w:eastAsia="zh-CN"/>
              </w:rPr>
              <w:t>NO</w:t>
            </w:r>
            <w:r>
              <w:rPr>
                <w:rFonts w:hint="eastAsia" w:ascii="Times New Roman" w:hAnsi="Times New Roman" w:eastAsia="宋体" w:cs="Times New Roman"/>
                <w:color w:val="000000"/>
                <w:sz w:val="21"/>
                <w:szCs w:val="21"/>
                <w:vertAlign w:val="subscript"/>
                <w:lang w:val="en-US" w:eastAsia="zh-CN"/>
              </w:rPr>
              <w:t>X</w:t>
            </w:r>
          </w:p>
        </w:tc>
        <w:tc>
          <w:tcPr>
            <w:tcW w:w="1350" w:type="dxa"/>
            <w:vMerge w:val="continue"/>
            <w:noWrap w:val="0"/>
            <w:vAlign w:val="center"/>
          </w:tcPr>
          <w:p w14:paraId="12722482">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1155" w:type="dxa"/>
            <w:vMerge w:val="continue"/>
            <w:noWrap w:val="0"/>
            <w:vAlign w:val="center"/>
          </w:tcPr>
          <w:p w14:paraId="2511289B">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852" w:type="dxa"/>
            <w:vMerge w:val="continue"/>
            <w:noWrap w:val="0"/>
            <w:vAlign w:val="center"/>
          </w:tcPr>
          <w:p w14:paraId="51C0372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r>
      <w:tr w14:paraId="7E723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14" w:hRule="atLeast"/>
          <w:jc w:val="center"/>
        </w:trPr>
        <w:tc>
          <w:tcPr>
            <w:tcW w:w="396" w:type="dxa"/>
            <w:vMerge w:val="continue"/>
            <w:noWrap w:val="0"/>
            <w:vAlign w:val="center"/>
          </w:tcPr>
          <w:p w14:paraId="324386A0">
            <w:pPr>
              <w:widowControl w:val="0"/>
              <w:spacing w:before="0" w:after="0" w:line="240" w:lineRule="auto"/>
              <w:ind w:left="0" w:right="0" w:firstLine="0"/>
              <w:jc w:val="center"/>
              <w:rPr>
                <w:rFonts w:ascii="宋体" w:hAnsi="宋体" w:eastAsia="宋体" w:cs="宋体"/>
                <w:sz w:val="2"/>
                <w:szCs w:val="2"/>
                <w:lang w:val="zh-CN" w:bidi="zh-CN"/>
              </w:rPr>
            </w:pPr>
          </w:p>
        </w:tc>
        <w:tc>
          <w:tcPr>
            <w:tcW w:w="809" w:type="dxa"/>
            <w:vMerge w:val="continue"/>
            <w:noWrap w:val="0"/>
            <w:vAlign w:val="center"/>
          </w:tcPr>
          <w:p w14:paraId="67A2DE6A">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1650" w:type="dxa"/>
            <w:noWrap w:val="0"/>
            <w:vAlign w:val="center"/>
          </w:tcPr>
          <w:p w14:paraId="6B6EC7ED">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sz w:val="21"/>
                <w:szCs w:val="21"/>
              </w:rPr>
              <w:t>厂区上风向1个点、下风向2个点，共3个点</w:t>
            </w:r>
          </w:p>
        </w:tc>
        <w:tc>
          <w:tcPr>
            <w:tcW w:w="2379" w:type="dxa"/>
            <w:noWrap w:val="0"/>
            <w:vAlign w:val="center"/>
          </w:tcPr>
          <w:p w14:paraId="0F8F5FBD">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甲醛、酚类、颗</w:t>
            </w:r>
          </w:p>
          <w:p w14:paraId="30C5F2EC">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粒物、VOCs、臭气浓度</w:t>
            </w:r>
          </w:p>
        </w:tc>
        <w:tc>
          <w:tcPr>
            <w:tcW w:w="1350" w:type="dxa"/>
            <w:noWrap w:val="0"/>
            <w:vAlign w:val="center"/>
          </w:tcPr>
          <w:p w14:paraId="100C9095">
            <w:pPr>
              <w:ind w:firstLine="0"/>
              <w:contextualSpacing/>
              <w:jc w:val="center"/>
              <w:outlineLvl w:val="2"/>
              <w:rPr>
                <w:rFonts w:hint="eastAsia" w:ascii="Times New Roman" w:hAnsi="Times New Roman" w:eastAsia="宋体" w:cs="Times New Roman"/>
                <w:color w:val="000000"/>
                <w:sz w:val="21"/>
                <w:szCs w:val="21"/>
                <w:lang w:val="zh-CN" w:eastAsia="zh-CN"/>
              </w:rPr>
            </w:pPr>
            <w:r>
              <w:rPr>
                <w:rFonts w:hint="eastAsia"/>
                <w:sz w:val="21"/>
                <w:szCs w:val="21"/>
              </w:rPr>
              <w:t>每年监测频率不少于2次，每次</w:t>
            </w:r>
            <w:r>
              <w:rPr>
                <w:sz w:val="21"/>
                <w:szCs w:val="21"/>
              </w:rPr>
              <w:t>连续2天，每天采3个样</w:t>
            </w:r>
          </w:p>
        </w:tc>
        <w:tc>
          <w:tcPr>
            <w:tcW w:w="1155" w:type="dxa"/>
            <w:vMerge w:val="continue"/>
            <w:noWrap w:val="0"/>
            <w:vAlign w:val="center"/>
          </w:tcPr>
          <w:p w14:paraId="18923212">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852" w:type="dxa"/>
            <w:vMerge w:val="continue"/>
            <w:noWrap w:val="0"/>
            <w:vAlign w:val="center"/>
          </w:tcPr>
          <w:p w14:paraId="2B639A05">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r>
      <w:tr w14:paraId="03C35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52" w:hRule="atLeast"/>
          <w:jc w:val="center"/>
        </w:trPr>
        <w:tc>
          <w:tcPr>
            <w:tcW w:w="396" w:type="dxa"/>
            <w:vMerge w:val="continue"/>
            <w:noWrap w:val="0"/>
            <w:vAlign w:val="center"/>
          </w:tcPr>
          <w:p w14:paraId="67E50D9A">
            <w:pPr>
              <w:widowControl w:val="0"/>
              <w:spacing w:before="0" w:after="0" w:line="240" w:lineRule="auto"/>
              <w:ind w:left="0" w:right="0" w:firstLine="0"/>
              <w:jc w:val="center"/>
              <w:rPr>
                <w:rFonts w:ascii="宋体" w:hAnsi="宋体" w:eastAsia="宋体" w:cs="宋体"/>
                <w:sz w:val="2"/>
                <w:szCs w:val="2"/>
                <w:lang w:val="zh-CN" w:bidi="zh-CN"/>
              </w:rPr>
            </w:pPr>
          </w:p>
        </w:tc>
        <w:tc>
          <w:tcPr>
            <w:tcW w:w="809" w:type="dxa"/>
            <w:vMerge w:val="restart"/>
            <w:noWrap w:val="0"/>
            <w:vAlign w:val="center"/>
          </w:tcPr>
          <w:p w14:paraId="2578131E">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废水</w:t>
            </w:r>
          </w:p>
        </w:tc>
        <w:tc>
          <w:tcPr>
            <w:tcW w:w="1650" w:type="dxa"/>
            <w:noWrap w:val="0"/>
            <w:vAlign w:val="center"/>
          </w:tcPr>
          <w:p w14:paraId="291790A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厂区废水总排口</w:t>
            </w:r>
          </w:p>
        </w:tc>
        <w:tc>
          <w:tcPr>
            <w:tcW w:w="2379" w:type="dxa"/>
            <w:noWrap w:val="0"/>
            <w:vAlign w:val="center"/>
          </w:tcPr>
          <w:p w14:paraId="478BF00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COD、BOD</w:t>
            </w:r>
            <w:r>
              <w:rPr>
                <w:rFonts w:hint="eastAsia" w:ascii="Times New Roman" w:hAnsi="Times New Roman" w:eastAsia="宋体" w:cs="Times New Roman"/>
                <w:color w:val="000000"/>
                <w:sz w:val="21"/>
                <w:szCs w:val="21"/>
                <w:vertAlign w:val="subscript"/>
                <w:lang w:val="zh-CN" w:eastAsia="zh-CN"/>
              </w:rPr>
              <w:t>5</w:t>
            </w:r>
            <w:r>
              <w:rPr>
                <w:rFonts w:hint="eastAsia" w:ascii="Times New Roman" w:hAnsi="Times New Roman" w:eastAsia="宋体" w:cs="Times New Roman"/>
                <w:color w:val="000000"/>
                <w:sz w:val="21"/>
                <w:szCs w:val="21"/>
                <w:lang w:val="zh-CN" w:eastAsia="zh-CN"/>
              </w:rPr>
              <w:t>、NH</w:t>
            </w:r>
            <w:r>
              <w:rPr>
                <w:rFonts w:hint="eastAsia" w:ascii="Times New Roman" w:hAnsi="Times New Roman" w:eastAsia="宋体" w:cs="Times New Roman"/>
                <w:color w:val="000000"/>
                <w:sz w:val="21"/>
                <w:szCs w:val="21"/>
                <w:vertAlign w:val="subscript"/>
                <w:lang w:val="zh-CN" w:eastAsia="zh-CN"/>
              </w:rPr>
              <w:t>3</w:t>
            </w:r>
            <w:r>
              <w:rPr>
                <w:rFonts w:hint="eastAsia" w:ascii="Times New Roman" w:hAnsi="Times New Roman" w:eastAsia="宋体" w:cs="Times New Roman"/>
                <w:color w:val="000000"/>
                <w:sz w:val="21"/>
                <w:szCs w:val="21"/>
                <w:lang w:val="zh-CN" w:eastAsia="zh-CN"/>
              </w:rPr>
              <w:t>-N、SS</w:t>
            </w:r>
          </w:p>
        </w:tc>
        <w:tc>
          <w:tcPr>
            <w:tcW w:w="1350" w:type="dxa"/>
            <w:vMerge w:val="restart"/>
            <w:noWrap w:val="0"/>
            <w:vAlign w:val="center"/>
          </w:tcPr>
          <w:p w14:paraId="7BEB262D">
            <w:pPr>
              <w:widowControl w:val="0"/>
              <w:spacing w:before="40" w:after="40" w:line="240" w:lineRule="auto"/>
              <w:ind w:left="0" w:firstLine="0"/>
              <w:jc w:val="center"/>
              <w:rPr>
                <w:rFonts w:hint="eastAsia" w:ascii="Times New Roman" w:hAnsi="Times New Roman" w:eastAsia="宋体" w:cs="Times New Roman"/>
                <w:color w:val="000000"/>
                <w:sz w:val="21"/>
                <w:szCs w:val="21"/>
                <w:lang w:val="zh-CN" w:eastAsia="zh-CN"/>
              </w:rPr>
            </w:pPr>
            <w:r>
              <w:rPr>
                <w:rFonts w:hint="eastAsia"/>
                <w:sz w:val="21"/>
                <w:szCs w:val="21"/>
              </w:rPr>
              <w:t>每年监测频率不少于2次，每次</w:t>
            </w:r>
            <w:r>
              <w:rPr>
                <w:sz w:val="21"/>
                <w:szCs w:val="21"/>
              </w:rPr>
              <w:t>连续2天，每天采3个样</w:t>
            </w:r>
          </w:p>
        </w:tc>
        <w:tc>
          <w:tcPr>
            <w:tcW w:w="1155" w:type="dxa"/>
            <w:vMerge w:val="continue"/>
            <w:noWrap w:val="0"/>
            <w:vAlign w:val="center"/>
          </w:tcPr>
          <w:p w14:paraId="7BD21E6A">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852" w:type="dxa"/>
            <w:vMerge w:val="continue"/>
            <w:noWrap w:val="0"/>
            <w:vAlign w:val="center"/>
          </w:tcPr>
          <w:p w14:paraId="41670102">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r>
      <w:tr w14:paraId="1221C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52" w:hRule="atLeast"/>
          <w:jc w:val="center"/>
        </w:trPr>
        <w:tc>
          <w:tcPr>
            <w:tcW w:w="396" w:type="dxa"/>
            <w:vMerge w:val="continue"/>
            <w:noWrap w:val="0"/>
            <w:vAlign w:val="center"/>
          </w:tcPr>
          <w:p w14:paraId="718CB188">
            <w:pPr>
              <w:widowControl w:val="0"/>
              <w:spacing w:before="0" w:after="0" w:line="240" w:lineRule="auto"/>
              <w:ind w:left="0" w:right="0" w:firstLine="0"/>
              <w:jc w:val="center"/>
              <w:rPr>
                <w:rFonts w:ascii="宋体" w:hAnsi="宋体" w:eastAsia="宋体" w:cs="宋体"/>
                <w:sz w:val="2"/>
                <w:szCs w:val="2"/>
                <w:lang w:val="zh-CN" w:bidi="zh-CN"/>
              </w:rPr>
            </w:pPr>
          </w:p>
        </w:tc>
        <w:tc>
          <w:tcPr>
            <w:tcW w:w="809" w:type="dxa"/>
            <w:vMerge w:val="continue"/>
            <w:noWrap w:val="0"/>
            <w:vAlign w:val="center"/>
          </w:tcPr>
          <w:p w14:paraId="32EF08B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1650" w:type="dxa"/>
            <w:noWrap w:val="0"/>
            <w:vAlign w:val="center"/>
          </w:tcPr>
          <w:p w14:paraId="5DE942EC">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雨水排水口</w:t>
            </w:r>
          </w:p>
        </w:tc>
        <w:tc>
          <w:tcPr>
            <w:tcW w:w="2379" w:type="dxa"/>
            <w:noWrap w:val="0"/>
            <w:vAlign w:val="center"/>
          </w:tcPr>
          <w:p w14:paraId="0F30D233">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pH 值、COD、NH</w:t>
            </w:r>
            <w:r>
              <w:rPr>
                <w:rFonts w:hint="eastAsia" w:ascii="Times New Roman" w:hAnsi="Times New Roman" w:eastAsia="宋体" w:cs="Times New Roman"/>
                <w:color w:val="000000"/>
                <w:sz w:val="21"/>
                <w:szCs w:val="21"/>
                <w:vertAlign w:val="subscript"/>
                <w:lang w:val="zh-CN" w:eastAsia="zh-CN"/>
              </w:rPr>
              <w:t>3</w:t>
            </w:r>
            <w:r>
              <w:rPr>
                <w:rFonts w:hint="eastAsia" w:ascii="Times New Roman" w:hAnsi="Times New Roman" w:eastAsia="宋体" w:cs="Times New Roman"/>
                <w:color w:val="000000"/>
                <w:sz w:val="21"/>
                <w:szCs w:val="21"/>
                <w:lang w:val="zh-CN" w:eastAsia="zh-CN"/>
              </w:rPr>
              <w:t>-N、SS</w:t>
            </w:r>
          </w:p>
        </w:tc>
        <w:tc>
          <w:tcPr>
            <w:tcW w:w="1350" w:type="dxa"/>
            <w:vMerge w:val="continue"/>
            <w:noWrap w:val="0"/>
            <w:vAlign w:val="center"/>
          </w:tcPr>
          <w:p w14:paraId="7825BBF0">
            <w:pPr>
              <w:widowControl w:val="0"/>
              <w:spacing w:before="40" w:after="40" w:line="240" w:lineRule="auto"/>
              <w:ind w:left="0" w:firstLine="0"/>
              <w:jc w:val="center"/>
              <w:rPr>
                <w:rFonts w:hint="eastAsia" w:ascii="Times New Roman" w:hAnsi="Times New Roman" w:eastAsia="宋体" w:cs="Times New Roman"/>
                <w:color w:val="000000"/>
                <w:sz w:val="21"/>
                <w:szCs w:val="21"/>
                <w:lang w:val="zh-CN" w:eastAsia="zh-CN"/>
              </w:rPr>
            </w:pPr>
          </w:p>
        </w:tc>
        <w:tc>
          <w:tcPr>
            <w:tcW w:w="1155" w:type="dxa"/>
            <w:vMerge w:val="continue"/>
            <w:noWrap w:val="0"/>
            <w:vAlign w:val="center"/>
          </w:tcPr>
          <w:p w14:paraId="71C76D9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852" w:type="dxa"/>
            <w:vMerge w:val="continue"/>
            <w:noWrap w:val="0"/>
            <w:vAlign w:val="center"/>
          </w:tcPr>
          <w:p w14:paraId="5D6C14D1">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r>
      <w:tr w14:paraId="28A15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61" w:hRule="atLeast"/>
          <w:jc w:val="center"/>
        </w:trPr>
        <w:tc>
          <w:tcPr>
            <w:tcW w:w="396" w:type="dxa"/>
            <w:vMerge w:val="continue"/>
            <w:noWrap w:val="0"/>
            <w:vAlign w:val="center"/>
          </w:tcPr>
          <w:p w14:paraId="0CED4200">
            <w:pPr>
              <w:widowControl w:val="0"/>
              <w:spacing w:before="0" w:after="0" w:line="240" w:lineRule="auto"/>
              <w:ind w:left="0" w:right="0" w:firstLine="0"/>
              <w:jc w:val="center"/>
              <w:rPr>
                <w:rFonts w:ascii="宋体" w:hAnsi="宋体" w:eastAsia="宋体" w:cs="宋体"/>
                <w:sz w:val="2"/>
                <w:szCs w:val="2"/>
                <w:lang w:val="zh-CN" w:bidi="zh-CN"/>
              </w:rPr>
            </w:pPr>
          </w:p>
        </w:tc>
        <w:tc>
          <w:tcPr>
            <w:tcW w:w="809" w:type="dxa"/>
            <w:noWrap w:val="0"/>
            <w:vAlign w:val="center"/>
          </w:tcPr>
          <w:p w14:paraId="6BEF4C38">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噪声</w:t>
            </w:r>
          </w:p>
        </w:tc>
        <w:tc>
          <w:tcPr>
            <w:tcW w:w="1650" w:type="dxa"/>
            <w:noWrap w:val="0"/>
            <w:vAlign w:val="center"/>
          </w:tcPr>
          <w:p w14:paraId="6CE893F1">
            <w:pPr>
              <w:widowControl w:val="0"/>
              <w:spacing w:before="40" w:after="40" w:line="240" w:lineRule="auto"/>
              <w:ind w:firstLine="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四周</w:t>
            </w:r>
            <w:r>
              <w:rPr>
                <w:rFonts w:hint="eastAsia" w:ascii="Times New Roman" w:hAnsi="Times New Roman" w:eastAsia="宋体" w:cs="Times New Roman"/>
                <w:color w:val="000000"/>
                <w:sz w:val="21"/>
                <w:szCs w:val="21"/>
                <w:lang w:val="zh-CN" w:eastAsia="zh-CN"/>
              </w:rPr>
              <w:t>厂界</w:t>
            </w:r>
            <w:r>
              <w:rPr>
                <w:rFonts w:hint="eastAsia" w:ascii="Times New Roman" w:hAnsi="Times New Roman" w:eastAsia="宋体" w:cs="Times New Roman"/>
                <w:color w:val="000000"/>
                <w:sz w:val="21"/>
                <w:szCs w:val="21"/>
                <w:lang w:val="en-US" w:eastAsia="zh-CN"/>
              </w:rPr>
              <w:t>外1m</w:t>
            </w:r>
          </w:p>
        </w:tc>
        <w:tc>
          <w:tcPr>
            <w:tcW w:w="2379" w:type="dxa"/>
            <w:noWrap w:val="0"/>
            <w:vAlign w:val="center"/>
          </w:tcPr>
          <w:p w14:paraId="514E1ACD">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连续等效 A 声级</w:t>
            </w:r>
          </w:p>
        </w:tc>
        <w:tc>
          <w:tcPr>
            <w:tcW w:w="1350" w:type="dxa"/>
            <w:noWrap w:val="0"/>
            <w:vAlign w:val="center"/>
          </w:tcPr>
          <w:p w14:paraId="4D25043A">
            <w:pPr>
              <w:widowControl w:val="0"/>
              <w:spacing w:before="40" w:after="40" w:line="240" w:lineRule="auto"/>
              <w:ind w:left="0" w:firstLine="0"/>
              <w:jc w:val="center"/>
              <w:rPr>
                <w:rFonts w:hint="eastAsia" w:ascii="Times New Roman" w:hAnsi="Times New Roman" w:eastAsia="宋体" w:cs="Times New Roman"/>
                <w:color w:val="000000"/>
                <w:sz w:val="21"/>
                <w:szCs w:val="21"/>
                <w:lang w:val="zh-CN" w:eastAsia="zh-CN"/>
              </w:rPr>
            </w:pPr>
            <w:r>
              <w:rPr>
                <w:rFonts w:hint="eastAsia"/>
                <w:sz w:val="21"/>
                <w:szCs w:val="21"/>
              </w:rPr>
              <w:t>每年监测频率不少于2次，每次</w:t>
            </w:r>
            <w:r>
              <w:rPr>
                <w:sz w:val="21"/>
                <w:szCs w:val="21"/>
              </w:rPr>
              <w:t>连续2天，每天昼、夜各1次</w:t>
            </w:r>
          </w:p>
        </w:tc>
        <w:tc>
          <w:tcPr>
            <w:tcW w:w="1155" w:type="dxa"/>
            <w:vMerge w:val="continue"/>
            <w:noWrap w:val="0"/>
            <w:vAlign w:val="center"/>
          </w:tcPr>
          <w:p w14:paraId="2B91614D">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c>
          <w:tcPr>
            <w:tcW w:w="852" w:type="dxa"/>
            <w:vMerge w:val="continue"/>
            <w:noWrap w:val="0"/>
            <w:vAlign w:val="center"/>
          </w:tcPr>
          <w:p w14:paraId="2597274F">
            <w:pPr>
              <w:widowControl w:val="0"/>
              <w:spacing w:before="40" w:after="40" w:line="240" w:lineRule="auto"/>
              <w:ind w:firstLine="0"/>
              <w:jc w:val="center"/>
              <w:rPr>
                <w:rFonts w:hint="eastAsia" w:ascii="Times New Roman" w:hAnsi="Times New Roman" w:eastAsia="宋体" w:cs="Times New Roman"/>
                <w:color w:val="000000"/>
                <w:sz w:val="21"/>
                <w:szCs w:val="21"/>
                <w:lang w:val="zh-CN" w:eastAsia="zh-CN"/>
              </w:rPr>
            </w:pPr>
          </w:p>
        </w:tc>
      </w:tr>
    </w:tbl>
    <w:p w14:paraId="20D63692">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（2）环境质量监测计划</w:t>
      </w:r>
    </w:p>
    <w:p w14:paraId="4903AE0C">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根据项目特点，结合区域环境保护目标分布情况、《排污单位自行监测技术指南 石油化学工业》（HJ947-2018）、《排污单位自行监测技术指南 涂料油墨制造（征求意见稿）》，制定环境质量监测计划见表</w:t>
      </w:r>
      <w:r>
        <w:rPr>
          <w:rFonts w:hint="eastAsia" w:ascii="Times New Roman" w:hAnsi="Times New Roman" w:eastAsia="宋体" w:cs="Times New Roman"/>
          <w:szCs w:val="22"/>
          <w:lang w:val="en-US" w:eastAsia="zh-CN"/>
        </w:rPr>
        <w:t>11.</w:t>
      </w:r>
      <w:r>
        <w:rPr>
          <w:rFonts w:ascii="Times New Roman" w:hAnsi="Times New Roman" w:eastAsia="宋体" w:cs="Times New Roman"/>
          <w:szCs w:val="22"/>
          <w:lang w:val="zh-CN" w:eastAsia="zh-CN"/>
        </w:rPr>
        <w:t>3-2。</w:t>
      </w:r>
    </w:p>
    <w:p w14:paraId="49BAC049">
      <w:pPr>
        <w:keepNext w:val="0"/>
        <w:keepLines w:val="0"/>
        <w:pageBreakBefore w:val="0"/>
        <w:widowControl w:val="0"/>
        <w:spacing w:line="360" w:lineRule="auto"/>
        <w:ind w:left="0" w:right="0"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11.</w:t>
      </w:r>
      <w:r>
        <w:rPr>
          <w:rFonts w:ascii="Times New Roman" w:hAnsi="Times New Roman" w:eastAsia="宋体" w:cs="Times New Roman"/>
          <w:b/>
          <w:bCs/>
          <w:sz w:val="24"/>
          <w:szCs w:val="24"/>
          <w:lang w:val="zh-CN" w:eastAsia="zh-CN" w:bidi="zh-CN"/>
        </w:rPr>
        <w:t>3-2  环境质量监测计划一览表</w:t>
      </w:r>
    </w:p>
    <w:tbl>
      <w:tblPr>
        <w:tblStyle w:val="32"/>
        <w:tblW w:w="85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737"/>
        <w:gridCol w:w="2552"/>
        <w:gridCol w:w="2632"/>
        <w:gridCol w:w="1053"/>
        <w:gridCol w:w="851"/>
        <w:gridCol w:w="736"/>
      </w:tblGrid>
      <w:tr w14:paraId="1AC36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00" w:hRule="atLeast"/>
          <w:jc w:val="center"/>
        </w:trPr>
        <w:tc>
          <w:tcPr>
            <w:tcW w:w="737" w:type="dxa"/>
            <w:noWrap w:val="0"/>
            <w:vAlign w:val="center"/>
          </w:tcPr>
          <w:p w14:paraId="14888E50">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监测</w:t>
            </w:r>
          </w:p>
          <w:p w14:paraId="42349FC6">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要素</w:t>
            </w:r>
          </w:p>
        </w:tc>
        <w:tc>
          <w:tcPr>
            <w:tcW w:w="2552" w:type="dxa"/>
            <w:noWrap w:val="0"/>
            <w:vAlign w:val="center"/>
          </w:tcPr>
          <w:p w14:paraId="32DD364A">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建议监测点</w:t>
            </w:r>
          </w:p>
        </w:tc>
        <w:tc>
          <w:tcPr>
            <w:tcW w:w="2632" w:type="dxa"/>
            <w:noWrap w:val="0"/>
            <w:vAlign w:val="center"/>
          </w:tcPr>
          <w:p w14:paraId="030EC5BE">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监测因子</w:t>
            </w:r>
          </w:p>
        </w:tc>
        <w:tc>
          <w:tcPr>
            <w:tcW w:w="1053" w:type="dxa"/>
            <w:noWrap w:val="0"/>
            <w:vAlign w:val="center"/>
          </w:tcPr>
          <w:p w14:paraId="365FC2DD">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监测</w:t>
            </w:r>
          </w:p>
          <w:p w14:paraId="6CB92D00">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频率</w:t>
            </w:r>
          </w:p>
        </w:tc>
        <w:tc>
          <w:tcPr>
            <w:tcW w:w="851" w:type="dxa"/>
            <w:noWrap w:val="0"/>
            <w:vAlign w:val="center"/>
          </w:tcPr>
          <w:p w14:paraId="7BB9F1A3">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监测</w:t>
            </w:r>
          </w:p>
          <w:p w14:paraId="11DB6687">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机构</w:t>
            </w:r>
          </w:p>
        </w:tc>
        <w:tc>
          <w:tcPr>
            <w:tcW w:w="736" w:type="dxa"/>
            <w:noWrap w:val="0"/>
            <w:vAlign w:val="center"/>
          </w:tcPr>
          <w:p w14:paraId="1681AFDE">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负责</w:t>
            </w:r>
          </w:p>
          <w:p w14:paraId="26827673">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机构</w:t>
            </w:r>
          </w:p>
        </w:tc>
      </w:tr>
      <w:tr w14:paraId="20DD1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00" w:hRule="atLeast"/>
          <w:jc w:val="center"/>
        </w:trPr>
        <w:tc>
          <w:tcPr>
            <w:tcW w:w="737" w:type="dxa"/>
            <w:noWrap w:val="0"/>
            <w:vAlign w:val="center"/>
          </w:tcPr>
          <w:p w14:paraId="322CEE4F">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环境</w:t>
            </w:r>
          </w:p>
          <w:p w14:paraId="597F3A66">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空气</w:t>
            </w:r>
          </w:p>
        </w:tc>
        <w:tc>
          <w:tcPr>
            <w:tcW w:w="2552" w:type="dxa"/>
            <w:noWrap w:val="0"/>
            <w:vAlign w:val="center"/>
          </w:tcPr>
          <w:p w14:paraId="1D5EE267">
            <w:pPr>
              <w:widowControl w:val="0"/>
              <w:spacing w:before="0" w:after="0" w:line="242" w:lineRule="auto"/>
              <w:ind w:left="107" w:right="74" w:firstLine="0"/>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双红新村、中东灰窑新村</w:t>
            </w:r>
          </w:p>
        </w:tc>
        <w:tc>
          <w:tcPr>
            <w:tcW w:w="2632" w:type="dxa"/>
            <w:noWrap w:val="0"/>
            <w:vAlign w:val="center"/>
          </w:tcPr>
          <w:p w14:paraId="7137DD66">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甲醛、氨、酚类、</w:t>
            </w:r>
          </w:p>
          <w:p w14:paraId="3B1D39A3">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VOC</w:t>
            </w:r>
            <w:r>
              <w:rPr>
                <w:rFonts w:hint="eastAsia" w:ascii="Times New Roman" w:hAnsi="Times New Roman" w:eastAsia="宋体" w:cs="Times New Roman"/>
                <w:b w:val="0"/>
                <w:bCs w:val="0"/>
                <w:color w:val="000000"/>
                <w:sz w:val="21"/>
                <w:szCs w:val="21"/>
                <w:lang w:val="en-US" w:eastAsia="zh-CN"/>
              </w:rPr>
              <w:t>s</w:t>
            </w:r>
            <w:r>
              <w:rPr>
                <w:rFonts w:hint="eastAsia" w:ascii="Times New Roman" w:hAnsi="Times New Roman" w:eastAsia="宋体" w:cs="Times New Roman"/>
                <w:b w:val="0"/>
                <w:bCs w:val="0"/>
                <w:color w:val="000000"/>
                <w:sz w:val="21"/>
                <w:szCs w:val="21"/>
                <w:lang w:val="zh-CN" w:eastAsia="zh-CN"/>
              </w:rPr>
              <w:t>、颗粒物、臭气浓度</w:t>
            </w:r>
          </w:p>
        </w:tc>
        <w:tc>
          <w:tcPr>
            <w:tcW w:w="1053" w:type="dxa"/>
            <w:noWrap w:val="0"/>
            <w:vAlign w:val="center"/>
          </w:tcPr>
          <w:p w14:paraId="232C0035">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每年一次</w:t>
            </w:r>
          </w:p>
        </w:tc>
        <w:tc>
          <w:tcPr>
            <w:tcW w:w="851" w:type="dxa"/>
            <w:vMerge w:val="restart"/>
            <w:noWrap w:val="0"/>
            <w:vAlign w:val="center"/>
          </w:tcPr>
          <w:p w14:paraId="2B516572">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有资质的监测机构</w:t>
            </w:r>
          </w:p>
        </w:tc>
        <w:tc>
          <w:tcPr>
            <w:tcW w:w="736" w:type="dxa"/>
            <w:vMerge w:val="restart"/>
            <w:noWrap w:val="0"/>
            <w:vAlign w:val="center"/>
          </w:tcPr>
          <w:p w14:paraId="33F6D0DA">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en-US" w:eastAsia="zh-CN"/>
              </w:rPr>
              <w:t>建设单位</w:t>
            </w:r>
          </w:p>
        </w:tc>
      </w:tr>
      <w:tr w14:paraId="2275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1479" w:hRule="atLeast"/>
          <w:jc w:val="center"/>
        </w:trPr>
        <w:tc>
          <w:tcPr>
            <w:tcW w:w="737" w:type="dxa"/>
            <w:noWrap w:val="0"/>
            <w:vAlign w:val="center"/>
          </w:tcPr>
          <w:p w14:paraId="2643EFB1">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p w14:paraId="78EEE95A">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p w14:paraId="79223C52">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p w14:paraId="14BC83B9">
            <w:pPr>
              <w:widowControl w:val="0"/>
              <w:spacing w:before="0" w:after="0" w:line="242" w:lineRule="auto"/>
              <w:ind w:left="107" w:right="74" w:firstLine="0"/>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zh-CN" w:eastAsia="zh-CN"/>
              </w:rPr>
              <w:t>地下水</w:t>
            </w:r>
            <w:r>
              <w:rPr>
                <w:rFonts w:hint="eastAsia" w:ascii="Times New Roman" w:hAnsi="Times New Roman" w:eastAsia="宋体" w:cs="Times New Roman"/>
                <w:b w:val="0"/>
                <w:bCs w:val="0"/>
                <w:color w:val="000000"/>
                <w:sz w:val="21"/>
                <w:szCs w:val="21"/>
                <w:lang w:val="en-US" w:eastAsia="zh-CN"/>
              </w:rPr>
              <w:t>环境</w:t>
            </w:r>
          </w:p>
        </w:tc>
        <w:tc>
          <w:tcPr>
            <w:tcW w:w="2552" w:type="dxa"/>
            <w:noWrap w:val="0"/>
            <w:vAlign w:val="center"/>
          </w:tcPr>
          <w:p w14:paraId="2A0FB7C3">
            <w:pPr>
              <w:widowControl w:val="0"/>
              <w:spacing w:before="0" w:after="0" w:line="242" w:lineRule="auto"/>
              <w:ind w:left="107" w:right="74" w:firstLine="0"/>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厂区附近地下水井/厂区内设置的污染监测井</w:t>
            </w:r>
          </w:p>
        </w:tc>
        <w:tc>
          <w:tcPr>
            <w:tcW w:w="2632" w:type="dxa"/>
            <w:noWrap w:val="0"/>
            <w:vAlign w:val="center"/>
          </w:tcPr>
          <w:p w14:paraId="097935A9">
            <w:pPr>
              <w:widowControl w:val="0"/>
              <w:spacing w:before="0" w:after="0" w:line="242" w:lineRule="auto"/>
              <w:ind w:left="0" w:right="74" w:firstLine="0"/>
              <w:jc w:val="center"/>
              <w:rPr>
                <w:rFonts w:hint="eastAsia" w:ascii="Times New Roman" w:hAnsi="Times New Roman" w:eastAsia="宋体" w:cs="Times New Roman"/>
                <w:b w:val="0"/>
                <w:bCs w:val="0"/>
                <w:color w:val="000000"/>
                <w:sz w:val="21"/>
                <w:szCs w:val="21"/>
                <w:lang w:val="zh-CN" w:eastAsia="zh-CN"/>
              </w:rPr>
            </w:pPr>
            <w:r>
              <w:rPr>
                <w:color w:val="000000"/>
                <w:sz w:val="21"/>
                <w:szCs w:val="21"/>
              </w:rPr>
              <w:t>pH、高锰酸盐指数、总硬度、溶解性固体、氨氮、硝酸盐、硫酸盐、氟化物、氯化物、铁、锰、镉、砷、汞、铬（六价）、总大肠菌群</w:t>
            </w:r>
          </w:p>
        </w:tc>
        <w:tc>
          <w:tcPr>
            <w:tcW w:w="1053" w:type="dxa"/>
            <w:noWrap w:val="0"/>
            <w:vAlign w:val="center"/>
          </w:tcPr>
          <w:p w14:paraId="34FF0A07">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p w14:paraId="36921EB0">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r>
              <w:rPr>
                <w:rFonts w:hint="eastAsia" w:ascii="Times New Roman" w:hAnsi="Times New Roman" w:eastAsia="宋体" w:cs="Times New Roman"/>
                <w:b w:val="0"/>
                <w:bCs w:val="0"/>
                <w:color w:val="000000"/>
                <w:sz w:val="21"/>
                <w:szCs w:val="21"/>
                <w:lang w:val="zh-CN" w:eastAsia="zh-CN"/>
              </w:rPr>
              <w:t>每年一次</w:t>
            </w:r>
          </w:p>
          <w:p w14:paraId="33550E94">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p w14:paraId="59674B9B">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p w14:paraId="041F0316">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tc>
        <w:tc>
          <w:tcPr>
            <w:tcW w:w="851" w:type="dxa"/>
            <w:vMerge w:val="continue"/>
            <w:noWrap w:val="0"/>
            <w:vAlign w:val="center"/>
          </w:tcPr>
          <w:p w14:paraId="15C4A845">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rPr>
            </w:pPr>
          </w:p>
        </w:tc>
        <w:tc>
          <w:tcPr>
            <w:tcW w:w="736" w:type="dxa"/>
            <w:vMerge w:val="continue"/>
            <w:noWrap w:val="0"/>
            <w:vAlign w:val="center"/>
          </w:tcPr>
          <w:p w14:paraId="67CC3683">
            <w:pPr>
              <w:widowControl w:val="0"/>
              <w:spacing w:before="0" w:after="0" w:line="242" w:lineRule="auto"/>
              <w:ind w:left="107" w:right="74" w:firstLine="0"/>
              <w:jc w:val="center"/>
              <w:rPr>
                <w:rFonts w:ascii="Times New Roman" w:hAnsi="Times New Roman" w:eastAsia="宋体" w:cs="Times New Roman"/>
                <w:b w:val="0"/>
                <w:bCs w:val="0"/>
                <w:color w:val="000000"/>
                <w:sz w:val="21"/>
                <w:szCs w:val="21"/>
                <w:lang w:val="en-US" w:eastAsia="zh-CN"/>
              </w:rPr>
            </w:pPr>
          </w:p>
        </w:tc>
      </w:tr>
      <w:tr w14:paraId="7ACEC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99" w:hRule="atLeast"/>
          <w:jc w:val="center"/>
        </w:trPr>
        <w:tc>
          <w:tcPr>
            <w:tcW w:w="737" w:type="dxa"/>
            <w:noWrap w:val="0"/>
            <w:vAlign w:val="center"/>
          </w:tcPr>
          <w:p w14:paraId="6E67CACF">
            <w:pPr>
              <w:widowControl w:val="0"/>
              <w:spacing w:before="178" w:after="0" w:line="240" w:lineRule="auto"/>
              <w:ind w:left="43" w:right="15" w:firstLine="0"/>
              <w:jc w:val="center"/>
              <w:rPr>
                <w:rFonts w:hint="eastAsia" w:ascii="宋体" w:hAnsi="Times New Roman" w:eastAsia="宋体" w:cs="Times New Roman"/>
                <w:sz w:val="21"/>
                <w:szCs w:val="22"/>
                <w:lang w:val="zh-CN" w:eastAsia="zh-CN" w:bidi="zh-CN"/>
              </w:rPr>
            </w:pPr>
            <w:r>
              <w:rPr>
                <w:rFonts w:hint="eastAsia" w:ascii="宋体" w:hAnsi="Times New Roman" w:eastAsia="宋体" w:cs="Times New Roman"/>
                <w:sz w:val="21"/>
                <w:szCs w:val="22"/>
                <w:lang w:val="zh-CN" w:eastAsia="zh-CN" w:bidi="zh-CN"/>
              </w:rPr>
              <w:t>土壤</w:t>
            </w:r>
          </w:p>
        </w:tc>
        <w:tc>
          <w:tcPr>
            <w:tcW w:w="2552" w:type="dxa"/>
            <w:noWrap w:val="0"/>
            <w:vAlign w:val="center"/>
          </w:tcPr>
          <w:p w14:paraId="204D5FC7">
            <w:pPr>
              <w:widowControl w:val="0"/>
              <w:spacing w:before="178" w:after="0" w:line="240" w:lineRule="auto"/>
              <w:ind w:left="67" w:right="41" w:firstLine="0"/>
              <w:jc w:val="center"/>
              <w:rPr>
                <w:rFonts w:hint="eastAsia" w:ascii="宋体" w:hAnsi="Times New Roman" w:eastAsia="宋体" w:cs="Times New Roman"/>
                <w:sz w:val="21"/>
                <w:szCs w:val="22"/>
                <w:lang w:val="zh-CN" w:eastAsia="zh-CN" w:bidi="zh-CN"/>
              </w:rPr>
            </w:pPr>
            <w:r>
              <w:rPr>
                <w:rFonts w:hint="eastAsia" w:ascii="宋体" w:hAnsi="Times New Roman" w:eastAsia="宋体" w:cs="Times New Roman"/>
                <w:sz w:val="21"/>
                <w:szCs w:val="22"/>
                <w:lang w:val="zh-CN" w:eastAsia="zh-CN" w:bidi="zh-CN"/>
              </w:rPr>
              <w:t>厂区内</w:t>
            </w:r>
          </w:p>
        </w:tc>
        <w:tc>
          <w:tcPr>
            <w:tcW w:w="2632" w:type="dxa"/>
            <w:noWrap w:val="0"/>
            <w:vAlign w:val="center"/>
          </w:tcPr>
          <w:p w14:paraId="44445E5C">
            <w:pPr>
              <w:widowControl w:val="0"/>
              <w:spacing w:before="29" w:after="0" w:line="240" w:lineRule="auto"/>
              <w:ind w:left="32" w:right="6" w:firstLine="0"/>
              <w:jc w:val="center"/>
              <w:rPr>
                <w:rFonts w:hint="eastAsia" w:ascii="宋体" w:hAnsi="Times New Roman" w:eastAsia="宋体" w:cs="Times New Roman"/>
                <w:sz w:val="21"/>
                <w:szCs w:val="22"/>
                <w:lang w:val="zh-CN" w:eastAsia="zh-CN" w:bidi="zh-CN"/>
              </w:rPr>
            </w:pPr>
            <w:r>
              <w:rPr>
                <w:rFonts w:ascii="Times New Roman" w:hAnsi="Times New Roman" w:eastAsia="Times New Roman" w:cs="Times New Roman"/>
                <w:sz w:val="21"/>
                <w:szCs w:val="22"/>
                <w:lang w:val="zh-CN" w:eastAsia="zh-CN" w:bidi="zh-CN"/>
              </w:rPr>
              <w:t xml:space="preserve">pH </w:t>
            </w:r>
            <w:r>
              <w:rPr>
                <w:rFonts w:hint="eastAsia" w:ascii="宋体" w:hAnsi="Times New Roman" w:eastAsia="宋体" w:cs="Times New Roman"/>
                <w:spacing w:val="-7"/>
                <w:sz w:val="21"/>
                <w:szCs w:val="22"/>
                <w:lang w:val="zh-CN" w:eastAsia="zh-CN" w:bidi="zh-CN"/>
              </w:rPr>
              <w:t>值、汞、镉、总铬、六价</w:t>
            </w:r>
          </w:p>
          <w:p w14:paraId="18846449">
            <w:pPr>
              <w:widowControl w:val="0"/>
              <w:spacing w:before="31" w:after="0" w:line="250" w:lineRule="exact"/>
              <w:ind w:left="32" w:right="6" w:firstLine="0"/>
              <w:jc w:val="center"/>
              <w:rPr>
                <w:rFonts w:hint="eastAsia" w:ascii="宋体" w:hAnsi="Times New Roman" w:eastAsia="宋体" w:cs="Times New Roman"/>
                <w:sz w:val="21"/>
                <w:szCs w:val="22"/>
                <w:lang w:val="zh-CN" w:eastAsia="zh-CN" w:bidi="zh-CN"/>
              </w:rPr>
            </w:pPr>
            <w:r>
              <w:rPr>
                <w:rFonts w:hint="eastAsia" w:ascii="宋体" w:hAnsi="Times New Roman" w:eastAsia="宋体" w:cs="Times New Roman"/>
                <w:sz w:val="21"/>
                <w:szCs w:val="22"/>
                <w:lang w:val="zh-CN" w:eastAsia="zh-CN" w:bidi="zh-CN"/>
              </w:rPr>
              <w:t>铬、铅、砷、镍</w:t>
            </w:r>
          </w:p>
        </w:tc>
        <w:tc>
          <w:tcPr>
            <w:tcW w:w="1053" w:type="dxa"/>
            <w:noWrap w:val="0"/>
            <w:vAlign w:val="center"/>
          </w:tcPr>
          <w:p w14:paraId="331AF5BD">
            <w:pPr>
              <w:widowControl w:val="0"/>
              <w:spacing w:before="178" w:after="0" w:line="240" w:lineRule="auto"/>
              <w:ind w:left="94" w:right="69" w:firstLine="0"/>
              <w:jc w:val="center"/>
              <w:rPr>
                <w:rFonts w:hint="eastAsia" w:ascii="宋体" w:hAnsi="Times New Roman" w:eastAsia="宋体" w:cs="Times New Roman"/>
                <w:sz w:val="21"/>
                <w:szCs w:val="22"/>
                <w:lang w:val="zh-CN" w:eastAsia="zh-CN" w:bidi="zh-CN"/>
              </w:rPr>
            </w:pPr>
            <w:r>
              <w:rPr>
                <w:rFonts w:hint="eastAsia" w:ascii="宋体" w:hAnsi="Times New Roman" w:eastAsia="宋体" w:cs="Times New Roman"/>
                <w:sz w:val="21"/>
                <w:szCs w:val="22"/>
                <w:lang w:val="zh-CN" w:eastAsia="zh-CN" w:bidi="zh-CN"/>
              </w:rPr>
              <w:t>每年一次</w:t>
            </w:r>
          </w:p>
        </w:tc>
        <w:tc>
          <w:tcPr>
            <w:tcW w:w="851" w:type="dxa"/>
            <w:vMerge w:val="continue"/>
            <w:noWrap w:val="0"/>
            <w:vAlign w:val="center"/>
          </w:tcPr>
          <w:p w14:paraId="390FC9FB">
            <w:pPr>
              <w:widowControl w:val="0"/>
              <w:spacing w:before="0" w:after="0" w:line="240" w:lineRule="auto"/>
              <w:ind w:left="0" w:right="0" w:firstLine="0"/>
              <w:jc w:val="center"/>
              <w:rPr>
                <w:rFonts w:ascii="Times New Roman" w:hAnsi="Times New Roman" w:eastAsia="Times New Roman" w:cs="Times New Roman"/>
                <w:sz w:val="22"/>
                <w:szCs w:val="22"/>
                <w:lang w:val="zh-CN" w:eastAsia="zh-CN" w:bidi="zh-CN"/>
              </w:rPr>
            </w:pPr>
          </w:p>
        </w:tc>
        <w:tc>
          <w:tcPr>
            <w:tcW w:w="736" w:type="dxa"/>
            <w:vMerge w:val="continue"/>
            <w:noWrap w:val="0"/>
            <w:vAlign w:val="center"/>
          </w:tcPr>
          <w:p w14:paraId="68D4CC82">
            <w:pPr>
              <w:widowControl w:val="0"/>
              <w:spacing w:before="0" w:after="0" w:line="242" w:lineRule="auto"/>
              <w:ind w:left="107" w:right="74" w:firstLine="0"/>
              <w:jc w:val="center"/>
              <w:rPr>
                <w:rFonts w:hint="eastAsia" w:ascii="Times New Roman" w:hAnsi="Times New Roman" w:eastAsia="宋体" w:cs="Times New Roman"/>
                <w:b w:val="0"/>
                <w:bCs w:val="0"/>
                <w:color w:val="000000"/>
                <w:sz w:val="21"/>
                <w:szCs w:val="21"/>
                <w:lang w:val="zh-CN" w:eastAsia="zh-CN" w:bidi="ar-SA"/>
              </w:rPr>
            </w:pPr>
          </w:p>
        </w:tc>
      </w:tr>
    </w:tbl>
    <w:p w14:paraId="2AD291CA">
      <w:pPr>
        <w:widowControl w:val="0"/>
        <w:spacing w:before="172" w:after="0" w:line="240" w:lineRule="auto"/>
        <w:ind w:left="0" w:right="0" w:firstLine="0"/>
        <w:jc w:val="left"/>
        <w:rPr>
          <w:rFonts w:ascii="宋体" w:hAnsi="宋体" w:eastAsia="宋体" w:cs="宋体"/>
          <w:b/>
          <w:bCs/>
          <w:sz w:val="24"/>
          <w:szCs w:val="22"/>
          <w:lang w:val="zh-CN" w:bidi="zh-CN"/>
        </w:rPr>
      </w:pPr>
      <w:r>
        <w:rPr>
          <w:rFonts w:ascii="宋体" w:hAnsi="宋体" w:eastAsia="宋体" w:cs="宋体"/>
          <w:b/>
          <w:bCs/>
          <w:sz w:val="21"/>
          <w:szCs w:val="22"/>
          <w:lang w:val="zh-CN" w:bidi="zh-CN"/>
        </w:rPr>
        <w:t>注：颗粒物应每半年监测一次</w:t>
      </w:r>
      <w:r>
        <w:rPr>
          <w:rFonts w:ascii="宋体" w:hAnsi="宋体" w:eastAsia="宋体" w:cs="宋体"/>
          <w:b/>
          <w:bCs/>
          <w:sz w:val="24"/>
          <w:szCs w:val="22"/>
          <w:lang w:val="zh-CN" w:bidi="zh-CN"/>
        </w:rPr>
        <w:t>。</w:t>
      </w:r>
    </w:p>
    <w:p w14:paraId="00F970B7">
      <w:pPr>
        <w:widowControl w:val="0"/>
        <w:spacing w:before="11" w:after="0" w:line="240" w:lineRule="auto"/>
        <w:ind w:left="0" w:right="0" w:firstLine="0"/>
        <w:jc w:val="left"/>
        <w:rPr>
          <w:rFonts w:ascii="宋体" w:hAnsi="宋体" w:eastAsia="宋体" w:cs="宋体"/>
          <w:sz w:val="17"/>
          <w:szCs w:val="24"/>
          <w:lang w:val="zh-CN" w:eastAsia="zh-CN" w:bidi="zh-CN"/>
        </w:rPr>
      </w:pPr>
    </w:p>
    <w:p w14:paraId="4A14063B">
      <w:pPr>
        <w:ind w:firstLine="0"/>
        <w:contextualSpacing/>
        <w:outlineLvl w:val="2"/>
        <w:rPr>
          <w:rFonts w:hint="eastAsia" w:eastAsia="黑体"/>
          <w:sz w:val="28"/>
          <w:szCs w:val="28"/>
          <w:lang w:val="zh-CN" w:eastAsia="zh-CN"/>
        </w:rPr>
      </w:pPr>
      <w:r>
        <w:rPr>
          <w:rFonts w:hint="eastAsia" w:eastAsia="黑体"/>
          <w:sz w:val="28"/>
          <w:szCs w:val="28"/>
          <w:lang w:val="en-US" w:eastAsia="zh-CN"/>
        </w:rPr>
        <w:t>11.3.3</w:t>
      </w:r>
      <w:r>
        <w:rPr>
          <w:rFonts w:hint="eastAsia" w:eastAsia="黑体"/>
          <w:sz w:val="28"/>
          <w:szCs w:val="28"/>
          <w:lang w:val="zh-CN" w:eastAsia="zh-CN"/>
        </w:rPr>
        <w:t>监测方法</w:t>
      </w:r>
    </w:p>
    <w:p w14:paraId="553DD41B">
      <w:pPr>
        <w:ind w:firstLine="480"/>
        <w:rPr>
          <w:rFonts w:ascii="宋体" w:hAnsi="宋体" w:eastAsia="宋体" w:cs="宋体"/>
          <w:sz w:val="17"/>
          <w:szCs w:val="24"/>
          <w:lang w:val="zh-CN" w:eastAsia="zh-CN" w:bidi="zh-CN"/>
        </w:rPr>
      </w:pPr>
      <w:r>
        <w:rPr>
          <w:rFonts w:ascii="Times New Roman" w:hAnsi="Times New Roman" w:eastAsia="宋体" w:cs="Times New Roman"/>
          <w:szCs w:val="22"/>
          <w:lang w:val="zh-CN" w:eastAsia="zh-CN"/>
        </w:rPr>
        <w:t>采用国家规定的监测采样和分析化验方法，评价标准执行本评价经批复的国家标准。废气监测按</w:t>
      </w:r>
      <w:r>
        <w:rPr>
          <w:rFonts w:hint="eastAsia" w:cs="Times New Roman"/>
          <w:szCs w:val="22"/>
          <w:lang w:val="zh-CN" w:eastAsia="zh-CN"/>
        </w:rPr>
        <w:t>生态环境部</w:t>
      </w:r>
      <w:r>
        <w:rPr>
          <w:rFonts w:ascii="Times New Roman" w:hAnsi="Times New Roman" w:eastAsia="宋体" w:cs="Times New Roman"/>
          <w:szCs w:val="22"/>
          <w:lang w:val="zh-CN" w:eastAsia="zh-CN"/>
        </w:rPr>
        <w:t>发布的《空气和废气监测分析方法》进行；废水监测按</w:t>
      </w:r>
      <w:r>
        <w:rPr>
          <w:rFonts w:hint="eastAsia" w:cs="Times New Roman"/>
          <w:szCs w:val="22"/>
          <w:lang w:val="zh-CN" w:eastAsia="zh-CN"/>
        </w:rPr>
        <w:t>生态环境部</w:t>
      </w:r>
      <w:r>
        <w:rPr>
          <w:rFonts w:ascii="Times New Roman" w:hAnsi="Times New Roman" w:eastAsia="宋体" w:cs="Times New Roman"/>
          <w:szCs w:val="22"/>
          <w:lang w:val="zh-CN" w:eastAsia="zh-CN"/>
        </w:rPr>
        <w:t>发布的《水和废水监测分析方法》进行；噪声监测按 GB3096-2008《声环境质量标准》进行。</w:t>
      </w:r>
    </w:p>
    <w:p w14:paraId="6E65692A">
      <w:pPr>
        <w:ind w:firstLine="0"/>
        <w:contextualSpacing/>
        <w:outlineLvl w:val="2"/>
        <w:rPr>
          <w:rFonts w:hint="eastAsia" w:eastAsia="黑体"/>
          <w:sz w:val="28"/>
          <w:szCs w:val="28"/>
          <w:lang w:val="zh-CN" w:eastAsia="zh-CN"/>
        </w:rPr>
      </w:pPr>
      <w:r>
        <w:rPr>
          <w:rFonts w:hint="eastAsia" w:eastAsia="黑体"/>
          <w:sz w:val="28"/>
          <w:szCs w:val="28"/>
          <w:lang w:val="en-US" w:eastAsia="zh-CN"/>
        </w:rPr>
        <w:t>11.3.4</w:t>
      </w:r>
      <w:r>
        <w:rPr>
          <w:rFonts w:hint="eastAsia" w:eastAsia="黑体"/>
          <w:sz w:val="28"/>
          <w:szCs w:val="28"/>
          <w:lang w:val="zh-CN" w:eastAsia="zh-CN"/>
        </w:rPr>
        <w:t>监测工作保障措施</w:t>
      </w:r>
    </w:p>
    <w:p w14:paraId="65152BD1">
      <w:pPr>
        <w:ind w:firstLine="480"/>
        <w:rPr>
          <w:rFonts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1</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组织领导实施</w:t>
      </w:r>
    </w:p>
    <w:p w14:paraId="524BAB44">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建设单位可根据监测计划委托有资质的环境保护监测单位进行环境监测工作，监测单位负责完成建设单位委托的监测任务，确保环境监测工作能按监测计划顺利完成。</w:t>
      </w:r>
    </w:p>
    <w:p w14:paraId="24387E05">
      <w:pPr>
        <w:ind w:firstLine="480"/>
        <w:rPr>
          <w:rFonts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技术保证措施</w:t>
      </w:r>
    </w:p>
    <w:p w14:paraId="3840415E">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为了确保监测质量，监测人员必须持有相应的资格证书或上岗证书。</w:t>
      </w:r>
    </w:p>
    <w:p w14:paraId="5DCE62A0">
      <w:pPr>
        <w:ind w:firstLine="480"/>
        <w:rPr>
          <w:rFonts w:ascii="Times New Roman" w:hAnsi="Times New Roman" w:eastAsia="宋体" w:cs="Times New Roman"/>
          <w:szCs w:val="22"/>
          <w:lang w:val="zh-CN" w:eastAsia="zh-CN"/>
        </w:rPr>
      </w:pPr>
      <w:r>
        <w:rPr>
          <w:rFonts w:hint="eastAsia" w:ascii="Times New Roman" w:hAnsi="Times New Roman" w:eastAsia="宋体" w:cs="Times New Roman"/>
          <w:szCs w:val="22"/>
          <w:lang w:val="zh-CN" w:eastAsia="zh-CN"/>
        </w:rPr>
        <w:t>（</w:t>
      </w:r>
      <w:r>
        <w:rPr>
          <w:rFonts w:hint="eastAsia" w:ascii="Times New Roman" w:hAnsi="Times New Roman" w:eastAsia="宋体" w:cs="Times New Roman"/>
          <w:szCs w:val="22"/>
          <w:lang w:val="en-US" w:eastAsia="zh-CN"/>
        </w:rPr>
        <w:t>3</w:t>
      </w:r>
      <w:r>
        <w:rPr>
          <w:rFonts w:hint="eastAsia" w:ascii="Times New Roman" w:hAnsi="Times New Roman" w:eastAsia="宋体" w:cs="Times New Roman"/>
          <w:szCs w:val="22"/>
          <w:lang w:val="zh-CN" w:eastAsia="zh-CN"/>
        </w:rPr>
        <w:t>）</w:t>
      </w:r>
      <w:r>
        <w:rPr>
          <w:rFonts w:ascii="Times New Roman" w:hAnsi="Times New Roman" w:eastAsia="宋体" w:cs="Times New Roman"/>
          <w:szCs w:val="22"/>
          <w:lang w:val="zh-CN" w:eastAsia="zh-CN"/>
        </w:rPr>
        <w:t>资金保证措施</w:t>
      </w:r>
    </w:p>
    <w:p w14:paraId="34CFB89A">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监测费用由建设单位支付，该费用专款专用，计入建设单位的环保投资，保证监测工作的顺利进行。</w:t>
      </w:r>
    </w:p>
    <w:p w14:paraId="0B4683EA">
      <w:pPr>
        <w:pStyle w:val="187"/>
        <w:rPr>
          <w:rFonts w:hint="eastAsia" w:ascii="Times New Roman" w:hAnsi="Times New Roman"/>
          <w:bCs/>
          <w:lang w:val="zh-CN" w:eastAsia="zh-CN"/>
        </w:rPr>
      </w:pPr>
      <w:r>
        <w:rPr>
          <w:rFonts w:hint="eastAsia" w:ascii="Times New Roman" w:hAnsi="Times New Roman"/>
          <w:bCs/>
          <w:lang w:val="en-US" w:eastAsia="zh-CN"/>
        </w:rPr>
        <w:t>11.4</w:t>
      </w:r>
      <w:r>
        <w:rPr>
          <w:rFonts w:hint="eastAsia" w:ascii="Times New Roman" w:hAnsi="Times New Roman"/>
          <w:bCs/>
          <w:lang w:val="zh-CN" w:eastAsia="zh-CN"/>
        </w:rPr>
        <w:t>竣工环境保护验收</w:t>
      </w:r>
    </w:p>
    <w:p w14:paraId="3C20FDDA">
      <w:pPr>
        <w:ind w:firstLine="480"/>
        <w:rPr>
          <w:rFonts w:ascii="Times New Roman" w:hAnsi="Times New Roman" w:eastAsia="宋体" w:cs="Times New Roman"/>
          <w:szCs w:val="22"/>
          <w:lang w:val="zh-CN" w:eastAsia="zh-CN"/>
        </w:rPr>
      </w:pPr>
      <w:r>
        <w:rPr>
          <w:rFonts w:ascii="Times New Roman" w:hAnsi="Times New Roman" w:eastAsia="宋体" w:cs="Times New Roman"/>
          <w:szCs w:val="22"/>
          <w:lang w:val="zh-CN" w:eastAsia="zh-CN"/>
        </w:rPr>
        <w:t>根据《关于修改〈建设项目环境保护管理条例〉的决定》（国令第 682 号）及《建设项目竣工环境保护验收暂行办法》，项目建成后建设单位需按照国务院环境保护行政主管部门规定的标准和程序，对配套建设的环境保护设施进行验收，编制验收</w:t>
      </w:r>
      <w:r>
        <w:rPr>
          <w:rFonts w:hint="eastAsia" w:ascii="Times New Roman" w:hAnsi="Times New Roman" w:eastAsia="宋体" w:cs="Times New Roman"/>
          <w:szCs w:val="22"/>
          <w:lang w:val="en-US" w:eastAsia="zh-CN"/>
        </w:rPr>
        <w:t>监测</w:t>
      </w:r>
      <w:r>
        <w:rPr>
          <w:rFonts w:ascii="Times New Roman" w:hAnsi="Times New Roman" w:eastAsia="宋体" w:cs="Times New Roman"/>
          <w:szCs w:val="22"/>
          <w:lang w:val="zh-CN" w:eastAsia="zh-CN"/>
        </w:rPr>
        <w:t>报告。经验收合格，方可投入生产或者使用；未经验收或者验收不合格的，不得投入生产或者使用。本项目竣工验收清单见下表。</w:t>
      </w:r>
    </w:p>
    <w:p w14:paraId="33CD14AA">
      <w:pPr>
        <w:widowControl w:val="0"/>
        <w:spacing w:before="34" w:after="2" w:line="240" w:lineRule="auto"/>
        <w:ind w:left="0" w:right="0" w:firstLine="0"/>
        <w:jc w:val="center"/>
        <w:rPr>
          <w:rFonts w:ascii="Times New Roman" w:hAnsi="Times New Roman" w:eastAsia="宋体" w:cs="Times New Roman"/>
          <w:b/>
          <w:bCs/>
          <w:sz w:val="24"/>
          <w:szCs w:val="24"/>
          <w:lang w:val="zh-CN" w:eastAsia="zh-CN" w:bidi="zh-CN"/>
        </w:rPr>
      </w:pPr>
      <w:r>
        <w:rPr>
          <w:rFonts w:ascii="Times New Roman" w:hAnsi="Times New Roman" w:eastAsia="宋体" w:cs="Times New Roman"/>
          <w:b/>
          <w:bCs/>
          <w:sz w:val="24"/>
          <w:szCs w:val="24"/>
          <w:lang w:val="zh-CN" w:eastAsia="zh-CN" w:bidi="zh-CN"/>
        </w:rPr>
        <w:t>表</w:t>
      </w:r>
      <w:r>
        <w:rPr>
          <w:rFonts w:hint="eastAsia" w:ascii="Times New Roman" w:hAnsi="Times New Roman" w:eastAsia="宋体" w:cs="Times New Roman"/>
          <w:b/>
          <w:bCs/>
          <w:sz w:val="24"/>
          <w:szCs w:val="24"/>
          <w:lang w:val="en-US" w:eastAsia="zh-CN" w:bidi="zh-CN"/>
        </w:rPr>
        <w:t xml:space="preserve">11.4-1 </w:t>
      </w:r>
      <w:r>
        <w:rPr>
          <w:rFonts w:ascii="Times New Roman" w:hAnsi="Times New Roman" w:eastAsia="宋体" w:cs="Times New Roman"/>
          <w:b/>
          <w:bCs/>
          <w:sz w:val="24"/>
          <w:szCs w:val="24"/>
          <w:lang w:val="zh-CN" w:eastAsia="zh-CN" w:bidi="zh-CN"/>
        </w:rPr>
        <w:t>项目环保竣工验收清单</w:t>
      </w:r>
    </w:p>
    <w:tbl>
      <w:tblPr>
        <w:tblStyle w:val="32"/>
        <w:tblW w:w="8704" w:type="dxa"/>
        <w:tblInd w:w="-108"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743"/>
        <w:gridCol w:w="1935"/>
        <w:gridCol w:w="15"/>
        <w:gridCol w:w="1293"/>
        <w:gridCol w:w="15"/>
        <w:gridCol w:w="1817"/>
        <w:gridCol w:w="15"/>
        <w:gridCol w:w="2226"/>
      </w:tblGrid>
      <w:tr w14:paraId="4952748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45" w:type="dxa"/>
            <w:noWrap w:val="0"/>
            <w:vAlign w:val="center"/>
          </w:tcPr>
          <w:p w14:paraId="0CF83099">
            <w:pPr>
              <w:pStyle w:val="445"/>
              <w:widowControl w:val="0"/>
              <w:ind w:firstLine="0"/>
              <w:jc w:val="center"/>
              <w:rPr>
                <w:b/>
                <w:bCs/>
                <w:color w:val="000000"/>
                <w:sz w:val="21"/>
                <w:szCs w:val="21"/>
                <w:lang w:val="en-US"/>
              </w:rPr>
            </w:pPr>
            <w:r>
              <w:rPr>
                <w:b/>
                <w:bCs/>
                <w:color w:val="000000"/>
                <w:sz w:val="21"/>
                <w:szCs w:val="21"/>
                <w:lang w:val="en-US"/>
              </w:rPr>
              <w:t>序号</w:t>
            </w:r>
          </w:p>
        </w:tc>
        <w:tc>
          <w:tcPr>
            <w:tcW w:w="743" w:type="dxa"/>
            <w:noWrap w:val="0"/>
            <w:vAlign w:val="center"/>
          </w:tcPr>
          <w:p w14:paraId="2D24C3FD">
            <w:pPr>
              <w:pStyle w:val="445"/>
              <w:widowControl w:val="0"/>
              <w:ind w:firstLine="0"/>
              <w:jc w:val="center"/>
              <w:rPr>
                <w:b/>
                <w:bCs/>
                <w:color w:val="000000"/>
                <w:sz w:val="21"/>
                <w:szCs w:val="21"/>
                <w:lang w:val="en-US"/>
              </w:rPr>
            </w:pPr>
            <w:r>
              <w:rPr>
                <w:b/>
                <w:bCs/>
                <w:color w:val="000000"/>
                <w:sz w:val="21"/>
                <w:szCs w:val="21"/>
                <w:lang w:val="en-US"/>
              </w:rPr>
              <w:t>类别</w:t>
            </w:r>
          </w:p>
        </w:tc>
        <w:tc>
          <w:tcPr>
            <w:tcW w:w="1950" w:type="dxa"/>
            <w:gridSpan w:val="2"/>
            <w:noWrap w:val="0"/>
            <w:vAlign w:val="center"/>
          </w:tcPr>
          <w:p w14:paraId="2D971024">
            <w:pPr>
              <w:pStyle w:val="445"/>
              <w:widowControl w:val="0"/>
              <w:ind w:firstLine="0"/>
              <w:jc w:val="center"/>
              <w:rPr>
                <w:b/>
                <w:bCs/>
                <w:color w:val="000000"/>
                <w:sz w:val="21"/>
                <w:szCs w:val="21"/>
                <w:lang w:val="en-US"/>
              </w:rPr>
            </w:pPr>
            <w:r>
              <w:rPr>
                <w:b/>
                <w:bCs/>
                <w:color w:val="000000"/>
                <w:sz w:val="21"/>
                <w:szCs w:val="21"/>
                <w:lang w:val="en-US"/>
              </w:rPr>
              <w:t>设施</w:t>
            </w:r>
          </w:p>
        </w:tc>
        <w:tc>
          <w:tcPr>
            <w:tcW w:w="1308" w:type="dxa"/>
            <w:gridSpan w:val="2"/>
            <w:noWrap w:val="0"/>
            <w:vAlign w:val="center"/>
          </w:tcPr>
          <w:p w14:paraId="665F67A3">
            <w:pPr>
              <w:pStyle w:val="445"/>
              <w:widowControl w:val="0"/>
              <w:ind w:firstLine="0"/>
              <w:jc w:val="center"/>
              <w:rPr>
                <w:b/>
                <w:bCs/>
                <w:color w:val="000000"/>
                <w:sz w:val="21"/>
                <w:szCs w:val="21"/>
                <w:lang w:val="en-US"/>
              </w:rPr>
            </w:pPr>
            <w:r>
              <w:rPr>
                <w:b/>
                <w:bCs/>
                <w:color w:val="000000"/>
                <w:sz w:val="21"/>
                <w:szCs w:val="21"/>
                <w:lang w:val="en-US"/>
              </w:rPr>
              <w:t>处理对象</w:t>
            </w:r>
          </w:p>
        </w:tc>
        <w:tc>
          <w:tcPr>
            <w:tcW w:w="1832" w:type="dxa"/>
            <w:gridSpan w:val="2"/>
            <w:noWrap w:val="0"/>
            <w:vAlign w:val="center"/>
          </w:tcPr>
          <w:p w14:paraId="7B441E68">
            <w:pPr>
              <w:pStyle w:val="445"/>
              <w:widowControl w:val="0"/>
              <w:ind w:firstLine="0"/>
              <w:jc w:val="center"/>
              <w:rPr>
                <w:b/>
                <w:bCs/>
                <w:color w:val="000000"/>
                <w:sz w:val="21"/>
                <w:szCs w:val="21"/>
                <w:lang w:val="en-US"/>
              </w:rPr>
            </w:pPr>
            <w:r>
              <w:rPr>
                <w:b/>
                <w:bCs/>
                <w:color w:val="000000"/>
                <w:sz w:val="21"/>
                <w:szCs w:val="21"/>
                <w:lang w:val="en-US"/>
              </w:rPr>
              <w:t>治理效果</w:t>
            </w:r>
          </w:p>
        </w:tc>
        <w:tc>
          <w:tcPr>
            <w:tcW w:w="2226" w:type="dxa"/>
            <w:noWrap w:val="0"/>
            <w:vAlign w:val="center"/>
          </w:tcPr>
          <w:p w14:paraId="6F528F21">
            <w:pPr>
              <w:pStyle w:val="445"/>
              <w:widowControl w:val="0"/>
              <w:ind w:firstLine="0"/>
              <w:jc w:val="center"/>
              <w:rPr>
                <w:b/>
                <w:bCs/>
                <w:color w:val="000000"/>
                <w:sz w:val="21"/>
                <w:szCs w:val="21"/>
                <w:lang w:val="en-US"/>
              </w:rPr>
            </w:pPr>
            <w:r>
              <w:rPr>
                <w:b/>
                <w:bCs/>
                <w:color w:val="000000"/>
                <w:sz w:val="21"/>
                <w:szCs w:val="21"/>
                <w:lang w:val="en-US"/>
              </w:rPr>
              <w:t>验收要求</w:t>
            </w:r>
          </w:p>
        </w:tc>
      </w:tr>
      <w:tr w14:paraId="726ADB0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5E6F98F4">
            <w:pPr>
              <w:pStyle w:val="445"/>
              <w:widowControl w:val="0"/>
              <w:ind w:firstLine="0"/>
              <w:jc w:val="center"/>
              <w:rPr>
                <w:color w:val="000000"/>
                <w:sz w:val="21"/>
                <w:szCs w:val="21"/>
                <w:lang w:val="en-US"/>
              </w:rPr>
            </w:pPr>
            <w:r>
              <w:rPr>
                <w:color w:val="000000"/>
                <w:sz w:val="21"/>
                <w:szCs w:val="21"/>
                <w:lang w:val="en-US"/>
              </w:rPr>
              <w:t>1</w:t>
            </w:r>
          </w:p>
        </w:tc>
        <w:tc>
          <w:tcPr>
            <w:tcW w:w="743" w:type="dxa"/>
            <w:vMerge w:val="restart"/>
            <w:noWrap w:val="0"/>
            <w:vAlign w:val="center"/>
          </w:tcPr>
          <w:p w14:paraId="6DFEB896">
            <w:pPr>
              <w:pStyle w:val="445"/>
              <w:widowControl w:val="0"/>
              <w:ind w:firstLine="0"/>
              <w:jc w:val="center"/>
              <w:rPr>
                <w:color w:val="000000"/>
                <w:sz w:val="21"/>
                <w:szCs w:val="21"/>
                <w:lang w:val="en-US"/>
              </w:rPr>
            </w:pPr>
          </w:p>
          <w:p w14:paraId="068115D0">
            <w:pPr>
              <w:pStyle w:val="445"/>
              <w:widowControl w:val="0"/>
              <w:ind w:firstLine="0"/>
              <w:jc w:val="center"/>
              <w:rPr>
                <w:color w:val="000000"/>
                <w:sz w:val="21"/>
                <w:szCs w:val="21"/>
                <w:lang w:val="en-US"/>
              </w:rPr>
            </w:pPr>
          </w:p>
          <w:p w14:paraId="7FC85CBD">
            <w:pPr>
              <w:pStyle w:val="445"/>
              <w:widowControl w:val="0"/>
              <w:ind w:firstLine="0"/>
              <w:jc w:val="center"/>
              <w:rPr>
                <w:color w:val="000000"/>
                <w:sz w:val="21"/>
                <w:szCs w:val="21"/>
                <w:lang w:val="en-US"/>
              </w:rPr>
            </w:pPr>
          </w:p>
          <w:p w14:paraId="6744878E">
            <w:pPr>
              <w:pStyle w:val="445"/>
              <w:widowControl w:val="0"/>
              <w:ind w:firstLine="0"/>
              <w:jc w:val="center"/>
              <w:rPr>
                <w:color w:val="000000"/>
                <w:sz w:val="21"/>
                <w:szCs w:val="21"/>
                <w:lang w:val="en-US"/>
              </w:rPr>
            </w:pPr>
            <w:r>
              <w:rPr>
                <w:color w:val="000000"/>
                <w:sz w:val="21"/>
                <w:szCs w:val="21"/>
                <w:lang w:val="en-US"/>
              </w:rPr>
              <w:t>废气治理措施</w:t>
            </w:r>
          </w:p>
          <w:p w14:paraId="5B454DBC">
            <w:pPr>
              <w:pStyle w:val="445"/>
              <w:widowControl w:val="0"/>
              <w:ind w:firstLine="0"/>
              <w:jc w:val="center"/>
              <w:rPr>
                <w:color w:val="000000"/>
                <w:sz w:val="21"/>
                <w:szCs w:val="21"/>
                <w:lang w:val="en-US"/>
              </w:rPr>
            </w:pPr>
          </w:p>
          <w:p w14:paraId="561CE3BC">
            <w:pPr>
              <w:pStyle w:val="445"/>
              <w:widowControl w:val="0"/>
              <w:ind w:firstLine="0"/>
              <w:jc w:val="center"/>
              <w:rPr>
                <w:color w:val="000000"/>
                <w:sz w:val="21"/>
                <w:szCs w:val="21"/>
                <w:lang w:val="en-US"/>
              </w:rPr>
            </w:pPr>
          </w:p>
          <w:p w14:paraId="02B1EDA9">
            <w:pPr>
              <w:pStyle w:val="445"/>
              <w:widowControl w:val="0"/>
              <w:ind w:firstLine="0"/>
              <w:jc w:val="center"/>
              <w:rPr>
                <w:color w:val="000000"/>
                <w:sz w:val="21"/>
                <w:szCs w:val="21"/>
                <w:lang w:val="en-US"/>
              </w:rPr>
            </w:pPr>
          </w:p>
          <w:p w14:paraId="799F4D19">
            <w:pPr>
              <w:pStyle w:val="445"/>
              <w:widowControl w:val="0"/>
              <w:ind w:firstLine="0"/>
              <w:jc w:val="center"/>
              <w:rPr>
                <w:color w:val="000000"/>
                <w:sz w:val="21"/>
                <w:szCs w:val="21"/>
                <w:lang w:val="en-US"/>
              </w:rPr>
            </w:pPr>
          </w:p>
          <w:p w14:paraId="667CCE0C">
            <w:pPr>
              <w:pStyle w:val="445"/>
              <w:widowControl w:val="0"/>
              <w:ind w:firstLine="0"/>
              <w:jc w:val="center"/>
              <w:rPr>
                <w:rFonts w:hint="eastAsia"/>
                <w:color w:val="000000"/>
                <w:sz w:val="21"/>
                <w:szCs w:val="21"/>
                <w:lang w:val="en-US"/>
              </w:rPr>
            </w:pPr>
          </w:p>
        </w:tc>
        <w:tc>
          <w:tcPr>
            <w:tcW w:w="1950" w:type="dxa"/>
            <w:gridSpan w:val="2"/>
            <w:noWrap w:val="0"/>
            <w:vAlign w:val="center"/>
          </w:tcPr>
          <w:p w14:paraId="0EC07070">
            <w:pPr>
              <w:widowControl w:val="0"/>
              <w:spacing w:line="240" w:lineRule="auto"/>
              <w:ind w:firstLine="0"/>
              <w:jc w:val="center"/>
              <w:rPr>
                <w:bCs/>
                <w:sz w:val="21"/>
                <w:szCs w:val="21"/>
              </w:rPr>
            </w:pPr>
            <w:r>
              <w:rPr>
                <w:rFonts w:hint="eastAsia" w:ascii="Times New Roman" w:hAnsi="Times New Roman" w:eastAsia="宋体" w:cs="Times New Roman"/>
                <w:color w:val="000000"/>
                <w:sz w:val="21"/>
                <w:szCs w:val="21"/>
                <w:lang w:val="en-US" w:eastAsia="zh-CN" w:bidi="ar-SA"/>
              </w:rPr>
              <w:t>将干燥、筛选、铺装工序粉尘合并处理，在现有的旋风除尘器后端增设1套布袋除尘器，净化处理后通过1根15m高排气筒排放（P1）</w:t>
            </w:r>
          </w:p>
        </w:tc>
        <w:tc>
          <w:tcPr>
            <w:tcW w:w="1308" w:type="dxa"/>
            <w:gridSpan w:val="2"/>
            <w:noWrap w:val="0"/>
            <w:vAlign w:val="center"/>
          </w:tcPr>
          <w:p w14:paraId="7A8DB9D0">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干燥、筛分、铺装工段粉尘</w:t>
            </w:r>
          </w:p>
        </w:tc>
        <w:tc>
          <w:tcPr>
            <w:tcW w:w="1832" w:type="dxa"/>
            <w:gridSpan w:val="2"/>
            <w:noWrap w:val="0"/>
            <w:vAlign w:val="center"/>
          </w:tcPr>
          <w:p w14:paraId="71EBF635">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达标排放</w:t>
            </w:r>
          </w:p>
        </w:tc>
        <w:tc>
          <w:tcPr>
            <w:tcW w:w="2226" w:type="dxa"/>
            <w:noWrap w:val="0"/>
            <w:vAlign w:val="center"/>
          </w:tcPr>
          <w:p w14:paraId="1640BEEE">
            <w:pPr>
              <w:pStyle w:val="445"/>
              <w:widowControl w:val="0"/>
              <w:ind w:firstLine="0"/>
              <w:jc w:val="center"/>
              <w:rPr>
                <w:rFonts w:ascii="Times New Roman" w:hAnsi="Times New Roman"/>
                <w:bCs/>
                <w:color w:val="000000"/>
                <w:sz w:val="21"/>
                <w:szCs w:val="21"/>
              </w:rPr>
            </w:pPr>
            <w:r>
              <w:rPr>
                <w:rFonts w:hint="eastAsia" w:ascii="Times New Roman" w:hAnsi="Times New Roman" w:eastAsia="宋体" w:cs="Times New Roman"/>
                <w:b w:val="0"/>
                <w:bCs w:val="0"/>
                <w:color w:val="000000"/>
                <w:sz w:val="21"/>
                <w:szCs w:val="21"/>
                <w:lang w:val="en-US" w:eastAsia="zh-CN" w:bidi="zh-CN"/>
              </w:rPr>
              <w:t>外排废气满足</w:t>
            </w:r>
            <w:r>
              <w:rPr>
                <w:rFonts w:hint="eastAsia"/>
                <w:b w:val="0"/>
                <w:bCs w:val="0"/>
                <w:color w:val="000000"/>
                <w:sz w:val="21"/>
                <w:szCs w:val="21"/>
              </w:rPr>
              <w:t>《大气污染物综合排放标准》（GB16297</w:t>
            </w:r>
            <w:r>
              <w:rPr>
                <w:rFonts w:hint="eastAsia" w:eastAsia="宋体"/>
                <w:b w:val="0"/>
                <w:bCs w:val="0"/>
                <w:color w:val="000000"/>
                <w:sz w:val="21"/>
                <w:szCs w:val="21"/>
                <w:lang w:val="en-US" w:eastAsia="zh-CN"/>
              </w:rPr>
              <w:t>-</w:t>
            </w:r>
            <w:r>
              <w:rPr>
                <w:rFonts w:hint="eastAsia"/>
                <w:b w:val="0"/>
                <w:bCs w:val="0"/>
                <w:color w:val="000000"/>
                <w:sz w:val="21"/>
                <w:szCs w:val="21"/>
              </w:rPr>
              <w:t>1996）</w:t>
            </w:r>
            <w:r>
              <w:rPr>
                <w:rFonts w:hint="eastAsia" w:eastAsia="宋体"/>
                <w:b w:val="0"/>
                <w:bCs w:val="0"/>
                <w:color w:val="000000"/>
                <w:sz w:val="21"/>
                <w:szCs w:val="21"/>
                <w:lang w:val="en-US" w:eastAsia="zh-CN"/>
              </w:rPr>
              <w:t>表2中颗粒物最高允许排放浓度限值120mg/m</w:t>
            </w:r>
            <w:r>
              <w:rPr>
                <w:rFonts w:hint="eastAsia" w:eastAsia="宋体"/>
                <w:b w:val="0"/>
                <w:bCs w:val="0"/>
                <w:color w:val="000000"/>
                <w:sz w:val="21"/>
                <w:szCs w:val="21"/>
                <w:vertAlign w:val="superscript"/>
                <w:lang w:val="en-US" w:eastAsia="zh-CN"/>
              </w:rPr>
              <w:t>3</w:t>
            </w:r>
          </w:p>
        </w:tc>
      </w:tr>
      <w:tr w14:paraId="526ABE7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64A431E6">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2</w:t>
            </w:r>
          </w:p>
        </w:tc>
        <w:tc>
          <w:tcPr>
            <w:tcW w:w="743" w:type="dxa"/>
            <w:vMerge w:val="continue"/>
            <w:noWrap w:val="0"/>
            <w:vAlign w:val="center"/>
          </w:tcPr>
          <w:p w14:paraId="39CE8C2B">
            <w:pPr>
              <w:pStyle w:val="445"/>
              <w:widowControl w:val="0"/>
              <w:ind w:firstLine="0"/>
              <w:jc w:val="center"/>
              <w:rPr>
                <w:rFonts w:hint="eastAsia"/>
                <w:color w:val="000000"/>
                <w:sz w:val="21"/>
                <w:szCs w:val="21"/>
                <w:lang w:val="en-US"/>
              </w:rPr>
            </w:pPr>
          </w:p>
        </w:tc>
        <w:tc>
          <w:tcPr>
            <w:tcW w:w="1950" w:type="dxa"/>
            <w:gridSpan w:val="2"/>
            <w:noWrap w:val="0"/>
            <w:vAlign w:val="center"/>
          </w:tcPr>
          <w:p w14:paraId="06B0C76D">
            <w:pPr>
              <w:widowControl w:val="0"/>
              <w:spacing w:line="240" w:lineRule="auto"/>
              <w:ind w:firstLine="0"/>
              <w:jc w:val="center"/>
              <w:rPr>
                <w:rFonts w:hint="eastAsia"/>
                <w:bCs/>
                <w:color w:val="FF0000"/>
                <w:sz w:val="21"/>
                <w:szCs w:val="21"/>
                <w:lang w:val="en-US" w:eastAsia="zh-CN" w:bidi="ar-SA"/>
              </w:rPr>
            </w:pPr>
            <w:r>
              <w:rPr>
                <w:rFonts w:hint="eastAsia" w:ascii="Times New Roman" w:hAnsi="Times New Roman" w:eastAsia="宋体" w:cs="Times New Roman"/>
                <w:color w:val="FF0000"/>
                <w:sz w:val="21"/>
                <w:szCs w:val="21"/>
                <w:lang w:val="en-US" w:eastAsia="zh-CN" w:bidi="zh-CN"/>
              </w:rPr>
              <w:t>与制胶废气共用1套UV光催化活性炭吸附一体设备+15m高排气筒（P2）</w:t>
            </w:r>
          </w:p>
        </w:tc>
        <w:tc>
          <w:tcPr>
            <w:tcW w:w="1308" w:type="dxa"/>
            <w:gridSpan w:val="2"/>
            <w:noWrap w:val="0"/>
            <w:vAlign w:val="center"/>
          </w:tcPr>
          <w:p w14:paraId="79045672">
            <w:pPr>
              <w:pStyle w:val="445"/>
              <w:widowControl w:val="0"/>
              <w:ind w:firstLine="0"/>
              <w:jc w:val="center"/>
              <w:rPr>
                <w:rFonts w:hint="eastAsia" w:ascii="Times New Roman" w:hAnsi="Times New Roman" w:eastAsia="宋体"/>
                <w:bCs/>
                <w:color w:val="FF0000"/>
                <w:sz w:val="21"/>
                <w:szCs w:val="21"/>
                <w:lang w:val="en-US" w:eastAsia="zh-CN" w:bidi="ar-SA"/>
              </w:rPr>
            </w:pPr>
            <w:r>
              <w:rPr>
                <w:rFonts w:hint="eastAsia" w:ascii="Times New Roman" w:hAnsi="Times New Roman"/>
                <w:bCs/>
                <w:color w:val="FF0000"/>
                <w:sz w:val="21"/>
                <w:szCs w:val="21"/>
                <w:lang w:val="en-US" w:eastAsia="zh-CN"/>
              </w:rPr>
              <w:t>热压、贴面有机废气</w:t>
            </w:r>
          </w:p>
        </w:tc>
        <w:tc>
          <w:tcPr>
            <w:tcW w:w="1832" w:type="dxa"/>
            <w:gridSpan w:val="2"/>
            <w:noWrap w:val="0"/>
            <w:vAlign w:val="center"/>
          </w:tcPr>
          <w:p w14:paraId="71FE6D0A">
            <w:pPr>
              <w:pStyle w:val="445"/>
              <w:widowControl w:val="0"/>
              <w:ind w:firstLine="0"/>
              <w:jc w:val="center"/>
              <w:rPr>
                <w:rFonts w:hint="eastAsia" w:ascii="Times New Roman" w:hAnsi="Times New Roman"/>
                <w:bCs/>
                <w:color w:val="FF0000"/>
                <w:sz w:val="21"/>
                <w:szCs w:val="21"/>
                <w:lang w:val="en-US" w:eastAsia="zh-CN" w:bidi="ar-SA"/>
              </w:rPr>
            </w:pPr>
            <w:r>
              <w:rPr>
                <w:rFonts w:ascii="Times New Roman" w:hAnsi="Times New Roman"/>
                <w:bCs/>
                <w:color w:val="FF0000"/>
                <w:sz w:val="21"/>
                <w:szCs w:val="21"/>
              </w:rPr>
              <w:t>达标排放</w:t>
            </w:r>
          </w:p>
        </w:tc>
        <w:tc>
          <w:tcPr>
            <w:tcW w:w="2226" w:type="dxa"/>
            <w:noWrap w:val="0"/>
            <w:vAlign w:val="center"/>
          </w:tcPr>
          <w:p w14:paraId="55FD29FC">
            <w:pPr>
              <w:widowControl w:val="0"/>
              <w:spacing w:before="0" w:after="0" w:line="267" w:lineRule="exact"/>
              <w:ind w:left="160" w:right="138" w:firstLine="0"/>
              <w:jc w:val="center"/>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满足《大气污染物综合排放标准》（GB16297-1996）表2中标准限值</w:t>
            </w:r>
          </w:p>
          <w:p w14:paraId="0F0BC3CC">
            <w:pPr>
              <w:pStyle w:val="445"/>
              <w:widowControl w:val="0"/>
              <w:ind w:firstLine="0"/>
              <w:jc w:val="center"/>
              <w:rPr>
                <w:rFonts w:hint="eastAsia" w:ascii="Times New Roman" w:hAnsi="Times New Roman" w:eastAsia="宋体" w:cs="Times New Roman"/>
                <w:b/>
                <w:bCs/>
                <w:sz w:val="21"/>
                <w:szCs w:val="21"/>
                <w:lang w:val="en-US" w:eastAsia="zh-CN" w:bidi="zh-CN"/>
              </w:rPr>
            </w:pPr>
          </w:p>
        </w:tc>
      </w:tr>
      <w:tr w14:paraId="474630E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26A55FF1">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3</w:t>
            </w:r>
          </w:p>
        </w:tc>
        <w:tc>
          <w:tcPr>
            <w:tcW w:w="743" w:type="dxa"/>
            <w:vMerge w:val="continue"/>
            <w:noWrap w:val="0"/>
            <w:vAlign w:val="center"/>
          </w:tcPr>
          <w:p w14:paraId="711C7AFB">
            <w:pPr>
              <w:pStyle w:val="445"/>
              <w:widowControl w:val="0"/>
              <w:ind w:firstLine="0"/>
              <w:jc w:val="center"/>
              <w:rPr>
                <w:color w:val="000000"/>
                <w:sz w:val="21"/>
                <w:szCs w:val="21"/>
                <w:lang w:val="en-US"/>
              </w:rPr>
            </w:pPr>
          </w:p>
        </w:tc>
        <w:tc>
          <w:tcPr>
            <w:tcW w:w="1950" w:type="dxa"/>
            <w:gridSpan w:val="2"/>
            <w:noWrap w:val="0"/>
            <w:vAlign w:val="center"/>
          </w:tcPr>
          <w:p w14:paraId="59B9BC3A">
            <w:pPr>
              <w:widowControl w:val="0"/>
              <w:spacing w:line="240" w:lineRule="auto"/>
              <w:ind w:firstLine="0"/>
              <w:jc w:val="center"/>
              <w:rPr>
                <w:bCs/>
                <w:sz w:val="21"/>
                <w:szCs w:val="21"/>
              </w:rPr>
            </w:pPr>
            <w:r>
              <w:rPr>
                <w:rFonts w:hint="eastAsia" w:ascii="Times New Roman" w:hAnsi="Times New Roman" w:eastAsia="宋体" w:cs="Times New Roman"/>
                <w:sz w:val="21"/>
                <w:szCs w:val="21"/>
                <w:lang w:val="en-US" w:eastAsia="zh-CN" w:bidi="zh-CN"/>
              </w:rPr>
              <w:t>增设1套电离捕捉器，并将热载体炉的现有25m排气筒增高至45m；后期将6t/h锅炉、热载体炉水膜除尘器处理后的烟气引入增设的1套电离捕捉器进行集中处理，通过45m排气筒集中排放（P3）</w:t>
            </w:r>
          </w:p>
        </w:tc>
        <w:tc>
          <w:tcPr>
            <w:tcW w:w="1308" w:type="dxa"/>
            <w:gridSpan w:val="2"/>
            <w:noWrap w:val="0"/>
            <w:vAlign w:val="center"/>
          </w:tcPr>
          <w:p w14:paraId="1BFBF3EE">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供热系统烟气</w:t>
            </w:r>
          </w:p>
        </w:tc>
        <w:tc>
          <w:tcPr>
            <w:tcW w:w="1832" w:type="dxa"/>
            <w:gridSpan w:val="2"/>
            <w:noWrap w:val="0"/>
            <w:vAlign w:val="center"/>
          </w:tcPr>
          <w:p w14:paraId="6A61F41E">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达标排放</w:t>
            </w:r>
          </w:p>
        </w:tc>
        <w:tc>
          <w:tcPr>
            <w:tcW w:w="2226" w:type="dxa"/>
            <w:noWrap w:val="0"/>
            <w:vAlign w:val="center"/>
          </w:tcPr>
          <w:p w14:paraId="30CB1E29">
            <w:pPr>
              <w:pStyle w:val="445"/>
              <w:widowControl w:val="0"/>
              <w:ind w:firstLine="0"/>
              <w:jc w:val="center"/>
              <w:rPr>
                <w:rFonts w:ascii="Times New Roman" w:hAnsi="Times New Roman"/>
                <w:bCs/>
                <w:color w:val="000000"/>
                <w:sz w:val="21"/>
                <w:szCs w:val="21"/>
              </w:rPr>
            </w:pPr>
            <w:r>
              <w:rPr>
                <w:rFonts w:ascii="Times New Roman" w:hAnsi="Times New Roman"/>
                <w:bCs/>
                <w:color w:val="000000"/>
                <w:sz w:val="21"/>
                <w:szCs w:val="21"/>
              </w:rPr>
              <w:t>满足（GB13271-2014）《锅炉大气污染物排放标准》中表2规定的大气污染物排放限值</w:t>
            </w:r>
          </w:p>
        </w:tc>
      </w:tr>
      <w:tr w14:paraId="4B031F2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25391716">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4</w:t>
            </w:r>
          </w:p>
        </w:tc>
        <w:tc>
          <w:tcPr>
            <w:tcW w:w="743" w:type="dxa"/>
            <w:vMerge w:val="continue"/>
            <w:noWrap w:val="0"/>
            <w:vAlign w:val="center"/>
          </w:tcPr>
          <w:p w14:paraId="07178F09">
            <w:pPr>
              <w:pStyle w:val="445"/>
              <w:widowControl w:val="0"/>
              <w:ind w:firstLine="0"/>
              <w:jc w:val="center"/>
              <w:rPr>
                <w:color w:val="000000"/>
                <w:sz w:val="21"/>
                <w:szCs w:val="21"/>
                <w:lang w:val="en-US"/>
              </w:rPr>
            </w:pPr>
          </w:p>
        </w:tc>
        <w:tc>
          <w:tcPr>
            <w:tcW w:w="1950" w:type="dxa"/>
            <w:gridSpan w:val="2"/>
            <w:noWrap w:val="0"/>
            <w:vAlign w:val="center"/>
          </w:tcPr>
          <w:p w14:paraId="36919CD4">
            <w:pPr>
              <w:widowControl w:val="0"/>
              <w:spacing w:line="240" w:lineRule="auto"/>
              <w:ind w:firstLine="0"/>
              <w:jc w:val="center"/>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制胶车间设置1套UV光</w:t>
            </w:r>
            <w:r>
              <w:rPr>
                <w:rFonts w:hint="eastAsia" w:ascii="Times New Roman" w:hAnsi="Times New Roman" w:eastAsia="宋体" w:cs="Times New Roman"/>
                <w:color w:val="FF0000"/>
                <w:sz w:val="21"/>
                <w:szCs w:val="21"/>
                <w:lang w:val="en-US" w:eastAsia="zh-CN" w:bidi="zh-CN"/>
              </w:rPr>
              <w:t>催化活性炭吸附一体设备+15m高排气筒（P2）</w:t>
            </w:r>
          </w:p>
        </w:tc>
        <w:tc>
          <w:tcPr>
            <w:tcW w:w="1308" w:type="dxa"/>
            <w:gridSpan w:val="2"/>
            <w:noWrap w:val="0"/>
            <w:vAlign w:val="center"/>
          </w:tcPr>
          <w:p w14:paraId="2138DA73">
            <w:pPr>
              <w:pStyle w:val="445"/>
              <w:widowControl w:val="0"/>
              <w:ind w:firstLine="0"/>
              <w:jc w:val="center"/>
              <w:rPr>
                <w:rFonts w:ascii="Times New Roman" w:hAnsi="Times New Roman"/>
                <w:bCs/>
                <w:color w:val="000000"/>
                <w:sz w:val="21"/>
                <w:szCs w:val="21"/>
                <w:lang w:val="en-US" w:eastAsia="zh-CN"/>
              </w:rPr>
            </w:pPr>
            <w:r>
              <w:rPr>
                <w:rFonts w:hint="eastAsia" w:ascii="Times New Roman" w:hAnsi="Times New Roman"/>
                <w:bCs/>
                <w:color w:val="000000"/>
                <w:sz w:val="21"/>
                <w:szCs w:val="21"/>
                <w:lang w:val="en-US" w:eastAsia="zh-CN"/>
              </w:rPr>
              <w:t>胶水生产不凝气</w:t>
            </w:r>
          </w:p>
        </w:tc>
        <w:tc>
          <w:tcPr>
            <w:tcW w:w="1832" w:type="dxa"/>
            <w:gridSpan w:val="2"/>
            <w:noWrap w:val="0"/>
            <w:vAlign w:val="center"/>
          </w:tcPr>
          <w:p w14:paraId="34EDAF4D">
            <w:pPr>
              <w:pStyle w:val="445"/>
              <w:widowControl w:val="0"/>
              <w:ind w:firstLine="0"/>
              <w:jc w:val="center"/>
              <w:rPr>
                <w:rFonts w:ascii="Times New Roman" w:hAnsi="Times New Roman"/>
                <w:bCs/>
                <w:color w:val="000000"/>
                <w:sz w:val="21"/>
                <w:szCs w:val="21"/>
                <w:lang w:val="en-US" w:eastAsia="zh-CN"/>
              </w:rPr>
            </w:pPr>
            <w:r>
              <w:rPr>
                <w:rFonts w:hint="eastAsia" w:ascii="Times New Roman" w:hAnsi="Times New Roman"/>
                <w:bCs/>
                <w:color w:val="000000"/>
                <w:sz w:val="21"/>
                <w:szCs w:val="21"/>
                <w:lang w:val="en-US" w:eastAsia="zh-CN"/>
              </w:rPr>
              <w:t>达标排放</w:t>
            </w:r>
          </w:p>
        </w:tc>
        <w:tc>
          <w:tcPr>
            <w:tcW w:w="2226" w:type="dxa"/>
            <w:noWrap w:val="0"/>
            <w:vAlign w:val="center"/>
          </w:tcPr>
          <w:p w14:paraId="35C57FF7">
            <w:pPr>
              <w:pStyle w:val="445"/>
              <w:widowControl w:val="0"/>
              <w:ind w:firstLine="0"/>
              <w:jc w:val="center"/>
              <w:rPr>
                <w:rFonts w:ascii="Times New Roman" w:hAnsi="Times New Roman"/>
                <w:bCs/>
                <w:color w:val="000000"/>
                <w:sz w:val="21"/>
                <w:szCs w:val="21"/>
              </w:rPr>
            </w:pPr>
            <w:r>
              <w:rPr>
                <w:rFonts w:hint="eastAsia" w:ascii="Times New Roman" w:hAnsi="Times New Roman" w:eastAsia="宋体" w:cs="Times New Roman"/>
                <w:color w:val="000000"/>
                <w:sz w:val="21"/>
                <w:szCs w:val="21"/>
                <w:lang w:val="en-US" w:eastAsia="zh-CN" w:bidi="ar-SA"/>
              </w:rPr>
              <w:t>满足</w:t>
            </w:r>
            <w:r>
              <w:rPr>
                <w:rFonts w:ascii="Times New Roman" w:hAnsi="Times New Roman" w:eastAsia="宋体" w:cs="Times New Roman"/>
                <w:color w:val="000000"/>
                <w:sz w:val="21"/>
                <w:szCs w:val="21"/>
                <w:lang w:val="zh-CN" w:eastAsia="zh-CN" w:bidi="ar-SA"/>
              </w:rPr>
              <w:t>《合成树脂工业污染物排放标准》（GB31572-2015）表 4 的排放浓度限值</w:t>
            </w:r>
          </w:p>
        </w:tc>
      </w:tr>
      <w:tr w14:paraId="2CD7B90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4FD68287">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5</w:t>
            </w:r>
          </w:p>
        </w:tc>
        <w:tc>
          <w:tcPr>
            <w:tcW w:w="743" w:type="dxa"/>
            <w:vMerge w:val="continue"/>
            <w:noWrap w:val="0"/>
            <w:vAlign w:val="center"/>
          </w:tcPr>
          <w:p w14:paraId="3A58A1E2">
            <w:pPr>
              <w:pStyle w:val="445"/>
              <w:widowControl w:val="0"/>
              <w:ind w:firstLine="0"/>
              <w:jc w:val="center"/>
              <w:rPr>
                <w:color w:val="000000"/>
                <w:sz w:val="21"/>
                <w:szCs w:val="21"/>
                <w:lang w:val="en-US"/>
              </w:rPr>
            </w:pPr>
          </w:p>
        </w:tc>
        <w:tc>
          <w:tcPr>
            <w:tcW w:w="1950" w:type="dxa"/>
            <w:gridSpan w:val="2"/>
            <w:noWrap w:val="0"/>
            <w:vAlign w:val="center"/>
          </w:tcPr>
          <w:p w14:paraId="4BD0DD9B">
            <w:pPr>
              <w:widowControl w:val="0"/>
              <w:spacing w:before="2" w:after="0" w:line="244" w:lineRule="auto"/>
              <w:ind w:left="34" w:right="5" w:firstLine="0"/>
              <w:jc w:val="center"/>
              <w:rPr>
                <w:rFonts w:hint="eastAsia" w:ascii="宋体" w:hAnsi="宋体" w:eastAsia="宋体" w:cs="Times New Roman"/>
                <w:sz w:val="21"/>
                <w:szCs w:val="22"/>
                <w:lang w:val="zh-CN" w:eastAsia="zh-CN" w:bidi="zh-CN"/>
              </w:rPr>
            </w:pPr>
            <w:r>
              <w:rPr>
                <w:rFonts w:hint="eastAsia"/>
                <w:bCs/>
                <w:sz w:val="21"/>
                <w:szCs w:val="21"/>
                <w:lang w:val="en-US" w:eastAsia="zh-CN"/>
              </w:rPr>
              <w:t>加强管理，</w:t>
            </w:r>
            <w:r>
              <w:rPr>
                <w:rFonts w:hint="eastAsia" w:ascii="宋体" w:hAnsi="宋体" w:eastAsia="宋体" w:cs="Times New Roman"/>
                <w:spacing w:val="-9"/>
                <w:sz w:val="21"/>
                <w:szCs w:val="22"/>
                <w:lang w:val="zh-CN" w:eastAsia="zh-CN" w:bidi="zh-CN"/>
              </w:rPr>
              <w:t>定期检查</w:t>
            </w:r>
            <w:r>
              <w:rPr>
                <w:rFonts w:hint="eastAsia" w:ascii="宋体" w:hAnsi="宋体" w:eastAsia="宋体" w:cs="Times New Roman"/>
                <w:spacing w:val="-9"/>
                <w:sz w:val="21"/>
                <w:szCs w:val="22"/>
                <w:lang w:val="en-US" w:eastAsia="zh-CN" w:bidi="zh-CN"/>
              </w:rPr>
              <w:t>甲醛</w:t>
            </w:r>
            <w:r>
              <w:rPr>
                <w:rFonts w:hint="eastAsia" w:ascii="宋体" w:hAnsi="宋体" w:eastAsia="宋体" w:cs="Times New Roman"/>
                <w:spacing w:val="-9"/>
                <w:sz w:val="21"/>
                <w:szCs w:val="22"/>
                <w:lang w:val="zh-CN" w:eastAsia="zh-CN" w:bidi="zh-CN"/>
              </w:rPr>
              <w:t>储罐、反应釜等设备</w:t>
            </w:r>
            <w:r>
              <w:rPr>
                <w:rFonts w:hint="eastAsia" w:ascii="宋体" w:hAnsi="宋体" w:eastAsia="宋体" w:cs="Times New Roman"/>
                <w:sz w:val="21"/>
                <w:szCs w:val="22"/>
                <w:lang w:val="zh-CN" w:eastAsia="zh-CN" w:bidi="zh-CN"/>
              </w:rPr>
              <w:t>情况</w:t>
            </w:r>
          </w:p>
          <w:p w14:paraId="7665B685">
            <w:pPr>
              <w:widowControl w:val="0"/>
              <w:spacing w:line="240" w:lineRule="auto"/>
              <w:ind w:firstLine="0"/>
              <w:jc w:val="center"/>
              <w:rPr>
                <w:rFonts w:eastAsia="宋体"/>
                <w:bCs/>
                <w:sz w:val="21"/>
                <w:szCs w:val="21"/>
                <w:lang w:val="en-US" w:eastAsia="zh-CN"/>
              </w:rPr>
            </w:pPr>
          </w:p>
        </w:tc>
        <w:tc>
          <w:tcPr>
            <w:tcW w:w="1308" w:type="dxa"/>
            <w:gridSpan w:val="2"/>
            <w:noWrap w:val="0"/>
            <w:vAlign w:val="center"/>
          </w:tcPr>
          <w:p w14:paraId="2754B130">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无组织甲醛</w:t>
            </w:r>
          </w:p>
        </w:tc>
        <w:tc>
          <w:tcPr>
            <w:tcW w:w="1832" w:type="dxa"/>
            <w:gridSpan w:val="2"/>
            <w:noWrap w:val="0"/>
            <w:vAlign w:val="center"/>
          </w:tcPr>
          <w:p w14:paraId="33E6ADD6">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达标排放</w:t>
            </w:r>
          </w:p>
        </w:tc>
        <w:tc>
          <w:tcPr>
            <w:tcW w:w="2226" w:type="dxa"/>
            <w:noWrap w:val="0"/>
            <w:vAlign w:val="center"/>
          </w:tcPr>
          <w:p w14:paraId="5C4D2A66">
            <w:pPr>
              <w:pStyle w:val="445"/>
              <w:widowControl w:val="0"/>
              <w:ind w:firstLine="0"/>
              <w:jc w:val="center"/>
              <w:rPr>
                <w:rFonts w:ascii="Times New Roman" w:hAnsi="Times New Roman"/>
                <w:bCs/>
                <w:color w:val="000000"/>
                <w:sz w:val="21"/>
                <w:szCs w:val="21"/>
              </w:rPr>
            </w:pPr>
            <w:r>
              <w:rPr>
                <w:rFonts w:hint="eastAsia" w:ascii="Times New Roman" w:hAnsi="Times New Roman" w:eastAsia="宋体" w:cs="Times New Roman"/>
                <w:color w:val="000000"/>
                <w:sz w:val="21"/>
                <w:szCs w:val="21"/>
                <w:lang w:val="en-US" w:eastAsia="zh-CN" w:bidi="ar-SA"/>
              </w:rPr>
              <w:t>满足</w:t>
            </w:r>
            <w:r>
              <w:rPr>
                <w:rFonts w:ascii="Times New Roman" w:hAnsi="Times New Roman" w:eastAsia="宋体" w:cs="Times New Roman"/>
                <w:color w:val="000000"/>
                <w:sz w:val="21"/>
                <w:szCs w:val="21"/>
                <w:lang w:val="zh-CN" w:eastAsia="zh-CN" w:bidi="ar-SA"/>
              </w:rPr>
              <w:t>《大气污染物综合排放标准》（GB16297-1996）表 2 相应标准限值</w:t>
            </w:r>
          </w:p>
        </w:tc>
      </w:tr>
      <w:tr w14:paraId="3B2BF0C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70EE97C5">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6</w:t>
            </w:r>
          </w:p>
        </w:tc>
        <w:tc>
          <w:tcPr>
            <w:tcW w:w="743" w:type="dxa"/>
            <w:vMerge w:val="continue"/>
            <w:noWrap w:val="0"/>
            <w:vAlign w:val="center"/>
          </w:tcPr>
          <w:p w14:paraId="5F2A23E1">
            <w:pPr>
              <w:pStyle w:val="445"/>
              <w:widowControl w:val="0"/>
              <w:ind w:firstLine="0"/>
              <w:jc w:val="center"/>
              <w:rPr>
                <w:color w:val="000000"/>
                <w:sz w:val="21"/>
                <w:szCs w:val="21"/>
                <w:lang w:val="en-US"/>
              </w:rPr>
            </w:pPr>
          </w:p>
        </w:tc>
        <w:tc>
          <w:tcPr>
            <w:tcW w:w="1950" w:type="dxa"/>
            <w:gridSpan w:val="2"/>
            <w:noWrap w:val="0"/>
            <w:vAlign w:val="center"/>
          </w:tcPr>
          <w:p w14:paraId="05B9CF56">
            <w:pPr>
              <w:widowControl w:val="0"/>
              <w:spacing w:line="240" w:lineRule="auto"/>
              <w:ind w:firstLine="0"/>
              <w:jc w:val="center"/>
              <w:rPr>
                <w:bCs/>
                <w:sz w:val="21"/>
                <w:szCs w:val="21"/>
                <w:lang w:val="en-US" w:eastAsia="zh-CN"/>
              </w:rPr>
            </w:pPr>
            <w:r>
              <w:rPr>
                <w:rFonts w:hint="eastAsia"/>
                <w:bCs/>
                <w:sz w:val="21"/>
                <w:szCs w:val="21"/>
                <w:lang w:val="en-US" w:eastAsia="zh-CN"/>
              </w:rPr>
              <w:t>自然扩散，绿化吸附</w:t>
            </w:r>
          </w:p>
        </w:tc>
        <w:tc>
          <w:tcPr>
            <w:tcW w:w="1308" w:type="dxa"/>
            <w:gridSpan w:val="2"/>
            <w:noWrap w:val="0"/>
            <w:vAlign w:val="center"/>
          </w:tcPr>
          <w:p w14:paraId="6DFDF184">
            <w:pPr>
              <w:pStyle w:val="445"/>
              <w:widowControl w:val="0"/>
              <w:ind w:firstLine="0"/>
              <w:jc w:val="center"/>
              <w:rPr>
                <w:rFonts w:ascii="Times New Roman" w:hAnsi="Times New Roman"/>
                <w:bCs/>
                <w:color w:val="000000"/>
                <w:sz w:val="21"/>
                <w:szCs w:val="21"/>
                <w:lang w:val="en-US" w:eastAsia="zh-CN"/>
              </w:rPr>
            </w:pPr>
            <w:r>
              <w:rPr>
                <w:rFonts w:hint="eastAsia" w:ascii="Times New Roman" w:hAnsi="Times New Roman"/>
                <w:bCs/>
                <w:color w:val="000000"/>
                <w:sz w:val="21"/>
                <w:szCs w:val="21"/>
                <w:lang w:val="en-US" w:eastAsia="zh-CN"/>
              </w:rPr>
              <w:t>制胶过程异味</w:t>
            </w:r>
          </w:p>
        </w:tc>
        <w:tc>
          <w:tcPr>
            <w:tcW w:w="1832" w:type="dxa"/>
            <w:gridSpan w:val="2"/>
            <w:noWrap w:val="0"/>
            <w:vAlign w:val="center"/>
          </w:tcPr>
          <w:p w14:paraId="66598B4F">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达标排放</w:t>
            </w:r>
          </w:p>
        </w:tc>
        <w:tc>
          <w:tcPr>
            <w:tcW w:w="2226" w:type="dxa"/>
            <w:noWrap w:val="0"/>
            <w:vAlign w:val="center"/>
          </w:tcPr>
          <w:p w14:paraId="7B259E99">
            <w:pPr>
              <w:pStyle w:val="445"/>
              <w:widowControl w:val="0"/>
              <w:ind w:firstLine="0"/>
              <w:jc w:val="center"/>
              <w:rPr>
                <w:rFonts w:ascii="Times New Roman" w:hAnsi="Times New Roman"/>
                <w:bCs/>
                <w:color w:val="000000"/>
                <w:sz w:val="21"/>
                <w:szCs w:val="21"/>
              </w:rPr>
            </w:pPr>
            <w:r>
              <w:rPr>
                <w:rFonts w:ascii="Times New Roman" w:hAnsi="Times New Roman"/>
                <w:bCs/>
                <w:color w:val="000000"/>
                <w:sz w:val="21"/>
                <w:szCs w:val="21"/>
              </w:rPr>
              <w:t>厂界满足GB14554-93《恶臭污染物排放标准》表1中的二级新建标准</w:t>
            </w:r>
          </w:p>
        </w:tc>
      </w:tr>
      <w:tr w14:paraId="50A448A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vMerge w:val="restart"/>
            <w:noWrap w:val="0"/>
            <w:vAlign w:val="center"/>
          </w:tcPr>
          <w:p w14:paraId="1F4BDD61">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7</w:t>
            </w:r>
          </w:p>
          <w:p w14:paraId="3A0B88B3">
            <w:pPr>
              <w:pStyle w:val="445"/>
              <w:widowControl w:val="0"/>
              <w:ind w:firstLine="0"/>
              <w:jc w:val="center"/>
              <w:rPr>
                <w:color w:val="000000"/>
                <w:sz w:val="21"/>
                <w:szCs w:val="21"/>
                <w:lang w:val="en-US"/>
              </w:rPr>
            </w:pPr>
          </w:p>
        </w:tc>
        <w:tc>
          <w:tcPr>
            <w:tcW w:w="743" w:type="dxa"/>
            <w:vMerge w:val="continue"/>
            <w:noWrap w:val="0"/>
            <w:vAlign w:val="center"/>
          </w:tcPr>
          <w:p w14:paraId="48D59DFE">
            <w:pPr>
              <w:pStyle w:val="445"/>
              <w:widowControl w:val="0"/>
              <w:ind w:firstLine="0"/>
              <w:jc w:val="center"/>
              <w:rPr>
                <w:color w:val="000000"/>
                <w:sz w:val="21"/>
                <w:szCs w:val="21"/>
                <w:lang w:val="en-US"/>
              </w:rPr>
            </w:pPr>
          </w:p>
        </w:tc>
        <w:tc>
          <w:tcPr>
            <w:tcW w:w="1950" w:type="dxa"/>
            <w:gridSpan w:val="2"/>
            <w:noWrap w:val="0"/>
            <w:vAlign w:val="center"/>
          </w:tcPr>
          <w:p w14:paraId="6822386C">
            <w:pPr>
              <w:widowControl w:val="0"/>
              <w:spacing w:before="171" w:after="0" w:line="240" w:lineRule="auto"/>
              <w:ind w:left="147" w:right="120" w:firstLine="0"/>
              <w:jc w:val="center"/>
              <w:rPr>
                <w:rFonts w:hint="eastAsia"/>
                <w:bCs/>
                <w:sz w:val="21"/>
                <w:szCs w:val="21"/>
                <w:lang w:val="en-US" w:eastAsia="zh-CN"/>
              </w:rPr>
            </w:pPr>
            <w:r>
              <w:rPr>
                <w:rFonts w:ascii="Times New Roman" w:hAnsi="Times New Roman" w:eastAsia="宋体" w:cs="Times New Roman"/>
                <w:bCs/>
                <w:color w:val="000000"/>
                <w:spacing w:val="8"/>
                <w:sz w:val="21"/>
                <w:szCs w:val="21"/>
              </w:rPr>
              <w:t>设置顶棚、细小物料采用管道或密闭输送带进行输送，加强管理</w:t>
            </w:r>
          </w:p>
        </w:tc>
        <w:tc>
          <w:tcPr>
            <w:tcW w:w="1308" w:type="dxa"/>
            <w:gridSpan w:val="2"/>
            <w:vMerge w:val="restart"/>
            <w:noWrap w:val="0"/>
            <w:vAlign w:val="center"/>
          </w:tcPr>
          <w:p w14:paraId="0021196A">
            <w:pPr>
              <w:pStyle w:val="445"/>
              <w:widowControl w:val="0"/>
              <w:ind w:firstLine="0"/>
              <w:jc w:val="center"/>
              <w:rPr>
                <w:rFonts w:ascii="Times New Roman" w:hAnsi="Times New Roman"/>
                <w:bCs/>
                <w:color w:val="000000"/>
                <w:sz w:val="21"/>
                <w:szCs w:val="21"/>
                <w:lang w:val="en-US" w:eastAsia="zh-CN"/>
              </w:rPr>
            </w:pPr>
            <w:r>
              <w:rPr>
                <w:rFonts w:hint="eastAsia" w:ascii="Times New Roman" w:hAnsi="Times New Roman"/>
                <w:bCs/>
                <w:color w:val="000000"/>
                <w:sz w:val="21"/>
                <w:szCs w:val="21"/>
                <w:lang w:val="en-US" w:eastAsia="zh-CN"/>
              </w:rPr>
              <w:t>板材生产无组织粉尘</w:t>
            </w:r>
          </w:p>
        </w:tc>
        <w:tc>
          <w:tcPr>
            <w:tcW w:w="1832" w:type="dxa"/>
            <w:gridSpan w:val="2"/>
            <w:vMerge w:val="restart"/>
            <w:noWrap w:val="0"/>
            <w:vAlign w:val="center"/>
          </w:tcPr>
          <w:p w14:paraId="32940521">
            <w:pPr>
              <w:pStyle w:val="445"/>
              <w:widowControl w:val="0"/>
              <w:ind w:firstLine="0"/>
              <w:jc w:val="center"/>
              <w:rPr>
                <w:rFonts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达标排放</w:t>
            </w:r>
          </w:p>
        </w:tc>
        <w:tc>
          <w:tcPr>
            <w:tcW w:w="2226" w:type="dxa"/>
            <w:vMerge w:val="restart"/>
            <w:noWrap w:val="0"/>
            <w:vAlign w:val="center"/>
          </w:tcPr>
          <w:p w14:paraId="4FD9AFE5">
            <w:pPr>
              <w:widowControl w:val="0"/>
              <w:spacing w:before="0" w:after="0" w:line="267" w:lineRule="exact"/>
              <w:ind w:left="160" w:right="138" w:firstLine="0"/>
              <w:jc w:val="center"/>
              <w:rPr>
                <w:rFonts w:ascii="Times New Roman" w:hAnsi="Times New Roman" w:eastAsia="宋体" w:cs="Times New Roman"/>
                <w:sz w:val="21"/>
                <w:szCs w:val="21"/>
                <w:lang w:val="en-US" w:eastAsia="zh-CN" w:bidi="zh-CN"/>
              </w:rPr>
            </w:pPr>
            <w:r>
              <w:rPr>
                <w:rFonts w:ascii="Times New Roman" w:hAnsi="Times New Roman" w:eastAsia="宋体" w:cs="Times New Roman"/>
                <w:sz w:val="21"/>
                <w:szCs w:val="21"/>
                <w:lang w:val="en-US" w:eastAsia="zh-CN" w:bidi="zh-CN"/>
              </w:rPr>
              <w:t>满足《大气污染物综合排放标准》（GB16297-1996）表2</w:t>
            </w:r>
            <w:r>
              <w:rPr>
                <w:rFonts w:hint="eastAsia" w:ascii="Times New Roman" w:hAnsi="Times New Roman" w:eastAsia="宋体" w:cs="Times New Roman"/>
                <w:sz w:val="21"/>
                <w:szCs w:val="21"/>
                <w:lang w:val="en-US" w:eastAsia="zh-CN" w:bidi="zh-CN"/>
              </w:rPr>
              <w:t>中颗粒物无组织排放监控浓度限值1.0mg/m</w:t>
            </w:r>
            <w:r>
              <w:rPr>
                <w:rFonts w:hint="eastAsia" w:ascii="Times New Roman" w:hAnsi="Times New Roman" w:eastAsia="宋体" w:cs="Times New Roman"/>
                <w:sz w:val="21"/>
                <w:szCs w:val="21"/>
                <w:vertAlign w:val="superscript"/>
                <w:lang w:val="en-US" w:eastAsia="zh-CN" w:bidi="zh-CN"/>
              </w:rPr>
              <w:t>3</w:t>
            </w:r>
          </w:p>
          <w:p w14:paraId="7C8517E4">
            <w:pPr>
              <w:pStyle w:val="445"/>
              <w:widowControl w:val="0"/>
              <w:ind w:firstLine="0"/>
              <w:jc w:val="center"/>
              <w:rPr>
                <w:rFonts w:ascii="Times New Roman" w:hAnsi="Times New Roman"/>
                <w:bCs/>
                <w:color w:val="000000"/>
                <w:sz w:val="21"/>
                <w:szCs w:val="21"/>
              </w:rPr>
            </w:pPr>
          </w:p>
        </w:tc>
      </w:tr>
      <w:tr w14:paraId="1D3E062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vMerge w:val="continue"/>
            <w:noWrap w:val="0"/>
            <w:vAlign w:val="center"/>
          </w:tcPr>
          <w:p w14:paraId="576EEA42">
            <w:pPr>
              <w:pStyle w:val="445"/>
              <w:widowControl w:val="0"/>
              <w:ind w:firstLine="0"/>
              <w:jc w:val="center"/>
              <w:rPr>
                <w:color w:val="000000"/>
                <w:sz w:val="21"/>
                <w:szCs w:val="21"/>
                <w:lang w:val="en-US"/>
              </w:rPr>
            </w:pPr>
          </w:p>
        </w:tc>
        <w:tc>
          <w:tcPr>
            <w:tcW w:w="743" w:type="dxa"/>
            <w:vMerge w:val="continue"/>
            <w:noWrap w:val="0"/>
            <w:vAlign w:val="center"/>
          </w:tcPr>
          <w:p w14:paraId="6CC6A466">
            <w:pPr>
              <w:pStyle w:val="445"/>
              <w:widowControl w:val="0"/>
              <w:ind w:firstLine="0"/>
              <w:jc w:val="center"/>
              <w:rPr>
                <w:color w:val="000000"/>
                <w:sz w:val="21"/>
                <w:szCs w:val="21"/>
                <w:lang w:val="en-US"/>
              </w:rPr>
            </w:pPr>
          </w:p>
        </w:tc>
        <w:tc>
          <w:tcPr>
            <w:tcW w:w="1950" w:type="dxa"/>
            <w:gridSpan w:val="2"/>
            <w:noWrap w:val="0"/>
            <w:vAlign w:val="center"/>
          </w:tcPr>
          <w:p w14:paraId="4D0701C4">
            <w:pPr>
              <w:widowControl w:val="0"/>
              <w:spacing w:before="171" w:after="0" w:line="240" w:lineRule="auto"/>
              <w:ind w:left="147" w:right="120" w:firstLine="0"/>
              <w:jc w:val="center"/>
              <w:rPr>
                <w:rFonts w:hint="eastAsia"/>
                <w:bCs/>
                <w:sz w:val="21"/>
                <w:szCs w:val="21"/>
                <w:lang w:val="en-US" w:eastAsia="zh-CN"/>
              </w:rPr>
            </w:pPr>
            <w:r>
              <w:rPr>
                <w:rFonts w:ascii="Times New Roman" w:hAnsi="Times New Roman" w:eastAsia="宋体" w:cs="Times New Roman"/>
                <w:color w:val="000000"/>
                <w:sz w:val="21"/>
                <w:szCs w:val="21"/>
                <w:lang w:val="en-US" w:eastAsia="zh-CN" w:bidi="ar-SA"/>
              </w:rPr>
              <w:t>环刨机设置1套布袋除尘器，其余刨片机出料口配置自制的布袋除尘器；刨片粉尘呈无组织排放</w:t>
            </w:r>
          </w:p>
        </w:tc>
        <w:tc>
          <w:tcPr>
            <w:tcW w:w="1308" w:type="dxa"/>
            <w:gridSpan w:val="2"/>
            <w:vMerge w:val="continue"/>
            <w:noWrap w:val="0"/>
            <w:vAlign w:val="center"/>
          </w:tcPr>
          <w:p w14:paraId="50CDDAC5">
            <w:pPr>
              <w:pStyle w:val="445"/>
              <w:widowControl w:val="0"/>
              <w:ind w:firstLine="0"/>
              <w:jc w:val="center"/>
              <w:rPr>
                <w:rFonts w:hint="eastAsia" w:ascii="Times New Roman" w:hAnsi="Times New Roman"/>
                <w:bCs/>
                <w:color w:val="000000"/>
                <w:sz w:val="21"/>
                <w:szCs w:val="21"/>
                <w:lang w:val="en-US" w:eastAsia="zh-CN"/>
              </w:rPr>
            </w:pPr>
          </w:p>
        </w:tc>
        <w:tc>
          <w:tcPr>
            <w:tcW w:w="1832" w:type="dxa"/>
            <w:gridSpan w:val="2"/>
            <w:vMerge w:val="continue"/>
            <w:noWrap w:val="0"/>
            <w:vAlign w:val="center"/>
          </w:tcPr>
          <w:p w14:paraId="06376AB5">
            <w:pPr>
              <w:pStyle w:val="445"/>
              <w:widowControl w:val="0"/>
              <w:ind w:firstLine="0"/>
              <w:jc w:val="center"/>
              <w:rPr>
                <w:rFonts w:ascii="Times New Roman" w:hAnsi="Times New Roman"/>
                <w:bCs/>
                <w:color w:val="000000"/>
                <w:sz w:val="21"/>
                <w:szCs w:val="21"/>
              </w:rPr>
            </w:pPr>
          </w:p>
        </w:tc>
        <w:tc>
          <w:tcPr>
            <w:tcW w:w="2226" w:type="dxa"/>
            <w:vMerge w:val="continue"/>
            <w:noWrap w:val="0"/>
            <w:vAlign w:val="center"/>
          </w:tcPr>
          <w:p w14:paraId="15DCFABC">
            <w:pPr>
              <w:pStyle w:val="445"/>
              <w:widowControl w:val="0"/>
              <w:ind w:firstLine="0"/>
              <w:jc w:val="center"/>
              <w:rPr>
                <w:rFonts w:ascii="Times New Roman" w:hAnsi="Times New Roman"/>
                <w:bCs/>
                <w:color w:val="000000"/>
                <w:sz w:val="21"/>
                <w:szCs w:val="21"/>
              </w:rPr>
            </w:pPr>
          </w:p>
        </w:tc>
      </w:tr>
      <w:tr w14:paraId="692E8BE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vMerge w:val="continue"/>
            <w:noWrap w:val="0"/>
            <w:vAlign w:val="center"/>
          </w:tcPr>
          <w:p w14:paraId="210D3876">
            <w:pPr>
              <w:pStyle w:val="445"/>
              <w:widowControl w:val="0"/>
              <w:ind w:firstLine="0"/>
              <w:jc w:val="center"/>
              <w:rPr>
                <w:color w:val="000000"/>
                <w:sz w:val="21"/>
                <w:szCs w:val="21"/>
                <w:lang w:val="en-US"/>
              </w:rPr>
            </w:pPr>
          </w:p>
        </w:tc>
        <w:tc>
          <w:tcPr>
            <w:tcW w:w="743" w:type="dxa"/>
            <w:vMerge w:val="continue"/>
            <w:noWrap w:val="0"/>
            <w:vAlign w:val="center"/>
          </w:tcPr>
          <w:p w14:paraId="0A8A0640">
            <w:pPr>
              <w:pStyle w:val="445"/>
              <w:widowControl w:val="0"/>
              <w:ind w:firstLine="0"/>
              <w:jc w:val="center"/>
              <w:rPr>
                <w:color w:val="000000"/>
                <w:sz w:val="21"/>
                <w:szCs w:val="21"/>
                <w:lang w:val="en-US"/>
              </w:rPr>
            </w:pPr>
          </w:p>
        </w:tc>
        <w:tc>
          <w:tcPr>
            <w:tcW w:w="1950" w:type="dxa"/>
            <w:gridSpan w:val="2"/>
            <w:noWrap w:val="0"/>
            <w:vAlign w:val="center"/>
          </w:tcPr>
          <w:p w14:paraId="22C4E408">
            <w:pPr>
              <w:widowControl w:val="0"/>
              <w:spacing w:before="171" w:after="0" w:line="240" w:lineRule="auto"/>
              <w:ind w:left="147" w:right="120" w:firstLine="0"/>
              <w:jc w:val="center"/>
              <w:rPr>
                <w:rFonts w:hint="eastAsia"/>
                <w:bCs/>
                <w:sz w:val="21"/>
                <w:szCs w:val="21"/>
                <w:lang w:val="en-US" w:eastAsia="zh-CN"/>
              </w:rPr>
            </w:pPr>
            <w:r>
              <w:rPr>
                <w:rFonts w:hint="eastAsia" w:ascii="Times New Roman" w:hAnsi="Times New Roman" w:eastAsia="宋体" w:cs="Times New Roman"/>
                <w:color w:val="000000"/>
                <w:sz w:val="21"/>
                <w:szCs w:val="21"/>
                <w:lang w:val="en-US" w:eastAsia="zh-CN" w:bidi="ar-SA"/>
              </w:rPr>
              <w:t>砂光、开槽、锯边工段</w:t>
            </w:r>
            <w:r>
              <w:rPr>
                <w:rFonts w:ascii="Times New Roman" w:hAnsi="Times New Roman" w:eastAsia="宋体" w:cs="Times New Roman"/>
                <w:color w:val="000000"/>
                <w:sz w:val="21"/>
                <w:szCs w:val="21"/>
                <w:lang w:val="en-US" w:eastAsia="zh-CN" w:bidi="ar-SA"/>
              </w:rPr>
              <w:t>采用1套正压布袋除尘器净化处理后，无组织排放</w:t>
            </w:r>
          </w:p>
        </w:tc>
        <w:tc>
          <w:tcPr>
            <w:tcW w:w="1308" w:type="dxa"/>
            <w:gridSpan w:val="2"/>
            <w:vMerge w:val="continue"/>
            <w:noWrap w:val="0"/>
            <w:vAlign w:val="center"/>
          </w:tcPr>
          <w:p w14:paraId="35A59D87">
            <w:pPr>
              <w:pStyle w:val="445"/>
              <w:widowControl w:val="0"/>
              <w:ind w:firstLine="0"/>
              <w:jc w:val="center"/>
              <w:rPr>
                <w:rFonts w:hint="eastAsia" w:ascii="Times New Roman" w:hAnsi="Times New Roman"/>
                <w:bCs/>
                <w:color w:val="000000"/>
                <w:sz w:val="21"/>
                <w:szCs w:val="21"/>
                <w:lang w:val="en-US" w:eastAsia="zh-CN"/>
              </w:rPr>
            </w:pPr>
          </w:p>
        </w:tc>
        <w:tc>
          <w:tcPr>
            <w:tcW w:w="1832" w:type="dxa"/>
            <w:gridSpan w:val="2"/>
            <w:vMerge w:val="continue"/>
            <w:noWrap w:val="0"/>
            <w:vAlign w:val="center"/>
          </w:tcPr>
          <w:p w14:paraId="0897A7DD">
            <w:pPr>
              <w:pStyle w:val="445"/>
              <w:widowControl w:val="0"/>
              <w:ind w:firstLine="0"/>
              <w:jc w:val="center"/>
              <w:rPr>
                <w:rFonts w:ascii="Times New Roman" w:hAnsi="Times New Roman"/>
                <w:bCs/>
                <w:color w:val="000000"/>
                <w:sz w:val="21"/>
                <w:szCs w:val="21"/>
              </w:rPr>
            </w:pPr>
          </w:p>
        </w:tc>
        <w:tc>
          <w:tcPr>
            <w:tcW w:w="2226" w:type="dxa"/>
            <w:vMerge w:val="continue"/>
            <w:noWrap w:val="0"/>
            <w:vAlign w:val="center"/>
          </w:tcPr>
          <w:p w14:paraId="69DC65A1">
            <w:pPr>
              <w:pStyle w:val="445"/>
              <w:widowControl w:val="0"/>
              <w:ind w:firstLine="0"/>
              <w:jc w:val="center"/>
              <w:rPr>
                <w:rFonts w:ascii="Times New Roman" w:hAnsi="Times New Roman"/>
                <w:bCs/>
                <w:color w:val="000000"/>
                <w:sz w:val="21"/>
                <w:szCs w:val="21"/>
              </w:rPr>
            </w:pPr>
          </w:p>
        </w:tc>
      </w:tr>
      <w:tr w14:paraId="690C0C9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33274970">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8</w:t>
            </w:r>
          </w:p>
        </w:tc>
        <w:tc>
          <w:tcPr>
            <w:tcW w:w="743" w:type="dxa"/>
            <w:vMerge w:val="continue"/>
            <w:noWrap w:val="0"/>
            <w:vAlign w:val="center"/>
          </w:tcPr>
          <w:p w14:paraId="2396A3B1">
            <w:pPr>
              <w:pStyle w:val="445"/>
              <w:widowControl w:val="0"/>
              <w:ind w:firstLine="0"/>
              <w:jc w:val="center"/>
              <w:rPr>
                <w:color w:val="000000"/>
                <w:sz w:val="21"/>
                <w:szCs w:val="21"/>
                <w:lang w:val="en-US"/>
              </w:rPr>
            </w:pPr>
          </w:p>
        </w:tc>
        <w:tc>
          <w:tcPr>
            <w:tcW w:w="1950" w:type="dxa"/>
            <w:gridSpan w:val="2"/>
            <w:noWrap w:val="0"/>
            <w:vAlign w:val="center"/>
          </w:tcPr>
          <w:p w14:paraId="1F38561A">
            <w:pPr>
              <w:widowControl w:val="0"/>
              <w:spacing w:line="240" w:lineRule="auto"/>
              <w:ind w:firstLine="0"/>
              <w:jc w:val="center"/>
              <w:rPr>
                <w:rFonts w:hint="eastAsia"/>
                <w:bCs/>
                <w:sz w:val="21"/>
                <w:szCs w:val="21"/>
                <w:lang w:val="en-US" w:eastAsia="zh-CN" w:bidi="ar-SA"/>
              </w:rPr>
            </w:pPr>
            <w:r>
              <w:rPr>
                <w:bCs/>
                <w:sz w:val="21"/>
                <w:szCs w:val="21"/>
              </w:rPr>
              <w:t>油烟净化器，净化效率不低于60%</w:t>
            </w:r>
          </w:p>
        </w:tc>
        <w:tc>
          <w:tcPr>
            <w:tcW w:w="1308" w:type="dxa"/>
            <w:gridSpan w:val="2"/>
            <w:noWrap w:val="0"/>
            <w:vAlign w:val="center"/>
          </w:tcPr>
          <w:p w14:paraId="14BF700E">
            <w:pPr>
              <w:pStyle w:val="445"/>
              <w:widowControl w:val="0"/>
              <w:ind w:firstLine="0"/>
              <w:jc w:val="center"/>
              <w:rPr>
                <w:rFonts w:hint="eastAsia" w:ascii="Times New Roman" w:hAnsi="Times New Roman"/>
                <w:bCs/>
                <w:color w:val="000000"/>
                <w:sz w:val="21"/>
                <w:szCs w:val="21"/>
                <w:lang w:val="en-US" w:eastAsia="zh-CN" w:bidi="ar-SA"/>
              </w:rPr>
            </w:pPr>
            <w:r>
              <w:rPr>
                <w:rFonts w:ascii="Times New Roman" w:hAnsi="Times New Roman"/>
                <w:bCs/>
                <w:color w:val="000000"/>
                <w:sz w:val="21"/>
                <w:szCs w:val="21"/>
              </w:rPr>
              <w:t>食堂油烟</w:t>
            </w:r>
          </w:p>
        </w:tc>
        <w:tc>
          <w:tcPr>
            <w:tcW w:w="1832" w:type="dxa"/>
            <w:gridSpan w:val="2"/>
            <w:noWrap w:val="0"/>
            <w:vAlign w:val="center"/>
          </w:tcPr>
          <w:p w14:paraId="476149B5">
            <w:pPr>
              <w:pStyle w:val="445"/>
              <w:widowControl w:val="0"/>
              <w:ind w:firstLine="0"/>
              <w:jc w:val="center"/>
              <w:rPr>
                <w:rFonts w:ascii="Times New Roman" w:hAnsi="Times New Roman"/>
                <w:bCs/>
                <w:color w:val="000000"/>
                <w:sz w:val="21"/>
                <w:szCs w:val="21"/>
                <w:lang w:bidi="ar-SA"/>
              </w:rPr>
            </w:pPr>
            <w:r>
              <w:rPr>
                <w:rFonts w:ascii="Times New Roman" w:hAnsi="Times New Roman"/>
                <w:bCs/>
                <w:color w:val="000000"/>
                <w:sz w:val="21"/>
                <w:szCs w:val="21"/>
              </w:rPr>
              <w:t>达标排放</w:t>
            </w:r>
          </w:p>
        </w:tc>
        <w:tc>
          <w:tcPr>
            <w:tcW w:w="2226" w:type="dxa"/>
            <w:noWrap w:val="0"/>
            <w:vAlign w:val="center"/>
          </w:tcPr>
          <w:p w14:paraId="2D302888">
            <w:pPr>
              <w:pStyle w:val="445"/>
              <w:widowControl w:val="0"/>
              <w:ind w:firstLine="0"/>
              <w:jc w:val="center"/>
              <w:rPr>
                <w:rFonts w:ascii="Times New Roman" w:hAnsi="Times New Roman"/>
                <w:bCs/>
                <w:color w:val="000000"/>
                <w:sz w:val="21"/>
                <w:szCs w:val="21"/>
                <w:lang w:val="zh-CN" w:eastAsia="zh-CN" w:bidi="ar-SA"/>
              </w:rPr>
            </w:pPr>
            <w:r>
              <w:rPr>
                <w:rFonts w:ascii="Times New Roman" w:hAnsi="Times New Roman"/>
                <w:bCs/>
                <w:color w:val="000000"/>
                <w:sz w:val="21"/>
                <w:szCs w:val="21"/>
              </w:rPr>
              <w:t>达（GB18483-2001）《饮食业油烟排放标准（试行）》表2小型规模排放限值。</w:t>
            </w:r>
          </w:p>
        </w:tc>
      </w:tr>
      <w:tr w14:paraId="15EF02E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45" w:type="dxa"/>
            <w:noWrap w:val="0"/>
            <w:vAlign w:val="center"/>
          </w:tcPr>
          <w:p w14:paraId="209EB80A">
            <w:pPr>
              <w:pStyle w:val="445"/>
              <w:widowControl w:val="0"/>
              <w:ind w:firstLine="0"/>
              <w:jc w:val="center"/>
              <w:rPr>
                <w:rFonts w:hint="eastAsia" w:eastAsia="宋体"/>
                <w:color w:val="000000"/>
                <w:sz w:val="21"/>
                <w:szCs w:val="21"/>
                <w:lang w:val="en-US" w:eastAsia="zh-CN"/>
              </w:rPr>
            </w:pPr>
            <w:r>
              <w:rPr>
                <w:rFonts w:hint="eastAsia"/>
                <w:color w:val="000000"/>
                <w:sz w:val="21"/>
                <w:szCs w:val="21"/>
                <w:lang w:val="en-US" w:eastAsia="zh-CN"/>
              </w:rPr>
              <w:t>9</w:t>
            </w:r>
          </w:p>
        </w:tc>
        <w:tc>
          <w:tcPr>
            <w:tcW w:w="743" w:type="dxa"/>
            <w:vMerge w:val="continue"/>
            <w:noWrap w:val="0"/>
            <w:vAlign w:val="center"/>
          </w:tcPr>
          <w:p w14:paraId="35F52FF2">
            <w:pPr>
              <w:pStyle w:val="445"/>
              <w:widowControl w:val="0"/>
              <w:ind w:firstLine="0"/>
              <w:jc w:val="center"/>
              <w:rPr>
                <w:color w:val="000000"/>
                <w:sz w:val="21"/>
                <w:szCs w:val="21"/>
                <w:lang w:val="en-US"/>
              </w:rPr>
            </w:pPr>
          </w:p>
        </w:tc>
        <w:tc>
          <w:tcPr>
            <w:tcW w:w="1950" w:type="dxa"/>
            <w:gridSpan w:val="2"/>
            <w:noWrap w:val="0"/>
            <w:vAlign w:val="center"/>
          </w:tcPr>
          <w:p w14:paraId="3413278C">
            <w:pPr>
              <w:widowControl w:val="0"/>
              <w:spacing w:line="240" w:lineRule="auto"/>
              <w:ind w:firstLine="0"/>
              <w:jc w:val="center"/>
              <w:rPr>
                <w:bCs/>
                <w:sz w:val="21"/>
                <w:szCs w:val="21"/>
                <w:lang w:bidi="ar-SA"/>
              </w:rPr>
            </w:pPr>
            <w:r>
              <w:rPr>
                <w:rFonts w:ascii="Times New Roman" w:hAnsi="Times New Roman" w:eastAsia="宋体" w:cs="Times New Roman"/>
                <w:color w:val="000000"/>
                <w:sz w:val="21"/>
                <w:szCs w:val="21"/>
                <w:lang w:val="en-US" w:eastAsia="zh-CN" w:bidi="ar-SA"/>
              </w:rPr>
              <w:t>自带过滤系统净化处理排放</w:t>
            </w:r>
          </w:p>
        </w:tc>
        <w:tc>
          <w:tcPr>
            <w:tcW w:w="1308" w:type="dxa"/>
            <w:gridSpan w:val="2"/>
            <w:noWrap w:val="0"/>
            <w:vAlign w:val="center"/>
          </w:tcPr>
          <w:p w14:paraId="444FF89E">
            <w:pPr>
              <w:pStyle w:val="445"/>
              <w:widowControl w:val="0"/>
              <w:ind w:firstLine="0"/>
              <w:jc w:val="center"/>
              <w:rPr>
                <w:rFonts w:ascii="Times New Roman" w:hAnsi="Times New Roman" w:eastAsia="宋体"/>
                <w:bCs/>
                <w:color w:val="000000"/>
                <w:sz w:val="21"/>
                <w:szCs w:val="21"/>
                <w:lang w:bidi="ar-SA"/>
              </w:rPr>
            </w:pPr>
            <w:r>
              <w:rPr>
                <w:rFonts w:hint="eastAsia" w:ascii="Times New Roman" w:hAnsi="Times New Roman"/>
                <w:bCs/>
                <w:color w:val="000000"/>
                <w:sz w:val="21"/>
                <w:szCs w:val="21"/>
                <w:lang w:val="en-US" w:eastAsia="zh-CN"/>
              </w:rPr>
              <w:t>柴油发电机燃油废气</w:t>
            </w:r>
          </w:p>
        </w:tc>
        <w:tc>
          <w:tcPr>
            <w:tcW w:w="1832" w:type="dxa"/>
            <w:gridSpan w:val="2"/>
            <w:noWrap w:val="0"/>
            <w:vAlign w:val="center"/>
          </w:tcPr>
          <w:p w14:paraId="26018515">
            <w:pPr>
              <w:pStyle w:val="445"/>
              <w:widowControl w:val="0"/>
              <w:ind w:firstLine="0"/>
              <w:jc w:val="center"/>
              <w:rPr>
                <w:rFonts w:ascii="Times New Roman" w:hAnsi="Times New Roman" w:eastAsia="宋体"/>
                <w:bCs/>
                <w:color w:val="000000"/>
                <w:sz w:val="21"/>
                <w:szCs w:val="21"/>
                <w:lang w:bidi="ar-SA"/>
              </w:rPr>
            </w:pPr>
            <w:r>
              <w:rPr>
                <w:rFonts w:hint="eastAsia" w:ascii="Times New Roman" w:hAnsi="Times New Roman"/>
                <w:bCs/>
                <w:color w:val="000000"/>
                <w:sz w:val="21"/>
                <w:szCs w:val="21"/>
                <w:lang w:val="en-US" w:eastAsia="zh-CN"/>
              </w:rPr>
              <w:t>/</w:t>
            </w:r>
          </w:p>
        </w:tc>
        <w:tc>
          <w:tcPr>
            <w:tcW w:w="2226" w:type="dxa"/>
            <w:noWrap w:val="0"/>
            <w:vAlign w:val="center"/>
          </w:tcPr>
          <w:p w14:paraId="2EF0D554">
            <w:pPr>
              <w:pStyle w:val="445"/>
              <w:widowControl w:val="0"/>
              <w:ind w:firstLine="0"/>
              <w:jc w:val="center"/>
              <w:rPr>
                <w:rFonts w:ascii="Times New Roman" w:hAnsi="Times New Roman"/>
                <w:bCs/>
                <w:color w:val="000000"/>
                <w:sz w:val="21"/>
                <w:szCs w:val="21"/>
                <w:lang w:bidi="ar-SA"/>
              </w:rPr>
            </w:pPr>
            <w:r>
              <w:rPr>
                <w:rFonts w:hint="eastAsia" w:ascii="Times New Roman" w:hAnsi="Times New Roman"/>
                <w:bCs/>
                <w:color w:val="000000"/>
                <w:sz w:val="21"/>
                <w:szCs w:val="21"/>
                <w:lang w:val="en-US" w:eastAsia="zh-CN"/>
              </w:rPr>
              <w:t>对周围环境影响不大</w:t>
            </w:r>
          </w:p>
        </w:tc>
      </w:tr>
      <w:tr w14:paraId="135B755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645" w:type="dxa"/>
            <w:vMerge w:val="restart"/>
            <w:noWrap w:val="0"/>
            <w:vAlign w:val="center"/>
          </w:tcPr>
          <w:p w14:paraId="2722BB47">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10</w:t>
            </w:r>
          </w:p>
        </w:tc>
        <w:tc>
          <w:tcPr>
            <w:tcW w:w="743" w:type="dxa"/>
            <w:vMerge w:val="restart"/>
            <w:noWrap w:val="0"/>
            <w:vAlign w:val="center"/>
          </w:tcPr>
          <w:p w14:paraId="6F4F1D67">
            <w:pPr>
              <w:pStyle w:val="445"/>
              <w:widowControl w:val="0"/>
              <w:ind w:firstLine="0"/>
              <w:jc w:val="center"/>
              <w:rPr>
                <w:color w:val="000000"/>
                <w:sz w:val="21"/>
                <w:szCs w:val="21"/>
                <w:lang w:val="en-US"/>
              </w:rPr>
            </w:pPr>
            <w:r>
              <w:rPr>
                <w:color w:val="000000"/>
                <w:sz w:val="21"/>
                <w:szCs w:val="21"/>
                <w:lang w:val="en-US"/>
              </w:rPr>
              <w:t>废水治理措施</w:t>
            </w:r>
          </w:p>
        </w:tc>
        <w:tc>
          <w:tcPr>
            <w:tcW w:w="1950" w:type="dxa"/>
            <w:gridSpan w:val="2"/>
            <w:noWrap w:val="0"/>
            <w:vAlign w:val="center"/>
          </w:tcPr>
          <w:p w14:paraId="12E81204">
            <w:pPr>
              <w:pStyle w:val="445"/>
              <w:widowControl w:val="0"/>
              <w:ind w:firstLine="0"/>
              <w:jc w:val="center"/>
              <w:rPr>
                <w:color w:val="000000"/>
                <w:sz w:val="21"/>
                <w:szCs w:val="21"/>
                <w:lang w:val="en-US"/>
              </w:rPr>
            </w:pPr>
            <w:r>
              <w:rPr>
                <w:color w:val="000000"/>
                <w:sz w:val="21"/>
                <w:szCs w:val="21"/>
                <w:lang w:val="en-US"/>
              </w:rPr>
              <w:t>雨污分流系统</w:t>
            </w:r>
          </w:p>
        </w:tc>
        <w:tc>
          <w:tcPr>
            <w:tcW w:w="1308" w:type="dxa"/>
            <w:gridSpan w:val="2"/>
            <w:noWrap w:val="0"/>
            <w:vAlign w:val="center"/>
          </w:tcPr>
          <w:p w14:paraId="1DE92030">
            <w:pPr>
              <w:pStyle w:val="445"/>
              <w:widowControl w:val="0"/>
              <w:ind w:firstLine="0"/>
              <w:jc w:val="center"/>
              <w:rPr>
                <w:color w:val="000000"/>
                <w:sz w:val="21"/>
                <w:szCs w:val="21"/>
                <w:lang w:val="en-US"/>
              </w:rPr>
            </w:pPr>
            <w:r>
              <w:rPr>
                <w:color w:val="000000"/>
                <w:sz w:val="21"/>
                <w:szCs w:val="21"/>
                <w:lang w:val="en-US"/>
              </w:rPr>
              <w:t>/</w:t>
            </w:r>
          </w:p>
        </w:tc>
        <w:tc>
          <w:tcPr>
            <w:tcW w:w="1832" w:type="dxa"/>
            <w:gridSpan w:val="2"/>
            <w:vMerge w:val="restart"/>
            <w:noWrap w:val="0"/>
            <w:vAlign w:val="center"/>
          </w:tcPr>
          <w:p w14:paraId="24BC1F97">
            <w:pPr>
              <w:pStyle w:val="445"/>
              <w:widowControl w:val="0"/>
              <w:ind w:firstLine="0"/>
              <w:jc w:val="center"/>
              <w:rPr>
                <w:color w:val="000000"/>
                <w:sz w:val="21"/>
                <w:szCs w:val="21"/>
                <w:lang w:val="en-US"/>
              </w:rPr>
            </w:pPr>
            <w:r>
              <w:rPr>
                <w:color w:val="000000"/>
                <w:sz w:val="21"/>
                <w:szCs w:val="21"/>
                <w:lang w:val="en-US"/>
              </w:rPr>
              <w:t>不外排</w:t>
            </w:r>
          </w:p>
        </w:tc>
        <w:tc>
          <w:tcPr>
            <w:tcW w:w="2226" w:type="dxa"/>
            <w:vMerge w:val="restart"/>
            <w:noWrap w:val="0"/>
            <w:vAlign w:val="center"/>
          </w:tcPr>
          <w:p w14:paraId="731A4536">
            <w:pPr>
              <w:pStyle w:val="445"/>
              <w:widowControl w:val="0"/>
              <w:ind w:firstLine="0"/>
              <w:jc w:val="center"/>
              <w:rPr>
                <w:rFonts w:hint="eastAsia"/>
                <w:color w:val="000000"/>
                <w:sz w:val="21"/>
                <w:szCs w:val="21"/>
                <w:lang w:val="en-US"/>
              </w:rPr>
            </w:pPr>
            <w:r>
              <w:rPr>
                <w:rFonts w:hint="eastAsia"/>
                <w:color w:val="000000"/>
                <w:sz w:val="21"/>
                <w:szCs w:val="21"/>
                <w:lang w:val="en-US"/>
              </w:rPr>
              <w:t>不会对地表水造成污染</w:t>
            </w:r>
          </w:p>
        </w:tc>
      </w:tr>
      <w:tr w14:paraId="7DD699C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645" w:type="dxa"/>
            <w:vMerge w:val="continue"/>
            <w:noWrap w:val="0"/>
            <w:vAlign w:val="center"/>
          </w:tcPr>
          <w:p w14:paraId="69A0EA3B">
            <w:pPr>
              <w:pStyle w:val="445"/>
              <w:widowControl w:val="0"/>
              <w:ind w:firstLine="0"/>
              <w:jc w:val="center"/>
              <w:rPr>
                <w:color w:val="000000"/>
                <w:sz w:val="21"/>
                <w:szCs w:val="21"/>
                <w:lang w:val="en-US"/>
              </w:rPr>
            </w:pPr>
          </w:p>
        </w:tc>
        <w:tc>
          <w:tcPr>
            <w:tcW w:w="743" w:type="dxa"/>
            <w:vMerge w:val="continue"/>
            <w:noWrap w:val="0"/>
            <w:vAlign w:val="center"/>
          </w:tcPr>
          <w:p w14:paraId="520BA7B7">
            <w:pPr>
              <w:pStyle w:val="445"/>
              <w:widowControl w:val="0"/>
              <w:ind w:firstLine="0"/>
              <w:jc w:val="center"/>
              <w:rPr>
                <w:color w:val="000000"/>
                <w:sz w:val="21"/>
                <w:szCs w:val="21"/>
                <w:lang w:val="en-US"/>
              </w:rPr>
            </w:pPr>
          </w:p>
        </w:tc>
        <w:tc>
          <w:tcPr>
            <w:tcW w:w="1950" w:type="dxa"/>
            <w:gridSpan w:val="2"/>
            <w:noWrap w:val="0"/>
            <w:vAlign w:val="center"/>
          </w:tcPr>
          <w:p w14:paraId="2B472190">
            <w:pPr>
              <w:pStyle w:val="445"/>
              <w:widowControl w:val="0"/>
              <w:ind w:firstLine="0"/>
              <w:jc w:val="center"/>
              <w:rPr>
                <w:color w:val="000000"/>
                <w:sz w:val="21"/>
                <w:szCs w:val="21"/>
                <w:lang w:val="en-US"/>
              </w:rPr>
            </w:pPr>
            <w:r>
              <w:rPr>
                <w:color w:val="000000"/>
                <w:sz w:val="21"/>
                <w:szCs w:val="21"/>
                <w:lang w:val="en-US"/>
              </w:rPr>
              <w:t>隔油沉淀池</w:t>
            </w:r>
            <w:r>
              <w:rPr>
                <w:rFonts w:hint="eastAsia"/>
                <w:color w:val="000000"/>
                <w:sz w:val="21"/>
                <w:szCs w:val="21"/>
                <w:lang w:val="en-US" w:eastAsia="zh-CN"/>
              </w:rPr>
              <w:t>8.0</w:t>
            </w:r>
            <w:r>
              <w:rPr>
                <w:color w:val="000000"/>
                <w:sz w:val="21"/>
                <w:szCs w:val="21"/>
                <w:lang w:val="en-US"/>
              </w:rPr>
              <w:t>m</w:t>
            </w:r>
            <w:r>
              <w:rPr>
                <w:color w:val="000000"/>
                <w:sz w:val="21"/>
                <w:szCs w:val="21"/>
                <w:vertAlign w:val="superscript"/>
                <w:lang w:val="en-US"/>
              </w:rPr>
              <w:t>3</w:t>
            </w:r>
          </w:p>
        </w:tc>
        <w:tc>
          <w:tcPr>
            <w:tcW w:w="1308" w:type="dxa"/>
            <w:gridSpan w:val="2"/>
            <w:vMerge w:val="restart"/>
            <w:noWrap w:val="0"/>
            <w:vAlign w:val="center"/>
          </w:tcPr>
          <w:p w14:paraId="73CDBAA3">
            <w:pPr>
              <w:pStyle w:val="445"/>
              <w:widowControl w:val="0"/>
              <w:ind w:firstLine="0"/>
              <w:jc w:val="center"/>
              <w:rPr>
                <w:color w:val="000000"/>
                <w:sz w:val="21"/>
                <w:szCs w:val="21"/>
                <w:lang w:val="en-US"/>
              </w:rPr>
            </w:pPr>
            <w:r>
              <w:rPr>
                <w:color w:val="000000"/>
                <w:sz w:val="21"/>
                <w:szCs w:val="21"/>
                <w:lang w:val="en-US"/>
              </w:rPr>
              <w:t>生活污水</w:t>
            </w:r>
          </w:p>
        </w:tc>
        <w:tc>
          <w:tcPr>
            <w:tcW w:w="1832" w:type="dxa"/>
            <w:gridSpan w:val="2"/>
            <w:vMerge w:val="continue"/>
            <w:noWrap w:val="0"/>
            <w:vAlign w:val="center"/>
          </w:tcPr>
          <w:p w14:paraId="43091A34">
            <w:pPr>
              <w:pStyle w:val="445"/>
              <w:widowControl w:val="0"/>
              <w:ind w:firstLine="0"/>
              <w:jc w:val="center"/>
              <w:rPr>
                <w:color w:val="000000"/>
                <w:sz w:val="21"/>
                <w:szCs w:val="21"/>
                <w:lang w:val="en-US"/>
              </w:rPr>
            </w:pPr>
          </w:p>
        </w:tc>
        <w:tc>
          <w:tcPr>
            <w:tcW w:w="2226" w:type="dxa"/>
            <w:vMerge w:val="continue"/>
            <w:noWrap w:val="0"/>
            <w:vAlign w:val="center"/>
          </w:tcPr>
          <w:p w14:paraId="208B7AED">
            <w:pPr>
              <w:pStyle w:val="445"/>
              <w:widowControl w:val="0"/>
              <w:ind w:firstLine="0"/>
              <w:jc w:val="center"/>
              <w:rPr>
                <w:color w:val="000000"/>
                <w:sz w:val="21"/>
                <w:szCs w:val="21"/>
                <w:lang w:val="en-US"/>
              </w:rPr>
            </w:pPr>
          </w:p>
        </w:tc>
      </w:tr>
      <w:tr w14:paraId="59C597F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645" w:type="dxa"/>
            <w:vMerge w:val="continue"/>
            <w:noWrap w:val="0"/>
            <w:vAlign w:val="center"/>
          </w:tcPr>
          <w:p w14:paraId="6F8A29C0">
            <w:pPr>
              <w:pStyle w:val="445"/>
              <w:widowControl w:val="0"/>
              <w:ind w:firstLine="0"/>
              <w:jc w:val="center"/>
              <w:rPr>
                <w:color w:val="000000"/>
                <w:sz w:val="21"/>
                <w:szCs w:val="21"/>
                <w:lang w:val="en-US"/>
              </w:rPr>
            </w:pPr>
          </w:p>
        </w:tc>
        <w:tc>
          <w:tcPr>
            <w:tcW w:w="743" w:type="dxa"/>
            <w:vMerge w:val="continue"/>
            <w:noWrap w:val="0"/>
            <w:vAlign w:val="center"/>
          </w:tcPr>
          <w:p w14:paraId="2D1D526A">
            <w:pPr>
              <w:pStyle w:val="445"/>
              <w:widowControl w:val="0"/>
              <w:ind w:firstLine="0"/>
              <w:jc w:val="center"/>
              <w:rPr>
                <w:color w:val="000000"/>
                <w:sz w:val="21"/>
                <w:szCs w:val="21"/>
                <w:lang w:val="en-US"/>
              </w:rPr>
            </w:pPr>
          </w:p>
        </w:tc>
        <w:tc>
          <w:tcPr>
            <w:tcW w:w="1950" w:type="dxa"/>
            <w:gridSpan w:val="2"/>
            <w:noWrap w:val="0"/>
            <w:vAlign w:val="center"/>
          </w:tcPr>
          <w:p w14:paraId="7708883E">
            <w:pPr>
              <w:widowControl w:val="0"/>
              <w:spacing w:line="240" w:lineRule="auto"/>
              <w:ind w:firstLine="0"/>
              <w:jc w:val="center"/>
              <w:rPr>
                <w:bCs/>
                <w:sz w:val="21"/>
                <w:szCs w:val="21"/>
              </w:rPr>
            </w:pPr>
            <w:r>
              <w:rPr>
                <w:rFonts w:hint="eastAsia"/>
                <w:bCs/>
                <w:sz w:val="21"/>
                <w:szCs w:val="21"/>
                <w:lang w:val="en-US" w:eastAsia="zh-CN"/>
              </w:rPr>
              <w:t>化粪池6座，总容积80</w:t>
            </w:r>
            <w:r>
              <w:rPr>
                <w:rFonts w:hint="eastAsia"/>
                <w:bCs/>
                <w:sz w:val="21"/>
                <w:szCs w:val="21"/>
              </w:rPr>
              <w:t>m</w:t>
            </w:r>
            <w:r>
              <w:rPr>
                <w:rFonts w:hint="eastAsia"/>
                <w:bCs/>
                <w:sz w:val="21"/>
                <w:szCs w:val="21"/>
                <w:vertAlign w:val="superscript"/>
              </w:rPr>
              <w:t>3</w:t>
            </w:r>
            <w:r>
              <w:rPr>
                <w:rFonts w:hint="eastAsia"/>
                <w:bCs/>
                <w:sz w:val="21"/>
                <w:szCs w:val="21"/>
              </w:rPr>
              <w:t>/d</w:t>
            </w:r>
          </w:p>
        </w:tc>
        <w:tc>
          <w:tcPr>
            <w:tcW w:w="1308" w:type="dxa"/>
            <w:gridSpan w:val="2"/>
            <w:vMerge w:val="continue"/>
            <w:noWrap w:val="0"/>
            <w:vAlign w:val="center"/>
          </w:tcPr>
          <w:p w14:paraId="7DC8AE31">
            <w:pPr>
              <w:pStyle w:val="445"/>
              <w:widowControl w:val="0"/>
              <w:ind w:firstLine="0"/>
              <w:jc w:val="center"/>
              <w:rPr>
                <w:color w:val="000000"/>
                <w:sz w:val="21"/>
                <w:szCs w:val="21"/>
                <w:lang w:val="en-US"/>
              </w:rPr>
            </w:pPr>
          </w:p>
        </w:tc>
        <w:tc>
          <w:tcPr>
            <w:tcW w:w="1832" w:type="dxa"/>
            <w:gridSpan w:val="2"/>
            <w:vMerge w:val="continue"/>
            <w:noWrap w:val="0"/>
            <w:vAlign w:val="center"/>
          </w:tcPr>
          <w:p w14:paraId="18CA43C4">
            <w:pPr>
              <w:pStyle w:val="445"/>
              <w:widowControl w:val="0"/>
              <w:ind w:firstLine="0"/>
              <w:jc w:val="center"/>
              <w:rPr>
                <w:color w:val="000000"/>
                <w:sz w:val="21"/>
                <w:szCs w:val="21"/>
                <w:lang w:val="en-US"/>
              </w:rPr>
            </w:pPr>
          </w:p>
        </w:tc>
        <w:tc>
          <w:tcPr>
            <w:tcW w:w="2226" w:type="dxa"/>
            <w:vMerge w:val="continue"/>
            <w:noWrap w:val="0"/>
            <w:vAlign w:val="center"/>
          </w:tcPr>
          <w:p w14:paraId="68493CA4">
            <w:pPr>
              <w:pStyle w:val="445"/>
              <w:widowControl w:val="0"/>
              <w:ind w:firstLine="0"/>
              <w:jc w:val="center"/>
              <w:rPr>
                <w:color w:val="000000"/>
                <w:sz w:val="21"/>
                <w:szCs w:val="21"/>
                <w:lang w:val="en-US"/>
              </w:rPr>
            </w:pPr>
          </w:p>
        </w:tc>
      </w:tr>
      <w:tr w14:paraId="1ED561F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645" w:type="dxa"/>
            <w:vMerge w:val="continue"/>
            <w:noWrap w:val="0"/>
            <w:vAlign w:val="center"/>
          </w:tcPr>
          <w:p w14:paraId="31044537">
            <w:pPr>
              <w:pStyle w:val="445"/>
              <w:widowControl w:val="0"/>
              <w:ind w:firstLine="0"/>
              <w:jc w:val="center"/>
              <w:rPr>
                <w:color w:val="000000"/>
                <w:sz w:val="21"/>
                <w:szCs w:val="21"/>
                <w:lang w:val="en-US"/>
              </w:rPr>
            </w:pPr>
          </w:p>
        </w:tc>
        <w:tc>
          <w:tcPr>
            <w:tcW w:w="743" w:type="dxa"/>
            <w:vMerge w:val="continue"/>
            <w:noWrap w:val="0"/>
            <w:vAlign w:val="center"/>
          </w:tcPr>
          <w:p w14:paraId="6F3D3064">
            <w:pPr>
              <w:pStyle w:val="445"/>
              <w:widowControl w:val="0"/>
              <w:ind w:firstLine="0"/>
              <w:jc w:val="center"/>
              <w:rPr>
                <w:color w:val="000000"/>
                <w:sz w:val="21"/>
                <w:szCs w:val="21"/>
                <w:lang w:val="en-US"/>
              </w:rPr>
            </w:pPr>
          </w:p>
        </w:tc>
        <w:tc>
          <w:tcPr>
            <w:tcW w:w="1950" w:type="dxa"/>
            <w:gridSpan w:val="2"/>
            <w:noWrap w:val="0"/>
            <w:vAlign w:val="center"/>
          </w:tcPr>
          <w:p w14:paraId="5F12F324">
            <w:pPr>
              <w:widowControl w:val="0"/>
              <w:spacing w:line="240" w:lineRule="auto"/>
              <w:ind w:firstLine="0"/>
              <w:jc w:val="center"/>
              <w:rPr>
                <w:rFonts w:hint="eastAsia"/>
                <w:bCs/>
                <w:sz w:val="21"/>
                <w:szCs w:val="21"/>
              </w:rPr>
            </w:pPr>
            <w:r>
              <w:rPr>
                <w:rFonts w:hint="eastAsia"/>
                <w:bCs/>
                <w:sz w:val="21"/>
                <w:szCs w:val="21"/>
                <w:lang w:val="en-US" w:eastAsia="zh-CN"/>
              </w:rPr>
              <w:t>初期雨水收集池兼顾</w:t>
            </w:r>
            <w:r>
              <w:rPr>
                <w:rFonts w:hint="eastAsia"/>
                <w:bCs/>
                <w:sz w:val="21"/>
                <w:szCs w:val="21"/>
              </w:rPr>
              <w:t>事故应急池（容积</w:t>
            </w:r>
            <w:r>
              <w:rPr>
                <w:rFonts w:hint="eastAsia"/>
                <w:bCs/>
                <w:sz w:val="21"/>
                <w:szCs w:val="21"/>
                <w:lang w:val="en-US" w:eastAsia="zh-CN"/>
              </w:rPr>
              <w:t>150</w:t>
            </w:r>
            <w:r>
              <w:rPr>
                <w:rFonts w:hint="eastAsia"/>
                <w:bCs/>
                <w:sz w:val="21"/>
                <w:szCs w:val="21"/>
              </w:rPr>
              <w:t>m</w:t>
            </w:r>
            <w:r>
              <w:rPr>
                <w:rFonts w:hint="eastAsia"/>
                <w:bCs/>
                <w:sz w:val="21"/>
                <w:szCs w:val="21"/>
                <w:vertAlign w:val="superscript"/>
              </w:rPr>
              <w:t>3</w:t>
            </w:r>
            <w:r>
              <w:rPr>
                <w:rFonts w:hint="eastAsia"/>
                <w:bCs/>
                <w:sz w:val="21"/>
                <w:szCs w:val="21"/>
              </w:rPr>
              <w:t>）</w:t>
            </w:r>
          </w:p>
        </w:tc>
        <w:tc>
          <w:tcPr>
            <w:tcW w:w="1308" w:type="dxa"/>
            <w:gridSpan w:val="2"/>
            <w:noWrap w:val="0"/>
            <w:vAlign w:val="center"/>
          </w:tcPr>
          <w:p w14:paraId="0C8FB1BD">
            <w:pPr>
              <w:pStyle w:val="445"/>
              <w:widowControl w:val="0"/>
              <w:ind w:firstLine="0"/>
              <w:jc w:val="center"/>
              <w:rPr>
                <w:color w:val="000000"/>
                <w:sz w:val="21"/>
                <w:szCs w:val="21"/>
                <w:lang w:val="en-US"/>
              </w:rPr>
            </w:pPr>
            <w:r>
              <w:rPr>
                <w:rFonts w:hint="eastAsia"/>
                <w:color w:val="000000"/>
                <w:sz w:val="21"/>
                <w:szCs w:val="21"/>
                <w:lang w:val="en-US" w:eastAsia="zh-CN"/>
              </w:rPr>
              <w:t>初期雨水 /</w:t>
            </w:r>
            <w:r>
              <w:rPr>
                <w:rFonts w:hint="eastAsia"/>
                <w:color w:val="000000"/>
                <w:sz w:val="21"/>
                <w:szCs w:val="21"/>
                <w:lang w:val="en-US"/>
              </w:rPr>
              <w:t>事故废水</w:t>
            </w:r>
          </w:p>
        </w:tc>
        <w:tc>
          <w:tcPr>
            <w:tcW w:w="1832" w:type="dxa"/>
            <w:gridSpan w:val="2"/>
            <w:noWrap w:val="0"/>
            <w:vAlign w:val="center"/>
          </w:tcPr>
          <w:p w14:paraId="14196B03">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w:t>
            </w:r>
          </w:p>
        </w:tc>
        <w:tc>
          <w:tcPr>
            <w:tcW w:w="2226" w:type="dxa"/>
            <w:noWrap w:val="0"/>
            <w:vAlign w:val="center"/>
          </w:tcPr>
          <w:p w14:paraId="2491FE63">
            <w:pPr>
              <w:pStyle w:val="445"/>
              <w:widowControl w:val="0"/>
              <w:ind w:firstLine="0"/>
              <w:jc w:val="center"/>
              <w:rPr>
                <w:rFonts w:eastAsia="宋体"/>
                <w:color w:val="000000"/>
                <w:sz w:val="21"/>
                <w:szCs w:val="21"/>
                <w:lang w:val="en-US" w:eastAsia="zh-CN"/>
              </w:rPr>
            </w:pPr>
            <w:r>
              <w:rPr>
                <w:rFonts w:hint="eastAsia"/>
                <w:color w:val="000000"/>
                <w:sz w:val="21"/>
                <w:szCs w:val="21"/>
                <w:lang w:val="en-US"/>
              </w:rPr>
              <w:t>确保废水</w:t>
            </w:r>
            <w:r>
              <w:rPr>
                <w:rFonts w:hint="eastAsia"/>
                <w:color w:val="000000"/>
                <w:sz w:val="21"/>
                <w:szCs w:val="21"/>
                <w:lang w:val="en-US" w:eastAsia="zh-CN"/>
              </w:rPr>
              <w:t>不会造成地表水污染</w:t>
            </w:r>
          </w:p>
        </w:tc>
      </w:tr>
      <w:tr w14:paraId="2AEAE7D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084" w:hRule="atLeast"/>
        </w:trPr>
        <w:tc>
          <w:tcPr>
            <w:tcW w:w="645" w:type="dxa"/>
            <w:noWrap w:val="0"/>
            <w:vAlign w:val="center"/>
          </w:tcPr>
          <w:p w14:paraId="2911265F">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11</w:t>
            </w:r>
          </w:p>
        </w:tc>
        <w:tc>
          <w:tcPr>
            <w:tcW w:w="743" w:type="dxa"/>
            <w:noWrap w:val="0"/>
            <w:vAlign w:val="center"/>
          </w:tcPr>
          <w:p w14:paraId="07215986">
            <w:pPr>
              <w:pStyle w:val="445"/>
              <w:widowControl w:val="0"/>
              <w:ind w:firstLine="0"/>
              <w:jc w:val="center"/>
              <w:rPr>
                <w:color w:val="000000"/>
                <w:sz w:val="21"/>
                <w:szCs w:val="21"/>
                <w:lang w:val="en-US"/>
              </w:rPr>
            </w:pPr>
            <w:r>
              <w:rPr>
                <w:color w:val="000000"/>
                <w:sz w:val="21"/>
                <w:szCs w:val="21"/>
                <w:lang w:val="en-US"/>
              </w:rPr>
              <w:t>噪声治理措施</w:t>
            </w:r>
          </w:p>
        </w:tc>
        <w:tc>
          <w:tcPr>
            <w:tcW w:w="1950" w:type="dxa"/>
            <w:gridSpan w:val="2"/>
            <w:noWrap w:val="0"/>
            <w:vAlign w:val="center"/>
          </w:tcPr>
          <w:p w14:paraId="616C110F">
            <w:pPr>
              <w:pStyle w:val="445"/>
              <w:widowControl w:val="0"/>
              <w:ind w:firstLine="0"/>
              <w:jc w:val="center"/>
              <w:rPr>
                <w:color w:val="000000"/>
                <w:sz w:val="21"/>
                <w:szCs w:val="21"/>
                <w:lang w:val="en-US"/>
              </w:rPr>
            </w:pPr>
            <w:r>
              <w:rPr>
                <w:rFonts w:hint="eastAsia" w:ascii="Times New Roman" w:hAnsi="Times New Roman" w:eastAsia="宋体" w:cs="Times New Roman"/>
                <w:color w:val="FF0000"/>
                <w:sz w:val="21"/>
                <w:szCs w:val="21"/>
                <w:lang w:val="en-US" w:eastAsia="zh-CN"/>
              </w:rPr>
              <w:t>加强基础减震、防振措施，隔声措施等，同时合理控制高噪声运行时间</w:t>
            </w:r>
          </w:p>
        </w:tc>
        <w:tc>
          <w:tcPr>
            <w:tcW w:w="1308" w:type="dxa"/>
            <w:gridSpan w:val="2"/>
            <w:noWrap w:val="0"/>
            <w:vAlign w:val="center"/>
          </w:tcPr>
          <w:p w14:paraId="4C59B826">
            <w:pPr>
              <w:pStyle w:val="445"/>
              <w:widowControl w:val="0"/>
              <w:ind w:firstLine="0"/>
              <w:jc w:val="center"/>
              <w:rPr>
                <w:color w:val="000000"/>
                <w:sz w:val="21"/>
                <w:szCs w:val="21"/>
                <w:lang w:val="en-US"/>
              </w:rPr>
            </w:pPr>
            <w:r>
              <w:rPr>
                <w:color w:val="000000"/>
                <w:sz w:val="21"/>
                <w:szCs w:val="21"/>
                <w:lang w:val="en-US"/>
              </w:rPr>
              <w:t>各设备噪声</w:t>
            </w:r>
          </w:p>
        </w:tc>
        <w:tc>
          <w:tcPr>
            <w:tcW w:w="1832" w:type="dxa"/>
            <w:gridSpan w:val="2"/>
            <w:noWrap w:val="0"/>
            <w:vAlign w:val="center"/>
          </w:tcPr>
          <w:p w14:paraId="303C4ABB">
            <w:pPr>
              <w:pStyle w:val="445"/>
              <w:widowControl w:val="0"/>
              <w:ind w:firstLine="0"/>
              <w:jc w:val="center"/>
              <w:rPr>
                <w:color w:val="000000"/>
                <w:sz w:val="21"/>
                <w:szCs w:val="21"/>
                <w:lang w:val="en-US"/>
              </w:rPr>
            </w:pPr>
            <w:r>
              <w:rPr>
                <w:color w:val="000000"/>
                <w:sz w:val="21"/>
                <w:szCs w:val="21"/>
                <w:lang w:val="en-US"/>
              </w:rPr>
              <w:t>不扰民</w:t>
            </w:r>
          </w:p>
        </w:tc>
        <w:tc>
          <w:tcPr>
            <w:tcW w:w="2226" w:type="dxa"/>
            <w:noWrap w:val="0"/>
            <w:vAlign w:val="center"/>
          </w:tcPr>
          <w:p w14:paraId="3A3C39A4">
            <w:pPr>
              <w:pStyle w:val="445"/>
              <w:widowControl w:val="0"/>
              <w:ind w:firstLine="0"/>
              <w:jc w:val="center"/>
              <w:rPr>
                <w:color w:val="000000"/>
                <w:sz w:val="21"/>
                <w:szCs w:val="21"/>
                <w:lang w:val="en-US"/>
              </w:rPr>
            </w:pPr>
            <w:r>
              <w:rPr>
                <w:color w:val="000000"/>
                <w:sz w:val="21"/>
                <w:szCs w:val="21"/>
                <w:lang w:val="en-US"/>
              </w:rPr>
              <w:t>达到《工业企业厂界环境噪声排放标准》2类标准</w:t>
            </w:r>
          </w:p>
        </w:tc>
      </w:tr>
      <w:tr w14:paraId="6A32BC4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645" w:type="dxa"/>
            <w:vMerge w:val="restart"/>
            <w:noWrap w:val="0"/>
            <w:vAlign w:val="center"/>
          </w:tcPr>
          <w:p w14:paraId="0E55DC3B">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12</w:t>
            </w:r>
          </w:p>
        </w:tc>
        <w:tc>
          <w:tcPr>
            <w:tcW w:w="743" w:type="dxa"/>
            <w:vMerge w:val="restart"/>
            <w:noWrap w:val="0"/>
            <w:vAlign w:val="center"/>
          </w:tcPr>
          <w:p w14:paraId="17EEC5B7">
            <w:pPr>
              <w:pStyle w:val="445"/>
              <w:widowControl w:val="0"/>
              <w:ind w:firstLine="0"/>
              <w:jc w:val="center"/>
              <w:rPr>
                <w:color w:val="000000"/>
                <w:sz w:val="21"/>
                <w:szCs w:val="21"/>
                <w:lang w:val="en-US"/>
              </w:rPr>
            </w:pPr>
            <w:r>
              <w:rPr>
                <w:color w:val="000000"/>
                <w:sz w:val="21"/>
                <w:szCs w:val="21"/>
                <w:lang w:val="en-US"/>
              </w:rPr>
              <w:t>固废治理措施</w:t>
            </w:r>
          </w:p>
        </w:tc>
        <w:tc>
          <w:tcPr>
            <w:tcW w:w="1935" w:type="dxa"/>
            <w:noWrap w:val="0"/>
            <w:vAlign w:val="center"/>
          </w:tcPr>
          <w:p w14:paraId="782EDAFF">
            <w:pPr>
              <w:pStyle w:val="445"/>
              <w:widowControl w:val="0"/>
              <w:ind w:firstLine="0"/>
              <w:jc w:val="center"/>
              <w:rPr>
                <w:color w:val="000000"/>
                <w:sz w:val="21"/>
                <w:szCs w:val="21"/>
                <w:lang w:val="en-US"/>
              </w:rPr>
            </w:pPr>
            <w:r>
              <w:rPr>
                <w:rFonts w:hint="eastAsia"/>
                <w:color w:val="FF0000"/>
                <w:sz w:val="21"/>
                <w:szCs w:val="21"/>
                <w:lang w:val="en-US" w:eastAsia="zh-CN"/>
              </w:rPr>
              <w:t>环保垃圾收集桶5</w:t>
            </w:r>
            <w:r>
              <w:rPr>
                <w:rFonts w:hint="eastAsia"/>
                <w:color w:val="FF0000"/>
                <w:sz w:val="21"/>
                <w:szCs w:val="21"/>
              </w:rPr>
              <w:t>个</w:t>
            </w:r>
          </w:p>
        </w:tc>
        <w:tc>
          <w:tcPr>
            <w:tcW w:w="1308" w:type="dxa"/>
            <w:gridSpan w:val="2"/>
            <w:noWrap w:val="0"/>
            <w:vAlign w:val="center"/>
          </w:tcPr>
          <w:p w14:paraId="0FA056DF">
            <w:pPr>
              <w:pStyle w:val="445"/>
              <w:widowControl w:val="0"/>
              <w:ind w:firstLine="0"/>
              <w:jc w:val="center"/>
              <w:rPr>
                <w:color w:val="000000"/>
                <w:sz w:val="21"/>
                <w:szCs w:val="21"/>
                <w:lang w:val="en-US"/>
              </w:rPr>
            </w:pPr>
            <w:r>
              <w:rPr>
                <w:color w:val="000000"/>
                <w:sz w:val="21"/>
                <w:szCs w:val="21"/>
                <w:lang w:val="en-US"/>
              </w:rPr>
              <w:t>生活垃圾</w:t>
            </w:r>
          </w:p>
        </w:tc>
        <w:tc>
          <w:tcPr>
            <w:tcW w:w="1832" w:type="dxa"/>
            <w:gridSpan w:val="2"/>
            <w:vMerge w:val="restart"/>
            <w:noWrap w:val="0"/>
            <w:vAlign w:val="center"/>
          </w:tcPr>
          <w:p w14:paraId="7DD0DC39">
            <w:pPr>
              <w:pStyle w:val="445"/>
              <w:widowControl w:val="0"/>
              <w:ind w:firstLine="0"/>
              <w:jc w:val="center"/>
              <w:rPr>
                <w:color w:val="000000"/>
                <w:sz w:val="21"/>
                <w:szCs w:val="21"/>
                <w:lang w:val="en-US"/>
              </w:rPr>
            </w:pPr>
            <w:r>
              <w:rPr>
                <w:color w:val="000000"/>
                <w:sz w:val="21"/>
                <w:szCs w:val="21"/>
                <w:lang w:val="en-US"/>
              </w:rPr>
              <w:t>不随意丢弃</w:t>
            </w:r>
          </w:p>
        </w:tc>
        <w:tc>
          <w:tcPr>
            <w:tcW w:w="2241" w:type="dxa"/>
            <w:gridSpan w:val="2"/>
            <w:vMerge w:val="restart"/>
            <w:noWrap w:val="0"/>
            <w:vAlign w:val="center"/>
          </w:tcPr>
          <w:p w14:paraId="25637CCF">
            <w:pPr>
              <w:pStyle w:val="445"/>
              <w:widowControl w:val="0"/>
              <w:ind w:firstLine="0"/>
              <w:jc w:val="center"/>
              <w:rPr>
                <w:color w:val="000000"/>
                <w:sz w:val="21"/>
                <w:szCs w:val="21"/>
                <w:lang w:val="en-US"/>
              </w:rPr>
            </w:pPr>
            <w:r>
              <w:rPr>
                <w:color w:val="000000"/>
                <w:sz w:val="21"/>
                <w:szCs w:val="21"/>
                <w:lang w:val="en-US"/>
              </w:rPr>
              <w:t>合理处置</w:t>
            </w:r>
          </w:p>
        </w:tc>
      </w:tr>
      <w:tr w14:paraId="10CD38E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645" w:type="dxa"/>
            <w:vMerge w:val="continue"/>
            <w:noWrap w:val="0"/>
            <w:vAlign w:val="center"/>
          </w:tcPr>
          <w:p w14:paraId="25D843EA">
            <w:pPr>
              <w:pStyle w:val="445"/>
              <w:widowControl w:val="0"/>
              <w:ind w:firstLine="0"/>
              <w:jc w:val="center"/>
              <w:rPr>
                <w:rFonts w:hint="eastAsia"/>
                <w:color w:val="000000"/>
                <w:sz w:val="21"/>
                <w:szCs w:val="21"/>
                <w:lang w:val="en-US"/>
              </w:rPr>
            </w:pPr>
          </w:p>
        </w:tc>
        <w:tc>
          <w:tcPr>
            <w:tcW w:w="743" w:type="dxa"/>
            <w:vMerge w:val="continue"/>
            <w:noWrap w:val="0"/>
            <w:vAlign w:val="center"/>
          </w:tcPr>
          <w:p w14:paraId="749B131C">
            <w:pPr>
              <w:pStyle w:val="445"/>
              <w:widowControl w:val="0"/>
              <w:ind w:firstLine="0"/>
              <w:jc w:val="center"/>
              <w:rPr>
                <w:color w:val="000000"/>
                <w:sz w:val="21"/>
                <w:szCs w:val="21"/>
                <w:lang w:val="en-US"/>
              </w:rPr>
            </w:pPr>
          </w:p>
        </w:tc>
        <w:tc>
          <w:tcPr>
            <w:tcW w:w="1935" w:type="dxa"/>
            <w:noWrap w:val="0"/>
            <w:vAlign w:val="center"/>
          </w:tcPr>
          <w:p w14:paraId="761FE6F4">
            <w:pPr>
              <w:pStyle w:val="445"/>
              <w:widowControl w:val="0"/>
              <w:ind w:firstLine="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eastAsia="zh-CN"/>
              </w:rPr>
              <w:t>一般固废暂存间1间，建筑面积100m</w:t>
            </w:r>
            <w:r>
              <w:rPr>
                <w:rFonts w:ascii="Times New Roman" w:hAnsi="Times New Roman" w:cs="Times New Roman"/>
                <w:color w:val="000000"/>
                <w:sz w:val="21"/>
                <w:szCs w:val="21"/>
                <w:vertAlign w:val="superscript"/>
                <w:lang w:val="en-US" w:eastAsia="zh-CN"/>
              </w:rPr>
              <w:t>2</w:t>
            </w:r>
          </w:p>
        </w:tc>
        <w:tc>
          <w:tcPr>
            <w:tcW w:w="1308" w:type="dxa"/>
            <w:gridSpan w:val="2"/>
            <w:noWrap w:val="0"/>
            <w:vAlign w:val="center"/>
          </w:tcPr>
          <w:p w14:paraId="4EAEA436">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一般生产固废</w:t>
            </w:r>
          </w:p>
        </w:tc>
        <w:tc>
          <w:tcPr>
            <w:tcW w:w="1832" w:type="dxa"/>
            <w:gridSpan w:val="2"/>
            <w:vMerge w:val="continue"/>
            <w:noWrap w:val="0"/>
            <w:vAlign w:val="center"/>
          </w:tcPr>
          <w:p w14:paraId="1D9212CC">
            <w:pPr>
              <w:pStyle w:val="445"/>
              <w:widowControl w:val="0"/>
              <w:ind w:firstLine="0"/>
              <w:jc w:val="center"/>
              <w:rPr>
                <w:color w:val="000000"/>
                <w:sz w:val="21"/>
                <w:szCs w:val="21"/>
                <w:lang w:val="en-US"/>
              </w:rPr>
            </w:pPr>
          </w:p>
        </w:tc>
        <w:tc>
          <w:tcPr>
            <w:tcW w:w="2241" w:type="dxa"/>
            <w:gridSpan w:val="2"/>
            <w:vMerge w:val="continue"/>
            <w:noWrap w:val="0"/>
            <w:vAlign w:val="center"/>
          </w:tcPr>
          <w:p w14:paraId="78798CAF">
            <w:pPr>
              <w:pStyle w:val="445"/>
              <w:widowControl w:val="0"/>
              <w:ind w:firstLine="0"/>
              <w:jc w:val="center"/>
              <w:rPr>
                <w:color w:val="000000"/>
                <w:sz w:val="21"/>
                <w:szCs w:val="21"/>
                <w:lang w:val="en-US"/>
              </w:rPr>
            </w:pPr>
          </w:p>
        </w:tc>
      </w:tr>
      <w:tr w14:paraId="3AF94F9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645" w:type="dxa"/>
            <w:vMerge w:val="continue"/>
            <w:noWrap w:val="0"/>
            <w:vAlign w:val="center"/>
          </w:tcPr>
          <w:p w14:paraId="101EB6ED">
            <w:pPr>
              <w:pStyle w:val="445"/>
              <w:widowControl w:val="0"/>
              <w:ind w:firstLine="0"/>
              <w:jc w:val="center"/>
              <w:rPr>
                <w:color w:val="000000"/>
                <w:sz w:val="21"/>
                <w:szCs w:val="21"/>
                <w:lang w:val="en-US"/>
              </w:rPr>
            </w:pPr>
          </w:p>
        </w:tc>
        <w:tc>
          <w:tcPr>
            <w:tcW w:w="743" w:type="dxa"/>
            <w:vMerge w:val="continue"/>
            <w:noWrap w:val="0"/>
            <w:vAlign w:val="center"/>
          </w:tcPr>
          <w:p w14:paraId="02D54E41">
            <w:pPr>
              <w:pStyle w:val="445"/>
              <w:widowControl w:val="0"/>
              <w:ind w:firstLine="0"/>
              <w:jc w:val="center"/>
              <w:rPr>
                <w:color w:val="000000"/>
                <w:sz w:val="21"/>
                <w:szCs w:val="21"/>
                <w:lang w:val="en-US"/>
              </w:rPr>
            </w:pPr>
          </w:p>
        </w:tc>
        <w:tc>
          <w:tcPr>
            <w:tcW w:w="1935" w:type="dxa"/>
            <w:noWrap w:val="0"/>
            <w:vAlign w:val="center"/>
          </w:tcPr>
          <w:p w14:paraId="2A702612">
            <w:pPr>
              <w:pStyle w:val="445"/>
              <w:widowControl w:val="0"/>
              <w:ind w:firstLine="0"/>
              <w:jc w:val="center"/>
              <w:rPr>
                <w:rFonts w:ascii="Times New Roman" w:hAnsi="Times New Roman" w:eastAsia="宋体" w:cs="Times New Roman"/>
                <w:color w:val="000000"/>
                <w:sz w:val="21"/>
                <w:szCs w:val="21"/>
                <w:lang w:val="en-US" w:eastAsia="zh-CN"/>
              </w:rPr>
            </w:pPr>
            <w:r>
              <w:rPr>
                <w:rFonts w:ascii="Times New Roman" w:hAnsi="Times New Roman" w:cs="Times New Roman"/>
                <w:color w:val="000000"/>
                <w:sz w:val="21"/>
                <w:szCs w:val="21"/>
                <w:lang w:val="en-US"/>
              </w:rPr>
              <w:t>危险废物暂存间</w:t>
            </w:r>
            <w:r>
              <w:rPr>
                <w:rFonts w:ascii="Times New Roman" w:hAnsi="Times New Roman" w:cs="Times New Roman"/>
                <w:color w:val="000000"/>
                <w:sz w:val="21"/>
                <w:szCs w:val="21"/>
                <w:lang w:val="en-US" w:eastAsia="zh-CN"/>
              </w:rPr>
              <w:t>1个</w:t>
            </w:r>
            <w:r>
              <w:rPr>
                <w:rFonts w:ascii="Times New Roman" w:hAnsi="Times New Roman" w:cs="Times New Roman"/>
                <w:color w:val="000000"/>
                <w:sz w:val="21"/>
                <w:szCs w:val="21"/>
                <w:lang w:val="en-US"/>
              </w:rPr>
              <w:t>5</w:t>
            </w:r>
            <w:r>
              <w:rPr>
                <w:rFonts w:ascii="Times New Roman" w:hAnsi="Times New Roman" w:cs="Times New Roman"/>
                <w:color w:val="000000"/>
                <w:sz w:val="21"/>
                <w:szCs w:val="21"/>
                <w:lang w:val="en-US" w:eastAsia="zh-CN"/>
              </w:rPr>
              <w:t>7</w:t>
            </w:r>
            <w:r>
              <w:rPr>
                <w:rFonts w:ascii="Times New Roman" w:hAnsi="Times New Roman" w:cs="Times New Roman"/>
                <w:color w:val="000000"/>
                <w:sz w:val="21"/>
                <w:szCs w:val="21"/>
                <w:lang w:val="en-US"/>
              </w:rPr>
              <w:t>m</w:t>
            </w:r>
            <w:r>
              <w:rPr>
                <w:rFonts w:ascii="Times New Roman" w:hAnsi="Times New Roman" w:cs="Times New Roman"/>
                <w:color w:val="000000"/>
                <w:sz w:val="21"/>
                <w:szCs w:val="21"/>
                <w:vertAlign w:val="superscript"/>
                <w:lang w:val="en-US"/>
              </w:rPr>
              <w:t>2</w:t>
            </w:r>
            <w:r>
              <w:rPr>
                <w:rFonts w:ascii="Times New Roman" w:hAnsi="Times New Roman" w:cs="Times New Roman"/>
                <w:color w:val="000000"/>
                <w:sz w:val="21"/>
                <w:szCs w:val="21"/>
                <w:vertAlign w:val="baseline"/>
                <w:lang w:val="en-US" w:eastAsia="zh-CN"/>
              </w:rPr>
              <w:t>，与有资质单位签订协议</w:t>
            </w:r>
          </w:p>
        </w:tc>
        <w:tc>
          <w:tcPr>
            <w:tcW w:w="1308" w:type="dxa"/>
            <w:gridSpan w:val="2"/>
            <w:noWrap w:val="0"/>
            <w:vAlign w:val="center"/>
          </w:tcPr>
          <w:p w14:paraId="611397D8">
            <w:pPr>
              <w:pStyle w:val="445"/>
              <w:widowControl w:val="0"/>
              <w:ind w:firstLine="0"/>
              <w:jc w:val="center"/>
              <w:rPr>
                <w:color w:val="000000"/>
                <w:sz w:val="21"/>
                <w:szCs w:val="21"/>
                <w:lang w:val="en-US"/>
              </w:rPr>
            </w:pPr>
            <w:r>
              <w:rPr>
                <w:rFonts w:hint="eastAsia"/>
                <w:color w:val="000000"/>
                <w:sz w:val="21"/>
                <w:szCs w:val="21"/>
                <w:lang w:val="en-US"/>
              </w:rPr>
              <w:t>危险废物</w:t>
            </w:r>
          </w:p>
        </w:tc>
        <w:tc>
          <w:tcPr>
            <w:tcW w:w="1832" w:type="dxa"/>
            <w:gridSpan w:val="2"/>
            <w:vMerge w:val="continue"/>
            <w:noWrap w:val="0"/>
            <w:vAlign w:val="center"/>
          </w:tcPr>
          <w:p w14:paraId="6613DC1A">
            <w:pPr>
              <w:pStyle w:val="445"/>
              <w:widowControl w:val="0"/>
              <w:ind w:firstLine="0"/>
              <w:jc w:val="center"/>
              <w:rPr>
                <w:color w:val="000000"/>
                <w:sz w:val="21"/>
                <w:szCs w:val="21"/>
                <w:lang w:val="en-US"/>
              </w:rPr>
            </w:pPr>
          </w:p>
        </w:tc>
        <w:tc>
          <w:tcPr>
            <w:tcW w:w="2241" w:type="dxa"/>
            <w:gridSpan w:val="2"/>
            <w:vMerge w:val="continue"/>
            <w:noWrap w:val="0"/>
            <w:vAlign w:val="center"/>
          </w:tcPr>
          <w:p w14:paraId="17CE0229">
            <w:pPr>
              <w:pStyle w:val="445"/>
              <w:widowControl w:val="0"/>
              <w:ind w:firstLine="0"/>
              <w:jc w:val="center"/>
              <w:rPr>
                <w:color w:val="000000"/>
                <w:sz w:val="21"/>
                <w:szCs w:val="21"/>
                <w:lang w:val="en-US"/>
              </w:rPr>
            </w:pPr>
          </w:p>
        </w:tc>
      </w:tr>
      <w:tr w14:paraId="650745D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645" w:type="dxa"/>
            <w:noWrap w:val="0"/>
            <w:vAlign w:val="center"/>
          </w:tcPr>
          <w:p w14:paraId="39790004">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13</w:t>
            </w:r>
          </w:p>
        </w:tc>
        <w:tc>
          <w:tcPr>
            <w:tcW w:w="743" w:type="dxa"/>
            <w:noWrap w:val="0"/>
            <w:vAlign w:val="center"/>
          </w:tcPr>
          <w:p w14:paraId="3E8CC023">
            <w:pPr>
              <w:pStyle w:val="445"/>
              <w:widowControl w:val="0"/>
              <w:ind w:firstLine="0"/>
              <w:jc w:val="center"/>
              <w:rPr>
                <w:color w:val="000000"/>
                <w:sz w:val="21"/>
                <w:szCs w:val="21"/>
                <w:lang w:val="en-US"/>
              </w:rPr>
            </w:pPr>
            <w:r>
              <w:rPr>
                <w:rFonts w:hint="eastAsia"/>
                <w:color w:val="000000"/>
                <w:sz w:val="21"/>
                <w:szCs w:val="21"/>
                <w:lang w:val="en-US"/>
              </w:rPr>
              <w:t>地下水污染防治措施</w:t>
            </w:r>
          </w:p>
        </w:tc>
        <w:tc>
          <w:tcPr>
            <w:tcW w:w="5075" w:type="dxa"/>
            <w:gridSpan w:val="5"/>
            <w:noWrap w:val="0"/>
            <w:vAlign w:val="center"/>
          </w:tcPr>
          <w:p w14:paraId="7BD303B7">
            <w:pPr>
              <w:pStyle w:val="445"/>
              <w:widowControl w:val="0"/>
              <w:ind w:firstLine="0"/>
              <w:jc w:val="center"/>
              <w:rPr>
                <w:rFonts w:ascii="Times New Roman" w:hAnsi="Times New Roman"/>
                <w:bCs/>
                <w:color w:val="000000"/>
                <w:sz w:val="21"/>
                <w:szCs w:val="21"/>
              </w:rPr>
            </w:pPr>
            <w:r>
              <w:rPr>
                <w:rFonts w:ascii="Times New Roman" w:hAnsi="Times New Roman" w:cs="Times New Roman"/>
                <w:color w:val="000000"/>
                <w:sz w:val="21"/>
                <w:szCs w:val="21"/>
              </w:rPr>
              <w:t>对</w:t>
            </w:r>
            <w:r>
              <w:rPr>
                <w:rFonts w:hint="eastAsia" w:ascii="Times New Roman" w:hAnsi="Times New Roman" w:cs="Times New Roman"/>
                <w:color w:val="000000"/>
                <w:sz w:val="21"/>
                <w:szCs w:val="21"/>
                <w:lang w:val="en-US" w:eastAsia="zh-CN"/>
              </w:rPr>
              <w:t>生产</w:t>
            </w:r>
            <w:r>
              <w:rPr>
                <w:rFonts w:hint="eastAsia" w:ascii="Times New Roman" w:hAnsi="Times New Roman" w:cs="Times New Roman"/>
                <w:color w:val="000000"/>
                <w:sz w:val="21"/>
                <w:szCs w:val="21"/>
              </w:rPr>
              <w:t>车间</w:t>
            </w:r>
            <w:r>
              <w:rPr>
                <w:rFonts w:ascii="Times New Roman" w:hAnsi="Times New Roman" w:cs="Times New Roman"/>
                <w:color w:val="000000"/>
                <w:sz w:val="21"/>
                <w:szCs w:val="21"/>
              </w:rPr>
              <w:t>、危废暂存间</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污水处理设施</w:t>
            </w:r>
            <w:r>
              <w:rPr>
                <w:rFonts w:ascii="Times New Roman" w:hAnsi="Times New Roman" w:cs="Times New Roman"/>
                <w:color w:val="000000"/>
                <w:sz w:val="21"/>
                <w:szCs w:val="21"/>
              </w:rPr>
              <w:t>等位置进行重点防渗，防渗能力达到至少等效 6m 厚粘土层（渗透系数≤10</w:t>
            </w:r>
            <w:r>
              <w:rPr>
                <w:rFonts w:ascii="Times New Roman" w:hAnsi="Times New Roman" w:cs="Times New Roman"/>
                <w:color w:val="000000"/>
                <w:sz w:val="21"/>
                <w:szCs w:val="21"/>
                <w:vertAlign w:val="superscript"/>
              </w:rPr>
              <w:t>-7</w:t>
            </w:r>
            <w:r>
              <w:rPr>
                <w:rFonts w:ascii="Times New Roman" w:hAnsi="Times New Roman" w:cs="Times New Roman"/>
                <w:color w:val="000000"/>
                <w:sz w:val="21"/>
                <w:szCs w:val="21"/>
              </w:rPr>
              <w:t>cm/s），或 2mm 厚高密度聚乙烯，或至少 2mm 厚的其它人工材料，渗透系数≤ 10</w:t>
            </w:r>
            <w:r>
              <w:rPr>
                <w:rFonts w:ascii="Times New Roman" w:hAnsi="Times New Roman" w:cs="Times New Roman"/>
                <w:color w:val="000000"/>
                <w:sz w:val="21"/>
                <w:szCs w:val="21"/>
                <w:vertAlign w:val="superscript"/>
              </w:rPr>
              <w:t>-10</w:t>
            </w:r>
            <w:r>
              <w:rPr>
                <w:rFonts w:ascii="Times New Roman" w:hAnsi="Times New Roman" w:cs="Times New Roman"/>
                <w:color w:val="000000"/>
                <w:sz w:val="21"/>
                <w:szCs w:val="21"/>
              </w:rPr>
              <w:t>cm/s</w:t>
            </w:r>
            <w:r>
              <w:rPr>
                <w:rFonts w:hint="eastAsia" w:ascii="Times New Roman" w:hAnsi="Times New Roman" w:cs="Times New Roman"/>
                <w:color w:val="000000"/>
                <w:sz w:val="21"/>
                <w:szCs w:val="21"/>
              </w:rPr>
              <w:t>。</w:t>
            </w:r>
          </w:p>
        </w:tc>
        <w:tc>
          <w:tcPr>
            <w:tcW w:w="2241" w:type="dxa"/>
            <w:gridSpan w:val="2"/>
            <w:noWrap w:val="0"/>
            <w:vAlign w:val="center"/>
          </w:tcPr>
          <w:p w14:paraId="3AD72D09">
            <w:pPr>
              <w:pStyle w:val="445"/>
              <w:widowControl w:val="0"/>
              <w:ind w:firstLine="0"/>
              <w:jc w:val="center"/>
              <w:rPr>
                <w:rFonts w:ascii="Times New Roman" w:hAnsi="Times New Roman"/>
                <w:bCs/>
                <w:color w:val="000000"/>
                <w:sz w:val="21"/>
                <w:szCs w:val="21"/>
              </w:rPr>
            </w:pPr>
            <w:r>
              <w:rPr>
                <w:rFonts w:hint="eastAsia" w:ascii="Times New Roman" w:hAnsi="Times New Roman"/>
                <w:bCs/>
                <w:color w:val="000000"/>
                <w:sz w:val="21"/>
                <w:szCs w:val="21"/>
              </w:rPr>
              <w:t>满足《地下水质量标准》（</w:t>
            </w:r>
            <w:r>
              <w:rPr>
                <w:rFonts w:ascii="Times New Roman" w:hAnsi="Times New Roman"/>
                <w:bCs/>
                <w:color w:val="000000"/>
                <w:sz w:val="21"/>
                <w:szCs w:val="21"/>
              </w:rPr>
              <w:t>GB/14848-2017</w:t>
            </w:r>
            <w:r>
              <w:rPr>
                <w:rFonts w:hint="eastAsia" w:ascii="Times New Roman" w:hAnsi="Times New Roman"/>
                <w:bCs/>
                <w:color w:val="000000"/>
                <w:sz w:val="21"/>
                <w:szCs w:val="21"/>
              </w:rPr>
              <w:t>）中的Ⅲ类标准</w:t>
            </w:r>
          </w:p>
        </w:tc>
      </w:tr>
      <w:tr w14:paraId="21A803F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645" w:type="dxa"/>
            <w:noWrap w:val="0"/>
            <w:vAlign w:val="center"/>
          </w:tcPr>
          <w:p w14:paraId="188719CE">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14</w:t>
            </w:r>
          </w:p>
        </w:tc>
        <w:tc>
          <w:tcPr>
            <w:tcW w:w="743" w:type="dxa"/>
            <w:noWrap w:val="0"/>
            <w:vAlign w:val="center"/>
          </w:tcPr>
          <w:p w14:paraId="3E61C4B6">
            <w:pPr>
              <w:widowControl w:val="0"/>
              <w:spacing w:line="240" w:lineRule="auto"/>
              <w:ind w:firstLine="0"/>
              <w:jc w:val="center"/>
              <w:rPr>
                <w:bCs/>
                <w:sz w:val="21"/>
                <w:szCs w:val="21"/>
              </w:rPr>
            </w:pPr>
            <w:r>
              <w:rPr>
                <w:rFonts w:hint="eastAsia"/>
                <w:bCs/>
                <w:sz w:val="21"/>
                <w:szCs w:val="21"/>
              </w:rPr>
              <w:t>风险防范措施</w:t>
            </w:r>
          </w:p>
        </w:tc>
        <w:tc>
          <w:tcPr>
            <w:tcW w:w="5075" w:type="dxa"/>
            <w:gridSpan w:val="5"/>
            <w:noWrap w:val="0"/>
            <w:vAlign w:val="center"/>
          </w:tcPr>
          <w:p w14:paraId="59E48DA9">
            <w:pPr>
              <w:pStyle w:val="2"/>
              <w:keepNext w:val="0"/>
              <w:keepLines w:val="0"/>
              <w:pageBreakBefore w:val="0"/>
              <w:widowControl/>
              <w:spacing w:line="360" w:lineRule="auto"/>
              <w:ind w:firstLine="0"/>
              <w:jc w:val="center"/>
              <w:rPr>
                <w:rFonts w:hAnsi="宋体" w:cs="Times New Roman"/>
              </w:rPr>
            </w:pPr>
            <w:r>
              <w:rPr>
                <w:rFonts w:hAnsi="宋体" w:cs="Times New Roman"/>
              </w:rPr>
              <w:t>委托编制机构编制突发环境事件应急预案，并落实相关组织机构、应急设施，设备与器材等</w:t>
            </w:r>
            <w:r>
              <w:rPr>
                <w:rFonts w:hint="eastAsia" w:hAnsi="宋体" w:cs="Times New Roman"/>
              </w:rPr>
              <w:t>。</w:t>
            </w:r>
          </w:p>
        </w:tc>
        <w:tc>
          <w:tcPr>
            <w:tcW w:w="2241" w:type="dxa"/>
            <w:gridSpan w:val="2"/>
            <w:noWrap w:val="0"/>
            <w:vAlign w:val="center"/>
          </w:tcPr>
          <w:p w14:paraId="0AB9C49C">
            <w:pPr>
              <w:pStyle w:val="421"/>
              <w:ind w:right="137"/>
              <w:rPr>
                <w:rFonts w:hint="eastAsia" w:ascii="宋体" w:hAnsi="宋体" w:eastAsia="宋体" w:cs="Times New Roman"/>
                <w:sz w:val="21"/>
                <w:szCs w:val="21"/>
              </w:rPr>
            </w:pPr>
            <w:r>
              <w:rPr>
                <w:rFonts w:hint="eastAsia" w:ascii="宋体" w:hAnsi="宋体" w:eastAsia="宋体" w:cs="Times New Roman"/>
                <w:sz w:val="21"/>
                <w:szCs w:val="21"/>
              </w:rPr>
              <w:t>有效避免环境风险事故</w:t>
            </w:r>
          </w:p>
        </w:tc>
      </w:tr>
      <w:tr w14:paraId="051A77A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645" w:type="dxa"/>
            <w:noWrap w:val="0"/>
            <w:vAlign w:val="center"/>
          </w:tcPr>
          <w:p w14:paraId="144AFF21">
            <w:pPr>
              <w:pStyle w:val="445"/>
              <w:widowControl w:val="0"/>
              <w:ind w:firstLine="0"/>
              <w:jc w:val="center"/>
              <w:rPr>
                <w:rFonts w:eastAsia="宋体"/>
                <w:color w:val="000000"/>
                <w:sz w:val="21"/>
                <w:szCs w:val="21"/>
                <w:lang w:val="en-US" w:eastAsia="zh-CN"/>
              </w:rPr>
            </w:pPr>
            <w:r>
              <w:rPr>
                <w:rFonts w:hint="eastAsia"/>
                <w:color w:val="000000"/>
                <w:sz w:val="21"/>
                <w:szCs w:val="21"/>
                <w:lang w:val="en-US" w:eastAsia="zh-CN"/>
              </w:rPr>
              <w:t>15</w:t>
            </w:r>
          </w:p>
        </w:tc>
        <w:tc>
          <w:tcPr>
            <w:tcW w:w="743" w:type="dxa"/>
            <w:noWrap w:val="0"/>
            <w:vAlign w:val="center"/>
          </w:tcPr>
          <w:p w14:paraId="5007303E">
            <w:pPr>
              <w:pStyle w:val="445"/>
              <w:widowControl w:val="0"/>
              <w:ind w:firstLine="0"/>
              <w:jc w:val="center"/>
              <w:rPr>
                <w:color w:val="000000"/>
                <w:sz w:val="21"/>
                <w:szCs w:val="21"/>
                <w:lang w:val="en-US"/>
              </w:rPr>
            </w:pPr>
            <w:r>
              <w:rPr>
                <w:rFonts w:hint="eastAsia"/>
                <w:color w:val="000000"/>
                <w:sz w:val="21"/>
                <w:szCs w:val="21"/>
                <w:lang w:val="en-US"/>
              </w:rPr>
              <w:t>生态恢复措施</w:t>
            </w:r>
          </w:p>
        </w:tc>
        <w:tc>
          <w:tcPr>
            <w:tcW w:w="5075" w:type="dxa"/>
            <w:gridSpan w:val="5"/>
            <w:noWrap w:val="0"/>
            <w:vAlign w:val="center"/>
          </w:tcPr>
          <w:p w14:paraId="784EEA8F">
            <w:pPr>
              <w:pStyle w:val="445"/>
              <w:widowControl w:val="0"/>
              <w:ind w:firstLine="0"/>
              <w:jc w:val="center"/>
              <w:rPr>
                <w:rFonts w:hint="eastAsia"/>
                <w:color w:val="000000"/>
                <w:sz w:val="21"/>
                <w:szCs w:val="21"/>
                <w:lang w:val="en-US"/>
              </w:rPr>
            </w:pPr>
            <w:r>
              <w:rPr>
                <w:rFonts w:ascii="Times New Roman" w:hAnsi="Times New Roman" w:cs="Times New Roman"/>
                <w:color w:val="000000"/>
                <w:sz w:val="21"/>
                <w:szCs w:val="21"/>
                <w:lang w:val="en-US"/>
              </w:rPr>
              <w:t>厂区绿化面积</w:t>
            </w:r>
            <w:r>
              <w:rPr>
                <w:rFonts w:ascii="Times New Roman" w:hAnsi="Times New Roman" w:cs="Times New Roman"/>
                <w:color w:val="000000"/>
                <w:sz w:val="21"/>
                <w:szCs w:val="21"/>
                <w:lang w:val="en-US" w:eastAsia="zh-CN"/>
              </w:rPr>
              <w:t>1000</w:t>
            </w:r>
            <w:r>
              <w:rPr>
                <w:rFonts w:ascii="Times New Roman" w:hAnsi="Times New Roman" w:cs="Times New Roman"/>
                <w:color w:val="000000"/>
                <w:sz w:val="21"/>
                <w:szCs w:val="21"/>
                <w:lang w:val="en-US"/>
              </w:rPr>
              <w:t>m</w:t>
            </w:r>
            <w:r>
              <w:rPr>
                <w:rFonts w:ascii="Times New Roman" w:hAnsi="Times New Roman" w:cs="Times New Roman"/>
                <w:color w:val="000000"/>
                <w:sz w:val="21"/>
                <w:szCs w:val="21"/>
                <w:vertAlign w:val="superscript"/>
                <w:lang w:val="en-US"/>
              </w:rPr>
              <w:t>2</w:t>
            </w:r>
          </w:p>
        </w:tc>
        <w:tc>
          <w:tcPr>
            <w:tcW w:w="2241" w:type="dxa"/>
            <w:gridSpan w:val="2"/>
            <w:noWrap w:val="0"/>
            <w:vAlign w:val="center"/>
          </w:tcPr>
          <w:p w14:paraId="19AF7C21">
            <w:pPr>
              <w:pStyle w:val="445"/>
              <w:widowControl w:val="0"/>
              <w:ind w:firstLine="0"/>
              <w:jc w:val="center"/>
              <w:rPr>
                <w:color w:val="000000"/>
                <w:sz w:val="21"/>
                <w:szCs w:val="21"/>
                <w:lang w:val="en-US"/>
              </w:rPr>
            </w:pPr>
            <w:r>
              <w:rPr>
                <w:color w:val="000000"/>
                <w:sz w:val="21"/>
                <w:szCs w:val="21"/>
                <w:lang w:val="en-US"/>
              </w:rPr>
              <w:t>生态恢复，美化环境</w:t>
            </w:r>
          </w:p>
        </w:tc>
      </w:tr>
    </w:tbl>
    <w:p w14:paraId="365A1646">
      <w:pPr>
        <w:pStyle w:val="2"/>
        <w:ind w:firstLine="420"/>
      </w:pPr>
    </w:p>
    <w:p w14:paraId="739D002F">
      <w:pPr>
        <w:pStyle w:val="2"/>
        <w:ind w:firstLine="420"/>
      </w:pPr>
    </w:p>
    <w:p w14:paraId="241554BF">
      <w:pPr>
        <w:pStyle w:val="2"/>
        <w:ind w:firstLine="420"/>
      </w:pPr>
    </w:p>
    <w:p w14:paraId="1636EAAC">
      <w:pPr>
        <w:pStyle w:val="2"/>
        <w:ind w:firstLine="420"/>
      </w:pPr>
    </w:p>
    <w:p w14:paraId="4EEA563B">
      <w:pPr>
        <w:pStyle w:val="2"/>
        <w:ind w:firstLine="420"/>
      </w:pPr>
    </w:p>
    <w:p w14:paraId="5C7557B6">
      <w:pPr>
        <w:pStyle w:val="2"/>
        <w:ind w:firstLine="420"/>
      </w:pPr>
    </w:p>
    <w:p w14:paraId="73DEC312">
      <w:pPr>
        <w:pStyle w:val="2"/>
        <w:ind w:firstLine="420"/>
      </w:pPr>
    </w:p>
    <w:p w14:paraId="31B3BC33">
      <w:pPr>
        <w:pStyle w:val="2"/>
        <w:ind w:firstLine="420"/>
      </w:pPr>
    </w:p>
    <w:p w14:paraId="4DA642A5">
      <w:pPr>
        <w:pStyle w:val="2"/>
        <w:ind w:firstLine="420"/>
      </w:pPr>
    </w:p>
    <w:p w14:paraId="72F5B38C">
      <w:pPr>
        <w:pStyle w:val="2"/>
        <w:ind w:firstLine="420"/>
      </w:pPr>
    </w:p>
    <w:p w14:paraId="512AF9D9">
      <w:pPr>
        <w:pStyle w:val="2"/>
        <w:ind w:firstLine="420"/>
      </w:pPr>
    </w:p>
    <w:p w14:paraId="06626FAA">
      <w:pPr>
        <w:pStyle w:val="2"/>
        <w:ind w:firstLine="420"/>
      </w:pPr>
    </w:p>
    <w:p w14:paraId="7683754B">
      <w:pPr>
        <w:pStyle w:val="2"/>
        <w:ind w:firstLine="420"/>
      </w:pPr>
    </w:p>
    <w:p w14:paraId="3C618410">
      <w:pPr>
        <w:pStyle w:val="2"/>
        <w:ind w:firstLine="420"/>
      </w:pPr>
    </w:p>
    <w:p w14:paraId="5F5FC0B0">
      <w:pPr>
        <w:pStyle w:val="2"/>
        <w:ind w:firstLine="420"/>
      </w:pPr>
    </w:p>
    <w:p w14:paraId="5E6945F0">
      <w:pPr>
        <w:pStyle w:val="2"/>
        <w:ind w:firstLine="420"/>
      </w:pPr>
    </w:p>
    <w:p w14:paraId="33F01A24">
      <w:pPr>
        <w:pStyle w:val="2"/>
        <w:ind w:firstLine="420"/>
      </w:pPr>
    </w:p>
    <w:p w14:paraId="6AED413B">
      <w:pPr>
        <w:pStyle w:val="2"/>
        <w:ind w:firstLine="420"/>
      </w:pPr>
    </w:p>
    <w:p w14:paraId="60F9B43B">
      <w:pPr>
        <w:pStyle w:val="2"/>
        <w:ind w:firstLine="420"/>
      </w:pPr>
    </w:p>
    <w:p w14:paraId="65DE2AAE">
      <w:pPr>
        <w:pStyle w:val="2"/>
        <w:ind w:firstLine="420"/>
      </w:pPr>
    </w:p>
    <w:p w14:paraId="2B205292">
      <w:pPr>
        <w:pStyle w:val="2"/>
        <w:ind w:firstLine="420"/>
      </w:pPr>
    </w:p>
    <w:p w14:paraId="40F6F9AD">
      <w:pPr>
        <w:pStyle w:val="2"/>
        <w:ind w:firstLine="420"/>
      </w:pPr>
    </w:p>
    <w:p w14:paraId="2343271E">
      <w:pPr>
        <w:pStyle w:val="2"/>
        <w:ind w:firstLine="420"/>
      </w:pPr>
    </w:p>
    <w:p w14:paraId="0A6691C2">
      <w:pPr>
        <w:pStyle w:val="2"/>
        <w:ind w:firstLine="420"/>
      </w:pPr>
    </w:p>
    <w:p w14:paraId="332255AF">
      <w:pPr>
        <w:pStyle w:val="2"/>
        <w:ind w:firstLine="420"/>
      </w:pPr>
    </w:p>
    <w:p w14:paraId="1B127B25">
      <w:pPr>
        <w:pStyle w:val="186"/>
        <w:ind w:firstLine="640"/>
      </w:pPr>
      <w:r>
        <w:rPr>
          <w:rFonts w:hint="eastAsia"/>
        </w:rPr>
        <w:t>第十</w:t>
      </w:r>
      <w:r>
        <w:rPr>
          <w:rFonts w:hint="eastAsia"/>
          <w:lang w:val="en-US" w:eastAsia="zh-CN"/>
        </w:rPr>
        <w:t>二</w:t>
      </w:r>
      <w:r>
        <w:rPr>
          <w:rFonts w:hint="eastAsia"/>
        </w:rPr>
        <w:t xml:space="preserve">章 </w:t>
      </w:r>
      <w:r>
        <w:t xml:space="preserve"> </w:t>
      </w:r>
      <w:r>
        <w:rPr>
          <w:rFonts w:hint="eastAsia"/>
        </w:rPr>
        <w:t>清洁生产与总量控制</w:t>
      </w:r>
    </w:p>
    <w:p w14:paraId="2E7B9E1D">
      <w:pPr>
        <w:pStyle w:val="187"/>
        <w:rPr>
          <w:rFonts w:ascii="Times New Roman" w:hAnsi="Times New Roman"/>
        </w:rPr>
      </w:pPr>
      <w:r>
        <w:rPr>
          <w:rFonts w:hint="eastAsia" w:ascii="Times New Roman" w:hAnsi="Times New Roman"/>
        </w:rPr>
        <w:t>1</w:t>
      </w:r>
      <w:r>
        <w:rPr>
          <w:rFonts w:hint="eastAsia" w:ascii="Times New Roman" w:hAnsi="Times New Roman"/>
          <w:lang w:val="en-US" w:eastAsia="zh-CN"/>
        </w:rPr>
        <w:t>2</w:t>
      </w:r>
      <w:r>
        <w:rPr>
          <w:rFonts w:hint="eastAsia" w:ascii="Times New Roman" w:hAnsi="Times New Roman"/>
        </w:rPr>
        <w:t>.1清洁生产</w:t>
      </w:r>
    </w:p>
    <w:p w14:paraId="539545DC">
      <w:pPr>
        <w:ind w:firstLine="480"/>
        <w:rPr>
          <w:rFonts w:hint="eastAsia"/>
          <w:szCs w:val="22"/>
        </w:rPr>
      </w:pPr>
      <w:r>
        <w:rPr>
          <w:rFonts w:hint="eastAsia"/>
          <w:szCs w:val="22"/>
        </w:rPr>
        <w:t>清洁生产评价指标可分为六大类：生产工艺与装备指标、资源能源利用指标、产品指标、污染物产生指标、废物回收利用指标、清洁生产管理指标。本评价从六个方面对项目的清洁生产进行分析。</w:t>
      </w:r>
    </w:p>
    <w:p w14:paraId="22869F64">
      <w:pPr>
        <w:ind w:firstLine="0"/>
        <w:contextualSpacing/>
        <w:outlineLvl w:val="2"/>
        <w:rPr>
          <w:rFonts w:hint="eastAsia" w:eastAsia="黑体"/>
          <w:sz w:val="28"/>
          <w:szCs w:val="28"/>
        </w:rPr>
      </w:pPr>
      <w:r>
        <w:rPr>
          <w:rFonts w:hint="eastAsia" w:eastAsia="黑体"/>
          <w:sz w:val="28"/>
          <w:szCs w:val="28"/>
          <w:lang w:val="en-US" w:eastAsia="zh-CN"/>
        </w:rPr>
        <w:t>12.1.1</w:t>
      </w:r>
      <w:r>
        <w:rPr>
          <w:rFonts w:hint="eastAsia" w:eastAsia="黑体"/>
          <w:sz w:val="28"/>
          <w:szCs w:val="28"/>
        </w:rPr>
        <w:t>生产工艺与装备要求</w:t>
      </w:r>
    </w:p>
    <w:p w14:paraId="711E595B">
      <w:pPr>
        <w:ind w:firstLine="480"/>
        <w:rPr>
          <w:rFonts w:hint="eastAsia"/>
          <w:szCs w:val="22"/>
        </w:rPr>
      </w:pPr>
      <w:r>
        <w:rPr>
          <w:rFonts w:hint="eastAsia"/>
          <w:szCs w:val="22"/>
        </w:rPr>
        <w:t>项目采用的设备方案与工艺充分考虑了生产的需要和行业特点，反应设备以密闭装置为主，尽可能的减少物料的挥发及损耗，不使用国家要求淘汰的落后生产设备及工艺，选择目前国内企业技术先进及环保达标的专用设备。胶粘剂、水性涂料生产采用的工艺为目前我国工业生产中大多数采用的传统工艺，技术成熟可靠。为了满足装置生产控制要求，确保安全、稳定生产，在控制系统中，除局部采取就地仪表外，整个生产过程正常操作及主要设备的开停车均在控制室内进行，具有较高的自动化水平。</w:t>
      </w:r>
    </w:p>
    <w:p w14:paraId="64046808">
      <w:pPr>
        <w:ind w:firstLine="0"/>
        <w:contextualSpacing/>
        <w:outlineLvl w:val="2"/>
        <w:rPr>
          <w:rFonts w:hint="eastAsia" w:eastAsia="黑体"/>
          <w:sz w:val="28"/>
          <w:szCs w:val="28"/>
          <w:lang w:val="en-US" w:eastAsia="zh-CN"/>
        </w:rPr>
      </w:pPr>
      <w:r>
        <w:rPr>
          <w:rFonts w:hint="eastAsia" w:eastAsia="黑体"/>
          <w:sz w:val="28"/>
          <w:szCs w:val="28"/>
          <w:lang w:val="en-US" w:eastAsia="zh-CN"/>
        </w:rPr>
        <w:t>12.1.2资源能源利用指标</w:t>
      </w:r>
    </w:p>
    <w:p w14:paraId="74ED7758">
      <w:pPr>
        <w:ind w:firstLine="480"/>
        <w:rPr>
          <w:rFonts w:hint="eastAsia"/>
          <w:szCs w:val="22"/>
        </w:rPr>
      </w:pPr>
      <w:r>
        <w:rPr>
          <w:rFonts w:hint="eastAsia"/>
          <w:szCs w:val="22"/>
        </w:rPr>
        <w:t>项目选用的主要原辅材料有尿素、苯酚、甲醛、三聚氰胺、氢氧化钠、脲醛树脂等等，多为易燃、易爆及有毒有害等化学品，本环评在风险分析章节对其中主要化学品的理化性质与毒理性质进行了收集整理分析。对于生产上所用的原辅材料，在满足生产工艺要求的前提下，应尽量选用价格适中、毒性较小的材料替代毒性较大材料。这样，能从源头上减轻可能产生污染物的毒性，从而实现清洁生产的宗旨。本项目对于消耗材料应制定严格的定额、保管和领料制度，从化学品购进、检验、标注、储存到每月安全检查记录以及化学品的转移都有严格的规定，应有专门的环境工程监督员管理，有一套完善的组织机构负责管理。在使用化学品的作业场</w:t>
      </w:r>
      <w:r>
        <w:rPr>
          <w:rFonts w:hint="eastAsia" w:eastAsia="宋体"/>
          <w:szCs w:val="22"/>
          <w:lang w:eastAsia="zh-CN"/>
        </w:rPr>
        <w:t>，</w:t>
      </w:r>
      <w:r>
        <w:rPr>
          <w:rFonts w:hint="eastAsia"/>
          <w:szCs w:val="22"/>
        </w:rPr>
        <w:t xml:space="preserve"> 设置有废水收集容器，避免污染物流失。</w:t>
      </w:r>
    </w:p>
    <w:p w14:paraId="66E2DAFD">
      <w:pPr>
        <w:ind w:firstLine="480"/>
        <w:rPr>
          <w:szCs w:val="22"/>
        </w:rPr>
      </w:pPr>
      <w:r>
        <w:rPr>
          <w:szCs w:val="22"/>
        </w:rPr>
        <w:t>这些化学品在运输、储存、使用和管理过程中，具有一定的环境风险（主要是化学风险）。通过采取一系列安全和预防措施，可以有效的控制或缓解危险化学品使用的环境风险。</w:t>
      </w:r>
    </w:p>
    <w:p w14:paraId="02525990">
      <w:pPr>
        <w:ind w:firstLine="0"/>
        <w:contextualSpacing/>
        <w:outlineLvl w:val="2"/>
        <w:rPr>
          <w:rFonts w:hint="eastAsia" w:eastAsia="黑体"/>
          <w:sz w:val="28"/>
          <w:szCs w:val="28"/>
          <w:lang w:val="en-US" w:eastAsia="zh-CN"/>
        </w:rPr>
      </w:pPr>
      <w:r>
        <w:rPr>
          <w:rFonts w:hint="eastAsia" w:eastAsia="黑体"/>
          <w:sz w:val="28"/>
          <w:szCs w:val="28"/>
          <w:lang w:val="en-US" w:eastAsia="zh-CN"/>
        </w:rPr>
        <w:t>12.1.3污染物产生指标</w:t>
      </w:r>
    </w:p>
    <w:p w14:paraId="25E0CB87">
      <w:pPr>
        <w:ind w:firstLine="480"/>
        <w:rPr>
          <w:rFonts w:hint="eastAsia"/>
          <w:szCs w:val="22"/>
        </w:rPr>
      </w:pPr>
      <w:r>
        <w:rPr>
          <w:rFonts w:hint="eastAsia"/>
          <w:szCs w:val="22"/>
        </w:rPr>
        <w:t>项目的三废产生量较小，废气、废气均经处理后能够达标排放，项目各生产设备噪声经采取降噪措施后各厂界噪声均可达标，固废废物处置率 100%。综上所述， 项目产生的各污染物都得到了有效处理，对环境污染较小。</w:t>
      </w:r>
    </w:p>
    <w:p w14:paraId="3E2DC976">
      <w:pPr>
        <w:ind w:firstLine="0"/>
        <w:contextualSpacing/>
        <w:outlineLvl w:val="2"/>
        <w:rPr>
          <w:rFonts w:hint="eastAsia" w:eastAsia="黑体"/>
          <w:sz w:val="28"/>
          <w:szCs w:val="28"/>
          <w:lang w:val="en-US" w:eastAsia="zh-CN"/>
        </w:rPr>
      </w:pPr>
      <w:r>
        <w:rPr>
          <w:rFonts w:hint="eastAsia" w:eastAsia="黑体"/>
          <w:sz w:val="28"/>
          <w:szCs w:val="28"/>
          <w:lang w:val="en-US" w:eastAsia="zh-CN"/>
        </w:rPr>
        <w:t>12.1.4产品指标</w:t>
      </w:r>
    </w:p>
    <w:p w14:paraId="7E0375AD">
      <w:pPr>
        <w:ind w:firstLine="480"/>
        <w:rPr>
          <w:rFonts w:hint="eastAsia"/>
          <w:szCs w:val="22"/>
        </w:rPr>
      </w:pPr>
      <w:r>
        <w:rPr>
          <w:rFonts w:hint="eastAsia"/>
          <w:szCs w:val="22"/>
        </w:rPr>
        <w:t>本项目符合国家产业政策要求</w:t>
      </w:r>
      <w:r>
        <w:rPr>
          <w:rFonts w:hint="eastAsia" w:eastAsia="宋体"/>
          <w:szCs w:val="22"/>
          <w:lang w:eastAsia="zh-CN"/>
        </w:rPr>
        <w:t>，</w:t>
      </w:r>
      <w:r>
        <w:rPr>
          <w:rFonts w:hint="eastAsia"/>
          <w:szCs w:val="22"/>
        </w:rPr>
        <w:t>产品质量符合国家相关质量要求， 在进行包装物设计时，建设单位和其委托的设计单位应考虑其生命周期中对于人类健康和环境的影响，优先选择无毒害、易降解或者便于回收利用的方案。</w:t>
      </w:r>
    </w:p>
    <w:p w14:paraId="4AC32C5F">
      <w:pPr>
        <w:ind w:firstLine="0"/>
        <w:contextualSpacing/>
        <w:outlineLvl w:val="2"/>
        <w:rPr>
          <w:rFonts w:hint="eastAsia" w:eastAsia="黑体"/>
          <w:sz w:val="28"/>
          <w:szCs w:val="28"/>
          <w:lang w:val="en-US" w:eastAsia="zh-CN"/>
        </w:rPr>
      </w:pPr>
      <w:r>
        <w:rPr>
          <w:rFonts w:hint="eastAsia" w:eastAsia="黑体"/>
          <w:sz w:val="28"/>
          <w:szCs w:val="28"/>
          <w:lang w:val="en-US" w:eastAsia="zh-CN"/>
        </w:rPr>
        <w:t>12.1.5废物回收利用指标</w:t>
      </w:r>
    </w:p>
    <w:p w14:paraId="1A4F3E7E">
      <w:pPr>
        <w:pStyle w:val="219"/>
        <w:spacing w:line="374" w:lineRule="auto"/>
        <w:ind w:left="0" w:right="317" w:firstLine="480"/>
        <w:rPr>
          <w:rFonts w:hint="eastAsia"/>
          <w:sz w:val="24"/>
          <w:szCs w:val="22"/>
          <w:lang w:val="en-US" w:eastAsia="zh-CN" w:bidi="ar-SA"/>
        </w:rPr>
      </w:pPr>
      <w:r>
        <w:rPr>
          <w:rFonts w:hint="eastAsia"/>
          <w:sz w:val="24"/>
          <w:szCs w:val="22"/>
          <w:lang w:val="en-US" w:eastAsia="zh-CN" w:bidi="ar-SA"/>
        </w:rPr>
        <w:t>项目板材产生的粉尘经除尘器收集后作为生物质燃料原料外售，产生的废边角料作为供热系统燃料使用。项目将生产过程中产生的废物尽可能的回收利用，对于不符合回用要求或没有能力回用的，则委托外单位回收利用或有资质的处置单位处置，符合清洁生产的相关要求。</w:t>
      </w:r>
    </w:p>
    <w:p w14:paraId="78479878">
      <w:pPr>
        <w:ind w:firstLine="0"/>
        <w:contextualSpacing/>
        <w:outlineLvl w:val="2"/>
        <w:rPr>
          <w:rFonts w:hint="eastAsia" w:eastAsia="黑体"/>
          <w:sz w:val="28"/>
          <w:szCs w:val="28"/>
          <w:lang w:val="en-US" w:eastAsia="zh-CN"/>
        </w:rPr>
      </w:pPr>
      <w:r>
        <w:rPr>
          <w:rFonts w:hint="eastAsia" w:eastAsia="黑体"/>
          <w:sz w:val="28"/>
          <w:szCs w:val="28"/>
          <w:lang w:val="en-US" w:eastAsia="zh-CN"/>
        </w:rPr>
        <w:t>12.1.6环境管理指标</w:t>
      </w:r>
    </w:p>
    <w:p w14:paraId="3FB149A1">
      <w:pPr>
        <w:pStyle w:val="219"/>
        <w:keepNext w:val="0"/>
        <w:keepLines w:val="0"/>
        <w:pageBreakBefore w:val="0"/>
        <w:widowControl/>
        <w:spacing w:after="0" w:line="360" w:lineRule="auto"/>
        <w:ind w:left="0" w:right="317" w:firstLine="480"/>
        <w:rPr>
          <w:rFonts w:hint="eastAsia"/>
          <w:sz w:val="24"/>
          <w:szCs w:val="22"/>
          <w:lang w:val="en-US" w:eastAsia="zh-CN" w:bidi="ar-SA"/>
        </w:rPr>
      </w:pPr>
      <w:r>
        <w:rPr>
          <w:rFonts w:hint="eastAsia"/>
          <w:sz w:val="24"/>
          <w:szCs w:val="22"/>
          <w:lang w:val="en-US" w:eastAsia="zh-CN" w:bidi="ar-SA"/>
        </w:rPr>
        <w:t>项目符合国家和地方有关环境法律、法规，具备较完善的废水、废气处理设施且能有效运行，产生的污染物经过处理后均可达到相关的国家和地方排放标准，符合总量控制要求和排污许可证管理要求，废物均得到了妥善的处置，符合环境保护要求。</w:t>
      </w:r>
    </w:p>
    <w:p w14:paraId="03A35FD4">
      <w:pPr>
        <w:pStyle w:val="219"/>
        <w:keepNext w:val="0"/>
        <w:keepLines w:val="0"/>
        <w:pageBreakBefore w:val="0"/>
        <w:widowControl/>
        <w:spacing w:after="0" w:line="360" w:lineRule="auto"/>
        <w:ind w:left="0" w:right="317" w:firstLine="480"/>
        <w:rPr>
          <w:rFonts w:hint="eastAsia"/>
          <w:sz w:val="24"/>
          <w:szCs w:val="22"/>
          <w:lang w:val="en-US" w:eastAsia="zh-CN" w:bidi="ar-SA"/>
        </w:rPr>
      </w:pPr>
      <w:r>
        <w:rPr>
          <w:rFonts w:hint="eastAsia"/>
          <w:sz w:val="24"/>
          <w:szCs w:val="22"/>
          <w:lang w:val="en-US" w:eastAsia="zh-CN" w:bidi="ar-SA"/>
        </w:rPr>
        <w:t>在环境管理方面，建设单位有齐全的管理规章和岗位职责，设专门的环境管理机构和专职管理人员，设立完善的环境管理制度，并纳入日常管理，记录环保设施运行数据并建立环保档案。在项目整个设计到生产过程，严格执行环保“三同时”制度。</w:t>
      </w:r>
    </w:p>
    <w:p w14:paraId="4DA9C293">
      <w:pPr>
        <w:ind w:firstLine="0"/>
        <w:contextualSpacing/>
        <w:outlineLvl w:val="2"/>
        <w:rPr>
          <w:rFonts w:ascii="Times New Roman" w:hAnsi="Times New Roman" w:eastAsia="Calibri" w:cs="Times New Roman"/>
          <w:sz w:val="24"/>
          <w:szCs w:val="24"/>
          <w:lang w:val="en-US" w:bidi="ar-SA"/>
        </w:rPr>
      </w:pPr>
      <w:r>
        <w:rPr>
          <w:rFonts w:hint="eastAsia" w:eastAsia="黑体"/>
          <w:sz w:val="28"/>
          <w:szCs w:val="28"/>
          <w:lang w:val="en-US" w:eastAsia="zh-CN"/>
        </w:rPr>
        <w:t>12.1.7清洁生产结论</w:t>
      </w:r>
    </w:p>
    <w:p w14:paraId="1C91E73B">
      <w:pPr>
        <w:pStyle w:val="2"/>
        <w:widowControl/>
        <w:spacing w:before="0" w:after="0" w:line="360" w:lineRule="auto"/>
        <w:ind w:left="0" w:right="0" w:firstLine="480"/>
        <w:jc w:val="both"/>
        <w:rPr>
          <w:rFonts w:ascii="Times New Roman" w:hAnsi="Times New Roman" w:eastAsia="Calibri" w:cs="Times New Roman"/>
          <w:sz w:val="24"/>
          <w:szCs w:val="24"/>
          <w:lang w:val="en-US" w:bidi="ar-SA"/>
        </w:rPr>
      </w:pPr>
      <w:r>
        <w:rPr>
          <w:rFonts w:ascii="Times New Roman" w:hAnsi="Times New Roman" w:eastAsia="Calibri" w:cs="Times New Roman"/>
          <w:sz w:val="24"/>
          <w:szCs w:val="24"/>
          <w:lang w:val="en-US" w:bidi="ar-SA"/>
        </w:rPr>
        <w:t>项目生产设备采用目前先进成熟的设备，在国内属于领先水平；不使用国家要求淘汰工艺，污染物产生环节不多，污染物种类简单，产生量不大，从而从源头减少了污染物的产生量。工程设计中的清洁生产措施充分体现了从源头控制污染的思想，有效的节省了能源、物料的消耗，符合《中华人民共和国清洁生产促进法》的有关规定。综上所述，项目符合清洁生产原则及相关要求。</w:t>
      </w:r>
    </w:p>
    <w:p w14:paraId="4F7578BA">
      <w:pPr>
        <w:ind w:firstLine="0"/>
        <w:contextualSpacing/>
        <w:outlineLvl w:val="2"/>
        <w:rPr>
          <w:rFonts w:hint="eastAsia" w:eastAsia="黑体"/>
          <w:sz w:val="28"/>
          <w:szCs w:val="28"/>
          <w:lang w:val="en-US" w:eastAsia="zh-CN"/>
        </w:rPr>
      </w:pPr>
      <w:r>
        <w:rPr>
          <w:rFonts w:hint="eastAsia" w:eastAsia="黑体"/>
          <w:sz w:val="28"/>
          <w:szCs w:val="28"/>
          <w:lang w:val="en-US" w:eastAsia="zh-CN"/>
        </w:rPr>
        <w:t>12.1.7建议</w:t>
      </w:r>
    </w:p>
    <w:p w14:paraId="02467407">
      <w:pPr>
        <w:pStyle w:val="2"/>
        <w:widowControl/>
        <w:spacing w:before="0" w:after="0" w:line="360" w:lineRule="auto"/>
        <w:ind w:left="0" w:right="0" w:firstLine="480"/>
        <w:jc w:val="both"/>
        <w:rPr>
          <w:rFonts w:ascii="Times New Roman" w:hAnsi="Times New Roman" w:eastAsia="Calibri" w:cs="Times New Roman"/>
          <w:sz w:val="24"/>
          <w:szCs w:val="24"/>
          <w:lang w:val="en-US" w:bidi="ar-SA"/>
        </w:rPr>
      </w:pPr>
      <w:r>
        <w:rPr>
          <w:rFonts w:ascii="Times New Roman" w:hAnsi="Times New Roman" w:eastAsia="Calibri" w:cs="Times New Roman"/>
          <w:sz w:val="24"/>
          <w:szCs w:val="24"/>
          <w:lang w:val="en-US" w:bidi="ar-SA"/>
        </w:rPr>
        <w:t>建设单位应</w:t>
      </w:r>
      <w:r>
        <w:rPr>
          <w:rFonts w:hint="eastAsia" w:ascii="Times New Roman" w:hAnsi="Times New Roman" w:eastAsia="宋体" w:cs="Times New Roman"/>
          <w:sz w:val="24"/>
          <w:szCs w:val="24"/>
          <w:lang w:val="en-US" w:eastAsia="zh-CN" w:bidi="ar-SA"/>
        </w:rPr>
        <w:t>进一步</w:t>
      </w:r>
      <w:r>
        <w:rPr>
          <w:rFonts w:ascii="Times New Roman" w:hAnsi="Times New Roman" w:eastAsia="Calibri" w:cs="Times New Roman"/>
          <w:sz w:val="24"/>
          <w:szCs w:val="24"/>
          <w:lang w:val="en-US" w:bidi="ar-SA"/>
        </w:rPr>
        <w:t>加强设备维修、岗位责任制，强化工艺管理和保持生产系统动态平衡等清洁生产手段，防止“跑、冒、滴、漏”现象发生，从源头削减污染物的产生量，搞好各环节废物的回收利用，同时抓好研发基地环境管理。</w:t>
      </w:r>
    </w:p>
    <w:p w14:paraId="480430D1">
      <w:pPr>
        <w:pStyle w:val="187"/>
        <w:rPr>
          <w:rFonts w:ascii="Times New Roman" w:hAnsi="Times New Roman"/>
        </w:rPr>
      </w:pPr>
      <w:r>
        <w:rPr>
          <w:rFonts w:ascii="Times New Roman" w:hAnsi="Times New Roman"/>
        </w:rPr>
        <w:t>1</w:t>
      </w:r>
      <w:r>
        <w:rPr>
          <w:rFonts w:hint="eastAsia" w:ascii="Times New Roman" w:hAnsi="Times New Roman"/>
          <w:lang w:val="en-US" w:eastAsia="zh-CN"/>
        </w:rPr>
        <w:t>2</w:t>
      </w:r>
      <w:r>
        <w:rPr>
          <w:rFonts w:ascii="Times New Roman" w:hAnsi="Times New Roman"/>
        </w:rPr>
        <w:t>.2总量控制</w:t>
      </w:r>
    </w:p>
    <w:p w14:paraId="412AB2AD">
      <w:pPr>
        <w:ind w:firstLine="0"/>
        <w:contextualSpacing/>
        <w:outlineLvl w:val="2"/>
        <w:rPr>
          <w:rFonts w:eastAsia="黑体"/>
          <w:sz w:val="28"/>
          <w:szCs w:val="28"/>
        </w:rPr>
      </w:pPr>
      <w:r>
        <w:rPr>
          <w:rFonts w:eastAsia="黑体"/>
          <w:sz w:val="28"/>
          <w:szCs w:val="28"/>
        </w:rPr>
        <w:t>1</w:t>
      </w:r>
      <w:r>
        <w:rPr>
          <w:rFonts w:hint="eastAsia" w:eastAsia="黑体"/>
          <w:sz w:val="28"/>
          <w:szCs w:val="28"/>
          <w:lang w:val="en-US" w:eastAsia="zh-CN"/>
        </w:rPr>
        <w:t>2</w:t>
      </w:r>
      <w:r>
        <w:rPr>
          <w:rFonts w:eastAsia="黑体"/>
          <w:sz w:val="28"/>
          <w:szCs w:val="28"/>
        </w:rPr>
        <w:t>.</w:t>
      </w:r>
      <w:r>
        <w:rPr>
          <w:rFonts w:hint="eastAsia" w:eastAsia="黑体"/>
          <w:sz w:val="28"/>
          <w:szCs w:val="28"/>
        </w:rPr>
        <w:t>2</w:t>
      </w:r>
      <w:r>
        <w:rPr>
          <w:rFonts w:eastAsia="黑体"/>
          <w:sz w:val="28"/>
          <w:szCs w:val="28"/>
        </w:rPr>
        <w:t>.1总量控制原则</w:t>
      </w:r>
    </w:p>
    <w:p w14:paraId="7BBC402C">
      <w:pPr>
        <w:pStyle w:val="2"/>
        <w:ind w:firstLine="480"/>
        <w:rPr>
          <w:rFonts w:ascii="Times New Roman" w:hAnsi="Times New Roman" w:cs="Times New Roman"/>
          <w:sz w:val="24"/>
          <w:szCs w:val="24"/>
        </w:rPr>
      </w:pPr>
      <w:r>
        <w:rPr>
          <w:rFonts w:ascii="Times New Roman" w:hAnsi="Times New Roman" w:cs="Times New Roman"/>
          <w:sz w:val="24"/>
          <w:szCs w:val="24"/>
        </w:rPr>
        <w:t>1、按照“节能减排、清洁生产”的原则，工程采取可行的污染治理措施前提下，正常工况时，达标排放，并按生产装置计算得到污染物总量。</w:t>
      </w:r>
    </w:p>
    <w:p w14:paraId="0DFBFFBC">
      <w:pPr>
        <w:pStyle w:val="2"/>
        <w:ind w:firstLine="480"/>
        <w:rPr>
          <w:rFonts w:ascii="Times New Roman" w:hAnsi="Times New Roman" w:cs="Times New Roman"/>
          <w:sz w:val="24"/>
          <w:szCs w:val="24"/>
        </w:rPr>
      </w:pPr>
      <w:r>
        <w:rPr>
          <w:rFonts w:ascii="Times New Roman" w:hAnsi="Times New Roman" w:cs="Times New Roman"/>
          <w:sz w:val="24"/>
          <w:szCs w:val="24"/>
        </w:rPr>
        <w:t>2、结合建设项目所在地区的环境功能、五年污染总量削减计划和总量允许排放限额要求，提出污染物排放总量控制指标建议。</w:t>
      </w:r>
    </w:p>
    <w:p w14:paraId="5FD1CA49">
      <w:pPr>
        <w:pStyle w:val="2"/>
        <w:ind w:firstLine="480"/>
        <w:rPr>
          <w:rFonts w:ascii="Times New Roman" w:hAnsi="Times New Roman" w:cs="Times New Roman"/>
          <w:sz w:val="24"/>
          <w:szCs w:val="24"/>
        </w:rPr>
      </w:pPr>
      <w:r>
        <w:rPr>
          <w:rFonts w:ascii="Times New Roman" w:hAnsi="Times New Roman" w:cs="Times New Roman"/>
          <w:sz w:val="24"/>
          <w:szCs w:val="24"/>
        </w:rPr>
        <w:t>3、选择二氧化硫、COD等总量控制因子，计算给出总量控制值，并取得环境行政主管部门认可。</w:t>
      </w:r>
    </w:p>
    <w:p w14:paraId="6C7115BD">
      <w:pPr>
        <w:pStyle w:val="2"/>
        <w:ind w:firstLine="480"/>
        <w:rPr>
          <w:rFonts w:ascii="Times New Roman" w:hAnsi="Times New Roman" w:cs="Times New Roman"/>
          <w:sz w:val="24"/>
          <w:szCs w:val="24"/>
        </w:rPr>
      </w:pPr>
      <w:r>
        <w:rPr>
          <w:rFonts w:ascii="Times New Roman" w:hAnsi="Times New Roman" w:cs="Times New Roman"/>
          <w:sz w:val="24"/>
          <w:szCs w:val="24"/>
        </w:rPr>
        <w:t>4、结合地方总量削减计划，说明总量指标来源的合理性。</w:t>
      </w:r>
    </w:p>
    <w:p w14:paraId="2C381F44">
      <w:pPr>
        <w:ind w:firstLine="0"/>
        <w:contextualSpacing/>
        <w:outlineLvl w:val="2"/>
        <w:rPr>
          <w:rFonts w:eastAsia="黑体"/>
          <w:sz w:val="28"/>
          <w:szCs w:val="28"/>
        </w:rPr>
      </w:pPr>
      <w:r>
        <w:rPr>
          <w:rFonts w:eastAsia="黑体"/>
          <w:sz w:val="28"/>
          <w:szCs w:val="28"/>
        </w:rPr>
        <w:t>1</w:t>
      </w:r>
      <w:r>
        <w:rPr>
          <w:rFonts w:hint="eastAsia" w:eastAsia="黑体"/>
          <w:sz w:val="28"/>
          <w:szCs w:val="28"/>
          <w:lang w:val="en-US" w:eastAsia="zh-CN"/>
        </w:rPr>
        <w:t>2</w:t>
      </w:r>
      <w:r>
        <w:rPr>
          <w:rFonts w:eastAsia="黑体"/>
          <w:sz w:val="28"/>
          <w:szCs w:val="28"/>
        </w:rPr>
        <w:t>.</w:t>
      </w:r>
      <w:r>
        <w:rPr>
          <w:rFonts w:hint="eastAsia" w:eastAsia="黑体"/>
          <w:sz w:val="28"/>
          <w:szCs w:val="28"/>
        </w:rPr>
        <w:t>2</w:t>
      </w:r>
      <w:r>
        <w:rPr>
          <w:rFonts w:eastAsia="黑体"/>
          <w:sz w:val="28"/>
          <w:szCs w:val="28"/>
        </w:rPr>
        <w:t>.2总量控制因子</w:t>
      </w:r>
    </w:p>
    <w:p w14:paraId="13898DC1">
      <w:pPr>
        <w:pStyle w:val="2"/>
        <w:ind w:firstLine="480"/>
        <w:rPr>
          <w:rFonts w:ascii="Times New Roman" w:hAnsi="Times New Roman" w:cs="Times New Roman"/>
          <w:sz w:val="24"/>
          <w:szCs w:val="24"/>
        </w:rPr>
      </w:pPr>
      <w:r>
        <w:rPr>
          <w:rFonts w:ascii="Times New Roman" w:hAnsi="Times New Roman" w:cs="Times New Roman"/>
          <w:sz w:val="24"/>
          <w:szCs w:val="24"/>
        </w:rPr>
        <w:t>根据《“十二五”主要污染物总量控制规划编制指南》，在“十二五”化学需氧量（COD）和二氧化硫（SO</w:t>
      </w:r>
      <w:r>
        <w:rPr>
          <w:rFonts w:ascii="Times New Roman" w:hAnsi="Times New Roman" w:cs="Times New Roman"/>
          <w:sz w:val="24"/>
          <w:szCs w:val="24"/>
          <w:vertAlign w:val="subscript"/>
        </w:rPr>
        <w:t>2</w:t>
      </w:r>
      <w:r>
        <w:rPr>
          <w:rFonts w:ascii="Times New Roman" w:hAnsi="Times New Roman" w:cs="Times New Roman"/>
          <w:sz w:val="24"/>
          <w:szCs w:val="24"/>
        </w:rPr>
        <w:t>）两项主要污染物的基础上，“十二五”期间国家将氨氮和氮氧化物（NOx）纳入总量控制指标体系，对上述四项主要污染物实施国家总量控制，统一要求、统一考核。</w:t>
      </w:r>
    </w:p>
    <w:p w14:paraId="39DFE9B7">
      <w:pPr>
        <w:pStyle w:val="2"/>
        <w:ind w:firstLine="480"/>
        <w:rPr>
          <w:rFonts w:ascii="Times New Roman" w:hAnsi="Times New Roman" w:cs="Times New Roman"/>
          <w:sz w:val="24"/>
          <w:szCs w:val="24"/>
        </w:rPr>
      </w:pPr>
      <w:r>
        <w:rPr>
          <w:rFonts w:ascii="Times New Roman" w:hAnsi="Times New Roman" w:cs="Times New Roman"/>
          <w:sz w:val="24"/>
          <w:szCs w:val="24"/>
        </w:rPr>
        <w:t>本项目的总量控制因子为：</w:t>
      </w:r>
    </w:p>
    <w:p w14:paraId="6543973B">
      <w:pPr>
        <w:pStyle w:val="2"/>
        <w:ind w:firstLine="480"/>
        <w:rPr>
          <w:rFonts w:ascii="Times New Roman" w:hAnsi="Times New Roman" w:cs="Times New Roman"/>
          <w:sz w:val="24"/>
          <w:szCs w:val="24"/>
        </w:rPr>
      </w:pPr>
      <w:r>
        <w:rPr>
          <w:rFonts w:ascii="Times New Roman" w:hAnsi="Times New Roman" w:cs="Times New Roman"/>
          <w:sz w:val="24"/>
          <w:szCs w:val="24"/>
        </w:rPr>
        <w:t>大气污染物：SO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w:t>
      </w:r>
    </w:p>
    <w:p w14:paraId="70626046">
      <w:pPr>
        <w:pStyle w:val="2"/>
        <w:ind w:firstLine="480"/>
        <w:rPr>
          <w:rFonts w:ascii="Times New Roman" w:hAnsi="Times New Roman" w:cs="Times New Roman"/>
          <w:sz w:val="24"/>
          <w:szCs w:val="24"/>
        </w:rPr>
      </w:pPr>
      <w:r>
        <w:rPr>
          <w:rFonts w:ascii="Times New Roman" w:hAnsi="Times New Roman" w:cs="Times New Roman"/>
          <w:sz w:val="24"/>
          <w:szCs w:val="24"/>
        </w:rPr>
        <w:t>水污染物：COD、NH</w:t>
      </w:r>
      <w:r>
        <w:rPr>
          <w:rFonts w:ascii="Times New Roman" w:hAnsi="Times New Roman" w:cs="Times New Roman"/>
          <w:sz w:val="24"/>
          <w:szCs w:val="24"/>
          <w:vertAlign w:val="subscript"/>
        </w:rPr>
        <w:t>3</w:t>
      </w:r>
      <w:r>
        <w:rPr>
          <w:rFonts w:ascii="Times New Roman" w:hAnsi="Times New Roman" w:cs="Times New Roman"/>
          <w:sz w:val="24"/>
          <w:szCs w:val="24"/>
        </w:rPr>
        <w:t>-N。</w:t>
      </w:r>
    </w:p>
    <w:p w14:paraId="4F8B168F">
      <w:pPr>
        <w:ind w:firstLine="0"/>
        <w:contextualSpacing/>
        <w:outlineLvl w:val="2"/>
        <w:rPr>
          <w:rFonts w:eastAsia="黑体"/>
          <w:sz w:val="28"/>
          <w:szCs w:val="28"/>
        </w:rPr>
      </w:pPr>
      <w:r>
        <w:rPr>
          <w:rFonts w:eastAsia="黑体"/>
          <w:sz w:val="28"/>
          <w:szCs w:val="28"/>
        </w:rPr>
        <w:t>1</w:t>
      </w:r>
      <w:r>
        <w:rPr>
          <w:rFonts w:hint="eastAsia" w:eastAsia="黑体"/>
          <w:sz w:val="28"/>
          <w:szCs w:val="28"/>
          <w:lang w:val="en-US" w:eastAsia="zh-CN"/>
        </w:rPr>
        <w:t>2</w:t>
      </w:r>
      <w:r>
        <w:rPr>
          <w:rFonts w:eastAsia="黑体"/>
          <w:sz w:val="28"/>
          <w:szCs w:val="28"/>
        </w:rPr>
        <w:t>.</w:t>
      </w:r>
      <w:r>
        <w:rPr>
          <w:rFonts w:hint="eastAsia" w:eastAsia="黑体"/>
          <w:sz w:val="28"/>
          <w:szCs w:val="28"/>
        </w:rPr>
        <w:t>2</w:t>
      </w:r>
      <w:r>
        <w:rPr>
          <w:rFonts w:eastAsia="黑体"/>
          <w:sz w:val="28"/>
          <w:szCs w:val="28"/>
        </w:rPr>
        <w:t>.3总量控制指标及其来源</w:t>
      </w:r>
    </w:p>
    <w:p w14:paraId="2D327148">
      <w:pPr>
        <w:pStyle w:val="2"/>
        <w:ind w:firstLine="480"/>
        <w:rPr>
          <w:rFonts w:ascii="Times New Roman" w:hAnsi="Times New Roman" w:cs="Times New Roman"/>
          <w:sz w:val="24"/>
          <w:szCs w:val="24"/>
        </w:rPr>
      </w:pPr>
      <w:r>
        <w:rPr>
          <w:rFonts w:ascii="Times New Roman" w:hAnsi="Times New Roman" w:cs="Times New Roman"/>
          <w:sz w:val="24"/>
          <w:szCs w:val="24"/>
        </w:rPr>
        <w:t>根据国家环保部确定的“十二五”污染物排放总量控制指标，结合本项目的工艺特征和排污特点，以及项目所在区域环境质量现状，确定本工程污染物总量控制项目如下：</w:t>
      </w:r>
    </w:p>
    <w:p w14:paraId="61BDF32E">
      <w:pPr>
        <w:pStyle w:val="2"/>
        <w:ind w:firstLine="480"/>
        <w:rPr>
          <w:rFonts w:ascii="Times New Roman" w:hAnsi="Times New Roman" w:cs="Times New Roman"/>
          <w:sz w:val="24"/>
          <w:szCs w:val="24"/>
        </w:rPr>
      </w:pPr>
      <w:r>
        <w:rPr>
          <w:rFonts w:ascii="Times New Roman" w:hAnsi="Times New Roman" w:cs="Times New Roman"/>
          <w:color w:val="000000"/>
          <w:sz w:val="24"/>
          <w:szCs w:val="24"/>
        </w:rPr>
        <w:t>（1）废气中的SO</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、NOx；</w:t>
      </w:r>
      <w:r>
        <w:rPr>
          <w:rFonts w:ascii="Times New Roman" w:hAnsi="Times New Roman" w:cs="Times New Roman"/>
          <w:sz w:val="24"/>
          <w:szCs w:val="24"/>
        </w:rPr>
        <w:t>本项目建成后全厂SO</w:t>
      </w:r>
      <w:r>
        <w:rPr>
          <w:rFonts w:ascii="Times New Roman" w:hAnsi="Times New Roman" w:cs="Times New Roman"/>
          <w:sz w:val="24"/>
          <w:szCs w:val="24"/>
          <w:vertAlign w:val="subscript"/>
        </w:rPr>
        <w:t>2</w:t>
      </w:r>
      <w:r>
        <w:rPr>
          <w:rFonts w:ascii="Times New Roman" w:hAnsi="Times New Roman" w:cs="Times New Roman"/>
          <w:sz w:val="24"/>
          <w:szCs w:val="24"/>
        </w:rPr>
        <w:t>排放量为</w:t>
      </w:r>
      <w:r>
        <w:rPr>
          <w:rFonts w:hint="eastAsia" w:ascii="Times New Roman" w:hAnsi="Times New Roman" w:eastAsia="宋体" w:cs="Times New Roman"/>
          <w:sz w:val="24"/>
          <w:szCs w:val="24"/>
          <w:lang w:val="en-US" w:eastAsia="zh-CN"/>
        </w:rPr>
        <w:t>1.0</w:t>
      </w:r>
      <w:r>
        <w:rPr>
          <w:rFonts w:ascii="Times New Roman" w:hAnsi="Times New Roman" w:cs="Times New Roman"/>
          <w:sz w:val="24"/>
          <w:szCs w:val="24"/>
        </w:rPr>
        <w:t>t/a、NO</w:t>
      </w:r>
      <w:r>
        <w:rPr>
          <w:rFonts w:ascii="Times New Roman" w:hAnsi="Times New Roman" w:cs="Times New Roman"/>
          <w:sz w:val="24"/>
          <w:szCs w:val="24"/>
          <w:vertAlign w:val="subscript"/>
        </w:rPr>
        <w:t>X</w:t>
      </w:r>
      <w:r>
        <w:rPr>
          <w:rFonts w:ascii="Times New Roman" w:hAnsi="Times New Roman" w:cs="Times New Roman"/>
          <w:sz w:val="24"/>
          <w:szCs w:val="24"/>
        </w:rPr>
        <w:t xml:space="preserve"> 排放量为</w:t>
      </w:r>
      <w:r>
        <w:rPr>
          <w:rFonts w:hint="eastAsia" w:ascii="Times New Roman" w:hAnsi="Times New Roman" w:eastAsia="宋体" w:cs="Times New Roman"/>
          <w:sz w:val="24"/>
          <w:szCs w:val="24"/>
          <w:lang w:val="en-US" w:eastAsia="zh-CN"/>
        </w:rPr>
        <w:t>5.976</w:t>
      </w:r>
      <w:r>
        <w:rPr>
          <w:rFonts w:ascii="Times New Roman" w:hAnsi="Times New Roman" w:cs="Times New Roman"/>
          <w:sz w:val="24"/>
          <w:szCs w:val="24"/>
        </w:rPr>
        <w:t>t/a。</w:t>
      </w:r>
    </w:p>
    <w:p w14:paraId="3735B369">
      <w:pPr>
        <w:pStyle w:val="2"/>
        <w:ind w:firstLine="480"/>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rPr>
        <w:t>（2）本项目的</w:t>
      </w:r>
      <w:r>
        <w:rPr>
          <w:rFonts w:hint="eastAsia" w:ascii="Times New Roman" w:hAnsi="Times New Roman" w:cs="Times New Roman"/>
          <w:color w:val="000000"/>
          <w:sz w:val="24"/>
          <w:szCs w:val="24"/>
        </w:rPr>
        <w:t>生产</w:t>
      </w:r>
      <w:r>
        <w:rPr>
          <w:rFonts w:ascii="Times New Roman" w:hAnsi="Times New Roman" w:cs="Times New Roman"/>
          <w:color w:val="000000"/>
          <w:sz w:val="24"/>
          <w:szCs w:val="24"/>
        </w:rPr>
        <w:t>废水</w:t>
      </w:r>
      <w:r>
        <w:rPr>
          <w:rFonts w:hint="eastAsia" w:ascii="Times New Roman" w:hAnsi="Times New Roman" w:cs="Times New Roman"/>
          <w:color w:val="000000"/>
          <w:sz w:val="24"/>
          <w:szCs w:val="24"/>
          <w:lang w:val="en-US" w:eastAsia="zh-CN"/>
        </w:rPr>
        <w:t>回用生产不外排；项目生活污水经过隔油、化粪池处理后排入市政管网，最终排入芒市污水处理厂，</w:t>
      </w:r>
      <w:r>
        <w:rPr>
          <w:rFonts w:ascii="Times New Roman" w:hAnsi="Times New Roman" w:cs="Times New Roman"/>
          <w:color w:val="000000"/>
          <w:sz w:val="24"/>
          <w:szCs w:val="24"/>
          <w:lang w:val="zh-CN" w:eastAsia="zh-CN"/>
        </w:rPr>
        <w:t>COD 和 NH</w:t>
      </w:r>
      <w:r>
        <w:rPr>
          <w:rFonts w:ascii="Times New Roman" w:hAnsi="Times New Roman" w:cs="Times New Roman"/>
          <w:color w:val="000000"/>
          <w:sz w:val="24"/>
          <w:szCs w:val="24"/>
          <w:vertAlign w:val="subscript"/>
          <w:lang w:val="zh-CN" w:eastAsia="zh-CN"/>
        </w:rPr>
        <w:t>3</w:t>
      </w:r>
      <w:r>
        <w:rPr>
          <w:rFonts w:ascii="Times New Roman" w:hAnsi="Times New Roman" w:cs="Times New Roman"/>
          <w:color w:val="000000"/>
          <w:sz w:val="24"/>
          <w:szCs w:val="24"/>
          <w:lang w:val="zh-CN" w:eastAsia="zh-CN"/>
        </w:rPr>
        <w:t>-N 总量指标已纳入污水处理厂，因此不需另申请污染物排放总量指标。</w:t>
      </w:r>
    </w:p>
    <w:p w14:paraId="07B0245D">
      <w:pPr>
        <w:pStyle w:val="2"/>
        <w:ind w:firstLine="480"/>
        <w:rPr>
          <w:rFonts w:ascii="Times New Roman" w:hAnsi="Times New Roman" w:cs="Times New Roman"/>
          <w:color w:val="000000"/>
          <w:sz w:val="24"/>
          <w:szCs w:val="24"/>
        </w:rPr>
      </w:pPr>
      <w:r>
        <w:rPr>
          <w:rFonts w:ascii="Times New Roman" w:hAnsi="Times New Roman" w:cs="Times New Roman"/>
          <w:color w:val="000000"/>
          <w:sz w:val="24"/>
          <w:szCs w:val="24"/>
        </w:rPr>
        <w:t>企业应按要求向</w:t>
      </w:r>
      <w:r>
        <w:rPr>
          <w:rFonts w:hint="eastAsia" w:ascii="Times New Roman" w:hAnsi="Times New Roman" w:eastAsia="宋体" w:cs="Times New Roman"/>
          <w:color w:val="000000"/>
          <w:sz w:val="24"/>
          <w:szCs w:val="24"/>
          <w:lang w:eastAsia="zh-CN"/>
        </w:rPr>
        <w:t>生态环境部门</w:t>
      </w:r>
      <w:r>
        <w:rPr>
          <w:rFonts w:ascii="Times New Roman" w:hAnsi="Times New Roman" w:cs="Times New Roman"/>
          <w:color w:val="000000"/>
          <w:sz w:val="24"/>
          <w:szCs w:val="24"/>
        </w:rPr>
        <w:t>申请总量指标。企业应执行的总量排放控制目标应以</w:t>
      </w:r>
      <w:r>
        <w:rPr>
          <w:rFonts w:hint="eastAsia" w:ascii="Times New Roman" w:hAnsi="Times New Roman" w:cs="Times New Roman"/>
          <w:color w:val="000000"/>
          <w:sz w:val="24"/>
          <w:szCs w:val="24"/>
          <w:lang w:val="en-US" w:eastAsia="zh-CN"/>
        </w:rPr>
        <w:t>生态环境部门</w:t>
      </w:r>
      <w:r>
        <w:rPr>
          <w:rFonts w:ascii="Times New Roman" w:hAnsi="Times New Roman" w:cs="Times New Roman"/>
          <w:color w:val="000000"/>
          <w:sz w:val="24"/>
          <w:szCs w:val="24"/>
        </w:rPr>
        <w:t>最终确认的为准。</w:t>
      </w:r>
    </w:p>
    <w:p w14:paraId="76F02A9D">
      <w:pPr>
        <w:pStyle w:val="2"/>
        <w:ind w:firstLine="420"/>
        <w:rPr>
          <w:rFonts w:hint="eastAsia"/>
        </w:rPr>
      </w:pPr>
    </w:p>
    <w:p w14:paraId="26ED0491">
      <w:pPr>
        <w:pStyle w:val="365"/>
        <w:ind w:firstLine="482"/>
        <w:rPr>
          <w:rFonts w:hint="eastAsia"/>
        </w:rPr>
      </w:pPr>
    </w:p>
    <w:p w14:paraId="63EFBFCC">
      <w:pPr>
        <w:pStyle w:val="365"/>
        <w:ind w:firstLine="482"/>
        <w:rPr>
          <w:rFonts w:hint="eastAsia"/>
        </w:rPr>
      </w:pPr>
    </w:p>
    <w:p w14:paraId="63DE42CD">
      <w:pPr>
        <w:pStyle w:val="365"/>
        <w:ind w:firstLine="482"/>
        <w:jc w:val="both"/>
        <w:sectPr>
          <w:footerReference r:id="rId22" w:type="default"/>
          <w:pgSz w:w="11906" w:h="16838" w:orient="landscape"/>
          <w:pgMar w:top="1440" w:right="1797" w:bottom="1440" w:left="1797" w:header="850" w:footer="992" w:gutter="0"/>
          <w:pgNumType w:start="1"/>
          <w:cols w:space="1701" w:num="1"/>
        </w:sectPr>
      </w:pPr>
    </w:p>
    <w:p w14:paraId="2350F564">
      <w:pPr>
        <w:pStyle w:val="186"/>
        <w:ind w:firstLine="640"/>
      </w:pPr>
      <w:r>
        <w:rPr>
          <w:rFonts w:hint="eastAsia"/>
        </w:rPr>
        <w:t>第十</w:t>
      </w:r>
      <w:r>
        <w:rPr>
          <w:rFonts w:hint="eastAsia"/>
          <w:lang w:val="en-US" w:eastAsia="zh-CN"/>
        </w:rPr>
        <w:t>三</w:t>
      </w:r>
      <w:r>
        <w:rPr>
          <w:rFonts w:hint="eastAsia"/>
        </w:rPr>
        <w:t>章  环境影响评价结论</w:t>
      </w:r>
    </w:p>
    <w:p w14:paraId="592239AD">
      <w:pPr>
        <w:pStyle w:val="187"/>
        <w:rPr>
          <w:rFonts w:hint="eastAsia" w:ascii="Times New Roman" w:hAnsi="Times New Roman"/>
        </w:rPr>
      </w:pPr>
      <w:r>
        <w:rPr>
          <w:rFonts w:hint="eastAsia" w:ascii="Times New Roman" w:hAnsi="Times New Roman"/>
          <w:lang w:val="en-US" w:eastAsia="zh-CN"/>
        </w:rPr>
        <w:t>13</w:t>
      </w:r>
      <w:r>
        <w:rPr>
          <w:rFonts w:hint="eastAsia" w:ascii="Times New Roman" w:hAnsi="Times New Roman"/>
        </w:rPr>
        <w:t>.1 项目建设概况</w:t>
      </w:r>
    </w:p>
    <w:p w14:paraId="202CEF66">
      <w:pPr>
        <w:ind w:firstLine="496"/>
        <w:rPr>
          <w:rFonts w:hint="eastAsia"/>
          <w:bCs/>
          <w:spacing w:val="4"/>
          <w:szCs w:val="24"/>
        </w:rPr>
      </w:pPr>
      <w:r>
        <w:rPr>
          <w:rFonts w:hint="eastAsia"/>
          <w:szCs w:val="22"/>
        </w:rPr>
        <w:t>云南永利发林业有限公司</w:t>
      </w:r>
      <w:r>
        <w:rPr>
          <w:rFonts w:hint="eastAsia"/>
          <w:color w:val="000000"/>
          <w:szCs w:val="22"/>
        </w:rPr>
        <w:t>决定投资100万元，</w:t>
      </w:r>
      <w:r>
        <w:rPr>
          <w:rFonts w:hint="eastAsia" w:ascii="Times New Roman" w:hAnsi="Times New Roman" w:cs="Times New Roman"/>
          <w:bCs/>
          <w:spacing w:val="4"/>
          <w:sz w:val="24"/>
          <w:szCs w:val="24"/>
          <w:lang w:val="en-US" w:eastAsia="zh-CN"/>
        </w:rPr>
        <w:t>在原有项目的基础上，对板材生产工艺进行技改，</w:t>
      </w:r>
      <w:r>
        <w:rPr>
          <w:rFonts w:hint="eastAsia"/>
          <w:color w:val="000000"/>
          <w:szCs w:val="22"/>
        </w:rPr>
        <w:t>增设制胶生产线1条，项目改扩建完成后，年产10万立方米全竹、竹木复合地板，年产5000吨胶水。</w:t>
      </w:r>
      <w:r>
        <w:rPr>
          <w:rFonts w:hint="eastAsia"/>
          <w:bCs/>
          <w:spacing w:val="4"/>
          <w:szCs w:val="24"/>
        </w:rPr>
        <w:t>项目环保投资</w:t>
      </w:r>
      <w:r>
        <w:rPr>
          <w:rFonts w:hint="eastAsia"/>
          <w:bCs/>
          <w:spacing w:val="4"/>
          <w:szCs w:val="24"/>
          <w:lang w:val="en-US" w:eastAsia="zh-CN"/>
        </w:rPr>
        <w:t>85.0</w:t>
      </w:r>
      <w:r>
        <w:rPr>
          <w:rFonts w:hint="eastAsia"/>
          <w:bCs/>
          <w:spacing w:val="4"/>
          <w:szCs w:val="24"/>
        </w:rPr>
        <w:t>万元，占总投资的</w:t>
      </w:r>
      <w:r>
        <w:rPr>
          <w:rFonts w:hint="eastAsia"/>
          <w:bCs/>
          <w:spacing w:val="4"/>
          <w:szCs w:val="24"/>
          <w:lang w:val="en-US" w:eastAsia="zh-CN"/>
        </w:rPr>
        <w:t>85</w:t>
      </w:r>
      <w:r>
        <w:rPr>
          <w:rFonts w:hint="eastAsia"/>
          <w:bCs/>
          <w:spacing w:val="4"/>
          <w:szCs w:val="24"/>
        </w:rPr>
        <w:t>%。</w:t>
      </w:r>
    </w:p>
    <w:p w14:paraId="27E33900">
      <w:pPr>
        <w:pStyle w:val="187"/>
        <w:rPr>
          <w:rFonts w:hint="eastAsia" w:ascii="Times New Roman" w:hAnsi="Times New Roman"/>
        </w:rPr>
      </w:pPr>
      <w:r>
        <w:rPr>
          <w:rFonts w:hint="eastAsia" w:ascii="Times New Roman" w:hAnsi="Times New Roman"/>
        </w:rPr>
        <w:t>1</w:t>
      </w:r>
      <w:r>
        <w:rPr>
          <w:rFonts w:hint="eastAsia" w:ascii="Times New Roman" w:hAnsi="Times New Roman"/>
          <w:lang w:val="en-US" w:eastAsia="zh-CN"/>
        </w:rPr>
        <w:t>3</w:t>
      </w:r>
      <w:r>
        <w:rPr>
          <w:rFonts w:hint="eastAsia" w:ascii="Times New Roman" w:hAnsi="Times New Roman"/>
        </w:rPr>
        <w:t>.2 环境质量现状</w:t>
      </w:r>
    </w:p>
    <w:p w14:paraId="306BF479">
      <w:pPr>
        <w:widowControl w:val="0"/>
        <w:ind w:firstLine="436"/>
      </w:pPr>
      <w:r>
        <w:rPr>
          <w:rFonts w:hint="eastAsia"/>
        </w:rPr>
        <w:t>（</w:t>
      </w:r>
      <w:r>
        <w:t>1</w:t>
      </w:r>
      <w:r>
        <w:rPr>
          <w:rFonts w:hint="eastAsia"/>
        </w:rPr>
        <w:t>）项目沿线区域基本属于人工生态系统，评价范围内没有政府批准建立的自然保护区，以及珍稀、濒危和国家重点保护的动植物。</w:t>
      </w:r>
    </w:p>
    <w:p w14:paraId="30D00853">
      <w:pPr>
        <w:widowControl w:val="0"/>
        <w:ind w:firstLine="436"/>
      </w:pPr>
      <w:r>
        <w:rPr>
          <w:rFonts w:hint="eastAsia"/>
        </w:rPr>
        <w:t>（</w:t>
      </w:r>
      <w:r>
        <w:t>2</w:t>
      </w:r>
      <w:r>
        <w:rPr>
          <w:rFonts w:hint="eastAsia"/>
        </w:rPr>
        <w:t>）根据现场监测，项目所设监测点位的昼、夜间噪声值均能满足《声环境质量标准》（</w:t>
      </w:r>
      <w:r>
        <w:t>GB3096-2008</w:t>
      </w:r>
      <w:r>
        <w:rPr>
          <w:rFonts w:hint="eastAsia"/>
        </w:rPr>
        <w:t>）</w:t>
      </w:r>
      <w:r>
        <w:t>2</w:t>
      </w:r>
      <w:r>
        <w:rPr>
          <w:rFonts w:hint="eastAsia"/>
        </w:rPr>
        <w:t>类标准要求。</w:t>
      </w:r>
    </w:p>
    <w:p w14:paraId="31E273DB">
      <w:pPr>
        <w:widowControl w:val="0"/>
        <w:ind w:firstLine="436"/>
      </w:pPr>
      <w:r>
        <w:rPr>
          <w:rFonts w:hint="eastAsia"/>
        </w:rPr>
        <w:t>（</w:t>
      </w:r>
      <w:r>
        <w:t>3</w:t>
      </w:r>
      <w:r>
        <w:rPr>
          <w:rFonts w:hint="eastAsia"/>
        </w:rPr>
        <w:t>）项目区域环境空气质量能够满足《环境空气质量标准》（</w:t>
      </w:r>
      <w:r>
        <w:t>GB3095-2012</w:t>
      </w:r>
      <w:r>
        <w:rPr>
          <w:rFonts w:hint="eastAsia"/>
        </w:rPr>
        <w:t>）二级标准要求，项目区域环境空气质量良好。</w:t>
      </w:r>
    </w:p>
    <w:p w14:paraId="26399D69">
      <w:pPr>
        <w:widowControl w:val="0"/>
        <w:ind w:firstLine="436"/>
        <w:rPr>
          <w:rFonts w:hint="eastAsia"/>
          <w:lang w:eastAsia="zh-CN"/>
        </w:rPr>
      </w:pPr>
      <w:r>
        <w:rPr>
          <w:rFonts w:hint="eastAsia"/>
        </w:rPr>
        <w:t>（</w:t>
      </w:r>
      <w:r>
        <w:t>4</w:t>
      </w:r>
      <w:r>
        <w:rPr>
          <w:rFonts w:hint="eastAsia"/>
        </w:rPr>
        <w:t>）</w:t>
      </w:r>
      <w:r>
        <w:rPr>
          <w:rFonts w:hint="eastAsia"/>
          <w:lang w:val="en-US" w:eastAsia="zh-CN"/>
        </w:rPr>
        <w:t>芒市大河</w:t>
      </w:r>
      <w:r>
        <w:rPr>
          <w:rFonts w:hint="eastAsia"/>
        </w:rPr>
        <w:t>断面水质现状满足</w:t>
      </w:r>
      <w:r>
        <w:t>《地表水环境质量标准》（GB3838-2002）Ⅲ类标准要求</w:t>
      </w:r>
      <w:r>
        <w:rPr>
          <w:rFonts w:hint="eastAsia"/>
          <w:lang w:eastAsia="zh-CN"/>
        </w:rPr>
        <w:t>。</w:t>
      </w:r>
    </w:p>
    <w:p w14:paraId="18A4285E">
      <w:pPr>
        <w:widowControl w:val="0"/>
        <w:ind w:firstLine="436"/>
        <w:rPr>
          <w:szCs w:val="22"/>
        </w:rPr>
      </w:pPr>
      <w:r>
        <w:rPr>
          <w:rFonts w:hint="eastAsia"/>
          <w:szCs w:val="22"/>
        </w:rPr>
        <w:t>（5）</w:t>
      </w:r>
      <w:r>
        <w:rPr>
          <w:szCs w:val="22"/>
        </w:rPr>
        <w:t>项目区地下水水质能够满足《地下水质量标准》（GB/T14848-2017）Ⅲ类标准。</w:t>
      </w:r>
    </w:p>
    <w:p w14:paraId="292FA20C">
      <w:pPr>
        <w:pStyle w:val="2"/>
        <w:rPr>
          <w:lang w:val="en-US"/>
        </w:rPr>
      </w:pPr>
      <w:r>
        <w:rPr>
          <w:rFonts w:hint="eastAsia" w:ascii="Times New Roman" w:hAnsi="Times New Roman" w:eastAsia="宋体" w:cs="Times New Roman"/>
          <w:color w:val="000000"/>
          <w:sz w:val="24"/>
          <w:szCs w:val="24"/>
          <w:lang w:val="en-US" w:eastAsia="zh-CN" w:bidi="ar"/>
        </w:rPr>
        <w:t>（6）土壤各监测点中各监测因子均能满足</w:t>
      </w:r>
      <w:r>
        <w:rPr>
          <w:rFonts w:ascii="Times New Roman" w:hAnsi="Times New Roman" w:eastAsia="宋体" w:cs="Times New Roman"/>
          <w:color w:val="000000"/>
          <w:sz w:val="24"/>
          <w:szCs w:val="24"/>
          <w:lang w:val="en-US" w:eastAsia="zh-CN" w:bidi="ar"/>
        </w:rPr>
        <w:t>《土壤环境质量 建设用地土壤污染风险管控标准（试行）》</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GB36600-2018</w:t>
      </w:r>
      <w:r>
        <w:rPr>
          <w:rFonts w:hint="eastAsia" w:ascii="Times New Roman" w:hAnsi="Times New Roman" w:eastAsia="宋体" w:cs="Times New Roman"/>
          <w:color w:val="000000"/>
          <w:sz w:val="24"/>
          <w:szCs w:val="24"/>
          <w:lang w:val="en-US" w:eastAsia="zh-CN" w:bidi="ar"/>
        </w:rPr>
        <w:t>）</w:t>
      </w:r>
      <w:r>
        <w:rPr>
          <w:rFonts w:ascii="Times New Roman" w:hAnsi="Times New Roman" w:eastAsia="宋体" w:cs="Times New Roman"/>
          <w:color w:val="000000"/>
          <w:sz w:val="24"/>
          <w:szCs w:val="24"/>
          <w:lang w:val="en-US" w:eastAsia="zh-CN" w:bidi="ar"/>
        </w:rPr>
        <w:t xml:space="preserve"> </w:t>
      </w:r>
      <w:r>
        <w:rPr>
          <w:rFonts w:hint="eastAsia" w:ascii="Times New Roman" w:hAnsi="Times New Roman" w:eastAsia="宋体" w:cs="Times New Roman"/>
          <w:color w:val="000000"/>
          <w:sz w:val="24"/>
          <w:szCs w:val="24"/>
          <w:lang w:val="en-US" w:eastAsia="zh-CN" w:bidi="ar"/>
        </w:rPr>
        <w:t>中“第二类用地筛选值”相关要求。</w:t>
      </w:r>
    </w:p>
    <w:p w14:paraId="6211FACD">
      <w:pPr>
        <w:pStyle w:val="187"/>
        <w:rPr>
          <w:rFonts w:hint="eastAsia" w:ascii="Times New Roman" w:hAnsi="Times New Roman"/>
        </w:rPr>
      </w:pPr>
      <w:r>
        <w:rPr>
          <w:rFonts w:hint="eastAsia" w:ascii="Times New Roman" w:hAnsi="Times New Roman"/>
          <w:lang w:val="en-US" w:eastAsia="zh-CN"/>
        </w:rPr>
        <w:t>13</w:t>
      </w:r>
      <w:r>
        <w:rPr>
          <w:rFonts w:hint="eastAsia" w:ascii="Times New Roman" w:hAnsi="Times New Roman"/>
        </w:rPr>
        <w:t>.3环境影响及环境保护措施</w:t>
      </w:r>
    </w:p>
    <w:p w14:paraId="63029F29">
      <w:pPr>
        <w:pStyle w:val="188"/>
        <w:rPr>
          <w:rFonts w:hint="eastAsia"/>
        </w:rPr>
      </w:pPr>
      <w:r>
        <w:rPr>
          <w:rFonts w:hint="eastAsia"/>
          <w:lang w:val="en-US" w:eastAsia="zh-CN"/>
        </w:rPr>
        <w:t>13</w:t>
      </w:r>
      <w:r>
        <w:rPr>
          <w:rFonts w:hint="eastAsia"/>
        </w:rPr>
        <w:t>.3.1施工期环境影响及环境保护措施</w:t>
      </w:r>
    </w:p>
    <w:p w14:paraId="5206B854">
      <w:pPr>
        <w:ind w:firstLine="480"/>
        <w:rPr>
          <w:rFonts w:hint="eastAsia"/>
        </w:rPr>
      </w:pPr>
      <w:r>
        <w:rPr>
          <w:rFonts w:hint="eastAsia"/>
        </w:rPr>
        <w:t>（1）声环境影响</w:t>
      </w:r>
    </w:p>
    <w:p w14:paraId="4A99E4FA">
      <w:pPr>
        <w:ind w:firstLine="480"/>
        <w:rPr>
          <w:rFonts w:hint="eastAsia"/>
        </w:rPr>
      </w:pPr>
      <w:r>
        <w:rPr>
          <w:rFonts w:hint="eastAsia"/>
        </w:rPr>
        <w:t>道路施工期噪声主要来自施工机械、运输车辆产生的噪声。在施工期，选用低噪声机械设备，设置隔声屏障、限速禁鸣标志，禁止夜间施工等措施，可最大限度的降低噪声，使噪声对周围环境影响较小。</w:t>
      </w:r>
    </w:p>
    <w:p w14:paraId="751DF3D4">
      <w:pPr>
        <w:ind w:firstLine="480"/>
        <w:rPr>
          <w:rFonts w:hint="eastAsia"/>
        </w:rPr>
      </w:pPr>
      <w:r>
        <w:rPr>
          <w:rFonts w:hint="eastAsia"/>
        </w:rPr>
        <w:t>（2）环境空气影响</w:t>
      </w:r>
    </w:p>
    <w:p w14:paraId="53B89E15">
      <w:pPr>
        <w:ind w:firstLine="480"/>
        <w:rPr>
          <w:rFonts w:hint="eastAsia"/>
        </w:rPr>
      </w:pPr>
      <w:r>
        <w:rPr>
          <w:rFonts w:hint="eastAsia"/>
        </w:rPr>
        <w:t>项目施工期对环境空气的影响主要为施工扬尘、运输车辆扬尘。采取物料遮盖、设置围挡、定期洒水等，能够大大降低对环境空气的影响程度。</w:t>
      </w:r>
    </w:p>
    <w:p w14:paraId="34FC1DAC">
      <w:pPr>
        <w:ind w:firstLine="480"/>
        <w:rPr>
          <w:rFonts w:hint="eastAsia"/>
        </w:rPr>
      </w:pPr>
      <w:r>
        <w:rPr>
          <w:rFonts w:hint="eastAsia"/>
        </w:rPr>
        <w:t>（3）水环境影响</w:t>
      </w:r>
    </w:p>
    <w:p w14:paraId="403C058A">
      <w:pPr>
        <w:ind w:firstLine="480"/>
      </w:pPr>
      <w:r>
        <w:rPr>
          <w:rFonts w:hint="eastAsia"/>
        </w:rPr>
        <w:t>项目施工期对水环境的影响主要为施工人员生活污水、施工废水及地表径流</w:t>
      </w:r>
      <w:r>
        <w:t>造成</w:t>
      </w:r>
      <w:r>
        <w:rPr>
          <w:rFonts w:hint="eastAsia"/>
        </w:rPr>
        <w:t>的</w:t>
      </w:r>
      <w:r>
        <w:t>水体</w:t>
      </w:r>
      <w:r>
        <w:rPr>
          <w:rFonts w:hint="eastAsia"/>
        </w:rPr>
        <w:t>影响。</w:t>
      </w:r>
      <w:r>
        <w:t>施工废水经沉淀池处理后回用于施工的洒水抑尘；加强管理等，采取以上措施，能够使项目施工对水环境的影响</w:t>
      </w:r>
      <w:r>
        <w:rPr>
          <w:rFonts w:hint="eastAsia"/>
          <w:lang w:val="en-US" w:eastAsia="zh-CN"/>
        </w:rPr>
        <w:t>降</w:t>
      </w:r>
      <w:r>
        <w:t>至最低。</w:t>
      </w:r>
    </w:p>
    <w:p w14:paraId="475C333A">
      <w:pPr>
        <w:ind w:firstLine="480"/>
        <w:rPr>
          <w:rFonts w:hint="eastAsia"/>
        </w:rPr>
      </w:pPr>
      <w:r>
        <w:rPr>
          <w:rFonts w:hint="eastAsia"/>
        </w:rPr>
        <w:t>（4）固废环境影响</w:t>
      </w:r>
    </w:p>
    <w:p w14:paraId="4F9C1C98">
      <w:pPr>
        <w:pStyle w:val="445"/>
        <w:rPr>
          <w:color w:val="000000"/>
        </w:rPr>
      </w:pPr>
      <w:r>
        <w:rPr>
          <w:color w:val="000000"/>
        </w:rPr>
        <w:t>项目施工期固体废物主要为施工生活垃圾、施工建筑垃圾。施工人员生活垃圾经垃圾桶收集后，及时定期清理运走；建筑垃圾定期运往建筑垃圾堆放场堆存。项目各项固体废物均得到合理的处置，不会造成二次污染。</w:t>
      </w:r>
    </w:p>
    <w:p w14:paraId="21B34083">
      <w:pPr>
        <w:pStyle w:val="188"/>
        <w:rPr>
          <w:rFonts w:hint="eastAsia"/>
        </w:rPr>
      </w:pPr>
      <w:r>
        <w:rPr>
          <w:rFonts w:hint="eastAsia"/>
          <w:lang w:val="en-US" w:eastAsia="zh-CN"/>
        </w:rPr>
        <w:t>13</w:t>
      </w:r>
      <w:r>
        <w:rPr>
          <w:rFonts w:hint="eastAsia"/>
        </w:rPr>
        <w:t>.3.2运营期环境影响及环境保护措施</w:t>
      </w:r>
    </w:p>
    <w:p w14:paraId="670C6F8E">
      <w:pPr>
        <w:ind w:firstLine="480"/>
        <w:rPr>
          <w:rFonts w:hint="eastAsia"/>
        </w:rPr>
      </w:pPr>
      <w:r>
        <w:rPr>
          <w:rFonts w:hint="eastAsia"/>
        </w:rPr>
        <w:t>（1）水环境影响</w:t>
      </w:r>
    </w:p>
    <w:p w14:paraId="1042E04C">
      <w:pPr>
        <w:ind w:firstLine="480"/>
      </w:pPr>
      <w:r>
        <w:rPr>
          <w:rFonts w:ascii="Times New Roman" w:hAnsi="宋体" w:eastAsia="宋体" w:cs="Times New Roman"/>
          <w:color w:val="000000"/>
          <w:sz w:val="24"/>
          <w:szCs w:val="21"/>
        </w:rPr>
        <w:t>项目区采用雨污分流系统</w:t>
      </w:r>
      <w:r>
        <w:rPr>
          <w:rFonts w:hint="eastAsia" w:ascii="Times New Roman" w:hAnsi="宋体" w:eastAsia="宋体" w:cs="Times New Roman"/>
          <w:color w:val="000000"/>
          <w:sz w:val="24"/>
          <w:szCs w:val="21"/>
          <w:lang w:eastAsia="zh-CN"/>
        </w:rPr>
        <w:t>，</w:t>
      </w:r>
      <w:r>
        <w:rPr>
          <w:rFonts w:hint="eastAsia" w:ascii="Times New Roman" w:hAnsi="Times New Roman" w:cs="Times New Roman"/>
          <w:color w:val="000000"/>
          <w:sz w:val="24"/>
          <w:szCs w:val="24"/>
          <w:lang w:val="en-US" w:eastAsia="zh-CN"/>
        </w:rPr>
        <w:t>项目设备冷却水循环使用，只补充不排；调胶设备清洗废水及制胶脱水全部收集后回用于制胶用水，不外排；项目软水制备系统硬水作为水膜除尘器用水，无生产废水外排。</w:t>
      </w:r>
      <w:r>
        <w:rPr>
          <w:rFonts w:hint="eastAsia"/>
          <w:color w:val="000000"/>
          <w:lang w:val="en-US" w:eastAsia="zh-CN"/>
        </w:rPr>
        <w:t>环评要求在食堂出水口增设1个隔油池进行隔油预处理后，同其他生活污水排入现有的化粪池进行处理后</w:t>
      </w:r>
      <w:r>
        <w:rPr>
          <w:rFonts w:hint="eastAsia" w:ascii="Times New Roman" w:hAnsi="Times New Roman" w:eastAsia="宋体" w:cs="Times New Roman"/>
          <w:color w:val="000000"/>
          <w:sz w:val="24"/>
          <w:lang w:val="en-US" w:eastAsia="zh-CN"/>
        </w:rPr>
        <w:t>，</w:t>
      </w:r>
      <w:r>
        <w:rPr>
          <w:rFonts w:ascii="Times New Roman" w:hAnsi="Times New Roman" w:eastAsia="宋体" w:cs="Times New Roman"/>
          <w:color w:val="000000"/>
          <w:sz w:val="24"/>
          <w:lang w:val="en-US" w:eastAsia="zh-CN"/>
        </w:rPr>
        <w:t>外排废</w:t>
      </w:r>
      <w:r>
        <w:rPr>
          <w:rFonts w:ascii="Times New Roman" w:hAnsi="Times New Roman" w:eastAsia="宋体" w:cs="Times New Roman"/>
          <w:color w:val="000000"/>
          <w:sz w:val="24"/>
        </w:rPr>
        <w:t>水</w:t>
      </w:r>
      <w:r>
        <w:rPr>
          <w:rFonts w:hint="eastAsia" w:ascii="Times New Roman" w:hAnsi="Times New Roman" w:eastAsia="宋体" w:cs="Times New Roman"/>
          <w:color w:val="000000"/>
          <w:sz w:val="24"/>
          <w:lang w:val="en-US" w:eastAsia="zh-CN"/>
        </w:rPr>
        <w:t>满足</w:t>
      </w:r>
      <w:r>
        <w:rPr>
          <w:rFonts w:ascii="Times New Roman" w:hAnsi="Times New Roman" w:eastAsia="宋体" w:cs="Times New Roman"/>
          <w:color w:val="000000"/>
          <w:sz w:val="24"/>
        </w:rPr>
        <w:t>《污水综合排放标准》（GB8978-1996）表4三级标准和《污水排入城镇下水道水质标准》（GB/T 31962-2015）表</w:t>
      </w:r>
      <w:r>
        <w:rPr>
          <w:rFonts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B等级标准</w:t>
      </w:r>
      <w:r>
        <w:rPr>
          <w:rFonts w:hint="eastAsia" w:ascii="Times New Roman" w:hAnsi="Times New Roman" w:eastAsia="宋体" w:cs="Times New Roman"/>
          <w:color w:val="000000"/>
          <w:sz w:val="24"/>
          <w:lang w:eastAsia="zh-CN"/>
        </w:rPr>
        <w:t>，</w:t>
      </w:r>
      <w:r>
        <w:rPr>
          <w:rFonts w:hint="eastAsia"/>
          <w:color w:val="000000"/>
          <w:lang w:val="en-US" w:eastAsia="zh-CN"/>
        </w:rPr>
        <w:t>进入城市市政污水管网，最终排入芒市污水处理厂处理，</w:t>
      </w:r>
      <w:r>
        <w:rPr>
          <w:rFonts w:hint="eastAsia"/>
        </w:rPr>
        <w:t>对周围的水环境影响较小。</w:t>
      </w:r>
    </w:p>
    <w:p w14:paraId="55F7F7E0">
      <w:pPr>
        <w:ind w:firstLine="480"/>
        <w:rPr>
          <w:rFonts w:hint="eastAsia"/>
          <w:color w:val="000000"/>
        </w:rPr>
      </w:pPr>
      <w:r>
        <w:rPr>
          <w:rFonts w:hint="eastAsia"/>
          <w:color w:val="000000"/>
        </w:rPr>
        <w:t>（2）大气环境影响</w:t>
      </w:r>
    </w:p>
    <w:p w14:paraId="1B9E630C">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2"/>
          <w:lang w:val="en-US" w:eastAsia="zh-CN" w:bidi="ar-SA"/>
        </w:rPr>
      </w:pPr>
      <w:r>
        <w:rPr>
          <w:rFonts w:ascii="Times New Roman" w:hAnsi="Times New Roman" w:eastAsia="宋体" w:cs="Times New Roman"/>
          <w:color w:val="000000"/>
          <w:sz w:val="24"/>
          <w:szCs w:val="22"/>
          <w:lang w:val="en-US" w:eastAsia="zh-CN" w:bidi="ar-SA"/>
        </w:rPr>
        <w:t>制胶废气：</w:t>
      </w:r>
      <w:r>
        <w:rPr>
          <w:rFonts w:ascii="Times New Roman" w:hAnsi="Times New Roman" w:eastAsia="宋体" w:cs="Times New Roman"/>
          <w:color w:val="000000"/>
          <w:sz w:val="24"/>
          <w:szCs w:val="24"/>
          <w:lang w:val="en-US" w:eastAsia="zh-CN"/>
        </w:rPr>
        <w:t>制胶生产线设置有冷凝器，环评要求增设1套</w:t>
      </w:r>
      <w:r>
        <w:rPr>
          <w:rFonts w:ascii="Times New Roman" w:hAnsi="Times New Roman" w:eastAsia="宋体" w:cs="Times New Roman"/>
          <w:bCs w:val="0"/>
          <w:color w:val="000000"/>
          <w:sz w:val="24"/>
          <w:szCs w:val="24"/>
          <w:lang w:val="en-US" w:eastAsia="zh-CN" w:bidi="ar-SA"/>
        </w:rPr>
        <w:t>UV光催化活性炭吸附一体设备收集废气，处理后废气通过1根</w:t>
      </w:r>
      <w:r>
        <w:rPr>
          <w:rFonts w:ascii="Times New Roman" w:hAnsi="Times New Roman" w:eastAsia="宋体" w:cs="Times New Roman"/>
          <w:color w:val="000000"/>
          <w:sz w:val="24"/>
          <w:szCs w:val="24"/>
          <w:lang w:val="en-US" w:eastAsia="zh-CN" w:bidi="ar-SA"/>
        </w:rPr>
        <w:t>15m高排气筒</w:t>
      </w:r>
      <w:r>
        <w:rPr>
          <w:rFonts w:ascii="Times New Roman" w:hAnsi="Times New Roman" w:eastAsia="宋体" w:cs="Times New Roman"/>
          <w:color w:val="000000"/>
          <w:sz w:val="24"/>
          <w:szCs w:val="24"/>
          <w:lang w:val="en-US" w:eastAsia="zh-CN"/>
        </w:rPr>
        <w:t>排放（编号P</w:t>
      </w:r>
      <w:r>
        <w:rPr>
          <w:rFonts w:hint="eastAsia" w:ascii="Times New Roman" w:hAnsi="Times New Roman" w:eastAsia="宋体" w:cs="Times New Roman"/>
          <w:color w:val="000000"/>
          <w:sz w:val="24"/>
          <w:szCs w:val="24"/>
          <w:lang w:val="en-US" w:eastAsia="zh-CN"/>
        </w:rPr>
        <w:t>2</w:t>
      </w:r>
      <w:r>
        <w:rPr>
          <w:rFonts w:ascii="Times New Roman" w:hAnsi="Times New Roman" w:eastAsia="宋体" w:cs="Times New Roman"/>
          <w:color w:val="000000"/>
          <w:sz w:val="24"/>
          <w:szCs w:val="24"/>
          <w:lang w:val="en-US" w:eastAsia="zh-CN"/>
        </w:rPr>
        <w:t>），</w:t>
      </w:r>
      <w:r>
        <w:rPr>
          <w:rFonts w:ascii="Times New Roman" w:hAnsi="Times New Roman" w:eastAsia="宋体" w:cs="Times New Roman"/>
          <w:color w:val="000000"/>
          <w:sz w:val="24"/>
          <w:szCs w:val="22"/>
          <w:lang w:val="en-US" w:eastAsia="zh-CN" w:bidi="ar-SA"/>
        </w:rPr>
        <w:t>外排废气中甲醛、氨气、酚类、VOCs的排放浓度均能满足《合成树脂工业污染物排放标准》（GB31572-2015）表 5 标准要求；加强管理，异味满足 《恶臭污染物排放标准》（GB14554-93）中表 2 排放限值要求，对周围大气环境质量产生影响很小。</w:t>
      </w:r>
    </w:p>
    <w:p w14:paraId="725A6887">
      <w:pPr>
        <w:pStyle w:val="219"/>
        <w:keepNext w:val="0"/>
        <w:keepLines w:val="0"/>
        <w:pageBreakBefore w:val="0"/>
        <w:widowControl/>
        <w:spacing w:after="0" w:line="360" w:lineRule="auto"/>
        <w:ind w:left="0" w:right="0" w:firstLine="480"/>
        <w:jc w:val="both"/>
        <w:rPr>
          <w:rFonts w:ascii="Times New Roman" w:hAnsi="Times New Roman" w:eastAsia="宋体" w:cs="Times New Roman"/>
          <w:color w:val="000000"/>
          <w:sz w:val="24"/>
          <w:szCs w:val="24"/>
          <w:lang w:val="en-US" w:eastAsia="zh-CN" w:bidi="ar-SA"/>
        </w:rPr>
      </w:pPr>
      <w:r>
        <w:rPr>
          <w:rFonts w:ascii="Times New Roman" w:hAnsi="Times New Roman" w:eastAsia="宋体" w:cs="Times New Roman"/>
          <w:color w:val="000000"/>
          <w:sz w:val="24"/>
          <w:szCs w:val="24"/>
          <w:lang w:val="en-US" w:eastAsia="zh-CN" w:bidi="ar-SA"/>
        </w:rPr>
        <w:t>板材加工废气：刨片工序、砂光、锯边、开槽工序分别采用布袋除尘器处理后无组织排放，能够满足《大气污染综合排放标准》（GB16297-1996）表 2 中无组织排放限值；将干燥、筛选、铺装工序粉尘合并处理，在现有的旋风除尘器后端增设1套布袋除尘器，净化处理后通过1根15m高排气筒（P1）排放；热压贴面有机废气</w:t>
      </w:r>
      <w:r>
        <w:rPr>
          <w:rFonts w:hint="eastAsia" w:ascii="Times New Roman" w:hAnsi="Times New Roman" w:eastAsia="宋体" w:cs="Times New Roman"/>
          <w:color w:val="000000"/>
          <w:sz w:val="24"/>
          <w:szCs w:val="24"/>
          <w:lang w:val="en-US" w:eastAsia="zh-CN" w:bidi="ar-SA"/>
        </w:rPr>
        <w:t>与制胶废气共用</w:t>
      </w:r>
      <w:r>
        <w:rPr>
          <w:rFonts w:ascii="Times New Roman" w:hAnsi="Times New Roman" w:eastAsia="宋体" w:cs="Times New Roman"/>
          <w:bCs w:val="0"/>
          <w:color w:val="000000"/>
          <w:sz w:val="24"/>
          <w:szCs w:val="24"/>
          <w:lang w:val="en-US" w:eastAsia="zh-CN" w:bidi="ar-SA"/>
        </w:rPr>
        <w:t>1套UV光催化活性炭吸附一体设备</w:t>
      </w:r>
      <w:r>
        <w:rPr>
          <w:rFonts w:ascii="Times New Roman" w:hAnsi="Times New Roman" w:eastAsia="宋体" w:cs="Times New Roman"/>
          <w:color w:val="000000"/>
          <w:sz w:val="24"/>
          <w:szCs w:val="24"/>
          <w:lang w:val="en-US" w:eastAsia="zh-CN" w:bidi="ar-SA"/>
        </w:rPr>
        <w:t>+15m高排气筒（P2），各污染物排放浓度、排放速率均能满足《大气污染综合排放标准》（GB16297-1996）表 2 中标准限值。</w:t>
      </w:r>
    </w:p>
    <w:p w14:paraId="0CFCFCAD">
      <w:pPr>
        <w:keepNext w:val="0"/>
        <w:keepLines w:val="0"/>
        <w:pageBreakBefore w:val="0"/>
        <w:widowControl/>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lang w:val="en-US" w:eastAsia="zh-CN" w:bidi="ar-SA"/>
        </w:rPr>
        <w:t>供热系统烟气：增设1套</w:t>
      </w:r>
      <w:r>
        <w:rPr>
          <w:rFonts w:hint="eastAsia" w:ascii="Times New Roman" w:hAnsi="Times New Roman" w:eastAsia="宋体" w:cs="Times New Roman"/>
          <w:color w:val="FF0000"/>
          <w:sz w:val="24"/>
          <w:szCs w:val="24"/>
          <w:lang w:val="en-US" w:eastAsia="zh-CN" w:bidi="ar-SA"/>
        </w:rPr>
        <w:t>电离捕捉器</w:t>
      </w:r>
      <w:r>
        <w:rPr>
          <w:rFonts w:ascii="Times New Roman" w:hAnsi="Times New Roman" w:eastAsia="宋体" w:cs="Times New Roman"/>
          <w:color w:val="FF0000"/>
          <w:sz w:val="24"/>
          <w:szCs w:val="24"/>
          <w:lang w:val="en-US" w:eastAsia="zh-CN" w:bidi="ar-SA"/>
        </w:rPr>
        <w:t>；后期将6t/h锅炉、热载体炉水膜除尘器处理后的烟气引入增设的1套</w:t>
      </w:r>
      <w:r>
        <w:rPr>
          <w:rFonts w:hint="eastAsia" w:ascii="Times New Roman" w:hAnsi="Times New Roman" w:eastAsia="宋体" w:cs="Times New Roman"/>
          <w:color w:val="FF0000"/>
          <w:sz w:val="24"/>
          <w:szCs w:val="24"/>
          <w:lang w:val="en-US" w:eastAsia="zh-CN" w:bidi="ar-SA"/>
        </w:rPr>
        <w:t>电离捕捉器</w:t>
      </w:r>
      <w:r>
        <w:rPr>
          <w:rFonts w:ascii="Times New Roman" w:hAnsi="Times New Roman" w:eastAsia="宋体" w:cs="Times New Roman"/>
          <w:color w:val="FF0000"/>
          <w:sz w:val="24"/>
          <w:szCs w:val="24"/>
          <w:lang w:val="en-US" w:eastAsia="zh-CN" w:bidi="ar-SA"/>
        </w:rPr>
        <w:t>进行集中处理，通过</w:t>
      </w:r>
      <w:r>
        <w:rPr>
          <w:rFonts w:hint="eastAsia" w:ascii="Times New Roman" w:hAnsi="Times New Roman" w:eastAsia="宋体" w:cs="Times New Roman"/>
          <w:color w:val="FF0000"/>
          <w:sz w:val="24"/>
          <w:szCs w:val="24"/>
          <w:lang w:val="en-US" w:eastAsia="zh-CN" w:bidi="ar-SA"/>
        </w:rPr>
        <w:t>25</w:t>
      </w:r>
      <w:r>
        <w:rPr>
          <w:rFonts w:ascii="Times New Roman" w:hAnsi="Times New Roman" w:eastAsia="宋体" w:cs="Times New Roman"/>
          <w:color w:val="FF0000"/>
          <w:sz w:val="24"/>
          <w:szCs w:val="24"/>
          <w:lang w:val="en-US" w:eastAsia="zh-CN" w:bidi="ar-SA"/>
        </w:rPr>
        <w:t>m排气筒集中排放（P</w:t>
      </w:r>
      <w:r>
        <w:rPr>
          <w:rFonts w:hint="eastAsia" w:ascii="Times New Roman" w:hAnsi="Times New Roman" w:eastAsia="宋体" w:cs="Times New Roman"/>
          <w:color w:val="FF0000"/>
          <w:sz w:val="24"/>
          <w:szCs w:val="24"/>
          <w:lang w:val="en-US" w:eastAsia="zh-CN" w:bidi="ar-SA"/>
        </w:rPr>
        <w:t>3</w:t>
      </w:r>
      <w:r>
        <w:rPr>
          <w:rFonts w:ascii="Times New Roman" w:hAnsi="Times New Roman" w:eastAsia="宋体" w:cs="Times New Roman"/>
          <w:color w:val="FF0000"/>
          <w:sz w:val="24"/>
          <w:szCs w:val="24"/>
          <w:lang w:val="en-US" w:eastAsia="zh-CN" w:bidi="ar-SA"/>
        </w:rPr>
        <w:t>），外排废气能够满足</w:t>
      </w:r>
      <w:r>
        <w:rPr>
          <w:rFonts w:ascii="Times New Roman" w:hAnsi="Times New Roman" w:eastAsia="宋体" w:cs="Times New Roman"/>
          <w:color w:val="FF0000"/>
          <w:sz w:val="24"/>
          <w:szCs w:val="24"/>
        </w:rPr>
        <w:t>《锅炉大气污染物排放标准》（GB13271－2014）中表2规定的大气污染物排放限值，烟尘排放浓度≤50mg/m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；NO</w:t>
      </w:r>
      <w:r>
        <w:rPr>
          <w:rFonts w:ascii="Times New Roman" w:hAnsi="Times New Roman" w:eastAsia="宋体" w:cs="Times New Roman"/>
          <w:color w:val="FF0000"/>
          <w:sz w:val="24"/>
          <w:szCs w:val="24"/>
          <w:vertAlign w:val="subscript"/>
        </w:rPr>
        <w:t>X</w:t>
      </w:r>
      <w:r>
        <w:rPr>
          <w:rFonts w:ascii="Times New Roman" w:hAnsi="Times New Roman" w:eastAsia="宋体" w:cs="Times New Roman"/>
          <w:color w:val="FF0000"/>
          <w:sz w:val="24"/>
          <w:szCs w:val="24"/>
        </w:rPr>
        <w:t>排放浓度≤300mg/m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；SO</w:t>
      </w:r>
      <w:r>
        <w:rPr>
          <w:rFonts w:ascii="Times New Roman" w:hAnsi="Times New Roman" w:eastAsia="宋体" w:cs="Times New Roman"/>
          <w:color w:val="FF0000"/>
          <w:sz w:val="24"/>
          <w:szCs w:val="24"/>
          <w:vertAlign w:val="subscript"/>
        </w:rPr>
        <w:t>2</w:t>
      </w:r>
      <w:r>
        <w:rPr>
          <w:rFonts w:ascii="Times New Roman" w:hAnsi="Times New Roman" w:eastAsia="宋体" w:cs="Times New Roman"/>
          <w:color w:val="FF0000"/>
          <w:sz w:val="24"/>
          <w:szCs w:val="24"/>
        </w:rPr>
        <w:t>排放浓度≤300mg/m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w:t>
      </w:r>
    </w:p>
    <w:p w14:paraId="5C8E6489">
      <w:pPr>
        <w:ind w:firstLine="480"/>
        <w:rPr>
          <w:rFonts w:hint="eastAsia"/>
          <w:color w:val="000000"/>
        </w:rPr>
      </w:pPr>
      <w:r>
        <w:rPr>
          <w:rFonts w:hint="eastAsia"/>
          <w:color w:val="000000"/>
          <w:lang w:val="en-US" w:eastAsia="zh-CN"/>
        </w:rPr>
        <w:t>经过整改后，</w:t>
      </w:r>
      <w:r>
        <w:rPr>
          <w:rFonts w:hint="eastAsia"/>
          <w:color w:val="000000"/>
        </w:rPr>
        <w:t>能够保证各种污染物达标排放，可以有效降低废气对周围环境的影响。</w:t>
      </w:r>
    </w:p>
    <w:p w14:paraId="2BEC7736">
      <w:pPr>
        <w:ind w:firstLine="439"/>
        <w:rPr>
          <w:rFonts w:hint="eastAsia"/>
          <w:szCs w:val="24"/>
        </w:rPr>
      </w:pPr>
      <w:r>
        <w:rPr>
          <w:rFonts w:hint="eastAsia"/>
        </w:rPr>
        <w:t>（3）</w:t>
      </w:r>
      <w:r>
        <w:rPr>
          <w:rFonts w:hint="eastAsia"/>
          <w:szCs w:val="24"/>
        </w:rPr>
        <w:t>声环境影响</w:t>
      </w:r>
    </w:p>
    <w:p w14:paraId="2CEAAEDF">
      <w:pPr>
        <w:ind w:firstLine="480"/>
        <w:rPr>
          <w:rFonts w:hint="eastAsia"/>
          <w:color w:val="FF0000"/>
        </w:rPr>
      </w:pPr>
      <w:r>
        <w:rPr>
          <w:rFonts w:hint="eastAsia"/>
          <w:color w:val="FF0000"/>
        </w:rPr>
        <w:t>项目高噪声设备</w:t>
      </w:r>
      <w:r>
        <w:rPr>
          <w:rFonts w:hint="eastAsia"/>
          <w:color w:val="FF0000"/>
          <w:lang w:val="en-US" w:eastAsia="zh-CN"/>
        </w:rPr>
        <w:t>加强</w:t>
      </w:r>
      <w:r>
        <w:rPr>
          <w:rFonts w:hint="eastAsia"/>
          <w:color w:val="FF0000"/>
        </w:rPr>
        <w:t>减震、</w:t>
      </w:r>
      <w:r>
        <w:rPr>
          <w:rFonts w:hint="eastAsia"/>
          <w:color w:val="FF0000"/>
          <w:lang w:val="en-US" w:eastAsia="zh-CN"/>
        </w:rPr>
        <w:t>隔声等措施，并且合理控制高噪声设备运行时间，</w:t>
      </w:r>
      <w:r>
        <w:rPr>
          <w:rFonts w:hint="eastAsia"/>
          <w:color w:val="FF0000"/>
        </w:rPr>
        <w:t>项目各个厂界昼、夜间噪声均</w:t>
      </w:r>
      <w:r>
        <w:rPr>
          <w:color w:val="FF0000"/>
        </w:rPr>
        <w:t>能满足《工业企业厂界</w:t>
      </w:r>
      <w:r>
        <w:rPr>
          <w:rFonts w:hint="eastAsia"/>
          <w:color w:val="FF0000"/>
        </w:rPr>
        <w:t>环境</w:t>
      </w:r>
      <w:r>
        <w:rPr>
          <w:color w:val="FF0000"/>
        </w:rPr>
        <w:t>噪声</w:t>
      </w:r>
      <w:r>
        <w:rPr>
          <w:rFonts w:hint="eastAsia"/>
          <w:color w:val="FF0000"/>
        </w:rPr>
        <w:t>排放</w:t>
      </w:r>
      <w:r>
        <w:rPr>
          <w:color w:val="FF0000"/>
        </w:rPr>
        <w:t>标准》</w:t>
      </w:r>
      <w:r>
        <w:rPr>
          <w:rFonts w:hint="eastAsia"/>
          <w:color w:val="FF0000"/>
        </w:rPr>
        <w:t>（</w:t>
      </w:r>
      <w:r>
        <w:rPr>
          <w:color w:val="FF0000"/>
        </w:rPr>
        <w:t>GB12348-</w:t>
      </w:r>
      <w:r>
        <w:rPr>
          <w:rFonts w:hint="eastAsia"/>
          <w:color w:val="FF0000"/>
        </w:rPr>
        <w:t>2008）中2</w:t>
      </w:r>
      <w:r>
        <w:rPr>
          <w:color w:val="FF0000"/>
        </w:rPr>
        <w:t>类标准的要求</w:t>
      </w:r>
      <w:r>
        <w:rPr>
          <w:rFonts w:hint="eastAsia"/>
          <w:color w:val="FF0000"/>
        </w:rPr>
        <w:t>，对保护目标影响小。</w:t>
      </w:r>
    </w:p>
    <w:p w14:paraId="268CAE38">
      <w:pPr>
        <w:ind w:firstLine="480"/>
        <w:rPr>
          <w:rFonts w:cs="宋体"/>
          <w:szCs w:val="24"/>
          <w:lang w:bidi="ar"/>
        </w:rPr>
      </w:pPr>
      <w:r>
        <w:rPr>
          <w:rFonts w:hint="eastAsia" w:cs="宋体"/>
          <w:szCs w:val="24"/>
          <w:lang w:bidi="ar"/>
        </w:rPr>
        <w:t>（4）固废影响</w:t>
      </w:r>
    </w:p>
    <w:p w14:paraId="47FF1A6B">
      <w:pPr>
        <w:pStyle w:val="2"/>
        <w:ind w:firstLine="480"/>
        <w:rPr>
          <w:rFonts w:hint="eastAsia" w:cs="宋体"/>
          <w:sz w:val="24"/>
          <w:szCs w:val="24"/>
          <w:lang w:bidi="ar"/>
        </w:rPr>
      </w:pPr>
      <w:r>
        <w:rPr>
          <w:rFonts w:cs="宋体"/>
          <w:sz w:val="24"/>
          <w:szCs w:val="24"/>
          <w:lang w:bidi="ar"/>
        </w:rPr>
        <w:t>各类固体废物严格按照</w:t>
      </w:r>
      <w:r>
        <w:rPr>
          <w:rFonts w:hint="eastAsia" w:cs="宋体"/>
          <w:sz w:val="24"/>
          <w:szCs w:val="24"/>
          <w:lang w:bidi="ar"/>
        </w:rPr>
        <w:t>环评提出的各项</w:t>
      </w:r>
      <w:r>
        <w:rPr>
          <w:rFonts w:cs="宋体"/>
          <w:sz w:val="24"/>
          <w:szCs w:val="24"/>
          <w:lang w:bidi="ar"/>
        </w:rPr>
        <w:t>措施处理处置和利用后，对周围环境不会产生影响，也不会造成二次污染。</w:t>
      </w:r>
    </w:p>
    <w:p w14:paraId="75D54F46">
      <w:pPr>
        <w:pStyle w:val="2"/>
        <w:numPr>
          <w:ilvl w:val="0"/>
          <w:numId w:val="1"/>
        </w:numPr>
        <w:ind w:firstLine="480"/>
        <w:rPr>
          <w:rFonts w:hint="eastAsia" w:cs="宋体"/>
          <w:sz w:val="24"/>
          <w:szCs w:val="24"/>
          <w:lang w:bidi="ar"/>
        </w:rPr>
      </w:pPr>
      <w:r>
        <w:rPr>
          <w:rFonts w:hint="eastAsia" w:cs="宋体"/>
          <w:sz w:val="24"/>
          <w:szCs w:val="24"/>
          <w:lang w:bidi="ar"/>
        </w:rPr>
        <w:t>风险影响</w:t>
      </w:r>
    </w:p>
    <w:p w14:paraId="566F2A75">
      <w:pPr>
        <w:pStyle w:val="2"/>
        <w:ind w:firstLine="720"/>
      </w:pPr>
      <w:r>
        <w:rPr>
          <w:rFonts w:hint="eastAsia" w:cs="宋体"/>
          <w:sz w:val="24"/>
          <w:szCs w:val="24"/>
          <w:lang w:bidi="ar"/>
        </w:rPr>
        <w:t>本环评针对性的给出了风险防范措施，提出了环境风险应急预案制定要求，要求建设单位在项目建成后，应制定相应的突发环境事件应急预案上报</w:t>
      </w:r>
      <w:r>
        <w:rPr>
          <w:rFonts w:hint="eastAsia" w:cs="宋体"/>
          <w:sz w:val="24"/>
          <w:szCs w:val="24"/>
          <w:lang w:eastAsia="zh-CN" w:bidi="ar"/>
        </w:rPr>
        <w:t>生态环境部门</w:t>
      </w:r>
      <w:r>
        <w:rPr>
          <w:rFonts w:hint="eastAsia" w:cs="宋体"/>
          <w:sz w:val="24"/>
          <w:szCs w:val="24"/>
          <w:lang w:bidi="ar"/>
        </w:rPr>
        <w:t>备案，本评价认为只要在运营过程中不断加强生产安全和环境管理，对每一环节按风险评价要求落实防范措施和应急措施，即使发生环境风险事故，其环境影响程度也是可控制的，基本可以将环境风险降到最低程度。从环境风险评价的角度上分析，该项目的风险水平及影响程度是可以接受的，项目建设是可行的。</w:t>
      </w:r>
    </w:p>
    <w:p w14:paraId="5B427883">
      <w:pPr>
        <w:pStyle w:val="187"/>
        <w:rPr>
          <w:rFonts w:hint="eastAsia" w:ascii="Times New Roman" w:hAnsi="Times New Roman"/>
        </w:rPr>
      </w:pPr>
      <w:r>
        <w:rPr>
          <w:rFonts w:hint="eastAsia" w:ascii="Times New Roman" w:hAnsi="Times New Roman"/>
          <w:lang w:val="en-US" w:eastAsia="zh-CN"/>
        </w:rPr>
        <w:t>13</w:t>
      </w:r>
      <w:r>
        <w:rPr>
          <w:rFonts w:hint="eastAsia" w:ascii="Times New Roman" w:hAnsi="Times New Roman"/>
        </w:rPr>
        <w:t>.4 公众意见采纳情况</w:t>
      </w:r>
    </w:p>
    <w:p w14:paraId="1071FB83">
      <w:pPr>
        <w:keepNext w:val="0"/>
        <w:keepLines w:val="0"/>
        <w:pageBreakBefore w:val="0"/>
        <w:widowControl/>
        <w:spacing w:line="360" w:lineRule="auto"/>
        <w:ind w:firstLine="480"/>
        <w:jc w:val="left"/>
        <w:rPr>
          <w:rFonts w:hint="eastAsia"/>
          <w:color w:val="000000"/>
        </w:rPr>
      </w:pPr>
      <w:r>
        <w:rPr>
          <w:rFonts w:hint="eastAsia"/>
          <w:color w:val="000000"/>
        </w:rPr>
        <w:t>在本次评价工作期间，建设单位</w:t>
      </w:r>
      <w:r>
        <w:rPr>
          <w:rFonts w:hint="eastAsia"/>
          <w:bCs/>
          <w:color w:val="000000"/>
        </w:rPr>
        <w:t>分别于2019年</w:t>
      </w:r>
      <w:r>
        <w:rPr>
          <w:rFonts w:hint="eastAsia"/>
          <w:color w:val="000000"/>
        </w:rPr>
        <w:t>1</w:t>
      </w:r>
      <w:r>
        <w:rPr>
          <w:rFonts w:hint="eastAsia"/>
          <w:color w:val="000000"/>
          <w:lang w:val="en-US" w:eastAsia="zh-CN"/>
        </w:rPr>
        <w:t>1</w:t>
      </w:r>
      <w:r>
        <w:rPr>
          <w:rFonts w:hint="eastAsia"/>
          <w:color w:val="000000"/>
        </w:rPr>
        <w:t>月和20</w:t>
      </w:r>
      <w:r>
        <w:rPr>
          <w:rFonts w:hint="eastAsia"/>
          <w:color w:val="000000"/>
          <w:lang w:val="en-US" w:eastAsia="zh-CN"/>
        </w:rPr>
        <w:t>20</w:t>
      </w:r>
      <w:r>
        <w:rPr>
          <w:rFonts w:hint="eastAsia"/>
          <w:color w:val="000000"/>
        </w:rPr>
        <w:t>年</w:t>
      </w:r>
      <w:r>
        <w:rPr>
          <w:rFonts w:hint="eastAsia"/>
          <w:color w:val="000000"/>
          <w:lang w:val="en-US" w:eastAsia="zh-CN"/>
        </w:rPr>
        <w:t>4</w:t>
      </w:r>
      <w:r>
        <w:rPr>
          <w:rFonts w:hint="eastAsia"/>
          <w:color w:val="000000"/>
        </w:rPr>
        <w:t>月进行了两次环境影响评价信息公开采取项目公示、问卷调查的形式，了解周围公众对本项目建设的建议和意见。在</w:t>
      </w:r>
      <w:r>
        <w:rPr>
          <w:rFonts w:hint="eastAsia"/>
          <w:bCs/>
          <w:color w:val="000000"/>
        </w:rPr>
        <w:t>环境影响评价信息公开</w:t>
      </w:r>
      <w:r>
        <w:rPr>
          <w:rFonts w:hint="eastAsia"/>
          <w:color w:val="000000"/>
        </w:rPr>
        <w:t>期间，未收到环境影响评价范围内及环境影响评价范围外的公民、法人和其他组织反馈意见。</w:t>
      </w:r>
    </w:p>
    <w:p w14:paraId="0DA07B61">
      <w:pPr>
        <w:keepNext w:val="0"/>
        <w:keepLines w:val="0"/>
        <w:pageBreakBefore w:val="0"/>
        <w:widowControl/>
        <w:spacing w:line="360" w:lineRule="auto"/>
        <w:ind w:firstLine="480"/>
        <w:rPr>
          <w:color w:val="000000"/>
        </w:rPr>
      </w:pPr>
      <w:r>
        <w:rPr>
          <w:rFonts w:hint="eastAsia"/>
          <w:color w:val="000000"/>
        </w:rPr>
        <w:t>1、首次环境影响评价公开情况</w:t>
      </w:r>
    </w:p>
    <w:p w14:paraId="1429F8D6">
      <w:pPr>
        <w:keepNext w:val="0"/>
        <w:keepLines w:val="0"/>
        <w:pageBreakBefore w:val="0"/>
        <w:widowControl/>
        <w:spacing w:line="360" w:lineRule="auto"/>
        <w:rPr>
          <w:rFonts w:ascii="Times New Roman" w:hAnsi="Times New Roman"/>
          <w:color w:val="000000"/>
          <w:szCs w:val="22"/>
        </w:rPr>
      </w:pPr>
      <w:r>
        <w:rPr>
          <w:rFonts w:hint="eastAsia"/>
          <w:bCs/>
          <w:color w:val="000000"/>
        </w:rPr>
        <w:t>首次环境影响评价信息公开</w:t>
      </w:r>
      <w:r>
        <w:rPr>
          <w:bCs/>
          <w:color w:val="000000"/>
        </w:rPr>
        <w:t>时间为：</w:t>
      </w:r>
      <w:r>
        <w:rPr>
          <w:rFonts w:ascii="Times New Roman" w:hAnsi="Times New Roman"/>
          <w:bCs/>
          <w:color w:val="000000"/>
        </w:rPr>
        <w:t>201</w:t>
      </w:r>
      <w:r>
        <w:rPr>
          <w:rFonts w:hint="eastAsia" w:ascii="Times New Roman" w:hAnsi="Times New Roman"/>
          <w:bCs/>
          <w:color w:val="000000"/>
        </w:rPr>
        <w:t>9</w:t>
      </w:r>
      <w:r>
        <w:rPr>
          <w:rFonts w:ascii="Times New Roman" w:hAnsi="Times New Roman"/>
          <w:bCs/>
          <w:color w:val="000000"/>
        </w:rPr>
        <w:t>年</w:t>
      </w:r>
      <w:r>
        <w:rPr>
          <w:rFonts w:hint="eastAsia" w:ascii="Times New Roman" w:hAnsi="Times New Roman"/>
          <w:bCs/>
          <w:color w:val="000000"/>
          <w:lang w:val="en-US" w:eastAsia="zh-CN"/>
        </w:rPr>
        <w:t>11</w:t>
      </w:r>
      <w:r>
        <w:rPr>
          <w:rFonts w:ascii="Times New Roman" w:hAnsi="Times New Roman"/>
          <w:bCs/>
          <w:color w:val="000000"/>
        </w:rPr>
        <w:t>月</w:t>
      </w:r>
      <w:r>
        <w:rPr>
          <w:rFonts w:hint="eastAsia" w:ascii="Times New Roman" w:hAnsi="Times New Roman"/>
          <w:bCs/>
          <w:color w:val="000000"/>
          <w:lang w:val="en-US" w:eastAsia="zh-CN"/>
        </w:rPr>
        <w:t>15</w:t>
      </w:r>
      <w:r>
        <w:rPr>
          <w:rFonts w:ascii="Times New Roman" w:hAnsi="Times New Roman"/>
          <w:bCs/>
          <w:color w:val="000000"/>
        </w:rPr>
        <w:t>日</w:t>
      </w:r>
      <w:r>
        <w:rPr>
          <w:rFonts w:ascii="Times New Roman" w:hAnsi="Times New Roman"/>
          <w:color w:val="000000"/>
          <w:szCs w:val="22"/>
        </w:rPr>
        <w:t>至201</w:t>
      </w:r>
      <w:r>
        <w:rPr>
          <w:rFonts w:hint="eastAsia" w:ascii="Times New Roman" w:hAnsi="Times New Roman"/>
          <w:color w:val="000000"/>
          <w:szCs w:val="22"/>
        </w:rPr>
        <w:t>9</w:t>
      </w:r>
      <w:r>
        <w:rPr>
          <w:rFonts w:ascii="Times New Roman" w:hAnsi="Times New Roman"/>
          <w:color w:val="000000"/>
          <w:szCs w:val="22"/>
        </w:rPr>
        <w:t>年</w:t>
      </w:r>
      <w:r>
        <w:rPr>
          <w:rFonts w:hint="eastAsia" w:ascii="Times New Roman" w:hAnsi="Times New Roman"/>
          <w:color w:val="000000"/>
          <w:szCs w:val="22"/>
          <w:lang w:val="en-US" w:eastAsia="zh-CN"/>
        </w:rPr>
        <w:t>11</w:t>
      </w:r>
      <w:r>
        <w:rPr>
          <w:rFonts w:ascii="Times New Roman" w:hAnsi="Times New Roman"/>
          <w:color w:val="000000"/>
          <w:szCs w:val="22"/>
        </w:rPr>
        <w:t>月</w:t>
      </w:r>
      <w:r>
        <w:rPr>
          <w:rFonts w:hint="eastAsia" w:ascii="Times New Roman" w:hAnsi="Times New Roman"/>
          <w:color w:val="000000"/>
          <w:szCs w:val="22"/>
        </w:rPr>
        <w:t>2</w:t>
      </w:r>
      <w:r>
        <w:rPr>
          <w:rFonts w:hint="eastAsia" w:ascii="Times New Roman" w:hAnsi="Times New Roman"/>
          <w:color w:val="000000"/>
          <w:szCs w:val="22"/>
          <w:lang w:val="en-US" w:eastAsia="zh-CN"/>
        </w:rPr>
        <w:t>9</w:t>
      </w:r>
      <w:r>
        <w:rPr>
          <w:rFonts w:ascii="Times New Roman" w:hAnsi="Times New Roman"/>
          <w:color w:val="000000"/>
          <w:szCs w:val="22"/>
        </w:rPr>
        <w:t>日。</w:t>
      </w:r>
    </w:p>
    <w:p w14:paraId="58F4AF71">
      <w:pPr>
        <w:keepNext w:val="0"/>
        <w:keepLines w:val="0"/>
        <w:pageBreakBefore w:val="0"/>
        <w:widowControl/>
        <w:spacing w:line="360" w:lineRule="auto"/>
        <w:ind w:firstLine="480"/>
        <w:rPr>
          <w:color w:val="000000"/>
        </w:rPr>
      </w:pPr>
      <w:r>
        <w:rPr>
          <w:bCs/>
          <w:color w:val="000000"/>
        </w:rPr>
        <w:t>网络平台的选取及网络公示期限符合《环境影响评价公众参与办法》</w:t>
      </w:r>
      <w:r>
        <w:rPr>
          <w:rFonts w:hint="eastAsia"/>
          <w:bCs/>
          <w:color w:val="000000"/>
        </w:rPr>
        <w:t>（部令第4号，2019年1月1日施行）</w:t>
      </w:r>
      <w:r>
        <w:rPr>
          <w:bCs/>
          <w:color w:val="000000"/>
        </w:rPr>
        <w:t>规定。</w:t>
      </w:r>
    </w:p>
    <w:p w14:paraId="1C35AB03">
      <w:pPr>
        <w:keepNext w:val="0"/>
        <w:keepLines w:val="0"/>
        <w:pageBreakBefore w:val="0"/>
        <w:widowControl/>
        <w:spacing w:line="360" w:lineRule="auto"/>
        <w:ind w:firstLine="480"/>
        <w:rPr>
          <w:bCs/>
          <w:color w:val="000000"/>
        </w:rPr>
      </w:pPr>
      <w:r>
        <w:rPr>
          <w:rFonts w:hint="eastAsia"/>
          <w:bCs/>
          <w:color w:val="000000"/>
        </w:rPr>
        <w:t>首次环境影响评价信息公开</w:t>
      </w:r>
      <w:r>
        <w:rPr>
          <w:bCs/>
          <w:color w:val="000000"/>
        </w:rPr>
        <w:t>页面截图详见下图。</w:t>
      </w:r>
    </w:p>
    <w:p w14:paraId="10D75F27">
      <w:pPr>
        <w:ind w:left="0" w:firstLine="0"/>
        <w:jc w:val="both"/>
        <w:rPr>
          <w:rFonts w:hint="eastAsia"/>
          <w:bCs/>
        </w:rPr>
      </w:pPr>
      <w:r>
        <w:rPr>
          <w:rFonts w:ascii="宋体" w:hAnsi="宋体" w:eastAsia="宋体" w:cs="宋体"/>
          <w:sz w:val="24"/>
          <w:szCs w:val="24"/>
          <w:lang w:val="en-US" w:eastAsia="zh-CN" w:bidi="ar"/>
        </w:rPr>
        <w:drawing>
          <wp:inline distT="0" distB="0" distL="0" distR="0">
            <wp:extent cx="5659755" cy="4061460"/>
            <wp:effectExtent l="0" t="0" r="0" b="0"/>
            <wp:docPr id="56" name="_x0000_i3145"/>
            <wp:cNvGraphicFramePr/>
            <a:graphic xmlns:a="http://schemas.openxmlformats.org/drawingml/2006/main">
              <a:graphicData uri="http://schemas.openxmlformats.org/drawingml/2006/picture">
                <pic:pic xmlns:pic="http://schemas.openxmlformats.org/drawingml/2006/picture">
                  <pic:nvPicPr>
                    <pic:cNvPr id="56" name="_x0000_i3145"/>
                    <pic:cNvPicPr/>
                  </pic:nvPicPr>
                  <pic:blipFill>
                    <a:blip r:embed="rId68"/>
                    <a:stretch>
                      <a:fillRect/>
                    </a:stretch>
                  </pic:blipFill>
                  <pic:spPr>
                    <a:xfrm>
                      <a:off x="0" y="0"/>
                      <a:ext cx="5659882" cy="4061981"/>
                    </a:xfrm>
                    <a:prstGeom prst="rect">
                      <a:avLst/>
                    </a:prstGeom>
                    <a:noFill/>
                    <a:ln>
                      <a:noFill/>
                    </a:ln>
                  </pic:spPr>
                </pic:pic>
              </a:graphicData>
            </a:graphic>
          </wp:inline>
        </w:drawing>
      </w:r>
    </w:p>
    <w:p w14:paraId="3E088CDD">
      <w:pPr>
        <w:spacing w:line="500" w:lineRule="exact"/>
        <w:ind w:firstLine="0"/>
        <w:jc w:val="center"/>
        <w:rPr>
          <w:bCs/>
          <w:szCs w:val="22"/>
        </w:rPr>
      </w:pPr>
      <w:r>
        <w:rPr>
          <w:rFonts w:hint="eastAsia"/>
          <w:b/>
          <w:bCs/>
        </w:rPr>
        <w:t>图</w:t>
      </w:r>
      <w:r>
        <w:rPr>
          <w:rFonts w:hint="eastAsia"/>
          <w:b/>
          <w:bCs/>
          <w:lang w:val="en-US" w:eastAsia="zh-CN"/>
        </w:rPr>
        <w:t>13.4</w:t>
      </w:r>
      <w:r>
        <w:rPr>
          <w:rFonts w:hint="eastAsia"/>
          <w:b/>
          <w:bCs/>
        </w:rPr>
        <w:t>-1  首次环境影响评价信息网络公示页面截图</w:t>
      </w:r>
    </w:p>
    <w:p w14:paraId="14168311">
      <w:pPr>
        <w:spacing w:line="500" w:lineRule="exact"/>
        <w:ind w:firstLine="480"/>
        <w:rPr>
          <w:rFonts w:hint="eastAsia" w:ascii="Calibri" w:hAnsi="Calibri" w:eastAsia="宋体" w:cs="Times New Roman"/>
          <w:bCs/>
          <w:color w:val="000000"/>
          <w:szCs w:val="24"/>
        </w:rPr>
      </w:pPr>
      <w:r>
        <w:rPr>
          <w:rFonts w:hint="eastAsia" w:ascii="Calibri" w:hAnsi="Calibri" w:eastAsia="宋体" w:cs="Times New Roman"/>
          <w:bCs/>
          <w:color w:val="000000"/>
          <w:szCs w:val="24"/>
          <w:lang w:val="en-US" w:eastAsia="zh-CN"/>
        </w:rPr>
        <w:t>2、</w:t>
      </w:r>
      <w:r>
        <w:rPr>
          <w:rFonts w:hint="eastAsia" w:ascii="Calibri" w:hAnsi="Calibri" w:eastAsia="宋体" w:cs="Times New Roman"/>
          <w:bCs/>
          <w:color w:val="000000"/>
          <w:szCs w:val="24"/>
        </w:rPr>
        <w:t>场所张贴</w:t>
      </w:r>
    </w:p>
    <w:p w14:paraId="6B228873">
      <w:pPr>
        <w:spacing w:line="500" w:lineRule="exact"/>
        <w:ind w:right="-40"/>
        <w:rPr>
          <w:rFonts w:hint="eastAsia" w:ascii="Times New Roman" w:hAnsi="Times New Roman" w:eastAsia="宋体" w:cs="Times New Roman"/>
          <w:color w:val="000000"/>
          <w:szCs w:val="22"/>
        </w:rPr>
      </w:pPr>
      <w:r>
        <w:rPr>
          <w:rFonts w:hint="eastAsia" w:ascii="Times New Roman" w:hAnsi="Times New Roman" w:eastAsia="宋体" w:cs="Times New Roman"/>
          <w:color w:val="000000"/>
        </w:rPr>
        <w:t>信息公开张贴公示于</w:t>
      </w:r>
      <w:r>
        <w:rPr>
          <w:rFonts w:ascii="Times New Roman" w:hAnsi="Times New Roman" w:eastAsia="宋体" w:cs="Times New Roman"/>
          <w:color w:val="000000"/>
          <w:szCs w:val="22"/>
        </w:rPr>
        <w:t>2019年</w:t>
      </w:r>
      <w:r>
        <w:rPr>
          <w:rFonts w:hint="eastAsia" w:ascii="Times New Roman" w:hAnsi="Times New Roman" w:eastAsia="宋体" w:cs="Times New Roman"/>
          <w:color w:val="000000"/>
          <w:szCs w:val="22"/>
          <w:lang w:val="en-US" w:eastAsia="zh-CN"/>
        </w:rPr>
        <w:t>11</w:t>
      </w:r>
      <w:r>
        <w:rPr>
          <w:rFonts w:ascii="Times New Roman" w:hAnsi="Times New Roman" w:eastAsia="宋体" w:cs="Times New Roman"/>
          <w:color w:val="000000"/>
          <w:szCs w:val="22"/>
        </w:rPr>
        <w:t>月</w:t>
      </w:r>
      <w:r>
        <w:rPr>
          <w:rFonts w:hint="eastAsia" w:ascii="Times New Roman" w:hAnsi="Times New Roman" w:eastAsia="宋体" w:cs="Times New Roman"/>
          <w:color w:val="000000"/>
          <w:szCs w:val="22"/>
          <w:lang w:val="en-US" w:eastAsia="zh-CN"/>
        </w:rPr>
        <w:t>22</w:t>
      </w:r>
      <w:r>
        <w:rPr>
          <w:rFonts w:ascii="Times New Roman" w:hAnsi="Times New Roman" w:eastAsia="宋体" w:cs="Times New Roman"/>
          <w:color w:val="000000"/>
          <w:szCs w:val="22"/>
        </w:rPr>
        <w:t>日至2019年</w:t>
      </w:r>
      <w:r>
        <w:rPr>
          <w:rFonts w:hint="eastAsia" w:ascii="Times New Roman" w:hAnsi="Times New Roman" w:eastAsia="宋体" w:cs="Times New Roman"/>
          <w:color w:val="000000"/>
          <w:szCs w:val="22"/>
          <w:lang w:val="en-US" w:eastAsia="zh-CN"/>
        </w:rPr>
        <w:t>12</w:t>
      </w:r>
      <w:r>
        <w:rPr>
          <w:rFonts w:ascii="Times New Roman" w:hAnsi="Times New Roman" w:eastAsia="宋体" w:cs="Times New Roman"/>
          <w:color w:val="000000"/>
          <w:szCs w:val="22"/>
        </w:rPr>
        <w:t>月</w:t>
      </w:r>
      <w:r>
        <w:rPr>
          <w:rFonts w:hint="eastAsia" w:ascii="Times New Roman" w:hAnsi="Times New Roman" w:eastAsia="宋体" w:cs="Times New Roman"/>
          <w:color w:val="000000"/>
          <w:szCs w:val="22"/>
          <w:lang w:val="en-US" w:eastAsia="zh-CN"/>
        </w:rPr>
        <w:t>5</w:t>
      </w:r>
      <w:r>
        <w:rPr>
          <w:rFonts w:ascii="Times New Roman" w:hAnsi="Times New Roman" w:eastAsia="宋体" w:cs="Times New Roman"/>
          <w:color w:val="000000"/>
          <w:szCs w:val="22"/>
        </w:rPr>
        <w:t>日</w:t>
      </w:r>
      <w:r>
        <w:rPr>
          <w:rFonts w:hint="eastAsia" w:ascii="Times New Roman" w:hAnsi="Times New Roman" w:eastAsia="宋体" w:cs="Times New Roman"/>
          <w:color w:val="000000"/>
          <w:szCs w:val="22"/>
        </w:rPr>
        <w:t>进行，张贴公示地点为</w:t>
      </w:r>
      <w:r>
        <w:rPr>
          <w:rFonts w:hint="eastAsia" w:ascii="Times New Roman" w:hAnsi="Times New Roman" w:eastAsia="宋体" w:cs="Times New Roman"/>
          <w:color w:val="000000"/>
          <w:szCs w:val="22"/>
          <w:lang w:val="en-US" w:eastAsia="zh-CN"/>
        </w:rPr>
        <w:t>地磅房门口、厂区门口</w:t>
      </w:r>
      <w:r>
        <w:rPr>
          <w:rFonts w:hint="eastAsia" w:ascii="Times New Roman" w:hAnsi="Times New Roman" w:eastAsia="宋体" w:cs="Times New Roman"/>
          <w:color w:val="000000"/>
          <w:szCs w:val="22"/>
        </w:rPr>
        <w:t>。场所公示情况见图</w:t>
      </w:r>
      <w:r>
        <w:rPr>
          <w:rFonts w:hint="eastAsia" w:ascii="Times New Roman" w:hAnsi="Times New Roman" w:eastAsia="宋体" w:cs="Times New Roman"/>
          <w:color w:val="000000"/>
          <w:szCs w:val="22"/>
          <w:lang w:val="en-US" w:eastAsia="zh-CN"/>
        </w:rPr>
        <w:t>13.4-2</w:t>
      </w:r>
      <w:r>
        <w:rPr>
          <w:rFonts w:hint="eastAsia" w:ascii="Times New Roman" w:hAnsi="Times New Roman" w:eastAsia="宋体" w:cs="Times New Roman"/>
          <w:color w:val="000000"/>
          <w:szCs w:val="22"/>
        </w:rPr>
        <w:t>。</w:t>
      </w:r>
    </w:p>
    <w:p w14:paraId="676954F3">
      <w:pPr>
        <w:spacing w:line="240" w:lineRule="auto"/>
        <w:ind w:right="-40"/>
        <w:jc w:val="center"/>
        <w:rPr>
          <w:rFonts w:hint="eastAsia" w:ascii="Times New Roman" w:hAnsi="Times New Roman" w:eastAsia="宋体" w:cs="Times New Roman"/>
          <w:color w:val="0000FF"/>
          <w:szCs w:val="22"/>
        </w:rPr>
      </w:pPr>
      <w:r>
        <w:rPr>
          <w:rFonts w:hint="eastAsia" w:ascii="Times New Roman" w:hAnsi="Times New Roman" w:eastAsia="宋体" w:cs="Times New Roman"/>
          <w:color w:val="0000FF"/>
          <w:szCs w:val="22"/>
        </w:rPr>
        <w:drawing>
          <wp:inline distT="0" distB="0" distL="0" distR="0">
            <wp:extent cx="4286250" cy="3220720"/>
            <wp:effectExtent l="0" t="0" r="0" b="0"/>
            <wp:docPr id="57" name="_x0000_i3146"/>
            <wp:cNvGraphicFramePr/>
            <a:graphic xmlns:a="http://schemas.openxmlformats.org/drawingml/2006/main">
              <a:graphicData uri="http://schemas.openxmlformats.org/drawingml/2006/picture">
                <pic:pic xmlns:pic="http://schemas.openxmlformats.org/drawingml/2006/picture">
                  <pic:nvPicPr>
                    <pic:cNvPr id="57" name="_x0000_i3146"/>
                    <pic:cNvPicPr/>
                  </pic:nvPicPr>
                  <pic:blipFill>
                    <a:blip r:embed="rId69"/>
                    <a:stretch>
                      <a:fillRect/>
                    </a:stretch>
                  </pic:blipFill>
                  <pic:spPr>
                    <a:xfrm>
                      <a:off x="0" y="0"/>
                      <a:ext cx="4286250" cy="3220733"/>
                    </a:xfrm>
                    <a:prstGeom prst="rect">
                      <a:avLst/>
                    </a:prstGeom>
                    <a:noFill/>
                    <a:ln>
                      <a:noFill/>
                    </a:ln>
                  </pic:spPr>
                </pic:pic>
              </a:graphicData>
            </a:graphic>
          </wp:inline>
        </w:drawing>
      </w:r>
      <w:r>
        <w:rPr>
          <w:rFonts w:hint="eastAsia" w:ascii="Times New Roman" w:hAnsi="Times New Roman" w:eastAsia="宋体" w:cs="Times New Roman"/>
          <w:color w:val="0000FF"/>
          <w:szCs w:val="22"/>
        </w:rPr>
        <w:t xml:space="preserve">  </w:t>
      </w:r>
    </w:p>
    <w:p w14:paraId="4D136E8B">
      <w:pPr>
        <w:spacing w:line="240" w:lineRule="auto"/>
        <w:ind w:right="-40"/>
        <w:jc w:val="center"/>
        <w:rPr>
          <w:rFonts w:hint="eastAsia" w:ascii="Times New Roman" w:hAnsi="Times New Roman" w:eastAsia="宋体" w:cs="Times New Roman"/>
          <w:color w:val="0000FF"/>
          <w:szCs w:val="22"/>
          <w:lang w:eastAsia="zh-CN"/>
        </w:rPr>
      </w:pPr>
      <w:r>
        <w:rPr>
          <w:rFonts w:ascii="Calibri" w:hAnsi="Calibri" w:eastAsia="宋体" w:cs="Times New Roman"/>
        </w:rPr>
        <w:drawing>
          <wp:inline distT="0" distB="0" distL="0" distR="0">
            <wp:extent cx="4286250" cy="3124200"/>
            <wp:effectExtent l="0" t="0" r="0" b="0"/>
            <wp:docPr id="58" name="_x0000_i3147"/>
            <wp:cNvGraphicFramePr/>
            <a:graphic xmlns:a="http://schemas.openxmlformats.org/drawingml/2006/main">
              <a:graphicData uri="http://schemas.openxmlformats.org/drawingml/2006/picture">
                <pic:pic xmlns:pic="http://schemas.openxmlformats.org/drawingml/2006/picture">
                  <pic:nvPicPr>
                    <pic:cNvPr id="58" name="_x0000_i3147"/>
                    <pic:cNvPicPr/>
                  </pic:nvPicPr>
                  <pic:blipFill>
                    <a:blip r:embed="rId70"/>
                    <a:stretch>
                      <a:fillRect/>
                    </a:stretch>
                  </pic:blipFill>
                  <pic:spPr>
                    <a:xfrm>
                      <a:off x="0" y="0"/>
                      <a:ext cx="4286250" cy="3124721"/>
                    </a:xfrm>
                    <a:prstGeom prst="rect">
                      <a:avLst/>
                    </a:prstGeom>
                    <a:noFill/>
                    <a:ln>
                      <a:noFill/>
                    </a:ln>
                  </pic:spPr>
                </pic:pic>
              </a:graphicData>
            </a:graphic>
          </wp:inline>
        </w:drawing>
      </w:r>
    </w:p>
    <w:p w14:paraId="2306E13E">
      <w:pPr>
        <w:ind w:right="-42" w:firstLine="0"/>
        <w:jc w:val="center"/>
        <w:rPr>
          <w:rFonts w:hint="eastAsia" w:ascii="Calibri" w:hAnsi="Calibri" w:eastAsia="宋体" w:cs="Times New Roman"/>
          <w:color w:val="000000"/>
          <w:shd w:val="clear" w:color="auto" w:fill="auto"/>
        </w:rPr>
      </w:pPr>
      <w:r>
        <w:rPr>
          <w:rFonts w:hint="eastAsia" w:ascii="Calibri" w:hAnsi="Calibri" w:eastAsia="宋体" w:cs="Times New Roman"/>
          <w:b/>
          <w:bCs/>
          <w:color w:val="000000"/>
          <w:shd w:val="clear" w:color="auto" w:fill="auto"/>
        </w:rPr>
        <w:t>图</w:t>
      </w:r>
      <w:r>
        <w:rPr>
          <w:rFonts w:hint="eastAsia" w:ascii="Calibri" w:hAnsi="Calibri" w:eastAsia="宋体" w:cs="Times New Roman"/>
          <w:b/>
          <w:bCs/>
          <w:color w:val="000000"/>
          <w:shd w:val="clear" w:color="auto" w:fill="auto"/>
          <w:lang w:val="en-US" w:eastAsia="zh-CN"/>
        </w:rPr>
        <w:t>13.4-3</w:t>
      </w:r>
      <w:r>
        <w:rPr>
          <w:rFonts w:hint="eastAsia" w:ascii="Calibri" w:hAnsi="Calibri" w:eastAsia="宋体" w:cs="Times New Roman"/>
          <w:b/>
          <w:bCs/>
          <w:color w:val="000000"/>
          <w:shd w:val="clear" w:color="auto" w:fill="auto"/>
        </w:rPr>
        <w:t xml:space="preserve"> </w:t>
      </w:r>
      <w:r>
        <w:rPr>
          <w:rFonts w:hint="eastAsia" w:ascii="Calibri" w:hAnsi="Calibri" w:eastAsia="宋体" w:cs="Times New Roman"/>
          <w:b/>
          <w:bCs/>
          <w:color w:val="000000"/>
          <w:shd w:val="clear" w:color="auto" w:fill="auto"/>
          <w:lang w:val="en-US" w:eastAsia="zh-CN"/>
        </w:rPr>
        <w:t>信息公开</w:t>
      </w:r>
      <w:r>
        <w:rPr>
          <w:rFonts w:hint="eastAsia" w:ascii="Calibri" w:hAnsi="Calibri" w:eastAsia="宋体" w:cs="Times New Roman"/>
          <w:b/>
          <w:bCs/>
          <w:color w:val="000000"/>
          <w:shd w:val="clear" w:color="auto" w:fill="auto"/>
        </w:rPr>
        <w:t>粘贴公示图</w:t>
      </w:r>
    </w:p>
    <w:p w14:paraId="5025AD4D">
      <w:pPr>
        <w:spacing w:line="240" w:lineRule="auto"/>
        <w:ind w:right="-40" w:firstLine="480"/>
        <w:jc w:val="center"/>
        <w:rPr>
          <w:rFonts w:hint="eastAsia" w:ascii="Calibri" w:hAnsi="Calibri" w:eastAsia="宋体" w:cs="Times New Roman"/>
          <w:szCs w:val="22"/>
        </w:rPr>
      </w:pPr>
      <w:r>
        <w:rPr>
          <w:rFonts w:hint="eastAsia" w:ascii="Calibri" w:hAnsi="Calibri" w:eastAsia="宋体" w:cs="Times New Roman"/>
          <w:szCs w:val="22"/>
        </w:rPr>
        <w:t xml:space="preserve"> </w:t>
      </w:r>
    </w:p>
    <w:p w14:paraId="779DCB6E">
      <w:pPr>
        <w:keepNext w:val="0"/>
        <w:keepLines w:val="0"/>
        <w:pageBreakBefore w:val="0"/>
        <w:widowControl/>
        <w:spacing w:line="360" w:lineRule="auto"/>
        <w:ind w:firstLine="480"/>
        <w:jc w:val="left"/>
        <w:rPr>
          <w:rFonts w:hint="eastAsia" w:ascii="Calibri" w:hAnsi="Calibri" w:eastAsia="宋体" w:cs="Times New Roman"/>
          <w:color w:val="000000"/>
        </w:rPr>
      </w:pPr>
      <w:r>
        <w:rPr>
          <w:rFonts w:hint="eastAsia" w:ascii="Calibri" w:hAnsi="Calibri" w:eastAsia="宋体" w:cs="Times New Roman"/>
          <w:color w:val="000000"/>
        </w:rPr>
        <w:t>本</w:t>
      </w:r>
      <w:r>
        <w:rPr>
          <w:rFonts w:ascii="Calibri" w:hAnsi="Calibri" w:eastAsia="宋体" w:cs="Times New Roman"/>
          <w:color w:val="000000"/>
          <w:lang w:val="en-GB"/>
        </w:rPr>
        <w:t>次公众意见调查共发</w:t>
      </w:r>
      <w:r>
        <w:rPr>
          <w:rFonts w:hint="eastAsia" w:ascii="Calibri" w:hAnsi="Calibri" w:eastAsia="宋体" w:cs="Times New Roman"/>
          <w:color w:val="000000"/>
          <w:lang w:val="en-GB"/>
        </w:rPr>
        <w:t>放调查表</w:t>
      </w:r>
      <w:r>
        <w:rPr>
          <w:rFonts w:hint="eastAsia" w:ascii="Calibri" w:hAnsi="Calibri" w:eastAsia="宋体" w:cs="Times New Roman"/>
          <w:color w:val="000000"/>
          <w:lang w:val="en-US" w:eastAsia="zh-CN"/>
        </w:rPr>
        <w:t>54</w:t>
      </w:r>
      <w:r>
        <w:rPr>
          <w:rFonts w:hint="eastAsia" w:ascii="Calibri" w:hAnsi="Calibri" w:eastAsia="宋体" w:cs="Times New Roman"/>
          <w:color w:val="000000"/>
          <w:lang w:val="en-GB"/>
        </w:rPr>
        <w:t>份，其中社会公众</w:t>
      </w:r>
      <w:r>
        <w:rPr>
          <w:rFonts w:hint="eastAsia" w:ascii="Calibri" w:hAnsi="Calibri" w:eastAsia="宋体" w:cs="Times New Roman"/>
          <w:color w:val="000000"/>
          <w:lang w:val="en-US" w:eastAsia="zh-CN"/>
        </w:rPr>
        <w:t>44</w:t>
      </w:r>
      <w:r>
        <w:rPr>
          <w:rFonts w:hint="eastAsia" w:ascii="Calibri" w:hAnsi="Calibri" w:eastAsia="宋体" w:cs="Times New Roman"/>
          <w:color w:val="000000"/>
          <w:lang w:val="en-GB"/>
        </w:rPr>
        <w:t>份，包括项目</w:t>
      </w:r>
      <w:r>
        <w:rPr>
          <w:rFonts w:hint="eastAsia" w:ascii="Calibri" w:hAnsi="Calibri" w:eastAsia="宋体" w:cs="Times New Roman"/>
          <w:color w:val="000000"/>
        </w:rPr>
        <w:t>周</w:t>
      </w:r>
      <w:r>
        <w:rPr>
          <w:rFonts w:hint="eastAsia" w:ascii="Calibri" w:hAnsi="Calibri" w:eastAsia="宋体" w:cs="Times New Roman"/>
          <w:color w:val="000000"/>
          <w:lang w:val="en-GB"/>
        </w:rPr>
        <w:t>围的居民；社会团体</w:t>
      </w:r>
      <w:r>
        <w:rPr>
          <w:rFonts w:hint="eastAsia" w:ascii="Calibri" w:hAnsi="Calibri" w:eastAsia="宋体" w:cs="Times New Roman"/>
          <w:color w:val="000000"/>
          <w:lang w:val="en-US" w:eastAsia="zh-CN"/>
        </w:rPr>
        <w:t>10</w:t>
      </w:r>
      <w:r>
        <w:rPr>
          <w:rFonts w:hint="eastAsia" w:ascii="Calibri" w:hAnsi="Calibri" w:eastAsia="宋体" w:cs="Times New Roman"/>
          <w:color w:val="000000"/>
          <w:lang w:val="en-GB"/>
        </w:rPr>
        <w:t>份，</w:t>
      </w:r>
      <w:r>
        <w:rPr>
          <w:rFonts w:hint="eastAsia" w:ascii="Calibri" w:hAnsi="Calibri" w:eastAsia="宋体" w:cs="Times New Roman"/>
          <w:color w:val="000000"/>
        </w:rPr>
        <w:t>收回调查</w:t>
      </w:r>
      <w:r>
        <w:rPr>
          <w:rFonts w:hint="eastAsia" w:ascii="Calibri" w:hAnsi="Calibri" w:eastAsia="宋体" w:cs="Times New Roman"/>
          <w:color w:val="000000"/>
          <w:lang w:val="en-US" w:eastAsia="zh-CN"/>
        </w:rPr>
        <w:t>表54</w:t>
      </w:r>
      <w:r>
        <w:rPr>
          <w:rFonts w:hint="eastAsia" w:ascii="Calibri" w:hAnsi="Calibri" w:eastAsia="宋体" w:cs="Times New Roman"/>
          <w:color w:val="000000"/>
        </w:rPr>
        <w:t>份，回收率100%。</w:t>
      </w:r>
    </w:p>
    <w:p w14:paraId="4380D904">
      <w:pPr>
        <w:keepNext w:val="0"/>
        <w:keepLines w:val="0"/>
        <w:pageBreakBefore w:val="0"/>
        <w:widowControl/>
        <w:spacing w:line="360" w:lineRule="auto"/>
        <w:rPr>
          <w:rFonts w:ascii="Times New Roman" w:hAnsi="Times New Roman" w:eastAsia="宋体" w:cs="Times New Roman"/>
          <w:color w:val="000000"/>
          <w:szCs w:val="24"/>
        </w:rPr>
      </w:pPr>
      <w:r>
        <w:rPr>
          <w:rFonts w:hint="eastAsia" w:ascii="Times New Roman" w:hAnsi="Times New Roman" w:eastAsia="宋体" w:cs="Times New Roman"/>
          <w:color w:val="000000"/>
          <w:szCs w:val="24"/>
          <w:lang w:val="en-US" w:eastAsia="zh-CN"/>
        </w:rPr>
        <w:t>根据调查结果，</w:t>
      </w:r>
      <w:r>
        <w:rPr>
          <w:rFonts w:ascii="Times New Roman" w:hAnsi="Times New Roman" w:eastAsia="宋体" w:cs="Times New Roman"/>
          <w:color w:val="000000"/>
          <w:szCs w:val="24"/>
        </w:rPr>
        <w:t>100%被调查者</w:t>
      </w:r>
      <w:r>
        <w:rPr>
          <w:rFonts w:hint="eastAsia" w:ascii="Times New Roman" w:hAnsi="Times New Roman" w:eastAsia="宋体" w:cs="Times New Roman"/>
          <w:color w:val="000000"/>
          <w:szCs w:val="24"/>
          <w:lang w:val="en-US" w:eastAsia="zh-CN"/>
        </w:rPr>
        <w:t>知道</w:t>
      </w:r>
      <w:r>
        <w:rPr>
          <w:rFonts w:ascii="Times New Roman" w:hAnsi="Times New Roman" w:eastAsia="宋体" w:cs="Times New Roman"/>
          <w:color w:val="000000"/>
          <w:szCs w:val="24"/>
        </w:rPr>
        <w:t>和了解项目；</w:t>
      </w:r>
      <w:r>
        <w:rPr>
          <w:rFonts w:hint="eastAsia" w:ascii="Times New Roman" w:hAnsi="Times New Roman" w:eastAsia="宋体" w:cs="Times New Roman"/>
          <w:color w:val="000000"/>
          <w:szCs w:val="24"/>
          <w:lang w:val="en-US" w:eastAsia="zh-CN"/>
        </w:rPr>
        <w:t>100</w:t>
      </w:r>
      <w:r>
        <w:rPr>
          <w:rFonts w:ascii="Times New Roman" w:hAnsi="Times New Roman" w:eastAsia="宋体" w:cs="Times New Roman"/>
          <w:color w:val="000000"/>
          <w:szCs w:val="24"/>
        </w:rPr>
        <w:t>%的调查者</w:t>
      </w:r>
      <w:r>
        <w:rPr>
          <w:rFonts w:hint="eastAsia" w:ascii="Times New Roman" w:hAnsi="Times New Roman" w:eastAsia="宋体" w:cs="Times New Roman"/>
          <w:color w:val="000000"/>
          <w:szCs w:val="24"/>
          <w:lang w:val="en-US" w:eastAsia="zh-CN"/>
        </w:rPr>
        <w:t>大力支持和基本赞成</w:t>
      </w:r>
      <w:r>
        <w:rPr>
          <w:rFonts w:ascii="Times New Roman" w:hAnsi="Times New Roman" w:eastAsia="宋体" w:cs="Times New Roman"/>
          <w:color w:val="000000"/>
          <w:szCs w:val="24"/>
        </w:rPr>
        <w:t>本项目建设运营，无反对者；100%被调查者认为项目建设对经济发展是正影响；</w:t>
      </w:r>
      <w:r>
        <w:rPr>
          <w:rFonts w:hint="eastAsia" w:ascii="Times New Roman" w:hAnsi="Times New Roman" w:eastAsia="宋体" w:cs="Times New Roman"/>
          <w:color w:val="000000"/>
          <w:szCs w:val="24"/>
          <w:lang w:val="en-US" w:eastAsia="zh-CN"/>
        </w:rPr>
        <w:t>100</w:t>
      </w:r>
      <w:r>
        <w:rPr>
          <w:rFonts w:ascii="Times New Roman" w:hAnsi="Times New Roman" w:eastAsia="宋体" w:cs="Times New Roman"/>
          <w:color w:val="000000"/>
          <w:szCs w:val="24"/>
        </w:rPr>
        <w:t>%</w:t>
      </w:r>
      <w:r>
        <w:rPr>
          <w:rFonts w:hint="eastAsia" w:ascii="Times New Roman" w:hAnsi="Times New Roman" w:eastAsia="宋体" w:cs="Times New Roman"/>
          <w:color w:val="000000"/>
          <w:szCs w:val="24"/>
          <w:lang w:val="en-US" w:eastAsia="zh-CN"/>
        </w:rPr>
        <w:t>的</w:t>
      </w:r>
      <w:r>
        <w:rPr>
          <w:rFonts w:ascii="Times New Roman" w:hAnsi="Times New Roman" w:eastAsia="宋体" w:cs="Times New Roman"/>
          <w:color w:val="000000"/>
          <w:szCs w:val="24"/>
        </w:rPr>
        <w:t>调查者认为项目</w:t>
      </w:r>
      <w:r>
        <w:rPr>
          <w:rFonts w:hint="eastAsia" w:ascii="Times New Roman" w:hAnsi="Times New Roman" w:eastAsia="宋体" w:cs="Times New Roman"/>
          <w:color w:val="000000"/>
          <w:szCs w:val="24"/>
          <w:lang w:val="en-US" w:eastAsia="zh-CN"/>
        </w:rPr>
        <w:t>营运期应加强噪声环境的治理工作，100</w:t>
      </w:r>
      <w:r>
        <w:rPr>
          <w:rFonts w:ascii="Times New Roman" w:hAnsi="Times New Roman" w:eastAsia="宋体" w:cs="Times New Roman"/>
          <w:color w:val="000000"/>
          <w:szCs w:val="24"/>
        </w:rPr>
        <w:t>%被调查着认为项目</w:t>
      </w:r>
      <w:r>
        <w:rPr>
          <w:rFonts w:hint="eastAsia" w:ascii="Times New Roman" w:hAnsi="Times New Roman" w:eastAsia="宋体" w:cs="Times New Roman"/>
          <w:color w:val="000000"/>
          <w:szCs w:val="24"/>
          <w:lang w:val="en-US" w:eastAsia="zh-CN"/>
        </w:rPr>
        <w:t>实施对区域环境影响是改善和影响不大，无调查者认为项目实施使区域环境变差</w:t>
      </w:r>
      <w:r>
        <w:rPr>
          <w:rFonts w:ascii="Times New Roman" w:hAnsi="Times New Roman" w:eastAsia="宋体" w:cs="Times New Roman"/>
          <w:color w:val="000000"/>
          <w:szCs w:val="24"/>
        </w:rPr>
        <w:t>。</w:t>
      </w:r>
    </w:p>
    <w:p w14:paraId="329A4FB0">
      <w:pPr>
        <w:keepNext w:val="0"/>
        <w:keepLines w:val="0"/>
        <w:pageBreakBefore w:val="0"/>
        <w:widowControl/>
        <w:spacing w:line="360" w:lineRule="auto"/>
        <w:ind w:firstLine="480"/>
        <w:jc w:val="left"/>
        <w:rPr>
          <w:rFonts w:hint="eastAsia" w:ascii="Calibri" w:hAnsi="Calibri" w:eastAsia="宋体" w:cs="Times New Roman"/>
          <w:color w:val="000000"/>
        </w:rPr>
      </w:pPr>
      <w:r>
        <w:rPr>
          <w:rFonts w:hint="eastAsia" w:ascii="Calibri" w:hAnsi="Calibri" w:eastAsia="宋体" w:cs="Times New Roman"/>
          <w:color w:val="000000"/>
        </w:rPr>
        <w:t>在接受调查的社会团体中，所有组织均能接受项目建设和营运中可能出现的环境问题，并都支持项目的建设。</w:t>
      </w:r>
    </w:p>
    <w:p w14:paraId="7B2EA0E0">
      <w:pPr>
        <w:pStyle w:val="2"/>
        <w:keepNext w:val="0"/>
        <w:keepLines w:val="0"/>
        <w:pageBreakBefore w:val="0"/>
        <w:widowControl/>
        <w:spacing w:line="360" w:lineRule="auto"/>
        <w:ind w:firstLine="480"/>
        <w:rPr>
          <w:rFonts w:hint="eastAsia"/>
          <w:color w:val="000000"/>
          <w:sz w:val="24"/>
          <w:szCs w:val="24"/>
        </w:rPr>
      </w:pPr>
      <w:r>
        <w:rPr>
          <w:rFonts w:hint="eastAsia" w:ascii="Times New Roman" w:hAnsi="Times New Roman"/>
          <w:color w:val="000000"/>
          <w:sz w:val="24"/>
          <w:szCs w:val="24"/>
          <w:lang w:val="en-US" w:eastAsia="zh-CN"/>
        </w:rPr>
        <w:t>3、</w:t>
      </w:r>
      <w:r>
        <w:rPr>
          <w:rFonts w:ascii="Times New Roman" w:hAnsi="Times New Roman"/>
          <w:color w:val="000000"/>
          <w:sz w:val="24"/>
          <w:szCs w:val="24"/>
        </w:rPr>
        <w:t>征求意见稿公示情况</w:t>
      </w:r>
    </w:p>
    <w:p w14:paraId="65C41A44">
      <w:pPr>
        <w:keepNext w:val="0"/>
        <w:keepLines w:val="0"/>
        <w:pageBreakBefore w:val="0"/>
        <w:widowControl/>
        <w:spacing w:line="360" w:lineRule="auto"/>
        <w:ind w:firstLine="480"/>
        <w:rPr>
          <w:rFonts w:hint="eastAsia"/>
          <w:bCs/>
          <w:color w:val="000000"/>
          <w:szCs w:val="24"/>
        </w:rPr>
      </w:pPr>
      <w:r>
        <w:rPr>
          <w:rFonts w:hint="eastAsia"/>
          <w:bCs/>
          <w:color w:val="000000"/>
          <w:szCs w:val="24"/>
        </w:rPr>
        <w:t>网络公示：</w:t>
      </w:r>
    </w:p>
    <w:p w14:paraId="0AD8DE0B">
      <w:pPr>
        <w:keepNext w:val="0"/>
        <w:keepLines w:val="0"/>
        <w:pageBreakBefore w:val="0"/>
        <w:widowControl/>
        <w:spacing w:line="360" w:lineRule="auto"/>
        <w:ind w:firstLine="480"/>
        <w:rPr>
          <w:color w:val="000000"/>
          <w:szCs w:val="24"/>
        </w:rPr>
      </w:pPr>
      <w:r>
        <w:rPr>
          <w:bCs/>
          <w:color w:val="000000"/>
          <w:szCs w:val="24"/>
        </w:rPr>
        <w:t>征求意见稿网络公示时间为：</w:t>
      </w:r>
      <w:r>
        <w:rPr>
          <w:color w:val="000000"/>
          <w:szCs w:val="24"/>
        </w:rPr>
        <w:t>20</w:t>
      </w:r>
      <w:r>
        <w:rPr>
          <w:rFonts w:hint="eastAsia"/>
          <w:color w:val="000000"/>
          <w:szCs w:val="24"/>
          <w:lang w:val="en-US" w:eastAsia="zh-CN"/>
        </w:rPr>
        <w:t>20</w:t>
      </w:r>
      <w:r>
        <w:rPr>
          <w:color w:val="000000"/>
          <w:szCs w:val="24"/>
        </w:rPr>
        <w:t>年</w:t>
      </w:r>
      <w:r>
        <w:rPr>
          <w:rFonts w:hint="eastAsia"/>
          <w:color w:val="000000"/>
          <w:szCs w:val="24"/>
          <w:lang w:val="en-US" w:eastAsia="zh-CN"/>
        </w:rPr>
        <w:t>4</w:t>
      </w:r>
      <w:r>
        <w:rPr>
          <w:color w:val="000000"/>
          <w:szCs w:val="24"/>
        </w:rPr>
        <w:t>月</w:t>
      </w:r>
      <w:r>
        <w:rPr>
          <w:rFonts w:hint="eastAsia"/>
          <w:color w:val="000000"/>
          <w:szCs w:val="24"/>
        </w:rPr>
        <w:t>1</w:t>
      </w:r>
      <w:r>
        <w:rPr>
          <w:rFonts w:hint="eastAsia"/>
          <w:color w:val="000000"/>
          <w:szCs w:val="24"/>
          <w:lang w:val="en-US" w:eastAsia="zh-CN"/>
        </w:rPr>
        <w:t>1</w:t>
      </w:r>
      <w:r>
        <w:rPr>
          <w:color w:val="000000"/>
          <w:szCs w:val="24"/>
        </w:rPr>
        <w:t>日至20</w:t>
      </w:r>
      <w:r>
        <w:rPr>
          <w:rFonts w:hint="eastAsia"/>
          <w:color w:val="000000"/>
          <w:szCs w:val="24"/>
          <w:lang w:val="en-US" w:eastAsia="zh-CN"/>
        </w:rPr>
        <w:t>20</w:t>
      </w:r>
      <w:r>
        <w:rPr>
          <w:color w:val="000000"/>
          <w:szCs w:val="24"/>
        </w:rPr>
        <w:t>年</w:t>
      </w:r>
      <w:r>
        <w:rPr>
          <w:rFonts w:hint="eastAsia"/>
          <w:color w:val="000000"/>
          <w:szCs w:val="24"/>
          <w:lang w:val="en-US" w:eastAsia="zh-CN"/>
        </w:rPr>
        <w:t>4</w:t>
      </w:r>
      <w:r>
        <w:rPr>
          <w:color w:val="000000"/>
          <w:szCs w:val="24"/>
        </w:rPr>
        <w:t>月</w:t>
      </w:r>
      <w:r>
        <w:rPr>
          <w:rFonts w:hint="eastAsia"/>
          <w:color w:val="000000"/>
          <w:szCs w:val="24"/>
          <w:lang w:val="en-US" w:eastAsia="zh-CN"/>
        </w:rPr>
        <w:t>24</w:t>
      </w:r>
      <w:r>
        <w:rPr>
          <w:color w:val="000000"/>
          <w:szCs w:val="24"/>
        </w:rPr>
        <w:t>日，公示期限为10个工作日。</w:t>
      </w:r>
    </w:p>
    <w:p w14:paraId="41E0A3A9">
      <w:pPr>
        <w:keepNext w:val="0"/>
        <w:keepLines w:val="0"/>
        <w:pageBreakBefore w:val="0"/>
        <w:widowControl/>
        <w:spacing w:line="360" w:lineRule="auto"/>
        <w:ind w:firstLine="480"/>
        <w:rPr>
          <w:rFonts w:hint="eastAsia"/>
          <w:bCs/>
          <w:color w:val="000000"/>
        </w:rPr>
      </w:pPr>
      <w:r>
        <w:rPr>
          <w:bCs/>
          <w:color w:val="000000"/>
        </w:rPr>
        <w:t>征求意见稿网络公示页面截图详见下图。</w:t>
      </w:r>
    </w:p>
    <w:p w14:paraId="7744EDA2">
      <w:pPr>
        <w:ind w:right="-42" w:firstLine="480"/>
        <w:jc w:val="both"/>
        <w:rPr>
          <w:rFonts w:hint="eastAsia" w:eastAsia="宋体"/>
          <w:bCs/>
          <w:lang w:eastAsia="zh-CN"/>
        </w:rPr>
      </w:pPr>
      <w:r>
        <w:rPr>
          <w:rFonts w:hint="eastAsia" w:eastAsia="宋体"/>
          <w:bCs/>
          <w:lang w:eastAsia="zh-CN"/>
        </w:rPr>
        <w:drawing>
          <wp:inline distT="0" distB="0" distL="0" distR="0">
            <wp:extent cx="5274945" cy="3333750"/>
            <wp:effectExtent l="0" t="0" r="0" b="0"/>
            <wp:docPr id="59" name="_x0000_i3148"/>
            <wp:cNvGraphicFramePr/>
            <a:graphic xmlns:a="http://schemas.openxmlformats.org/drawingml/2006/main">
              <a:graphicData uri="http://schemas.openxmlformats.org/drawingml/2006/picture">
                <pic:pic xmlns:pic="http://schemas.openxmlformats.org/drawingml/2006/picture">
                  <pic:nvPicPr>
                    <pic:cNvPr id="59" name="_x0000_i3148"/>
                    <pic:cNvPicPr/>
                  </pic:nvPicPr>
                  <pic:blipFill>
                    <a:blip r:embed="rId71"/>
                    <a:stretch>
                      <a:fillRect/>
                    </a:stretch>
                  </pic:blipFill>
                  <pic:spPr>
                    <a:xfrm>
                      <a:off x="0" y="0"/>
                      <a:ext cx="5274945" cy="3333814"/>
                    </a:xfrm>
                    <a:prstGeom prst="rect">
                      <a:avLst/>
                    </a:prstGeom>
                    <a:noFill/>
                    <a:ln>
                      <a:noFill/>
                    </a:ln>
                  </pic:spPr>
                </pic:pic>
              </a:graphicData>
            </a:graphic>
          </wp:inline>
        </w:drawing>
      </w:r>
    </w:p>
    <w:p w14:paraId="26E4DEE1">
      <w:pPr>
        <w:pStyle w:val="416"/>
        <w:rPr>
          <w:rFonts w:hint="eastAsia"/>
        </w:rPr>
      </w:pPr>
      <w:r>
        <w:rPr>
          <w:rFonts w:hint="eastAsia"/>
        </w:rPr>
        <w:t>图</w:t>
      </w:r>
      <w:r>
        <w:rPr>
          <w:rFonts w:hint="eastAsia"/>
          <w:lang w:val="en-US" w:eastAsia="zh-CN"/>
        </w:rPr>
        <w:t>13.4</w:t>
      </w:r>
      <w:r>
        <w:rPr>
          <w:rFonts w:hint="eastAsia"/>
        </w:rPr>
        <w:t>-</w:t>
      </w:r>
      <w:r>
        <w:rPr>
          <w:rFonts w:hint="eastAsia"/>
          <w:lang w:val="en-US" w:eastAsia="zh-CN"/>
        </w:rPr>
        <w:t>3</w:t>
      </w:r>
      <w:r>
        <w:rPr>
          <w:rFonts w:hint="eastAsia"/>
        </w:rPr>
        <w:t xml:space="preserve">  征求意见稿网络公示页面截图</w:t>
      </w:r>
    </w:p>
    <w:p w14:paraId="74D2100D">
      <w:pPr>
        <w:keepNext w:val="0"/>
        <w:keepLines w:val="0"/>
        <w:pageBreakBefore w:val="0"/>
        <w:widowControl/>
        <w:spacing w:line="360" w:lineRule="auto"/>
        <w:ind w:firstLine="480"/>
        <w:jc w:val="left"/>
        <w:rPr>
          <w:color w:val="000000"/>
        </w:rPr>
      </w:pPr>
      <w:r>
        <w:rPr>
          <w:rFonts w:hint="eastAsia"/>
          <w:color w:val="000000"/>
        </w:rPr>
        <w:t>根据项目公众参与调查过程中公众提出的建议及意见，建设单位承诺：遵守国家相关的法律、法规，认真落实公众所提出的建议和意见，自觉接受公众及社会的舆论；按照国家相关标准进行，严格执行</w:t>
      </w:r>
      <w:r>
        <w:rPr>
          <w:color w:val="000000"/>
        </w:rPr>
        <w:t>“</w:t>
      </w:r>
      <w:r>
        <w:rPr>
          <w:rFonts w:hint="eastAsia"/>
          <w:color w:val="000000"/>
        </w:rPr>
        <w:t>三同时</w:t>
      </w:r>
      <w:r>
        <w:rPr>
          <w:color w:val="000000"/>
        </w:rPr>
        <w:t>”</w:t>
      </w:r>
      <w:r>
        <w:rPr>
          <w:rFonts w:hint="eastAsia"/>
          <w:color w:val="000000"/>
        </w:rPr>
        <w:t>制度；严格按照环评报告书提出的要求进行建设；加强与当地群众的沟通，进一步完善污染防治措施；在项目施工和运行中严格执行环保相关规定，采取有效措施，加强自身环境管理能力，将项目对周围环境的影响降低到最低程度。</w:t>
      </w:r>
    </w:p>
    <w:p w14:paraId="0756A97B">
      <w:pPr>
        <w:pStyle w:val="187"/>
        <w:rPr>
          <w:rFonts w:hint="eastAsia" w:ascii="Times New Roman" w:hAnsi="Times New Roman"/>
        </w:rPr>
      </w:pPr>
      <w:r>
        <w:rPr>
          <w:rFonts w:hint="eastAsia" w:ascii="Times New Roman" w:hAnsi="Times New Roman"/>
          <w:lang w:val="en-US" w:eastAsia="zh-CN"/>
        </w:rPr>
        <w:t>13</w:t>
      </w:r>
      <w:r>
        <w:rPr>
          <w:rFonts w:hint="eastAsia" w:ascii="Times New Roman" w:hAnsi="Times New Roman"/>
        </w:rPr>
        <w:t>.5 环境影响经济损益分析</w:t>
      </w:r>
    </w:p>
    <w:p w14:paraId="560A7DDA">
      <w:pPr>
        <w:ind w:firstLine="480"/>
      </w:pPr>
      <w:r>
        <w:rPr>
          <w:rFonts w:hint="eastAsia"/>
        </w:rPr>
        <w:t>本项目的实施在促进地方经济发展的同时又具有良好的社会效益。该项目能促进当地经济的发展、能改善群众的生活环境，从社会经济角度看是可行的。同时，项目在保证环保投资的前提下，能够实现达标排放，环境效益较好，因此从环境经济角度来看也是合理可行的。本项目具有较好的经济效益、社会效益和环境效益。</w:t>
      </w:r>
    </w:p>
    <w:p w14:paraId="56A1E317">
      <w:pPr>
        <w:pStyle w:val="187"/>
        <w:rPr>
          <w:rFonts w:hint="eastAsia" w:ascii="Times New Roman" w:hAnsi="Times New Roman"/>
        </w:rPr>
      </w:pPr>
      <w:r>
        <w:rPr>
          <w:rFonts w:hint="eastAsia" w:ascii="Times New Roman" w:hAnsi="Times New Roman"/>
          <w:lang w:val="en-US" w:eastAsia="zh-CN"/>
        </w:rPr>
        <w:t>13</w:t>
      </w:r>
      <w:r>
        <w:rPr>
          <w:rFonts w:hint="eastAsia" w:ascii="Times New Roman" w:hAnsi="Times New Roman"/>
        </w:rPr>
        <w:t>.6 环境管理与监测计划</w:t>
      </w:r>
    </w:p>
    <w:p w14:paraId="30FA122B">
      <w:pPr>
        <w:ind w:firstLine="480"/>
      </w:pPr>
      <w:r>
        <w:rPr>
          <w:rFonts w:hint="eastAsia"/>
        </w:rPr>
        <w:t>根据工程产污特征，评价提出了运行环境管理要求，并制订相应的环境监测计划。项目环境管理要求及环境监测计划制定合理，能够为环境管理和</w:t>
      </w:r>
      <w:r>
        <w:rPr>
          <w:rFonts w:hint="eastAsia" w:eastAsia="宋体"/>
          <w:lang w:eastAsia="zh-CN"/>
        </w:rPr>
        <w:t>生态环境部门</w:t>
      </w:r>
      <w:r>
        <w:rPr>
          <w:rFonts w:hint="eastAsia"/>
        </w:rPr>
        <w:t>决策提供科学依据。</w:t>
      </w:r>
    </w:p>
    <w:p w14:paraId="4BF1E2DA">
      <w:pPr>
        <w:pStyle w:val="187"/>
        <w:rPr>
          <w:rFonts w:hint="eastAsia" w:ascii="Times New Roman" w:hAnsi="Times New Roman"/>
        </w:rPr>
      </w:pPr>
      <w:r>
        <w:rPr>
          <w:rFonts w:hint="eastAsia" w:ascii="Times New Roman" w:hAnsi="Times New Roman"/>
          <w:lang w:val="en-US" w:eastAsia="zh-CN"/>
        </w:rPr>
        <w:t>13</w:t>
      </w:r>
      <w:r>
        <w:rPr>
          <w:rFonts w:hint="eastAsia" w:ascii="Times New Roman" w:hAnsi="Times New Roman"/>
        </w:rPr>
        <w:t>.7项目环境影响结论</w:t>
      </w:r>
    </w:p>
    <w:p w14:paraId="0D5E56C7">
      <w:pPr>
        <w:ind w:firstLine="480"/>
        <w:rPr>
          <w:szCs w:val="24"/>
        </w:rPr>
      </w:pPr>
      <w:r>
        <w:rPr>
          <w:rFonts w:hint="eastAsia"/>
          <w:szCs w:val="24"/>
        </w:rPr>
        <w:t>综合以上情况可以得出本项目环境影响评价结论：</w:t>
      </w:r>
    </w:p>
    <w:p w14:paraId="3675E18E">
      <w:pPr>
        <w:ind w:firstLine="480"/>
        <w:rPr>
          <w:rFonts w:hint="eastAsia"/>
          <w:bCs/>
        </w:rPr>
      </w:pPr>
      <w:r>
        <w:rPr>
          <w:rFonts w:hint="eastAsia" w:eastAsia="宋体"/>
          <w:bCs/>
          <w:lang w:eastAsia="zh-CN"/>
        </w:rPr>
        <w:t>云南永利发林业有限公司年产10万立方米全竹、竹木复合地板一厂区改扩建项目</w:t>
      </w:r>
      <w:r>
        <w:rPr>
          <w:rFonts w:hint="eastAsia"/>
          <w:bCs/>
        </w:rPr>
        <w:t>符合国家相关产业政策及规划要求；区域环境质量现状良好；拟定的各项环保措施可行、可靠、有效，项目建设对周围环境影响较小；公众参与调查结果表明，绝大部分公众支持本项目的建设；从环境经济角度分析，项目的建设可行；环境管理要求及环境监测计划制定合理。因此，只要本项目在下一步的建设和运行中，认真落实本报告书提出的各项环保措施，并严格执行环境保护“三同时”制度，本次评价认为：从环保角度分析，本项目的建设是可行的。</w:t>
      </w:r>
    </w:p>
    <w:p w14:paraId="2198C522">
      <w:pPr>
        <w:pStyle w:val="187"/>
        <w:rPr>
          <w:rFonts w:hint="eastAsia" w:ascii="Times New Roman" w:hAnsi="Times New Roman"/>
        </w:rPr>
      </w:pPr>
      <w:r>
        <w:rPr>
          <w:rFonts w:hint="eastAsia" w:ascii="Times New Roman" w:hAnsi="Times New Roman"/>
          <w:lang w:val="en-US" w:eastAsia="zh-CN"/>
        </w:rPr>
        <w:t>13</w:t>
      </w:r>
      <w:r>
        <w:rPr>
          <w:rFonts w:hint="eastAsia" w:ascii="Times New Roman" w:hAnsi="Times New Roman"/>
        </w:rPr>
        <w:t>.8建议</w:t>
      </w:r>
    </w:p>
    <w:p w14:paraId="35AE7D3E">
      <w:pPr>
        <w:spacing w:line="360" w:lineRule="auto"/>
        <w:ind w:firstLine="480"/>
        <w:rPr>
          <w:rFonts w:ascii="Times New Roman" w:hAnsi="Times New Roman" w:cs="Times New Roman"/>
          <w:color w:val="000000"/>
          <w:sz w:val="24"/>
        </w:rPr>
      </w:pPr>
      <w:r>
        <w:rPr>
          <w:rFonts w:ascii="Times New Roman" w:hAnsi="Times New Roman" w:cs="Times New Roman"/>
          <w:color w:val="000000"/>
          <w:sz w:val="24"/>
        </w:rPr>
        <w:t>（1）加强日常环境监督管理及检查维修工作，确保污染治理设施正常运行，保证污染物达标排放，杜绝非正常排放。</w:t>
      </w:r>
    </w:p>
    <w:p w14:paraId="5904164B">
      <w:pPr>
        <w:spacing w:line="360" w:lineRule="auto"/>
        <w:ind w:firstLine="480"/>
        <w:rPr>
          <w:rFonts w:ascii="Times New Roman" w:hAnsi="Times New Roman" w:cs="Times New Roman"/>
          <w:color w:val="000000"/>
          <w:sz w:val="24"/>
        </w:rPr>
      </w:pPr>
      <w:r>
        <w:rPr>
          <w:rFonts w:ascii="Times New Roman" w:hAnsi="Times New Roman" w:cs="Times New Roman"/>
          <w:color w:val="000000"/>
          <w:sz w:val="24"/>
        </w:rPr>
        <w:t>（2）加强安全生产管理工作，制定相应得</w:t>
      </w:r>
      <w:r>
        <w:rPr>
          <w:rFonts w:hint="eastAsia" w:ascii="Times New Roman" w:hAnsi="Times New Roman" w:cs="Times New Roman"/>
          <w:color w:val="000000"/>
          <w:sz w:val="24"/>
          <w:lang w:val="en-US" w:eastAsia="zh-CN"/>
        </w:rPr>
        <w:t>突发环境事件</w:t>
      </w:r>
      <w:r>
        <w:rPr>
          <w:rFonts w:ascii="Times New Roman" w:hAnsi="Times New Roman" w:cs="Times New Roman"/>
          <w:color w:val="000000"/>
          <w:sz w:val="24"/>
        </w:rPr>
        <w:t>应急预案，避免发生重大环境安全事故。</w:t>
      </w:r>
    </w:p>
    <w:p w14:paraId="73E1F173">
      <w:pPr>
        <w:spacing w:line="360" w:lineRule="auto"/>
        <w:ind w:firstLine="480"/>
        <w:rPr>
          <w:rFonts w:ascii="宋体" w:hAnsi="宋体"/>
          <w:color w:val="000000"/>
          <w:sz w:val="24"/>
        </w:rPr>
      </w:pPr>
      <w:r>
        <w:rPr>
          <w:rFonts w:ascii="Times New Roman" w:hAnsi="Times New Roman" w:cs="Times New Roman"/>
          <w:color w:val="000000"/>
          <w:sz w:val="24"/>
        </w:rPr>
        <w:t>（3）加强职</w:t>
      </w:r>
      <w:r>
        <w:rPr>
          <w:rFonts w:hint="eastAsia" w:ascii="宋体" w:hAnsi="宋体"/>
          <w:color w:val="000000"/>
          <w:sz w:val="24"/>
        </w:rPr>
        <w:t>工技能培训，强化岗位操作训练，提高职工整体素质，保证环保措施真正落实。</w:t>
      </w:r>
    </w:p>
    <w:p w14:paraId="14C0D493">
      <w:pPr>
        <w:spacing w:line="360" w:lineRule="auto"/>
        <w:ind w:firstLine="480"/>
        <w:rPr>
          <w:rFonts w:hint="eastAsia" w:ascii="宋体" w:hAnsi="宋体"/>
          <w:color w:val="000000"/>
          <w:sz w:val="24"/>
        </w:rPr>
      </w:pPr>
      <w:r>
        <w:rPr>
          <w:rFonts w:hint="eastAsia" w:ascii="宋体" w:hAnsi="宋体"/>
          <w:color w:val="000000"/>
          <w:sz w:val="24"/>
        </w:rPr>
        <w:t>（</w:t>
      </w:r>
      <w:r>
        <w:rPr>
          <w:rFonts w:ascii="宋体" w:hAnsi="宋体"/>
          <w:color w:val="000000"/>
          <w:sz w:val="24"/>
        </w:rPr>
        <w:t>4</w:t>
      </w:r>
      <w:r>
        <w:rPr>
          <w:rFonts w:hint="eastAsia" w:ascii="宋体" w:hAnsi="宋体"/>
          <w:color w:val="000000"/>
          <w:sz w:val="24"/>
        </w:rPr>
        <w:t>）项目投产后，应报相关环境管理部门进行“三同时”验收，验收合格后方可投入生产。</w:t>
      </w:r>
    </w:p>
    <w:sectPr>
      <w:footerReference r:id="rId23" w:type="default"/>
      <w:pgSz w:w="11906" w:h="16838" w:orient="landscape"/>
      <w:pgMar w:top="1440" w:right="1797" w:bottom="1440" w:left="1797" w:header="850" w:footer="992" w:gutter="0"/>
      <w:pgNumType w:start="1"/>
      <w:cols w:space="1701"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ngLiU">
    <w:altName w:val="Sitka Text"/>
    <w:panose1 w:val="02020500000000000000"/>
    <w:charset w:val="00"/>
    <w:family w:val="auto"/>
    <w:pitch w:val="default"/>
    <w:sig w:usb0="00000000" w:usb1="00000000" w:usb2="00000000" w:usb3="00000000" w:csb0="00000000" w:csb1="00000000"/>
  </w:font>
  <w:font w:name="Sitka Text">
    <w:panose1 w:val="02000505000000020004"/>
    <w:charset w:val="00"/>
    <w:family w:val="auto"/>
    <w:pitch w:val="default"/>
    <w:sig w:usb0="A00002EF" w:usb1="4000204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ˎ̥">
    <w:altName w:val="Segoe Print"/>
    <w:panose1 w:val="020B0604020202020204"/>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
    <w:altName w:val="Segoe Print"/>
    <w:panose1 w:val="020B0604020202020204"/>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Noto Sans CJK JP Regular">
    <w:altName w:val="Segoe Print"/>
    <w:panose1 w:val="020B0604020202020204"/>
    <w:charset w:val="00"/>
    <w:family w:val="auto"/>
    <w:pitch w:val="default"/>
    <w:sig w:usb0="00000000" w:usb1="00000000" w:usb2="00000000" w:usb3="00000000" w:csb0="00000000" w:csb1="00000000"/>
  </w:font>
  <w:font w:name="_x000B__x000C_">
    <w:altName w:val="Segoe Print"/>
    <w:panose1 w:val="020B0604020202020204"/>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imesNewRomanPSMT">
    <w:altName w:val="Times New Roman"/>
    <w:panose1 w:val="02020603050405020304"/>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隶书">
    <w:panose1 w:val="02010509060101010101"/>
    <w:charset w:val="86"/>
    <w:family w:val="auto"/>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ArialMT">
    <w:altName w:val="Times New Roman"/>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AC380">
    <w:pPr>
      <w:pStyle w:val="234"/>
      <w:ind w:firstLine="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71387">
    <w:pPr>
      <w:pStyle w:val="219"/>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_x0000_s309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4473E7DD">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CXLIX</w:t>
                          </w:r>
                          <w:r>
                            <w:rPr>
                              <w:rFonts w:hint="eastAsia"/>
                              <w:lang w:eastAsia="zh-CN"/>
                            </w:rPr>
                            <w:fldChar w:fldCharType="end"/>
                          </w:r>
                        </w:p>
                        <w:p w14:paraId="59D5C6EF"/>
                      </w:txbxContent>
                    </wps:txbx>
                    <wps:bodyPr wrap="none" lIns="0" tIns="0" rIns="0" bIns="0" upright="1">
                      <a:spAutoFit/>
                    </wps:bodyPr>
                  </wps:wsp>
                </a:graphicData>
              </a:graphic>
            </wp:anchor>
          </w:drawing>
        </mc:Choice>
        <mc:Fallback>
          <w:pict>
            <v:shape id="_x0000_s309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XHnbLscBAACoAwAADgAAAAAAAAABACAAAAAeAQAAZHJzL2Uyb0RvYy54&#10;bWxQSwUGAAAAAAYABgBZAQAAVwUAAAAA&#10;">
              <v:fill on="f" focussize="0,0"/>
              <v:stroke on="f"/>
              <v:imagedata o:title=""/>
              <o:lock v:ext="edit" aspectratio="f"/>
              <v:textbox inset="0mm,0mm,0mm,0mm" style="mso-fit-shape-to-text:t;">
                <w:txbxContent>
                  <w:p w14:paraId="4473E7DD">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CXLIX</w:t>
                    </w:r>
                    <w:r>
                      <w:rPr>
                        <w:rFonts w:hint="eastAsia"/>
                        <w:lang w:eastAsia="zh-CN"/>
                      </w:rPr>
                      <w:fldChar w:fldCharType="end"/>
                    </w:r>
                  </w:p>
                  <w:p w14:paraId="59D5C6EF"/>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78F26">
    <w:pPr>
      <w:pStyle w:val="234"/>
      <w:framePr w:wrap="around" w:vAnchor="text" w:hAnchor="margin" w:xAlign="center" w:y="1"/>
      <w:ind w:firstLine="360"/>
      <w:rPr>
        <w:rStyle w:val="261"/>
      </w:rPr>
    </w:pPr>
    <w:r>
      <w:fldChar w:fldCharType="begin"/>
    </w:r>
    <w:r>
      <w:rPr>
        <w:rStyle w:val="261"/>
      </w:rPr>
      <w:instrText xml:space="preserve">PAGE  </w:instrText>
    </w:r>
    <w:r>
      <w:fldChar w:fldCharType="end"/>
    </w:r>
  </w:p>
  <w:p w14:paraId="671945B3">
    <w:pPr>
      <w:pStyle w:val="234"/>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1E11C">
    <w:pPr>
      <w:pStyle w:val="234"/>
      <w:ind w:firstLine="360"/>
      <w:jc w:val="center"/>
      <w:rPr>
        <w:szCs w:val="21"/>
      </w:rPr>
    </w:pPr>
    <w:r>
      <w:rPr>
        <w:szCs w:val="21"/>
      </w:rPr>
      <w:t xml:space="preserve"> </w:t>
    </w:r>
    <w:r>
      <w:rPr>
        <w:szCs w:val="21"/>
      </w:rPr>
      <w:fldChar w:fldCharType="begin"/>
    </w:r>
    <w:r>
      <w:rPr>
        <w:szCs w:val="21"/>
      </w:rPr>
      <w:instrText xml:space="preserve"> PAGE </w:instrText>
    </w:r>
    <w:r>
      <w:rPr>
        <w:szCs w:val="21"/>
      </w:rPr>
      <w:fldChar w:fldCharType="separate"/>
    </w:r>
    <w:r>
      <w:rPr>
        <w:szCs w:val="21"/>
      </w:rPr>
      <w:t>- 1 -</w:t>
    </w:r>
    <w:r>
      <w:rPr>
        <w:szCs w:val="21"/>
      </w:rPr>
      <w:fldChar w:fldCharType="end"/>
    </w:r>
    <w:r>
      <w:rPr>
        <w:szCs w:val="21"/>
      </w:rPr>
      <w:t xml:space="preserve"> </w:t>
    </w:r>
  </w:p>
  <w:p w14:paraId="001094D7">
    <w:pPr>
      <w:pStyle w:val="234"/>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99F6C">
    <w:pPr>
      <w:widowControl w:val="0"/>
      <w:spacing w:before="0" w:after="0" w:line="14" w:lineRule="auto"/>
      <w:ind w:left="0" w:right="0" w:firstLine="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_x0000_s3099"/>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60FAD295">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CCXXVIII</w:t>
                          </w:r>
                          <w:r>
                            <w:rPr>
                              <w:rFonts w:hint="eastAsia"/>
                              <w:lang w:eastAsia="zh-CN"/>
                            </w:rPr>
                            <w:fldChar w:fldCharType="end"/>
                          </w:r>
                        </w:p>
                        <w:p w14:paraId="626FE490"/>
                      </w:txbxContent>
                    </wps:txbx>
                    <wps:bodyPr wrap="none" lIns="0" tIns="0" rIns="0" bIns="0" upright="1">
                      <a:spAutoFit/>
                    </wps:bodyPr>
                  </wps:wsp>
                </a:graphicData>
              </a:graphic>
            </wp:anchor>
          </w:drawing>
        </mc:Choice>
        <mc:Fallback>
          <w:pict>
            <v:shape id="_x0000_s309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veeubIAQAAqAMAAA4AAAAAAAAAAQAgAAAAHgEAAGRycy9lMm9Eb2Mu&#10;eG1sUEsFBgAAAAAGAAYAWQEAAFgFAAAAAA==&#10;">
              <v:fill on="f" focussize="0,0"/>
              <v:stroke on="f"/>
              <v:imagedata o:title=""/>
              <o:lock v:ext="edit" aspectratio="f"/>
              <v:textbox inset="0mm,0mm,0mm,0mm" style="mso-fit-shape-to-text:t;">
                <w:txbxContent>
                  <w:p w14:paraId="60FAD295">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CCXXVIII</w:t>
                    </w:r>
                    <w:r>
                      <w:rPr>
                        <w:rFonts w:hint="eastAsia"/>
                        <w:lang w:eastAsia="zh-CN"/>
                      </w:rPr>
                      <w:fldChar w:fldCharType="end"/>
                    </w:r>
                  </w:p>
                  <w:p w14:paraId="626FE490"/>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F5942">
    <w:pPr>
      <w:pStyle w:val="234"/>
      <w:ind w:right="360" w:firstLine="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_x0000_s310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826230F">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CCL</w:t>
                          </w:r>
                          <w:r>
                            <w:rPr>
                              <w:rFonts w:hint="eastAsia"/>
                              <w:lang w:eastAsia="zh-CN"/>
                            </w:rPr>
                            <w:fldChar w:fldCharType="end"/>
                          </w:r>
                        </w:p>
                        <w:p w14:paraId="55A2103F"/>
                      </w:txbxContent>
                    </wps:txbx>
                    <wps:bodyPr wrap="none" lIns="0" tIns="0" rIns="0" bIns="0" upright="1">
                      <a:spAutoFit/>
                    </wps:bodyPr>
                  </wps:wsp>
                </a:graphicData>
              </a:graphic>
            </wp:anchor>
          </w:drawing>
        </mc:Choice>
        <mc:Fallback>
          <w:pict>
            <v:shape id="_x0000_s3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T23I0xgEAAKgDAAAOAAAAAAAAAAEAIAAAAB4BAABkcnMvZTJvRG9jLnht&#10;bFBLBQYAAAAABgAGAFkBAABWBQAAAAA=&#10;">
              <v:fill on="f" focussize="0,0"/>
              <v:stroke on="f"/>
              <v:imagedata o:title=""/>
              <o:lock v:ext="edit" aspectratio="f"/>
              <v:textbox inset="0mm,0mm,0mm,0mm" style="mso-fit-shape-to-text:t;">
                <w:txbxContent>
                  <w:p w14:paraId="7826230F">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CCL</w:t>
                    </w:r>
                    <w:r>
                      <w:rPr>
                        <w:rFonts w:hint="eastAsia"/>
                        <w:lang w:eastAsia="zh-CN"/>
                      </w:rPr>
                      <w:fldChar w:fldCharType="end"/>
                    </w:r>
                  </w:p>
                  <w:p w14:paraId="55A2103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1FE8D">
    <w:pPr>
      <w:pStyle w:val="2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7E495">
    <w:pPr>
      <w:pStyle w:val="2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14ED5">
    <w:pPr>
      <w:pStyle w:val="234"/>
      <w:ind w:firstLine="360"/>
      <w:jc w:val="center"/>
      <w:rPr>
        <w:rFonts w:hint="eastAsia"/>
      </w:rPr>
    </w:pPr>
    <w:r>
      <w:fldChar w:fldCharType="begin"/>
    </w:r>
    <w:r>
      <w:instrText xml:space="preserve"> PAGE   \* MERGEFORMAT </w:instrText>
    </w:r>
    <w:r>
      <w:fldChar w:fldCharType="separate"/>
    </w:r>
    <w:r>
      <w:rPr>
        <w:lang w:val="zh-CN"/>
      </w:rPr>
      <w:t>IV</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1943B">
    <w:pPr>
      <w:pStyle w:val="234"/>
      <w:ind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_x0000_s309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16A7736">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p w14:paraId="50BA5C8E"/>
                      </w:txbxContent>
                    </wps:txbx>
                    <wps:bodyPr wrap="none" lIns="0" tIns="0" rIns="0" bIns="0" upright="1">
                      <a:spAutoFit/>
                    </wps:bodyPr>
                  </wps:wsp>
                </a:graphicData>
              </a:graphic>
            </wp:anchor>
          </w:drawing>
        </mc:Choice>
        <mc:Fallback>
          <w:pict>
            <v:shape id="_x0000_s309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wdo7RxgEAAKgDAAAOAAAAAAAAAAEAIAAAAB4BAABkcnMvZTJvRG9jLnht&#10;bFBLBQYAAAAABgAGAFkBAABWBQAAAAA=&#10;">
              <v:fill on="f" focussize="0,0"/>
              <v:stroke on="f"/>
              <v:imagedata o:title=""/>
              <o:lock v:ext="edit" aspectratio="f"/>
              <v:textbox inset="0mm,0mm,0mm,0mm" style="mso-fit-shape-to-text:t;">
                <w:txbxContent>
                  <w:p w14:paraId="716A7736">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p w14:paraId="50BA5C8E"/>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3868B">
    <w:pPr>
      <w:pStyle w:val="219"/>
      <w:spacing w:line="14" w:lineRule="auto"/>
      <w:ind w:left="0" w:firstLine="0"/>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_x0000_s309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23F4EC3C">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LXXXVIII</w:t>
                          </w:r>
                          <w:r>
                            <w:rPr>
                              <w:rFonts w:hint="eastAsia"/>
                              <w:lang w:eastAsia="zh-CN"/>
                            </w:rPr>
                            <w:fldChar w:fldCharType="end"/>
                          </w:r>
                        </w:p>
                        <w:p w14:paraId="106A9FF6"/>
                      </w:txbxContent>
                    </wps:txbx>
                    <wps:bodyPr wrap="none" lIns="0" tIns="0" rIns="0" bIns="0" upright="1">
                      <a:spAutoFit/>
                    </wps:bodyPr>
                  </wps:wsp>
                </a:graphicData>
              </a:graphic>
            </wp:anchor>
          </w:drawing>
        </mc:Choice>
        <mc:Fallback>
          <w:pict>
            <v:shape id="_x0000_s309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62gwvIAQAAqAMAAA4AAAAAAAAAAQAgAAAAHgEAAGRycy9lMm9Eb2Mu&#10;eG1sUEsFBgAAAAAGAAYAWQEAAFgFAAAAAA==&#10;">
              <v:fill on="f" focussize="0,0"/>
              <v:stroke on="f"/>
              <v:imagedata o:title=""/>
              <o:lock v:ext="edit" aspectratio="f"/>
              <v:textbox inset="0mm,0mm,0mm,0mm" style="mso-fit-shape-to-text:t;">
                <w:txbxContent>
                  <w:p w14:paraId="23F4EC3C">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LXXXVIII</w:t>
                    </w:r>
                    <w:r>
                      <w:rPr>
                        <w:rFonts w:hint="eastAsia"/>
                        <w:lang w:eastAsia="zh-CN"/>
                      </w:rPr>
                      <w:fldChar w:fldCharType="end"/>
                    </w:r>
                  </w:p>
                  <w:p w14:paraId="106A9FF6"/>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5663">
    <w:pPr>
      <w:pStyle w:val="219"/>
      <w:spacing w:line="14" w:lineRule="auto"/>
      <w:ind w:left="0" w:firstLine="0"/>
      <w:jc w:val="both"/>
      <w:rPr>
        <w:sz w:val="20"/>
        <w:lang w:val="en-US"/>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_x0000_s3095"/>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3E3D4B4C">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XCI</w:t>
                          </w:r>
                          <w:r>
                            <w:rPr>
                              <w:rFonts w:hint="eastAsia"/>
                              <w:lang w:eastAsia="zh-CN"/>
                            </w:rPr>
                            <w:fldChar w:fldCharType="end"/>
                          </w:r>
                        </w:p>
                        <w:p w14:paraId="3E9C2207"/>
                      </w:txbxContent>
                    </wps:txbx>
                    <wps:bodyPr wrap="none" lIns="0" tIns="0" rIns="0" bIns="0" upright="1">
                      <a:spAutoFit/>
                    </wps:bodyPr>
                  </wps:wsp>
                </a:graphicData>
              </a:graphic>
            </wp:anchor>
          </w:drawing>
        </mc:Choice>
        <mc:Fallback>
          <w:pict>
            <v:shape id="_x0000_s309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kRIsPIAQAAqAMAAA4AAAAAAAAAAQAgAAAAHgEAAGRycy9lMm9Eb2Mu&#10;eG1sUEsFBgAAAAAGAAYAWQEAAFgFAAAAAA==&#10;">
              <v:fill on="f" focussize="0,0"/>
              <v:stroke on="f"/>
              <v:imagedata o:title=""/>
              <o:lock v:ext="edit" aspectratio="f"/>
              <v:textbox inset="0mm,0mm,0mm,0mm" style="mso-fit-shape-to-text:t;">
                <w:txbxContent>
                  <w:p w14:paraId="3E3D4B4C">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XCI</w:t>
                    </w:r>
                    <w:r>
                      <w:rPr>
                        <w:rFonts w:hint="eastAsia"/>
                        <w:lang w:eastAsia="zh-CN"/>
                      </w:rPr>
                      <w:fldChar w:fldCharType="end"/>
                    </w:r>
                  </w:p>
                  <w:p w14:paraId="3E9C2207"/>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670A9">
    <w:pPr>
      <w:pStyle w:val="234"/>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_x0000_s3096"/>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53CDE954">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w:t>
                          </w:r>
                          <w:r>
                            <w:rPr>
                              <w:rFonts w:hint="eastAsia"/>
                              <w:lang w:eastAsia="zh-CN"/>
                            </w:rPr>
                            <w:fldChar w:fldCharType="end"/>
                          </w:r>
                        </w:p>
                        <w:p w14:paraId="054ABC3B"/>
                      </w:txbxContent>
                    </wps:txbx>
                    <wps:bodyPr wrap="none" lIns="0" tIns="0" rIns="0" bIns="0" upright="1">
                      <a:spAutoFit/>
                    </wps:bodyPr>
                  </wps:wsp>
                </a:graphicData>
              </a:graphic>
            </wp:anchor>
          </w:drawing>
        </mc:Choice>
        <mc:Fallback>
          <w:pict>
            <v:shape id="_x0000_s309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lCS43IAQAAqAMAAA4AAAAAAAAAAQAgAAAAHgEAAGRycy9lMm9Eb2Mu&#10;eG1sUEsFBgAAAAAGAAYAWQEAAFgFAAAAAA==&#10;">
              <v:fill on="f" focussize="0,0"/>
              <v:stroke on="f"/>
              <v:imagedata o:title=""/>
              <o:lock v:ext="edit" aspectratio="f"/>
              <v:textbox inset="0mm,0mm,0mm,0mm" style="mso-fit-shape-to-text:t;">
                <w:txbxContent>
                  <w:p w14:paraId="53CDE954">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w:t>
                    </w:r>
                    <w:r>
                      <w:rPr>
                        <w:rFonts w:hint="eastAsia"/>
                        <w:lang w:eastAsia="zh-CN"/>
                      </w:rPr>
                      <w:fldChar w:fldCharType="end"/>
                    </w:r>
                  </w:p>
                  <w:p w14:paraId="054ABC3B"/>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A3B99">
    <w:pPr>
      <w:pStyle w:val="219"/>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_x0000_s309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11C891E6">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CXXI</w:t>
                          </w:r>
                          <w:r>
                            <w:rPr>
                              <w:rFonts w:hint="eastAsia"/>
                              <w:lang w:eastAsia="zh-CN"/>
                            </w:rPr>
                            <w:fldChar w:fldCharType="end"/>
                          </w:r>
                        </w:p>
                        <w:p w14:paraId="6E93EBE4"/>
                      </w:txbxContent>
                    </wps:txbx>
                    <wps:bodyPr wrap="none" lIns="0" tIns="0" rIns="0" bIns="0" upright="1">
                      <a:spAutoFit/>
                    </wps:bodyPr>
                  </wps:wsp>
                </a:graphicData>
              </a:graphic>
            </wp:anchor>
          </w:drawing>
        </mc:Choice>
        <mc:Fallback>
          <w:pict>
            <v:shape id="_x0000_s309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7l6kXIAQAAqAMAAA4AAAAAAAAAAQAgAAAAHgEAAGRycy9lMm9Eb2Mu&#10;eG1sUEsFBgAAAAAGAAYAWQEAAFgFAAAAAA==&#10;">
              <v:fill on="f" focussize="0,0"/>
              <v:stroke on="f"/>
              <v:imagedata o:title=""/>
              <o:lock v:ext="edit" aspectratio="f"/>
              <v:textbox inset="0mm,0mm,0mm,0mm" style="mso-fit-shape-to-text:t;">
                <w:txbxContent>
                  <w:p w14:paraId="11C891E6">
                    <w:pPr>
                      <w:pStyle w:val="2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CXXI</w:t>
                    </w:r>
                    <w:r>
                      <w:rPr>
                        <w:rFonts w:hint="eastAsia"/>
                        <w:lang w:eastAsia="zh-CN"/>
                      </w:rPr>
                      <w:fldChar w:fldCharType="end"/>
                    </w:r>
                  </w:p>
                  <w:p w14:paraId="6E93EBE4"/>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AEE78">
    <w:pPr>
      <w:pStyle w:val="236"/>
      <w:pBdr>
        <w:bottom w:val="none" w:color="000000"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E7FB8">
    <w:pPr>
      <w:pStyle w:val="23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4F245">
    <w:pPr>
      <w:pStyle w:val="23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BA03">
    <w:pPr>
      <w:pStyle w:val="236"/>
      <w:spacing w:line="400" w:lineRule="exact"/>
      <w:ind w:firstLine="360"/>
      <w:jc w:val="both"/>
    </w:pPr>
    <w:r>
      <w:rPr>
        <w:rFonts w:hint="eastAsia" w:eastAsia="宋体"/>
        <w:lang w:eastAsia="zh-CN"/>
      </w:rPr>
      <w:t>云南永利发林业有限公司年产10万立方米全竹、竹木复合地板一厂区改扩建项目</w:t>
    </w:r>
    <w:r>
      <w:rPr>
        <w:rFonts w:hint="eastAsia"/>
      </w:rPr>
      <w:t>环境影响报告书</w:t>
    </w:r>
  </w:p>
  <w:p w14:paraId="3ADD69F6">
    <w:pPr>
      <w:pStyle w:val="219"/>
      <w:spacing w:line="14" w:lineRule="auto"/>
      <w:ind w:firstLine="400"/>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539A1">
    <w:pPr>
      <w:pStyle w:val="236"/>
      <w:ind w:firstLine="300"/>
      <w:rPr>
        <w:rFonts w:ascii="隶书" w:eastAsia="隶书"/>
        <w:sz w:val="15"/>
        <w:szCs w:val="15"/>
      </w:rPr>
    </w:pPr>
  </w:p>
  <w:p w14:paraId="744A1520">
    <w:pPr>
      <w:pStyle w:val="236"/>
      <w:ind w:firstLine="300"/>
      <w:rPr>
        <w:rFonts w:ascii="隶书" w:eastAsia="隶书"/>
        <w:sz w:val="15"/>
        <w:szCs w:val="15"/>
      </w:rPr>
    </w:pPr>
  </w:p>
  <w:p w14:paraId="595A4DC3">
    <w:pPr>
      <w:pStyle w:val="236"/>
      <w:ind w:firstLine="360"/>
    </w:pPr>
    <w:r>
      <w:rPr>
        <w:rFonts w:hint="eastAsia" w:ascii="隶书" w:eastAsia="隶书"/>
      </w:rPr>
      <w:t>扶沟县城北环路建设工程环境影响报告书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lowerLetter"/>
      <w:lvlText w:val="%1)"/>
      <w:lvlJc w:val="left"/>
      <w:pPr>
        <w:ind w:left="90" w:firstLine="0"/>
      </w:p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1">
    <w:nsid w:val="B5E306ED"/>
    <w:multiLevelType w:val="multilevel"/>
    <w:tmpl w:val="B5E306ED"/>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2">
    <w:nsid w:val="BF205925"/>
    <w:multiLevelType w:val="multilevel"/>
    <w:tmpl w:val="BF205925"/>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3">
    <w:nsid w:val="C8879AEF"/>
    <w:multiLevelType w:val="multilevel"/>
    <w:tmpl w:val="C8879AEF"/>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4">
    <w:nsid w:val="CF092B84"/>
    <w:multiLevelType w:val="multilevel"/>
    <w:tmpl w:val="CF092B84"/>
    <w:lvl w:ilvl="0" w:tentative="0">
      <w:start w:val="1"/>
      <w:numFmt w:val="decimal"/>
      <w:suff w:val="space"/>
      <w:lvlText w:val="第%1章"/>
      <w:lvlJc w:val="left"/>
      <w:pPr>
        <w:tabs>
          <w:tab w:val="left" w:pos="1275"/>
        </w:tabs>
        <w:ind w:left="1275" w:hanging="1275"/>
      </w:pPr>
      <w:rPr>
        <w:rFonts w:hint="eastAsia"/>
      </w:rPr>
    </w:lvl>
    <w:lvl w:ilvl="1" w:tentative="0">
      <w:start w:val="1"/>
      <w:numFmt w:val="lowerLetter"/>
      <w:suff w:val="space"/>
      <w:lvlText w:val="%2)"/>
      <w:lvlJc w:val="left"/>
      <w:pPr>
        <w:tabs>
          <w:tab w:val="left" w:pos="840"/>
        </w:tabs>
        <w:ind w:left="840" w:hanging="420"/>
      </w:pPr>
    </w:lvl>
    <w:lvl w:ilvl="2" w:tentative="0">
      <w:start w:val="1"/>
      <w:numFmt w:val="lowerRoman"/>
      <w:pStyle w:val="461"/>
      <w:suff w:val="space"/>
      <w:lvlText w:val="%3."/>
      <w:lvlJc w:val="right"/>
      <w:pPr>
        <w:tabs>
          <w:tab w:val="left" w:pos="1260"/>
        </w:tabs>
        <w:ind w:left="1260" w:hanging="420"/>
      </w:pPr>
    </w:lvl>
    <w:lvl w:ilvl="3" w:tentative="0">
      <w:start w:val="1"/>
      <w:numFmt w:val="decimal"/>
      <w:suff w:val="space"/>
      <w:lvlText w:val="%4."/>
      <w:lvlJc w:val="left"/>
      <w:pPr>
        <w:tabs>
          <w:tab w:val="left" w:pos="1680"/>
        </w:tabs>
        <w:ind w:left="1680" w:hanging="420"/>
      </w:pPr>
    </w:lvl>
    <w:lvl w:ilvl="4" w:tentative="0">
      <w:start w:val="1"/>
      <w:numFmt w:val="lowerLetter"/>
      <w:suff w:val="space"/>
      <w:lvlText w:val="%5)"/>
      <w:lvlJc w:val="left"/>
      <w:pPr>
        <w:tabs>
          <w:tab w:val="left" w:pos="2100"/>
        </w:tabs>
        <w:ind w:left="2100" w:hanging="420"/>
      </w:pPr>
    </w:lvl>
    <w:lvl w:ilvl="5" w:tentative="0">
      <w:start w:val="1"/>
      <w:numFmt w:val="lowerRoman"/>
      <w:suff w:val="space"/>
      <w:lvlText w:val="%6."/>
      <w:lvlJc w:val="right"/>
      <w:pPr>
        <w:tabs>
          <w:tab w:val="left" w:pos="2520"/>
        </w:tabs>
        <w:ind w:left="2520" w:hanging="420"/>
      </w:pPr>
    </w:lvl>
    <w:lvl w:ilvl="6" w:tentative="0">
      <w:start w:val="1"/>
      <w:numFmt w:val="decimal"/>
      <w:suff w:val="space"/>
      <w:lvlText w:val="%7."/>
      <w:lvlJc w:val="left"/>
      <w:pPr>
        <w:tabs>
          <w:tab w:val="left" w:pos="2940"/>
        </w:tabs>
        <w:ind w:left="2940" w:hanging="420"/>
      </w:pPr>
    </w:lvl>
    <w:lvl w:ilvl="7" w:tentative="0">
      <w:start w:val="1"/>
      <w:numFmt w:val="lowerLetter"/>
      <w:suff w:val="space"/>
      <w:lvlText w:val="%8)"/>
      <w:lvlJc w:val="left"/>
      <w:pPr>
        <w:tabs>
          <w:tab w:val="left" w:pos="3360"/>
        </w:tabs>
        <w:ind w:left="3360" w:hanging="420"/>
      </w:pPr>
    </w:lvl>
    <w:lvl w:ilvl="8" w:tentative="0">
      <w:start w:val="1"/>
      <w:numFmt w:val="lowerRoman"/>
      <w:suff w:val="space"/>
      <w:lvlText w:val="%9."/>
      <w:lvlJc w:val="right"/>
      <w:pPr>
        <w:tabs>
          <w:tab w:val="left" w:pos="3780"/>
        </w:tabs>
        <w:ind w:left="3780" w:hanging="420"/>
      </w:pPr>
    </w:lvl>
  </w:abstractNum>
  <w:abstractNum w:abstractNumId="5">
    <w:nsid w:val="0053208E"/>
    <w:multiLevelType w:val="multilevel"/>
    <w:tmpl w:val="0053208E"/>
    <w:lvl w:ilvl="0" w:tentative="0">
      <w:start w:val="3"/>
      <w:numFmt w:val="decimal"/>
      <w:pStyle w:val="426"/>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6">
    <w:nsid w:val="0248C179"/>
    <w:multiLevelType w:val="multilevel"/>
    <w:tmpl w:val="0248C179"/>
    <w:lvl w:ilvl="0" w:tentative="0">
      <w:start w:val="2"/>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7">
    <w:nsid w:val="03D62ECE"/>
    <w:multiLevelType w:val="multilevel"/>
    <w:tmpl w:val="03D62ECE"/>
    <w:lvl w:ilvl="0" w:tentative="0">
      <w:start w:val="2"/>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8">
    <w:nsid w:val="25B654F3"/>
    <w:multiLevelType w:val="multilevel"/>
    <w:tmpl w:val="25B654F3"/>
    <w:lvl w:ilvl="0" w:tentative="0">
      <w:start w:val="4"/>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9">
    <w:nsid w:val="2A8F537B"/>
    <w:multiLevelType w:val="multilevel"/>
    <w:tmpl w:val="2A8F537B"/>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10">
    <w:nsid w:val="59ADCABA"/>
    <w:multiLevelType w:val="multilevel"/>
    <w:tmpl w:val="59ADCABA"/>
    <w:lvl w:ilvl="0" w:tentative="0">
      <w:start w:val="3"/>
      <w:numFmt w:val="chineseCounting"/>
      <w:lvlText w:val="第%1章"/>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11">
    <w:nsid w:val="5A241D34"/>
    <w:multiLevelType w:val="multilevel"/>
    <w:tmpl w:val="5A241D34"/>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12">
    <w:nsid w:val="72183CF9"/>
    <w:multiLevelType w:val="multilevel"/>
    <w:tmpl w:val="72183CF9"/>
    <w:lvl w:ilvl="0" w:tentative="0">
      <w:start w:val="10"/>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num w:numId="1">
    <w:abstractNumId w:val="5"/>
  </w:num>
  <w:num w:numId="2">
    <w:abstractNumId w:val="4"/>
  </w:num>
  <w:num w:numId="3">
    <w:abstractNumId w:val="10"/>
  </w:num>
  <w:num w:numId="4">
    <w:abstractNumId w:val="2"/>
  </w:num>
  <w:num w:numId="5">
    <w:abstractNumId w:val="1"/>
  </w:num>
  <w:num w:numId="6">
    <w:abstractNumId w:val="7"/>
  </w:num>
  <w:num w:numId="7">
    <w:abstractNumId w:val="8"/>
  </w:num>
  <w:num w:numId="8">
    <w:abstractNumId w:val="12"/>
  </w:num>
  <w:num w:numId="9">
    <w:abstractNumId w:val="6"/>
  </w:num>
  <w:num w:numId="10">
    <w:abstractNumId w:val="0"/>
  </w:num>
  <w:num w:numId="11">
    <w:abstractNumId w:val="9"/>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characterSpacingControl w:val="doNotCompress"/>
  <w:footnotePr>
    <w:footnote w:id="0"/>
    <w:footnote w:id="1"/>
  </w:footnotePr>
  <w:endnotePr>
    <w:endnote w:id="0"/>
    <w:endnote w:id="1"/>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035CDA"/>
    <w:rsid w:val="17DB6F9B"/>
    <w:rsid w:val="28DC4628"/>
    <w:rsid w:val="5B151C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78"/>
    <w:qFormat/>
    <w:uiPriority w:val="0"/>
    <w:pPr>
      <w:spacing w:line="360" w:lineRule="auto"/>
      <w:ind w:firstLine="200"/>
      <w:jc w:val="both"/>
    </w:pPr>
    <w:rPr>
      <w:rFonts w:hint="default" w:ascii="Times New Roman" w:hAnsi="Times New Roman" w:eastAsia="宋体" w:cs="Times New Roman"/>
      <w:sz w:val="24"/>
      <w:lang w:val="en-US" w:eastAsia="zh-CN" w:bidi="ar-SA"/>
    </w:rPr>
  </w:style>
  <w:style w:type="paragraph" w:styleId="3">
    <w:name w:val="heading 1"/>
    <w:basedOn w:val="1"/>
    <w:next w:val="1"/>
    <w:link w:val="38"/>
    <w:qFormat/>
    <w:uiPriority w:val="9"/>
    <w:pPr>
      <w:keepNext/>
      <w:keepLines/>
      <w:spacing w:before="480" w:after="200"/>
      <w:outlineLvl w:val="0"/>
    </w:pPr>
    <w:rPr>
      <w:rFonts w:ascii="等线" w:hAnsi="等线" w:eastAsia="等线" w:cs="等线"/>
      <w:sz w:val="40"/>
      <w:szCs w:val="40"/>
    </w:rPr>
  </w:style>
  <w:style w:type="paragraph" w:styleId="4">
    <w:name w:val="heading 2"/>
    <w:basedOn w:val="1"/>
    <w:next w:val="1"/>
    <w:link w:val="39"/>
    <w:unhideWhenUsed/>
    <w:qFormat/>
    <w:uiPriority w:val="9"/>
    <w:pPr>
      <w:keepNext/>
      <w:keepLines/>
      <w:spacing w:before="360" w:after="200"/>
      <w:outlineLvl w:val="1"/>
    </w:pPr>
    <w:rPr>
      <w:rFonts w:ascii="等线" w:hAnsi="等线" w:eastAsia="等线" w:cs="等线"/>
      <w:sz w:val="34"/>
    </w:rPr>
  </w:style>
  <w:style w:type="paragraph" w:styleId="5">
    <w:name w:val="heading 3"/>
    <w:basedOn w:val="1"/>
    <w:next w:val="1"/>
    <w:link w:val="40"/>
    <w:unhideWhenUsed/>
    <w:qFormat/>
    <w:uiPriority w:val="9"/>
    <w:pPr>
      <w:keepNext/>
      <w:keepLines/>
      <w:spacing w:before="320" w:after="200"/>
      <w:outlineLvl w:val="2"/>
    </w:pPr>
    <w:rPr>
      <w:rFonts w:ascii="等线" w:hAnsi="等线" w:eastAsia="等线" w:cs="等线"/>
      <w:sz w:val="30"/>
      <w:szCs w:val="30"/>
    </w:rPr>
  </w:style>
  <w:style w:type="paragraph" w:styleId="6">
    <w:name w:val="heading 4"/>
    <w:basedOn w:val="1"/>
    <w:next w:val="1"/>
    <w:link w:val="41"/>
    <w:unhideWhenUsed/>
    <w:qFormat/>
    <w:uiPriority w:val="9"/>
    <w:pPr>
      <w:keepNext/>
      <w:keepLines/>
      <w:spacing w:before="320" w:after="200"/>
      <w:outlineLvl w:val="3"/>
    </w:pPr>
    <w:rPr>
      <w:rFonts w:ascii="等线" w:hAnsi="等线" w:eastAsia="等线" w:cs="等线"/>
      <w:b/>
      <w:bCs/>
      <w:sz w:val="26"/>
      <w:szCs w:val="26"/>
    </w:rPr>
  </w:style>
  <w:style w:type="paragraph" w:styleId="7">
    <w:name w:val="heading 5"/>
    <w:basedOn w:val="1"/>
    <w:next w:val="1"/>
    <w:link w:val="42"/>
    <w:unhideWhenUsed/>
    <w:qFormat/>
    <w:uiPriority w:val="9"/>
    <w:pPr>
      <w:keepNext/>
      <w:keepLines/>
      <w:spacing w:before="320" w:after="200"/>
      <w:outlineLvl w:val="4"/>
    </w:pPr>
    <w:rPr>
      <w:rFonts w:ascii="等线" w:hAnsi="等线" w:eastAsia="等线" w:cs="等线"/>
      <w:b/>
      <w:bCs/>
      <w:sz w:val="24"/>
      <w:szCs w:val="24"/>
    </w:rPr>
  </w:style>
  <w:style w:type="paragraph" w:styleId="8">
    <w:name w:val="heading 6"/>
    <w:basedOn w:val="1"/>
    <w:next w:val="1"/>
    <w:link w:val="43"/>
    <w:unhideWhenUsed/>
    <w:qFormat/>
    <w:uiPriority w:val="9"/>
    <w:pPr>
      <w:keepNext/>
      <w:keepLines/>
      <w:spacing w:before="320" w:after="200"/>
      <w:outlineLvl w:val="5"/>
    </w:pPr>
    <w:rPr>
      <w:rFonts w:ascii="等线" w:hAnsi="等线" w:eastAsia="等线" w:cs="等线"/>
      <w:b/>
      <w:bCs/>
      <w:sz w:val="22"/>
      <w:szCs w:val="22"/>
    </w:rPr>
  </w:style>
  <w:style w:type="paragraph" w:styleId="9">
    <w:name w:val="heading 7"/>
    <w:basedOn w:val="1"/>
    <w:next w:val="1"/>
    <w:link w:val="44"/>
    <w:unhideWhenUsed/>
    <w:qFormat/>
    <w:uiPriority w:val="9"/>
    <w:pPr>
      <w:keepNext/>
      <w:keepLines/>
      <w:spacing w:before="320" w:after="200"/>
      <w:outlineLvl w:val="6"/>
    </w:pPr>
    <w:rPr>
      <w:rFonts w:ascii="等线" w:hAnsi="等线" w:eastAsia="等线" w:cs="等线"/>
      <w:b/>
      <w:bCs/>
      <w:i/>
      <w:iCs/>
      <w:sz w:val="22"/>
      <w:szCs w:val="22"/>
    </w:rPr>
  </w:style>
  <w:style w:type="paragraph" w:styleId="10">
    <w:name w:val="heading 8"/>
    <w:basedOn w:val="1"/>
    <w:next w:val="1"/>
    <w:link w:val="45"/>
    <w:unhideWhenUsed/>
    <w:qFormat/>
    <w:uiPriority w:val="9"/>
    <w:pPr>
      <w:keepNext/>
      <w:keepLines/>
      <w:spacing w:before="320" w:after="200"/>
      <w:outlineLvl w:val="7"/>
    </w:pPr>
    <w:rPr>
      <w:rFonts w:ascii="等线" w:hAnsi="等线" w:eastAsia="等线" w:cs="等线"/>
      <w:i/>
      <w:iCs/>
      <w:sz w:val="22"/>
      <w:szCs w:val="22"/>
    </w:rPr>
  </w:style>
  <w:style w:type="paragraph" w:styleId="11">
    <w:name w:val="heading 9"/>
    <w:basedOn w:val="1"/>
    <w:next w:val="1"/>
    <w:link w:val="46"/>
    <w:unhideWhenUsed/>
    <w:qFormat/>
    <w:uiPriority w:val="9"/>
    <w:pPr>
      <w:keepNext/>
      <w:keepLines/>
      <w:spacing w:before="320" w:after="200"/>
      <w:outlineLvl w:val="8"/>
    </w:pPr>
    <w:rPr>
      <w:rFonts w:ascii="等线" w:hAnsi="等线" w:eastAsia="等线" w:cs="等线"/>
      <w:i/>
      <w:iCs/>
      <w:sz w:val="21"/>
      <w:szCs w:val="21"/>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2">
    <w:name w:val="纯文本1"/>
    <w:basedOn w:val="1"/>
    <w:link w:val="197"/>
    <w:qFormat/>
    <w:uiPriority w:val="0"/>
    <w:rPr>
      <w:rFonts w:ascii="宋体" w:hAnsi="Courier New" w:cs="Courier New"/>
      <w:sz w:val="21"/>
      <w:szCs w:val="21"/>
    </w:rPr>
  </w:style>
  <w:style w:type="paragraph" w:styleId="12">
    <w:name w:val="toc 7"/>
    <w:basedOn w:val="1"/>
    <w:next w:val="1"/>
    <w:unhideWhenUsed/>
    <w:qFormat/>
    <w:uiPriority w:val="39"/>
    <w:pPr>
      <w:spacing w:after="57"/>
      <w:ind w:left="1701" w:right="0" w:firstLine="0"/>
    </w:pPr>
  </w:style>
  <w:style w:type="paragraph" w:styleId="13">
    <w:name w:val="Normal Indent"/>
    <w:basedOn w:val="1"/>
    <w:qFormat/>
    <w:uiPriority w:val="0"/>
    <w:pPr>
      <w:widowControl w:val="0"/>
      <w:spacing w:line="240" w:lineRule="auto"/>
      <w:ind w:firstLine="420"/>
    </w:pPr>
    <w:rPr>
      <w:sz w:val="21"/>
      <w:szCs w:val="21"/>
    </w:rPr>
  </w:style>
  <w:style w:type="paragraph" w:styleId="14">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5">
    <w:name w:val="Body Text Indent"/>
    <w:basedOn w:val="1"/>
    <w:qFormat/>
    <w:uiPriority w:val="0"/>
    <w:pPr>
      <w:widowControl w:val="0"/>
      <w:spacing w:line="240" w:lineRule="auto"/>
      <w:ind w:firstLine="480"/>
    </w:pPr>
    <w:rPr>
      <w:rFonts w:ascii="宋体" w:hAnsi="宋体" w:eastAsia="Times New Roman"/>
      <w:szCs w:val="24"/>
    </w:rPr>
  </w:style>
  <w:style w:type="paragraph" w:styleId="16">
    <w:name w:val="toc 5"/>
    <w:basedOn w:val="1"/>
    <w:next w:val="1"/>
    <w:unhideWhenUsed/>
    <w:qFormat/>
    <w:uiPriority w:val="39"/>
    <w:pPr>
      <w:spacing w:after="57"/>
      <w:ind w:left="1134" w:right="0" w:firstLine="0"/>
    </w:pPr>
  </w:style>
  <w:style w:type="paragraph" w:styleId="17">
    <w:name w:val="toc 3"/>
    <w:basedOn w:val="1"/>
    <w:next w:val="1"/>
    <w:unhideWhenUsed/>
    <w:qFormat/>
    <w:uiPriority w:val="39"/>
    <w:pPr>
      <w:spacing w:after="57"/>
      <w:ind w:left="567" w:right="0" w:firstLine="0"/>
    </w:pPr>
  </w:style>
  <w:style w:type="paragraph" w:styleId="18">
    <w:name w:val="Plain Text"/>
    <w:basedOn w:val="1"/>
    <w:uiPriority w:val="0"/>
    <w:pPr>
      <w:widowControl w:val="0"/>
      <w:spacing w:line="240" w:lineRule="auto"/>
      <w:ind w:firstLine="0"/>
      <w:jc w:val="center"/>
    </w:pPr>
    <w:rPr>
      <w:rFonts w:ascii="宋体" w:hAnsi="Courier New"/>
    </w:rPr>
  </w:style>
  <w:style w:type="paragraph" w:styleId="19">
    <w:name w:val="toc 8"/>
    <w:basedOn w:val="1"/>
    <w:next w:val="1"/>
    <w:unhideWhenUsed/>
    <w:qFormat/>
    <w:uiPriority w:val="39"/>
    <w:pPr>
      <w:spacing w:after="57"/>
      <w:ind w:left="1984" w:right="0" w:firstLine="0"/>
    </w:pPr>
  </w:style>
  <w:style w:type="paragraph" w:styleId="20">
    <w:name w:val="endnote text"/>
    <w:basedOn w:val="1"/>
    <w:link w:val="184"/>
    <w:semiHidden/>
    <w:unhideWhenUsed/>
    <w:qFormat/>
    <w:uiPriority w:val="99"/>
    <w:pPr>
      <w:spacing w:after="0" w:line="240" w:lineRule="auto"/>
    </w:pPr>
    <w:rPr>
      <w:sz w:val="20"/>
    </w:rPr>
  </w:style>
  <w:style w:type="paragraph" w:styleId="21">
    <w:name w:val="footer"/>
    <w:basedOn w:val="1"/>
    <w:link w:val="57"/>
    <w:unhideWhenUsed/>
    <w:qFormat/>
    <w:uiPriority w:val="99"/>
    <w:pPr>
      <w:tabs>
        <w:tab w:val="center" w:pos="7143"/>
        <w:tab w:val="right" w:pos="14287"/>
      </w:tabs>
      <w:spacing w:after="0" w:line="240" w:lineRule="auto"/>
    </w:pPr>
  </w:style>
  <w:style w:type="paragraph" w:styleId="22">
    <w:name w:val="header"/>
    <w:basedOn w:val="1"/>
    <w:link w:val="55"/>
    <w:unhideWhenUsed/>
    <w:qFormat/>
    <w:uiPriority w:val="99"/>
    <w:pPr>
      <w:tabs>
        <w:tab w:val="center" w:pos="7143"/>
        <w:tab w:val="right" w:pos="14287"/>
      </w:tabs>
      <w:spacing w:after="0" w:line="240" w:lineRule="auto"/>
    </w:pPr>
  </w:style>
  <w:style w:type="paragraph" w:styleId="23">
    <w:name w:val="toc 1"/>
    <w:basedOn w:val="1"/>
    <w:next w:val="1"/>
    <w:unhideWhenUsed/>
    <w:qFormat/>
    <w:uiPriority w:val="39"/>
    <w:pPr>
      <w:spacing w:after="57"/>
      <w:ind w:left="0" w:right="0" w:firstLine="0"/>
    </w:pPr>
  </w:style>
  <w:style w:type="paragraph" w:styleId="24">
    <w:name w:val="toc 4"/>
    <w:basedOn w:val="1"/>
    <w:next w:val="1"/>
    <w:unhideWhenUsed/>
    <w:qFormat/>
    <w:uiPriority w:val="39"/>
    <w:pPr>
      <w:spacing w:after="57"/>
      <w:ind w:left="850" w:right="0" w:firstLine="0"/>
    </w:pPr>
  </w:style>
  <w:style w:type="paragraph" w:styleId="25">
    <w:name w:val="Subtitle"/>
    <w:basedOn w:val="1"/>
    <w:next w:val="1"/>
    <w:link w:val="50"/>
    <w:qFormat/>
    <w:uiPriority w:val="11"/>
    <w:pPr>
      <w:spacing w:before="200" w:after="200"/>
    </w:pPr>
    <w:rPr>
      <w:sz w:val="24"/>
      <w:szCs w:val="24"/>
    </w:rPr>
  </w:style>
  <w:style w:type="paragraph" w:styleId="26">
    <w:name w:val="footnote text"/>
    <w:basedOn w:val="1"/>
    <w:link w:val="183"/>
    <w:semiHidden/>
    <w:unhideWhenUsed/>
    <w:qFormat/>
    <w:uiPriority w:val="99"/>
    <w:pPr>
      <w:spacing w:after="40" w:line="240" w:lineRule="auto"/>
    </w:pPr>
    <w:rPr>
      <w:sz w:val="18"/>
    </w:rPr>
  </w:style>
  <w:style w:type="paragraph" w:styleId="27">
    <w:name w:val="toc 6"/>
    <w:basedOn w:val="1"/>
    <w:next w:val="1"/>
    <w:unhideWhenUsed/>
    <w:qFormat/>
    <w:uiPriority w:val="39"/>
    <w:pPr>
      <w:spacing w:after="57"/>
      <w:ind w:left="1417" w:right="0" w:firstLine="0"/>
    </w:pPr>
  </w:style>
  <w:style w:type="paragraph" w:styleId="28">
    <w:name w:val="table of figures"/>
    <w:basedOn w:val="1"/>
    <w:next w:val="1"/>
    <w:unhideWhenUsed/>
    <w:qFormat/>
    <w:uiPriority w:val="99"/>
    <w:pPr>
      <w:spacing w:after="0" w:afterAutospacing="0"/>
    </w:pPr>
  </w:style>
  <w:style w:type="paragraph" w:styleId="29">
    <w:name w:val="toc 2"/>
    <w:basedOn w:val="1"/>
    <w:next w:val="1"/>
    <w:unhideWhenUsed/>
    <w:qFormat/>
    <w:uiPriority w:val="39"/>
    <w:pPr>
      <w:spacing w:after="57"/>
      <w:ind w:left="283" w:right="0" w:firstLine="0"/>
    </w:pPr>
  </w:style>
  <w:style w:type="paragraph" w:styleId="30">
    <w:name w:val="toc 9"/>
    <w:basedOn w:val="1"/>
    <w:next w:val="1"/>
    <w:unhideWhenUsed/>
    <w:qFormat/>
    <w:uiPriority w:val="39"/>
    <w:pPr>
      <w:spacing w:after="57"/>
      <w:ind w:left="2268" w:right="0" w:firstLine="0"/>
    </w:pPr>
  </w:style>
  <w:style w:type="paragraph" w:styleId="31">
    <w:name w:val="Title"/>
    <w:basedOn w:val="1"/>
    <w:next w:val="1"/>
    <w:link w:val="49"/>
    <w:qFormat/>
    <w:uiPriority w:val="10"/>
    <w:pPr>
      <w:spacing w:before="300" w:after="200"/>
      <w:contextualSpacing/>
    </w:pPr>
    <w:rPr>
      <w:sz w:val="48"/>
      <w:szCs w:val="48"/>
    </w:rPr>
  </w:style>
  <w:style w:type="table" w:styleId="33">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styleId="35">
    <w:name w:val="endnote reference"/>
    <w:semiHidden/>
    <w:unhideWhenUsed/>
    <w:qFormat/>
    <w:uiPriority w:val="99"/>
    <w:rPr>
      <w:vertAlign w:val="superscript"/>
    </w:rPr>
  </w:style>
  <w:style w:type="character" w:styleId="36">
    <w:name w:val="Hyperlink"/>
    <w:unhideWhenUsed/>
    <w:qFormat/>
    <w:uiPriority w:val="99"/>
    <w:rPr>
      <w:color w:val="0000FF" w:themeColor="hyperlink"/>
      <w:u w:val="single"/>
      <w14:textFill>
        <w14:solidFill>
          <w14:schemeClr w14:val="hlink"/>
        </w14:solidFill>
      </w14:textFill>
    </w:rPr>
  </w:style>
  <w:style w:type="character" w:styleId="37">
    <w:name w:val="footnote reference"/>
    <w:unhideWhenUsed/>
    <w:qFormat/>
    <w:uiPriority w:val="99"/>
    <w:rPr>
      <w:vertAlign w:val="superscript"/>
    </w:rPr>
  </w:style>
  <w:style w:type="character" w:customStyle="1" w:styleId="38">
    <w:name w:val="Heading 1 Char"/>
    <w:link w:val="3"/>
    <w:uiPriority w:val="9"/>
    <w:rPr>
      <w:rFonts w:ascii="等线" w:hAnsi="等线" w:eastAsia="等线" w:cs="等线"/>
      <w:sz w:val="40"/>
      <w:szCs w:val="40"/>
    </w:rPr>
  </w:style>
  <w:style w:type="character" w:customStyle="1" w:styleId="39">
    <w:name w:val="Heading 2 Char"/>
    <w:link w:val="4"/>
    <w:qFormat/>
    <w:uiPriority w:val="9"/>
    <w:rPr>
      <w:rFonts w:ascii="等线" w:hAnsi="等线" w:eastAsia="等线" w:cs="等线"/>
      <w:sz w:val="34"/>
    </w:rPr>
  </w:style>
  <w:style w:type="character" w:customStyle="1" w:styleId="40">
    <w:name w:val="Heading 3 Char"/>
    <w:link w:val="5"/>
    <w:qFormat/>
    <w:uiPriority w:val="9"/>
    <w:rPr>
      <w:rFonts w:ascii="等线" w:hAnsi="等线" w:eastAsia="等线" w:cs="等线"/>
      <w:sz w:val="30"/>
      <w:szCs w:val="30"/>
    </w:rPr>
  </w:style>
  <w:style w:type="character" w:customStyle="1" w:styleId="41">
    <w:name w:val="Heading 4 Char"/>
    <w:link w:val="6"/>
    <w:qFormat/>
    <w:uiPriority w:val="9"/>
    <w:rPr>
      <w:rFonts w:ascii="等线" w:hAnsi="等线" w:eastAsia="等线" w:cs="等线"/>
      <w:b/>
      <w:bCs/>
      <w:sz w:val="26"/>
      <w:szCs w:val="26"/>
    </w:rPr>
  </w:style>
  <w:style w:type="character" w:customStyle="1" w:styleId="42">
    <w:name w:val="Heading 5 Char"/>
    <w:link w:val="7"/>
    <w:qFormat/>
    <w:uiPriority w:val="9"/>
    <w:rPr>
      <w:rFonts w:ascii="等线" w:hAnsi="等线" w:eastAsia="等线" w:cs="等线"/>
      <w:b/>
      <w:bCs/>
      <w:sz w:val="24"/>
      <w:szCs w:val="24"/>
    </w:rPr>
  </w:style>
  <w:style w:type="character" w:customStyle="1" w:styleId="43">
    <w:name w:val="Heading 6 Char"/>
    <w:link w:val="8"/>
    <w:qFormat/>
    <w:uiPriority w:val="9"/>
    <w:rPr>
      <w:rFonts w:ascii="等线" w:hAnsi="等线" w:eastAsia="等线" w:cs="等线"/>
      <w:b/>
      <w:bCs/>
      <w:sz w:val="22"/>
      <w:szCs w:val="22"/>
    </w:rPr>
  </w:style>
  <w:style w:type="character" w:customStyle="1" w:styleId="44">
    <w:name w:val="Heading 7 Char"/>
    <w:link w:val="9"/>
    <w:qFormat/>
    <w:uiPriority w:val="9"/>
    <w:rPr>
      <w:rFonts w:ascii="等线" w:hAnsi="等线" w:eastAsia="等线" w:cs="等线"/>
      <w:b/>
      <w:bCs/>
      <w:i/>
      <w:iCs/>
      <w:sz w:val="22"/>
      <w:szCs w:val="22"/>
    </w:rPr>
  </w:style>
  <w:style w:type="character" w:customStyle="1" w:styleId="45">
    <w:name w:val="Heading 8 Char"/>
    <w:link w:val="10"/>
    <w:qFormat/>
    <w:uiPriority w:val="9"/>
    <w:rPr>
      <w:rFonts w:ascii="等线" w:hAnsi="等线" w:eastAsia="等线" w:cs="等线"/>
      <w:i/>
      <w:iCs/>
      <w:sz w:val="22"/>
      <w:szCs w:val="22"/>
    </w:rPr>
  </w:style>
  <w:style w:type="character" w:customStyle="1" w:styleId="46">
    <w:name w:val="Heading 9 Char"/>
    <w:link w:val="11"/>
    <w:qFormat/>
    <w:uiPriority w:val="9"/>
    <w:rPr>
      <w:rFonts w:ascii="等线" w:hAnsi="等线" w:eastAsia="等线" w:cs="等线"/>
      <w:i/>
      <w:iCs/>
      <w:sz w:val="21"/>
      <w:szCs w:val="21"/>
    </w:rPr>
  </w:style>
  <w:style w:type="paragraph" w:styleId="47">
    <w:name w:val="List Paragraph"/>
    <w:basedOn w:val="1"/>
    <w:qFormat/>
    <w:uiPriority w:val="34"/>
    <w:pPr>
      <w:ind w:left="720"/>
      <w:contextualSpacing/>
    </w:pPr>
  </w:style>
  <w:style w:type="paragraph" w:styleId="48">
    <w:name w:val="No Spacing"/>
    <w:qFormat/>
    <w:uiPriority w:val="1"/>
    <w:pPr>
      <w:spacing w:before="0" w:after="0" w:line="240" w:lineRule="auto"/>
    </w:pPr>
    <w:rPr>
      <w:rFonts w:hint="default" w:ascii="Times New Roman" w:hAnsi="Times New Roman" w:eastAsia="宋体" w:cs="Times New Roman"/>
    </w:rPr>
  </w:style>
  <w:style w:type="character" w:customStyle="1" w:styleId="49">
    <w:name w:val="Title Char"/>
    <w:link w:val="31"/>
    <w:qFormat/>
    <w:uiPriority w:val="10"/>
    <w:rPr>
      <w:sz w:val="48"/>
      <w:szCs w:val="48"/>
    </w:rPr>
  </w:style>
  <w:style w:type="character" w:customStyle="1" w:styleId="50">
    <w:name w:val="Subtitle Char"/>
    <w:link w:val="25"/>
    <w:qFormat/>
    <w:uiPriority w:val="11"/>
    <w:rPr>
      <w:sz w:val="24"/>
      <w:szCs w:val="24"/>
    </w:rPr>
  </w:style>
  <w:style w:type="paragraph" w:styleId="51">
    <w:name w:val="Quote"/>
    <w:basedOn w:val="1"/>
    <w:next w:val="1"/>
    <w:link w:val="52"/>
    <w:qFormat/>
    <w:uiPriority w:val="29"/>
    <w:pPr>
      <w:ind w:left="720" w:right="720"/>
    </w:pPr>
    <w:rPr>
      <w:i/>
    </w:rPr>
  </w:style>
  <w:style w:type="character" w:customStyle="1" w:styleId="52">
    <w:name w:val="Quote Char"/>
    <w:link w:val="51"/>
    <w:qFormat/>
    <w:uiPriority w:val="29"/>
    <w:rPr>
      <w:i/>
    </w:rPr>
  </w:style>
  <w:style w:type="paragraph" w:styleId="53">
    <w:name w:val="Intense Quote"/>
    <w:basedOn w:val="1"/>
    <w:next w:val="1"/>
    <w:link w:val="54"/>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4">
    <w:name w:val="Intense Quote Char"/>
    <w:link w:val="53"/>
    <w:qFormat/>
    <w:uiPriority w:val="30"/>
    <w:rPr>
      <w:i/>
    </w:rPr>
  </w:style>
  <w:style w:type="character" w:customStyle="1" w:styleId="55">
    <w:name w:val="Header Char"/>
    <w:link w:val="22"/>
    <w:qFormat/>
    <w:uiPriority w:val="99"/>
  </w:style>
  <w:style w:type="character" w:customStyle="1" w:styleId="56">
    <w:name w:val="Footer Char"/>
    <w:link w:val="21"/>
    <w:qFormat/>
    <w:uiPriority w:val="99"/>
  </w:style>
  <w:style w:type="character" w:customStyle="1" w:styleId="57">
    <w:name w:val="Caption Char"/>
    <w:link w:val="21"/>
    <w:qFormat/>
    <w:uiPriority w:val="99"/>
  </w:style>
  <w:style w:type="table" w:customStyle="1" w:styleId="58">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59">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2Vert"/>
    <w:tblStylePr w:type="band1Horz">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60">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61">
    <w:name w:val="Plain Table 3"/>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62">
    <w:name w:val="Plain Table 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63">
    <w:name w:val="Plain Table 5"/>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64">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StylePr w:type="neCell"/>
    <w:tblStylePr w:type="nwCell"/>
    <w:tblStylePr w:type="seCell"/>
    <w:tblStylePr w:type="swCell"/>
  </w:style>
  <w:style w:type="table" w:customStyle="1" w:styleId="65">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66">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67">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68">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69">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70">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table" w:customStyle="1" w:styleId="71">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72">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73">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74">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75">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6">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7">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78">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79">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80">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81">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82">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83">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84">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85">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86">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2Vert"/>
    <w:tblStylePr w:type="band1Horz">
      <w:rPr>
        <w:rFonts w:ascii="Arial" w:hAnsi="Arial"/>
        <w:color w:val="404040"/>
        <w:sz w:val="22"/>
      </w:rPr>
      <w:tcPr>
        <w:shd w:val="clear" w:color="DCE6F2" w:themeColor="accent1" w:themeTint="32" w:fill="DCE6F2" w:themeFill="accent1" w:themeFillTint="32"/>
      </w:tcPr>
    </w:tblStylePr>
    <w:tblStylePr w:type="band2Horz"/>
    <w:tblStylePr w:type="neCell"/>
    <w:tblStylePr w:type="nwCell"/>
    <w:tblStylePr w:type="seCell"/>
    <w:tblStylePr w:type="swCell"/>
  </w:style>
  <w:style w:type="table" w:customStyle="1" w:styleId="87">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88">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89">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90">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91">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92">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2Vert"/>
    <w:tblStylePr w:type="band1Horz">
      <w:tcPr>
        <w:shd w:val="clear" w:color="898989" w:themeColor="text1" w:themeTint="75" w:fill="898989" w:themeFill="text1" w:themeFillTint="75"/>
      </w:tcPr>
    </w:tblStylePr>
    <w:tblStylePr w:type="band2Horz"/>
    <w:tblStylePr w:type="neCell"/>
    <w:tblStylePr w:type="nwCell"/>
    <w:tblStylePr w:type="seCell"/>
    <w:tblStylePr w:type="swCell"/>
  </w:style>
  <w:style w:type="table" w:customStyle="1" w:styleId="93">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2Vert"/>
    <w:tblStylePr w:type="band1Horz">
      <w:tcPr>
        <w:shd w:val="clear" w:color="AEC5E0" w:themeColor="accent1" w:themeTint="75" w:fill="AEC5E0" w:themeFill="accent1" w:themeFillTint="75"/>
      </w:tcPr>
    </w:tblStylePr>
    <w:tblStylePr w:type="band2Horz"/>
    <w:tblStylePr w:type="neCell"/>
    <w:tblStylePr w:type="nwCell"/>
    <w:tblStylePr w:type="seCell"/>
    <w:tblStylePr w:type="swCell"/>
  </w:style>
  <w:style w:type="table" w:customStyle="1" w:styleId="94">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2Vert"/>
    <w:tblStylePr w:type="band1Horz">
      <w:tcPr>
        <w:shd w:val="clear" w:color="E2AEAD" w:themeColor="accent2" w:themeTint="75" w:fill="E2AEAD" w:themeFill="accent2" w:themeFillTint="75"/>
      </w:tcPr>
    </w:tblStylePr>
    <w:tblStylePr w:type="band2Horz"/>
    <w:tblStylePr w:type="neCell"/>
    <w:tblStylePr w:type="nwCell"/>
    <w:tblStylePr w:type="seCell"/>
    <w:tblStylePr w:type="swCell"/>
  </w:style>
  <w:style w:type="table" w:customStyle="1" w:styleId="95">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2Vert"/>
    <w:tblStylePr w:type="band1Horz">
      <w:tcPr>
        <w:shd w:val="clear" w:color="D1DFB2" w:themeColor="accent3" w:themeTint="75" w:fill="D1DFB2" w:themeFill="accent3" w:themeFillTint="75"/>
      </w:tcPr>
    </w:tblStylePr>
    <w:tblStylePr w:type="band2Horz"/>
    <w:tblStylePr w:type="neCell"/>
    <w:tblStylePr w:type="nwCell"/>
    <w:tblStylePr w:type="seCell"/>
    <w:tblStylePr w:type="swCell"/>
  </w:style>
  <w:style w:type="table" w:customStyle="1" w:styleId="96">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2Vert"/>
    <w:tblStylePr w:type="band1Horz">
      <w:tcPr>
        <w:shd w:val="clear" w:color="C4B7D4" w:themeColor="accent4" w:themeTint="75" w:fill="C4B7D4" w:themeFill="accent4" w:themeFillTint="75"/>
      </w:tcPr>
    </w:tblStylePr>
    <w:tblStylePr w:type="band2Horz"/>
    <w:tblStylePr w:type="neCell"/>
    <w:tblStylePr w:type="nwCell"/>
    <w:tblStylePr w:type="seCell"/>
    <w:tblStylePr w:type="swCell"/>
  </w:style>
  <w:style w:type="table" w:customStyle="1" w:styleId="97">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2Vert"/>
    <w:tblStylePr w:type="band1Horz">
      <w:tcPr>
        <w:shd w:val="clear" w:color="ACD8E4" w:themeColor="accent5" w:themeTint="75" w:fill="ACD8E4" w:themeFill="accent5" w:themeFillTint="75"/>
      </w:tcPr>
    </w:tblStylePr>
    <w:tblStylePr w:type="band2Horz"/>
    <w:tblStylePr w:type="neCell"/>
    <w:tblStylePr w:type="nwCell"/>
    <w:tblStylePr w:type="seCell"/>
    <w:tblStylePr w:type="swCell"/>
  </w:style>
  <w:style w:type="table" w:customStyle="1" w:styleId="98">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2Vert"/>
    <w:tblStylePr w:type="band1Horz">
      <w:tcPr>
        <w:shd w:val="clear" w:color="FBCEAA" w:themeColor="accent6" w:themeTint="75" w:fill="FBCEAA" w:themeFill="accent6" w:themeFillTint="75"/>
      </w:tcPr>
    </w:tblStylePr>
    <w:tblStylePr w:type="band2Horz"/>
    <w:tblStylePr w:type="neCell"/>
    <w:tblStylePr w:type="nwCell"/>
    <w:tblStylePr w:type="seCell"/>
    <w:tblStylePr w:type="swCell"/>
  </w:style>
  <w:style w:type="table" w:customStyle="1" w:styleId="99">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00">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101">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02">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103">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04">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05">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2Vert"/>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06">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07">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108">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09">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110">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11">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12">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2Vert"/>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tblStylePr w:type="neCell"/>
    <w:tblStylePr w:type="nwCell"/>
    <w:tblStylePr w:type="seCell"/>
    <w:tblStylePr w:type="swCell"/>
  </w:style>
  <w:style w:type="table" w:customStyle="1" w:styleId="113">
    <w:name w:val="List Table 1 Light"/>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2Vert"/>
    <w:tblStylePr w:type="band1Horz">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14">
    <w:name w:val="List Table 1 Light - Accent 1"/>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2Vert"/>
    <w:tblStylePr w:type="band1Horz">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15">
    <w:name w:val="List Table 1 Light - Accent 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2Vert"/>
    <w:tblStylePr w:type="band1Horz">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16">
    <w:name w:val="List Table 1 Light - Accent 3"/>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2Vert"/>
    <w:tblStylePr w:type="band1Horz">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17">
    <w:name w:val="List Table 1 Light - Accent 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2Vert"/>
    <w:tblStylePr w:type="band1Horz">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18">
    <w:name w:val="List Table 1 Light - Accent 5"/>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2Vert"/>
    <w:tblStylePr w:type="band1Horz">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19">
    <w:name w:val="List Table 1 Light - Accent 6"/>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2Vert"/>
    <w:tblStylePr w:type="band1Horz">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20">
    <w:name w:val="List Table 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21">
    <w:name w:val="List Table 2 - Accent 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22">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23">
    <w:name w:val="List Table 2 - Accent 3"/>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24">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25">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26">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27">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2Vert"/>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128">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2Vert"/>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2Horz"/>
    <w:tblStylePr w:type="neCell"/>
    <w:tblStylePr w:type="nwCell"/>
    <w:tblStylePr w:type="seCell"/>
    <w:tblStylePr w:type="swCell"/>
  </w:style>
  <w:style w:type="table" w:customStyle="1" w:styleId="129">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2Vert"/>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tblStylePr w:type="band2Horz"/>
    <w:tblStylePr w:type="neCell"/>
    <w:tblStylePr w:type="nwCell"/>
    <w:tblStylePr w:type="seCell"/>
    <w:tblStylePr w:type="swCell"/>
  </w:style>
  <w:style w:type="table" w:customStyle="1" w:styleId="130">
    <w:name w:val="List Table 3 - Accent 3"/>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2Vert"/>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tblStylePr w:type="band2Horz"/>
    <w:tblStylePr w:type="neCell"/>
    <w:tblStylePr w:type="nwCell"/>
    <w:tblStylePr w:type="seCell"/>
    <w:tblStylePr w:type="swCell"/>
  </w:style>
  <w:style w:type="table" w:customStyle="1" w:styleId="131">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2Vert"/>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2Horz"/>
    <w:tblStylePr w:type="neCell"/>
    <w:tblStylePr w:type="nwCell"/>
    <w:tblStylePr w:type="seCell"/>
    <w:tblStylePr w:type="swCell"/>
  </w:style>
  <w:style w:type="table" w:customStyle="1" w:styleId="132">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2Vert"/>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2Horz"/>
    <w:tblStylePr w:type="neCell"/>
    <w:tblStylePr w:type="nwCell"/>
    <w:tblStylePr w:type="seCell"/>
    <w:tblStylePr w:type="swCell"/>
  </w:style>
  <w:style w:type="table" w:customStyle="1" w:styleId="133">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2Vert"/>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2Horz"/>
    <w:tblStylePr w:type="neCell"/>
    <w:tblStylePr w:type="nwCell"/>
    <w:tblStylePr w:type="seCell"/>
    <w:tblStylePr w:type="swCell"/>
  </w:style>
  <w:style w:type="table" w:customStyle="1" w:styleId="134">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35">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36">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37">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38">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39">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40">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41">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StylePr w:type="nwCell"/>
    <w:tblStylePr w:type="seCell"/>
    <w:tblStylePr w:type="swCell"/>
  </w:style>
  <w:style w:type="table" w:customStyle="1" w:styleId="142">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tblStylePr w:type="neCell"/>
    <w:tblStylePr w:type="nwCell"/>
    <w:tblStylePr w:type="seCell"/>
    <w:tblStylePr w:type="swCell"/>
  </w:style>
  <w:style w:type="table" w:customStyle="1" w:styleId="143">
    <w:name w:val="List Table 5 Dark - Accent 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StylePr w:type="nwCell"/>
    <w:tblStylePr w:type="seCell"/>
    <w:tblStylePr w:type="swCell"/>
  </w:style>
  <w:style w:type="table" w:customStyle="1" w:styleId="144">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StylePr w:type="nwCell"/>
    <w:tblStylePr w:type="seCell"/>
    <w:tblStylePr w:type="swCell"/>
  </w:style>
  <w:style w:type="table" w:customStyle="1" w:styleId="145">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StylePr w:type="nwCell"/>
    <w:tblStylePr w:type="seCell"/>
    <w:tblStylePr w:type="swCell"/>
  </w:style>
  <w:style w:type="table" w:customStyle="1" w:styleId="146">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StylePr w:type="nwCell"/>
    <w:tblStylePr w:type="seCell"/>
    <w:tblStylePr w:type="swCell"/>
  </w:style>
  <w:style w:type="table" w:customStyle="1" w:styleId="147">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StylePr w:type="nwCell"/>
    <w:tblStylePr w:type="seCell"/>
    <w:tblStylePr w:type="swCell"/>
  </w:style>
  <w:style w:type="table" w:customStyle="1" w:styleId="148">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2Vert"/>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tblStylePr w:type="neCell"/>
    <w:tblStylePr w:type="nwCell"/>
    <w:tblStylePr w:type="seCell"/>
    <w:tblStylePr w:type="swCell"/>
  </w:style>
  <w:style w:type="table" w:customStyle="1" w:styleId="149">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50">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51">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52">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53">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54">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55">
    <w:name w:val="List Table 7 Colorful"/>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56">
    <w:name w:val="List Table 7 Colorful - Accent 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57">
    <w:name w:val="List Table 7 Colorful - Accent 2"/>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58">
    <w:name w:val="List Table 7 Colorful - Accent 3"/>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59">
    <w:name w:val="List Table 7 Colorful - Accent 4"/>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60">
    <w:name w:val="List Table 7 Colorful - Accent 5"/>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61">
    <w:name w:val="List Table 7 Colorful - Accent 6"/>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62">
    <w:name w:val="Lined - Accent"/>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63">
    <w:name w:val="Lined - Accent 1"/>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64">
    <w:name w:val="Lined - Accent 2"/>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65">
    <w:name w:val="Lined - Accent 3"/>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66">
    <w:name w:val="Lined - Accent 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67">
    <w:name w:val="Lined - Accent 5"/>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68">
    <w:name w:val="Lined - Accent 6"/>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69">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70">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71">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72">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73">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74">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75">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76">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Vert"/>
    <w:tblStylePr w:type="band2Vert"/>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StylePr w:type="neCell"/>
    <w:tblStylePr w:type="nwCell"/>
    <w:tblStylePr w:type="seCell"/>
    <w:tblStylePr w:type="swCell"/>
  </w:style>
  <w:style w:type="table" w:customStyle="1" w:styleId="177">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178">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179">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180">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181">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182">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character" w:customStyle="1" w:styleId="183">
    <w:name w:val="Footnote Text Char"/>
    <w:link w:val="26"/>
    <w:qFormat/>
    <w:uiPriority w:val="99"/>
    <w:rPr>
      <w:sz w:val="18"/>
    </w:rPr>
  </w:style>
  <w:style w:type="character" w:customStyle="1" w:styleId="184">
    <w:name w:val="Endnote Text Char"/>
    <w:link w:val="20"/>
    <w:qFormat/>
    <w:uiPriority w:val="99"/>
    <w:rPr>
      <w:sz w:val="20"/>
    </w:rPr>
  </w:style>
  <w:style w:type="paragraph" w:customStyle="1" w:styleId="185">
    <w:name w:val="TOC Heading"/>
    <w:unhideWhenUsed/>
    <w:qFormat/>
    <w:uiPriority w:val="39"/>
    <w:rPr>
      <w:rFonts w:hint="default" w:ascii="Times New Roman" w:hAnsi="Times New Roman" w:eastAsia="宋体" w:cs="Times New Roman"/>
    </w:rPr>
  </w:style>
  <w:style w:type="paragraph" w:customStyle="1" w:styleId="186">
    <w:name w:val="标题 11"/>
    <w:basedOn w:val="1"/>
    <w:next w:val="1"/>
    <w:link w:val="198"/>
    <w:qFormat/>
    <w:uiPriority w:val="0"/>
    <w:pPr>
      <w:keepNext/>
      <w:keepLines/>
      <w:jc w:val="center"/>
      <w:outlineLvl w:val="0"/>
    </w:pPr>
    <w:rPr>
      <w:rFonts w:eastAsia="黑体"/>
      <w:bCs/>
      <w:sz w:val="32"/>
      <w:szCs w:val="44"/>
    </w:rPr>
  </w:style>
  <w:style w:type="paragraph" w:customStyle="1" w:styleId="187">
    <w:name w:val="标题 21"/>
    <w:basedOn w:val="1"/>
    <w:next w:val="1"/>
    <w:link w:val="199"/>
    <w:qFormat/>
    <w:uiPriority w:val="0"/>
    <w:pPr>
      <w:keepNext/>
      <w:keepLines/>
      <w:ind w:firstLine="0"/>
      <w:contextualSpacing/>
      <w:outlineLvl w:val="1"/>
    </w:pPr>
    <w:rPr>
      <w:rFonts w:ascii="Arial" w:hAnsi="Arial" w:eastAsia="黑体"/>
      <w:bCs/>
      <w:sz w:val="30"/>
      <w:szCs w:val="32"/>
    </w:rPr>
  </w:style>
  <w:style w:type="paragraph" w:customStyle="1" w:styleId="188">
    <w:name w:val="标题 31"/>
    <w:basedOn w:val="1"/>
    <w:next w:val="1"/>
    <w:link w:val="200"/>
    <w:qFormat/>
    <w:uiPriority w:val="0"/>
    <w:pPr>
      <w:ind w:firstLine="0"/>
      <w:contextualSpacing/>
      <w:outlineLvl w:val="2"/>
    </w:pPr>
    <w:rPr>
      <w:rFonts w:eastAsia="黑体"/>
      <w:sz w:val="28"/>
      <w:szCs w:val="28"/>
    </w:rPr>
  </w:style>
  <w:style w:type="paragraph" w:customStyle="1" w:styleId="189">
    <w:name w:val="标题 41"/>
    <w:basedOn w:val="1"/>
    <w:next w:val="1"/>
    <w:link w:val="201"/>
    <w:qFormat/>
    <w:uiPriority w:val="0"/>
    <w:pPr>
      <w:keepNext/>
      <w:keepLines/>
      <w:spacing w:before="280" w:after="290" w:line="376" w:lineRule="auto"/>
      <w:outlineLvl w:val="3"/>
    </w:pPr>
    <w:rPr>
      <w:rFonts w:ascii="Arial" w:hAnsi="Arial" w:eastAsia="黑体"/>
      <w:b/>
      <w:bCs/>
      <w:sz w:val="28"/>
      <w:szCs w:val="28"/>
    </w:rPr>
  </w:style>
  <w:style w:type="paragraph" w:customStyle="1" w:styleId="190">
    <w:name w:val="标题 51"/>
    <w:basedOn w:val="1"/>
    <w:next w:val="1"/>
    <w:link w:val="202"/>
    <w:qFormat/>
    <w:uiPriority w:val="0"/>
    <w:pPr>
      <w:keepNext/>
      <w:keepLines/>
      <w:spacing w:before="280" w:after="290" w:line="376" w:lineRule="auto"/>
      <w:outlineLvl w:val="4"/>
    </w:pPr>
    <w:rPr>
      <w:b/>
      <w:bCs/>
      <w:sz w:val="28"/>
      <w:szCs w:val="28"/>
    </w:rPr>
  </w:style>
  <w:style w:type="paragraph" w:customStyle="1" w:styleId="191">
    <w:name w:val="标题 61"/>
    <w:basedOn w:val="1"/>
    <w:next w:val="1"/>
    <w:link w:val="203"/>
    <w:qFormat/>
    <w:uiPriority w:val="0"/>
    <w:pPr>
      <w:keepNext/>
      <w:keepLines/>
      <w:spacing w:before="240" w:after="64" w:line="320" w:lineRule="auto"/>
      <w:outlineLvl w:val="5"/>
    </w:pPr>
    <w:rPr>
      <w:rFonts w:ascii="Arial" w:hAnsi="Arial" w:eastAsia="黑体"/>
      <w:b/>
      <w:bCs/>
      <w:szCs w:val="24"/>
    </w:rPr>
  </w:style>
  <w:style w:type="paragraph" w:customStyle="1" w:styleId="192">
    <w:name w:val="标题 71"/>
    <w:basedOn w:val="1"/>
    <w:next w:val="1"/>
    <w:link w:val="204"/>
    <w:qFormat/>
    <w:uiPriority w:val="0"/>
    <w:pPr>
      <w:keepNext/>
      <w:keepLines/>
      <w:spacing w:before="240" w:after="64" w:line="320" w:lineRule="auto"/>
      <w:outlineLvl w:val="6"/>
    </w:pPr>
    <w:rPr>
      <w:b/>
      <w:bCs/>
      <w:szCs w:val="24"/>
    </w:rPr>
  </w:style>
  <w:style w:type="paragraph" w:customStyle="1" w:styleId="193">
    <w:name w:val="标题 81"/>
    <w:basedOn w:val="1"/>
    <w:next w:val="1"/>
    <w:link w:val="205"/>
    <w:qFormat/>
    <w:uiPriority w:val="0"/>
    <w:pPr>
      <w:keepNext/>
      <w:keepLines/>
      <w:spacing w:before="240" w:after="64" w:line="320" w:lineRule="auto"/>
      <w:outlineLvl w:val="7"/>
    </w:pPr>
    <w:rPr>
      <w:rFonts w:ascii="Arial" w:hAnsi="Arial" w:eastAsia="黑体"/>
      <w:szCs w:val="24"/>
    </w:rPr>
  </w:style>
  <w:style w:type="paragraph" w:customStyle="1" w:styleId="194">
    <w:name w:val="标题 91"/>
    <w:basedOn w:val="1"/>
    <w:next w:val="1"/>
    <w:link w:val="206"/>
    <w:qFormat/>
    <w:uiPriority w:val="0"/>
    <w:pPr>
      <w:keepNext/>
      <w:keepLines/>
      <w:spacing w:before="240" w:after="64" w:line="320" w:lineRule="auto"/>
      <w:outlineLvl w:val="8"/>
    </w:pPr>
    <w:rPr>
      <w:rFonts w:ascii="Arial" w:hAnsi="Arial" w:eastAsia="黑体"/>
      <w:sz w:val="21"/>
      <w:szCs w:val="21"/>
    </w:rPr>
  </w:style>
  <w:style w:type="character" w:customStyle="1" w:styleId="195">
    <w:name w:val="默认段落字体1"/>
    <w:link w:val="1"/>
    <w:unhideWhenUsed/>
    <w:qFormat/>
    <w:uiPriority w:val="1"/>
  </w:style>
  <w:style w:type="table" w:customStyle="1" w:styleId="196">
    <w:name w:val="普通表格1"/>
    <w:unhideWhenUsed/>
    <w:qFormat/>
    <w:uiPriority w:val="99"/>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197">
    <w:name w:val="纯文本 Char"/>
    <w:link w:val="2"/>
    <w:qFormat/>
    <w:uiPriority w:val="0"/>
    <w:rPr>
      <w:rFonts w:ascii="宋体" w:hAnsi="Courier New" w:eastAsia="宋体" w:cs="Courier New"/>
      <w:sz w:val="21"/>
      <w:szCs w:val="21"/>
      <w:lang w:val="en-US" w:eastAsia="zh-CN" w:bidi="ar-SA"/>
    </w:rPr>
  </w:style>
  <w:style w:type="character" w:customStyle="1" w:styleId="198">
    <w:name w:val="标题 1 Char"/>
    <w:link w:val="186"/>
    <w:qFormat/>
    <w:uiPriority w:val="0"/>
    <w:rPr>
      <w:rFonts w:eastAsia="黑体"/>
      <w:bCs/>
      <w:sz w:val="32"/>
      <w:szCs w:val="44"/>
    </w:rPr>
  </w:style>
  <w:style w:type="character" w:customStyle="1" w:styleId="199">
    <w:name w:val="标题 2 Char"/>
    <w:link w:val="187"/>
    <w:qFormat/>
    <w:uiPriority w:val="0"/>
    <w:rPr>
      <w:rFonts w:ascii="Arial" w:hAnsi="Arial" w:eastAsia="黑体"/>
      <w:bCs/>
      <w:sz w:val="30"/>
      <w:szCs w:val="32"/>
    </w:rPr>
  </w:style>
  <w:style w:type="character" w:customStyle="1" w:styleId="200">
    <w:name w:val="标题 3 Char"/>
    <w:link w:val="188"/>
    <w:qFormat/>
    <w:uiPriority w:val="0"/>
    <w:rPr>
      <w:rFonts w:eastAsia="黑体"/>
      <w:sz w:val="28"/>
      <w:szCs w:val="28"/>
    </w:rPr>
  </w:style>
  <w:style w:type="character" w:customStyle="1" w:styleId="201">
    <w:name w:val="标题 4 Char"/>
    <w:link w:val="189"/>
    <w:qFormat/>
    <w:uiPriority w:val="0"/>
    <w:rPr>
      <w:rFonts w:ascii="Arial" w:hAnsi="Arial" w:eastAsia="黑体"/>
      <w:b/>
      <w:bCs/>
      <w:sz w:val="28"/>
      <w:szCs w:val="28"/>
      <w:lang w:val="en-US" w:eastAsia="zh-CN" w:bidi="ar-SA"/>
    </w:rPr>
  </w:style>
  <w:style w:type="character" w:customStyle="1" w:styleId="202">
    <w:name w:val="标题 5 Char"/>
    <w:link w:val="190"/>
    <w:qFormat/>
    <w:uiPriority w:val="0"/>
    <w:rPr>
      <w:rFonts w:eastAsia="宋体"/>
      <w:b/>
      <w:bCs/>
      <w:sz w:val="28"/>
      <w:szCs w:val="28"/>
      <w:lang w:val="en-US" w:eastAsia="zh-CN" w:bidi="ar-SA"/>
    </w:rPr>
  </w:style>
  <w:style w:type="character" w:customStyle="1" w:styleId="203">
    <w:name w:val="标题 6 Char"/>
    <w:link w:val="191"/>
    <w:qFormat/>
    <w:uiPriority w:val="0"/>
    <w:rPr>
      <w:rFonts w:ascii="Arial" w:hAnsi="Arial" w:eastAsia="黑体"/>
      <w:b/>
      <w:bCs/>
      <w:sz w:val="24"/>
      <w:szCs w:val="24"/>
      <w:lang w:val="en-US" w:eastAsia="zh-CN" w:bidi="ar-SA"/>
    </w:rPr>
  </w:style>
  <w:style w:type="character" w:customStyle="1" w:styleId="204">
    <w:name w:val="标题 7 Char"/>
    <w:link w:val="192"/>
    <w:qFormat/>
    <w:uiPriority w:val="0"/>
    <w:rPr>
      <w:rFonts w:eastAsia="宋体"/>
      <w:b/>
      <w:bCs/>
      <w:sz w:val="24"/>
      <w:szCs w:val="24"/>
      <w:lang w:val="en-US" w:eastAsia="zh-CN" w:bidi="ar-SA"/>
    </w:rPr>
  </w:style>
  <w:style w:type="character" w:customStyle="1" w:styleId="205">
    <w:name w:val="标题 8 Char"/>
    <w:link w:val="193"/>
    <w:qFormat/>
    <w:uiPriority w:val="0"/>
    <w:rPr>
      <w:rFonts w:ascii="Arial" w:hAnsi="Arial" w:eastAsia="黑体"/>
      <w:sz w:val="24"/>
      <w:szCs w:val="24"/>
      <w:lang w:val="en-US" w:eastAsia="zh-CN" w:bidi="ar-SA"/>
    </w:rPr>
  </w:style>
  <w:style w:type="character" w:customStyle="1" w:styleId="206">
    <w:name w:val="标题 9 Char"/>
    <w:link w:val="194"/>
    <w:qFormat/>
    <w:uiPriority w:val="0"/>
    <w:rPr>
      <w:rFonts w:ascii="Arial" w:hAnsi="Arial" w:eastAsia="黑体"/>
      <w:sz w:val="21"/>
      <w:szCs w:val="21"/>
      <w:lang w:val="en-US" w:eastAsia="zh-CN" w:bidi="ar-SA"/>
    </w:rPr>
  </w:style>
  <w:style w:type="paragraph" w:customStyle="1" w:styleId="207">
    <w:name w:val="目录 71"/>
    <w:basedOn w:val="1"/>
    <w:next w:val="1"/>
    <w:unhideWhenUsed/>
    <w:qFormat/>
    <w:uiPriority w:val="39"/>
    <w:pPr>
      <w:ind w:left="2520"/>
    </w:pPr>
    <w:rPr>
      <w:rFonts w:ascii="Calibri" w:hAnsi="Calibri"/>
      <w:szCs w:val="22"/>
    </w:rPr>
  </w:style>
  <w:style w:type="paragraph" w:customStyle="1" w:styleId="208">
    <w:name w:val="注释标题1"/>
    <w:basedOn w:val="1"/>
    <w:next w:val="1"/>
    <w:link w:val="209"/>
    <w:qFormat/>
    <w:uiPriority w:val="0"/>
    <w:pPr>
      <w:widowControl w:val="0"/>
      <w:spacing w:line="240" w:lineRule="auto"/>
      <w:ind w:firstLine="0"/>
      <w:jc w:val="center"/>
    </w:pPr>
    <w:rPr>
      <w:sz w:val="21"/>
    </w:rPr>
  </w:style>
  <w:style w:type="character" w:customStyle="1" w:styleId="209">
    <w:name w:val="注释标题 Char"/>
    <w:link w:val="208"/>
    <w:qFormat/>
    <w:uiPriority w:val="0"/>
    <w:rPr>
      <w:sz w:val="21"/>
    </w:rPr>
  </w:style>
  <w:style w:type="paragraph" w:customStyle="1" w:styleId="210">
    <w:name w:val="正文缩进1"/>
    <w:basedOn w:val="1"/>
    <w:link w:val="211"/>
    <w:qFormat/>
    <w:uiPriority w:val="0"/>
    <w:pPr>
      <w:ind w:firstLine="420"/>
    </w:pPr>
    <w:rPr>
      <w:sz w:val="21"/>
      <w:szCs w:val="24"/>
    </w:rPr>
  </w:style>
  <w:style w:type="character" w:customStyle="1" w:styleId="211">
    <w:name w:val="正文缩进 Char"/>
    <w:link w:val="210"/>
    <w:qFormat/>
    <w:uiPriority w:val="0"/>
    <w:rPr>
      <w:rFonts w:eastAsia="宋体"/>
      <w:sz w:val="21"/>
      <w:szCs w:val="24"/>
      <w:lang w:val="en-US" w:eastAsia="zh-CN" w:bidi="ar-SA"/>
    </w:rPr>
  </w:style>
  <w:style w:type="paragraph" w:customStyle="1" w:styleId="212">
    <w:name w:val="题注1"/>
    <w:basedOn w:val="1"/>
    <w:next w:val="1"/>
    <w:qFormat/>
    <w:uiPriority w:val="35"/>
    <w:pPr>
      <w:keepNext/>
      <w:widowControl w:val="0"/>
      <w:spacing w:before="50" w:line="240" w:lineRule="auto"/>
      <w:ind w:firstLine="0"/>
      <w:jc w:val="center"/>
    </w:pPr>
    <w:rPr>
      <w:rFonts w:eastAsia="黑体"/>
      <w:sz w:val="21"/>
      <w:szCs w:val="24"/>
    </w:rPr>
  </w:style>
  <w:style w:type="paragraph" w:customStyle="1" w:styleId="213">
    <w:name w:val="文档结构图1"/>
    <w:basedOn w:val="1"/>
    <w:link w:val="214"/>
    <w:semiHidden/>
    <w:qFormat/>
    <w:uiPriority w:val="99"/>
    <w:pPr>
      <w:shd w:val="clear" w:color="auto" w:fill="000080"/>
    </w:pPr>
    <w:rPr>
      <w:sz w:val="21"/>
    </w:rPr>
  </w:style>
  <w:style w:type="character" w:customStyle="1" w:styleId="214">
    <w:name w:val="文档结构图 Char"/>
    <w:link w:val="213"/>
    <w:semiHidden/>
    <w:qFormat/>
    <w:uiPriority w:val="99"/>
    <w:rPr>
      <w:rFonts w:eastAsia="宋体"/>
      <w:sz w:val="21"/>
      <w:lang w:val="en-US" w:eastAsia="zh-CN" w:bidi="ar-SA"/>
    </w:rPr>
  </w:style>
  <w:style w:type="paragraph" w:customStyle="1" w:styleId="215">
    <w:name w:val="批注文字1"/>
    <w:basedOn w:val="1"/>
    <w:link w:val="216"/>
    <w:qFormat/>
    <w:uiPriority w:val="99"/>
    <w:pPr>
      <w:jc w:val="left"/>
    </w:pPr>
  </w:style>
  <w:style w:type="character" w:customStyle="1" w:styleId="216">
    <w:name w:val="批注文字 Char"/>
    <w:link w:val="215"/>
    <w:qFormat/>
    <w:uiPriority w:val="99"/>
    <w:rPr>
      <w:sz w:val="24"/>
    </w:rPr>
  </w:style>
  <w:style w:type="paragraph" w:customStyle="1" w:styleId="217">
    <w:name w:val="正文文本 31"/>
    <w:basedOn w:val="1"/>
    <w:link w:val="218"/>
    <w:qFormat/>
    <w:uiPriority w:val="0"/>
    <w:pPr>
      <w:widowControl w:val="0"/>
      <w:spacing w:after="120" w:line="240" w:lineRule="auto"/>
      <w:ind w:firstLine="0"/>
    </w:pPr>
    <w:rPr>
      <w:sz w:val="16"/>
      <w:szCs w:val="16"/>
    </w:rPr>
  </w:style>
  <w:style w:type="character" w:customStyle="1" w:styleId="218">
    <w:name w:val="正文文本 3 Char"/>
    <w:link w:val="217"/>
    <w:qFormat/>
    <w:uiPriority w:val="0"/>
    <w:rPr>
      <w:sz w:val="16"/>
      <w:szCs w:val="16"/>
    </w:rPr>
  </w:style>
  <w:style w:type="paragraph" w:customStyle="1" w:styleId="219">
    <w:name w:val="正文文本1"/>
    <w:basedOn w:val="1"/>
    <w:link w:val="220"/>
    <w:qFormat/>
    <w:uiPriority w:val="99"/>
    <w:pPr>
      <w:spacing w:after="120"/>
    </w:pPr>
    <w:rPr>
      <w:sz w:val="21"/>
      <w:szCs w:val="24"/>
    </w:rPr>
  </w:style>
  <w:style w:type="character" w:customStyle="1" w:styleId="220">
    <w:name w:val="正文文本 Char"/>
    <w:link w:val="219"/>
    <w:qFormat/>
    <w:uiPriority w:val="99"/>
    <w:rPr>
      <w:rFonts w:eastAsia="宋体"/>
      <w:sz w:val="21"/>
      <w:szCs w:val="24"/>
      <w:lang w:val="en-US" w:eastAsia="zh-CN" w:bidi="ar-SA"/>
    </w:rPr>
  </w:style>
  <w:style w:type="paragraph" w:customStyle="1" w:styleId="221">
    <w:name w:val="正文文本缩进1"/>
    <w:basedOn w:val="1"/>
    <w:link w:val="222"/>
    <w:qFormat/>
    <w:uiPriority w:val="0"/>
    <w:pPr>
      <w:spacing w:after="120"/>
      <w:ind w:left="420"/>
    </w:pPr>
    <w:rPr>
      <w:sz w:val="21"/>
    </w:rPr>
  </w:style>
  <w:style w:type="character" w:customStyle="1" w:styleId="222">
    <w:name w:val="正文文本缩进 Char"/>
    <w:link w:val="221"/>
    <w:qFormat/>
    <w:uiPriority w:val="0"/>
    <w:rPr>
      <w:rFonts w:eastAsia="宋体"/>
      <w:sz w:val="21"/>
      <w:lang w:val="en-US" w:eastAsia="zh-CN" w:bidi="ar-SA"/>
    </w:rPr>
  </w:style>
  <w:style w:type="paragraph" w:customStyle="1" w:styleId="223">
    <w:name w:val="列表 21"/>
    <w:qFormat/>
    <w:uiPriority w:val="0"/>
    <w:pPr>
      <w:widowControl w:val="0"/>
      <w:ind w:left="100" w:hanging="200"/>
      <w:contextualSpacing/>
      <w:jc w:val="both"/>
    </w:pPr>
    <w:rPr>
      <w:rFonts w:hint="default" w:ascii="Times New Roman" w:hAnsi="Times New Roman" w:eastAsia="宋体" w:cs="Times New Roman"/>
      <w:sz w:val="21"/>
      <w:szCs w:val="24"/>
      <w:lang w:val="en-US" w:eastAsia="zh-CN" w:bidi="ar-SA"/>
    </w:rPr>
  </w:style>
  <w:style w:type="paragraph" w:customStyle="1" w:styleId="224">
    <w:name w:val="文本块1"/>
    <w:basedOn w:val="1"/>
    <w:qFormat/>
    <w:uiPriority w:val="0"/>
    <w:pPr>
      <w:spacing w:line="500" w:lineRule="exact"/>
      <w:ind w:left="57" w:right="57" w:firstLine="570"/>
      <w:jc w:val="left"/>
    </w:pPr>
    <w:rPr>
      <w:rFonts w:ascii="宋体"/>
      <w:sz w:val="28"/>
      <w:szCs w:val="20"/>
    </w:rPr>
  </w:style>
  <w:style w:type="paragraph" w:customStyle="1" w:styleId="225">
    <w:name w:val="目录 51"/>
    <w:basedOn w:val="1"/>
    <w:next w:val="1"/>
    <w:unhideWhenUsed/>
    <w:qFormat/>
    <w:uiPriority w:val="39"/>
    <w:pPr>
      <w:ind w:left="1680"/>
    </w:pPr>
    <w:rPr>
      <w:rFonts w:ascii="Calibri" w:hAnsi="Calibri"/>
      <w:szCs w:val="22"/>
    </w:rPr>
  </w:style>
  <w:style w:type="paragraph" w:customStyle="1" w:styleId="226">
    <w:name w:val="目录 31"/>
    <w:basedOn w:val="1"/>
    <w:next w:val="1"/>
    <w:unhideWhenUsed/>
    <w:qFormat/>
    <w:uiPriority w:val="39"/>
    <w:pPr>
      <w:widowControl/>
      <w:spacing w:after="100" w:line="276" w:lineRule="auto"/>
      <w:ind w:left="440"/>
      <w:jc w:val="left"/>
    </w:pPr>
    <w:rPr>
      <w:rFonts w:ascii="Calibri" w:hAnsi="Calibri"/>
      <w:sz w:val="22"/>
      <w:szCs w:val="22"/>
    </w:rPr>
  </w:style>
  <w:style w:type="paragraph" w:customStyle="1" w:styleId="227">
    <w:name w:val="目录 81"/>
    <w:basedOn w:val="1"/>
    <w:next w:val="1"/>
    <w:unhideWhenUsed/>
    <w:qFormat/>
    <w:uiPriority w:val="39"/>
    <w:pPr>
      <w:ind w:left="2940"/>
    </w:pPr>
    <w:rPr>
      <w:rFonts w:ascii="Calibri" w:hAnsi="Calibri"/>
      <w:szCs w:val="22"/>
    </w:rPr>
  </w:style>
  <w:style w:type="paragraph" w:customStyle="1" w:styleId="228">
    <w:name w:val="日期1"/>
    <w:basedOn w:val="1"/>
    <w:next w:val="1"/>
    <w:link w:val="229"/>
    <w:qFormat/>
    <w:uiPriority w:val="0"/>
    <w:pPr>
      <w:ind w:left="100"/>
    </w:pPr>
    <w:rPr>
      <w:sz w:val="21"/>
    </w:rPr>
  </w:style>
  <w:style w:type="character" w:customStyle="1" w:styleId="229">
    <w:name w:val="日期 Char"/>
    <w:link w:val="228"/>
    <w:qFormat/>
    <w:uiPriority w:val="0"/>
    <w:rPr>
      <w:rFonts w:eastAsia="宋体"/>
      <w:sz w:val="21"/>
      <w:lang w:val="en-US" w:eastAsia="zh-CN" w:bidi="ar-SA"/>
    </w:rPr>
  </w:style>
  <w:style w:type="paragraph" w:customStyle="1" w:styleId="230">
    <w:name w:val="正文文本缩进 21"/>
    <w:basedOn w:val="1"/>
    <w:link w:val="231"/>
    <w:qFormat/>
    <w:uiPriority w:val="0"/>
    <w:pPr>
      <w:spacing w:after="120" w:line="480" w:lineRule="auto"/>
      <w:ind w:left="420"/>
    </w:pPr>
    <w:rPr>
      <w:sz w:val="21"/>
    </w:rPr>
  </w:style>
  <w:style w:type="character" w:customStyle="1" w:styleId="231">
    <w:name w:val="正文文本缩进 2 Char"/>
    <w:link w:val="230"/>
    <w:qFormat/>
    <w:uiPriority w:val="0"/>
    <w:rPr>
      <w:rFonts w:eastAsia="宋体"/>
      <w:sz w:val="21"/>
      <w:lang w:val="en-US" w:eastAsia="zh-CN" w:bidi="ar-SA"/>
    </w:rPr>
  </w:style>
  <w:style w:type="paragraph" w:customStyle="1" w:styleId="232">
    <w:name w:val="批注框文本1"/>
    <w:basedOn w:val="1"/>
    <w:link w:val="233"/>
    <w:semiHidden/>
    <w:qFormat/>
    <w:uiPriority w:val="99"/>
    <w:rPr>
      <w:sz w:val="18"/>
      <w:szCs w:val="18"/>
    </w:rPr>
  </w:style>
  <w:style w:type="character" w:customStyle="1" w:styleId="233">
    <w:name w:val="批注框文本 Char"/>
    <w:link w:val="232"/>
    <w:semiHidden/>
    <w:qFormat/>
    <w:uiPriority w:val="99"/>
    <w:rPr>
      <w:rFonts w:eastAsia="宋体"/>
      <w:sz w:val="18"/>
      <w:szCs w:val="18"/>
      <w:lang w:val="en-US" w:eastAsia="zh-CN" w:bidi="ar-SA"/>
    </w:rPr>
  </w:style>
  <w:style w:type="paragraph" w:customStyle="1" w:styleId="234">
    <w:name w:val="页脚1"/>
    <w:basedOn w:val="1"/>
    <w:link w:val="235"/>
    <w:qFormat/>
    <w:uiPriority w:val="0"/>
    <w:pPr>
      <w:tabs>
        <w:tab w:val="center" w:pos="4153"/>
        <w:tab w:val="right" w:pos="8306"/>
      </w:tabs>
      <w:jc w:val="left"/>
    </w:pPr>
    <w:rPr>
      <w:sz w:val="18"/>
      <w:szCs w:val="18"/>
    </w:rPr>
  </w:style>
  <w:style w:type="character" w:customStyle="1" w:styleId="235">
    <w:name w:val="页脚 Char"/>
    <w:link w:val="234"/>
    <w:qFormat/>
    <w:uiPriority w:val="0"/>
    <w:rPr>
      <w:rFonts w:eastAsia="宋体"/>
      <w:sz w:val="18"/>
      <w:szCs w:val="18"/>
      <w:lang w:val="en-US" w:eastAsia="zh-CN" w:bidi="ar-SA"/>
    </w:rPr>
  </w:style>
  <w:style w:type="paragraph" w:customStyle="1" w:styleId="236">
    <w:name w:val="页眉1"/>
    <w:basedOn w:val="1"/>
    <w:link w:val="237"/>
    <w:qFormat/>
    <w:uiPriority w:val="99"/>
    <w:pPr>
      <w:pBdr>
        <w:bottom w:val="single" w:color="000000" w:sz="6" w:space="1"/>
      </w:pBdr>
      <w:tabs>
        <w:tab w:val="center" w:pos="4153"/>
        <w:tab w:val="right" w:pos="8306"/>
      </w:tabs>
      <w:jc w:val="center"/>
    </w:pPr>
    <w:rPr>
      <w:sz w:val="18"/>
      <w:szCs w:val="18"/>
    </w:rPr>
  </w:style>
  <w:style w:type="character" w:customStyle="1" w:styleId="237">
    <w:name w:val="页眉 Char"/>
    <w:link w:val="236"/>
    <w:qFormat/>
    <w:uiPriority w:val="99"/>
    <w:rPr>
      <w:rFonts w:eastAsia="宋体"/>
      <w:sz w:val="18"/>
      <w:szCs w:val="18"/>
      <w:lang w:val="en-US" w:eastAsia="zh-CN" w:bidi="ar-SA"/>
    </w:rPr>
  </w:style>
  <w:style w:type="paragraph" w:customStyle="1" w:styleId="238">
    <w:name w:val="目录 11"/>
    <w:basedOn w:val="1"/>
    <w:next w:val="1"/>
    <w:qFormat/>
    <w:uiPriority w:val="39"/>
    <w:pPr>
      <w:tabs>
        <w:tab w:val="right" w:leader="hyphen" w:pos="8494"/>
      </w:tabs>
      <w:spacing w:before="120" w:after="120"/>
      <w:ind w:firstLine="482"/>
      <w:jc w:val="left"/>
    </w:pPr>
    <w:rPr>
      <w:rFonts w:hAnsi="宋体"/>
      <w:b/>
      <w:bCs/>
      <w:caps/>
      <w:szCs w:val="24"/>
    </w:rPr>
  </w:style>
  <w:style w:type="paragraph" w:customStyle="1" w:styleId="239">
    <w:name w:val="目录 41"/>
    <w:basedOn w:val="1"/>
    <w:next w:val="1"/>
    <w:unhideWhenUsed/>
    <w:qFormat/>
    <w:uiPriority w:val="39"/>
    <w:pPr>
      <w:ind w:left="1260"/>
    </w:pPr>
    <w:rPr>
      <w:rFonts w:ascii="Calibri" w:hAnsi="Calibri"/>
      <w:szCs w:val="22"/>
    </w:rPr>
  </w:style>
  <w:style w:type="paragraph" w:customStyle="1" w:styleId="240">
    <w:name w:val="列表1"/>
    <w:basedOn w:val="1"/>
    <w:qFormat/>
    <w:uiPriority w:val="0"/>
    <w:pPr>
      <w:spacing w:before="20" w:after="20"/>
      <w:jc w:val="center"/>
    </w:pPr>
    <w:rPr>
      <w:sz w:val="24"/>
    </w:rPr>
  </w:style>
  <w:style w:type="paragraph" w:customStyle="1" w:styleId="241">
    <w:name w:val="目录 61"/>
    <w:basedOn w:val="1"/>
    <w:next w:val="1"/>
    <w:unhideWhenUsed/>
    <w:qFormat/>
    <w:uiPriority w:val="39"/>
    <w:pPr>
      <w:ind w:left="2100"/>
    </w:pPr>
  </w:style>
  <w:style w:type="paragraph" w:customStyle="1" w:styleId="242">
    <w:name w:val="正文文本缩进 31"/>
    <w:basedOn w:val="1"/>
    <w:link w:val="243"/>
    <w:qFormat/>
    <w:uiPriority w:val="0"/>
    <w:pPr>
      <w:spacing w:after="120"/>
      <w:ind w:left="420"/>
    </w:pPr>
    <w:rPr>
      <w:sz w:val="16"/>
      <w:szCs w:val="16"/>
    </w:rPr>
  </w:style>
  <w:style w:type="character" w:customStyle="1" w:styleId="243">
    <w:name w:val="正文文本缩进 3 Char"/>
    <w:link w:val="242"/>
    <w:qFormat/>
    <w:uiPriority w:val="0"/>
    <w:rPr>
      <w:rFonts w:eastAsia="宋体"/>
      <w:sz w:val="16"/>
      <w:szCs w:val="16"/>
      <w:lang w:val="en-US" w:eastAsia="zh-CN" w:bidi="ar-SA"/>
    </w:rPr>
  </w:style>
  <w:style w:type="paragraph" w:customStyle="1" w:styleId="244">
    <w:name w:val="目录 21"/>
    <w:basedOn w:val="1"/>
    <w:next w:val="1"/>
    <w:qFormat/>
    <w:uiPriority w:val="39"/>
    <w:pPr>
      <w:tabs>
        <w:tab w:val="right" w:leader="hyphen" w:pos="8460"/>
      </w:tabs>
      <w:ind w:left="420"/>
    </w:pPr>
  </w:style>
  <w:style w:type="paragraph" w:customStyle="1" w:styleId="245">
    <w:name w:val="目录 91"/>
    <w:basedOn w:val="1"/>
    <w:next w:val="1"/>
    <w:unhideWhenUsed/>
    <w:qFormat/>
    <w:uiPriority w:val="39"/>
    <w:pPr>
      <w:ind w:left="3360"/>
    </w:pPr>
    <w:rPr>
      <w:rFonts w:ascii="Calibri" w:hAnsi="Calibri"/>
      <w:szCs w:val="22"/>
    </w:rPr>
  </w:style>
  <w:style w:type="paragraph" w:customStyle="1" w:styleId="246">
    <w:name w:val="正文文本 21"/>
    <w:basedOn w:val="1"/>
    <w:qFormat/>
    <w:uiPriority w:val="0"/>
    <w:pPr>
      <w:spacing w:before="240" w:after="240"/>
    </w:pPr>
    <w:rPr>
      <w:sz w:val="28"/>
      <w:szCs w:val="20"/>
    </w:rPr>
  </w:style>
  <w:style w:type="paragraph" w:customStyle="1" w:styleId="247">
    <w:name w:val="HTML 预设格式1"/>
    <w:basedOn w:val="1"/>
    <w:link w:val="24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0"/>
      <w:jc w:val="left"/>
    </w:pPr>
    <w:rPr>
      <w:rFonts w:ascii="Arial" w:hAnsi="Arial"/>
      <w:sz w:val="21"/>
      <w:szCs w:val="21"/>
    </w:rPr>
  </w:style>
  <w:style w:type="character" w:customStyle="1" w:styleId="248">
    <w:name w:val="HTML 预设格式 Char"/>
    <w:link w:val="247"/>
    <w:qFormat/>
    <w:uiPriority w:val="0"/>
    <w:rPr>
      <w:rFonts w:ascii="Arial" w:hAnsi="Arial" w:cs="Arial"/>
      <w:sz w:val="21"/>
      <w:szCs w:val="21"/>
    </w:rPr>
  </w:style>
  <w:style w:type="paragraph" w:customStyle="1" w:styleId="249">
    <w:name w:val="普通(网站)1"/>
    <w:basedOn w:val="1"/>
    <w:unhideWhenUsed/>
    <w:qFormat/>
    <w:uiPriority w:val="99"/>
    <w:pPr>
      <w:widowControl/>
      <w:spacing w:before="100" w:beforeAutospacing="1" w:after="100" w:afterAutospacing="1" w:line="240" w:lineRule="auto"/>
      <w:ind w:firstLine="0"/>
      <w:jc w:val="left"/>
    </w:pPr>
    <w:rPr>
      <w:rFonts w:ascii="宋体" w:hAnsi="宋体" w:cs="宋体"/>
      <w:szCs w:val="24"/>
    </w:rPr>
  </w:style>
  <w:style w:type="paragraph" w:customStyle="1" w:styleId="250">
    <w:name w:val="索引 11"/>
    <w:next w:val="1"/>
    <w:semiHidden/>
    <w:qFormat/>
    <w:uiPriority w:val="0"/>
    <w:pPr>
      <w:widowControl w:val="0"/>
      <w:tabs>
        <w:tab w:val="left" w:pos="3600"/>
        <w:tab w:val="left" w:pos="6300"/>
      </w:tabs>
      <w:spacing w:line="360" w:lineRule="atLeast"/>
      <w:jc w:val="center"/>
    </w:pPr>
    <w:rPr>
      <w:rFonts w:hint="default" w:ascii="Times New Roman" w:hAnsi="Times New Roman" w:eastAsia="宋体" w:cs="Times New Roman"/>
      <w:sz w:val="24"/>
      <w:lang w:val="en-US" w:eastAsia="zh-CN" w:bidi="ar-SA"/>
    </w:rPr>
  </w:style>
  <w:style w:type="paragraph" w:customStyle="1" w:styleId="251">
    <w:name w:val="标题1"/>
    <w:basedOn w:val="1"/>
    <w:next w:val="1"/>
    <w:link w:val="252"/>
    <w:qFormat/>
    <w:uiPriority w:val="0"/>
    <w:pPr>
      <w:spacing w:line="240" w:lineRule="auto"/>
      <w:ind w:firstLine="0"/>
      <w:jc w:val="center"/>
    </w:pPr>
    <w:rPr>
      <w:bCs/>
      <w:sz w:val="21"/>
      <w:szCs w:val="32"/>
    </w:rPr>
  </w:style>
  <w:style w:type="character" w:customStyle="1" w:styleId="252">
    <w:name w:val="标题 Char"/>
    <w:link w:val="251"/>
    <w:qFormat/>
    <w:uiPriority w:val="0"/>
    <w:rPr>
      <w:bCs/>
      <w:sz w:val="21"/>
      <w:szCs w:val="32"/>
    </w:rPr>
  </w:style>
  <w:style w:type="paragraph" w:customStyle="1" w:styleId="253">
    <w:name w:val="批注主题1"/>
    <w:basedOn w:val="215"/>
    <w:next w:val="215"/>
    <w:link w:val="254"/>
    <w:semiHidden/>
    <w:qFormat/>
    <w:uiPriority w:val="99"/>
    <w:rPr>
      <w:b/>
      <w:bCs/>
    </w:rPr>
  </w:style>
  <w:style w:type="character" w:customStyle="1" w:styleId="254">
    <w:name w:val="批注主题 Char"/>
    <w:link w:val="253"/>
    <w:semiHidden/>
    <w:qFormat/>
    <w:uiPriority w:val="99"/>
    <w:rPr>
      <w:b/>
      <w:bCs/>
      <w:sz w:val="24"/>
    </w:rPr>
  </w:style>
  <w:style w:type="paragraph" w:customStyle="1" w:styleId="255">
    <w:name w:val="正文首行缩进1"/>
    <w:basedOn w:val="219"/>
    <w:qFormat/>
    <w:uiPriority w:val="0"/>
    <w:pPr>
      <w:ind w:firstLine="420"/>
    </w:pPr>
    <w:rPr>
      <w:sz w:val="24"/>
      <w:szCs w:val="20"/>
    </w:rPr>
  </w:style>
  <w:style w:type="paragraph" w:customStyle="1" w:styleId="256">
    <w:name w:val="正文首行缩进 21"/>
    <w:basedOn w:val="1"/>
    <w:next w:val="1"/>
    <w:link w:val="257"/>
    <w:qFormat/>
    <w:uiPriority w:val="0"/>
    <w:pPr>
      <w:widowControl w:val="0"/>
      <w:spacing w:after="120" w:line="240" w:lineRule="auto"/>
      <w:ind w:left="420" w:firstLine="420"/>
    </w:pPr>
    <w:rPr>
      <w:sz w:val="21"/>
      <w:szCs w:val="24"/>
    </w:rPr>
  </w:style>
  <w:style w:type="character" w:customStyle="1" w:styleId="257">
    <w:name w:val="正文首行缩进 2 Char"/>
    <w:link w:val="256"/>
    <w:qFormat/>
    <w:uiPriority w:val="0"/>
    <w:rPr>
      <w:rFonts w:eastAsia="宋体"/>
      <w:sz w:val="21"/>
      <w:szCs w:val="24"/>
      <w:lang w:val="en-US" w:eastAsia="zh-CN" w:bidi="ar-SA"/>
    </w:rPr>
  </w:style>
  <w:style w:type="table" w:customStyle="1" w:styleId="258">
    <w:name w:val="网格型11"/>
    <w:basedOn w:val="196"/>
    <w:qFormat/>
    <w:uiPriority w:val="0"/>
    <w:pPr>
      <w:widowControl w:val="0"/>
      <w:jc w:val="both"/>
    </w:p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259">
    <w:name w:val="网格型 21"/>
    <w:basedOn w:val="196"/>
    <w:qFormat/>
    <w:uiPriority w:val="0"/>
    <w:pPr>
      <w:spacing w:line="360" w:lineRule="auto"/>
      <w:ind w:firstLine="200"/>
      <w:jc w:val="both"/>
    </w:p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260">
    <w:name w:val="要点1"/>
    <w:link w:val="1"/>
    <w:qFormat/>
    <w:uiPriority w:val="0"/>
    <w:rPr>
      <w:b/>
      <w:bCs/>
    </w:rPr>
  </w:style>
  <w:style w:type="character" w:customStyle="1" w:styleId="261">
    <w:name w:val="页码1"/>
    <w:basedOn w:val="195"/>
    <w:link w:val="1"/>
    <w:qFormat/>
    <w:uiPriority w:val="0"/>
  </w:style>
  <w:style w:type="character" w:customStyle="1" w:styleId="262">
    <w:name w:val="已访问的超链接1"/>
    <w:link w:val="1"/>
    <w:qFormat/>
    <w:uiPriority w:val="0"/>
    <w:rPr>
      <w:color w:val="666666"/>
      <w:u w:val="none"/>
    </w:rPr>
  </w:style>
  <w:style w:type="character" w:customStyle="1" w:styleId="263">
    <w:name w:val="强调1"/>
    <w:link w:val="1"/>
    <w:qFormat/>
    <w:uiPriority w:val="0"/>
    <w:rPr>
      <w:color w:val="CC0033"/>
    </w:rPr>
  </w:style>
  <w:style w:type="character" w:customStyle="1" w:styleId="264">
    <w:name w:val="超链接1"/>
    <w:link w:val="1"/>
    <w:qFormat/>
    <w:uiPriority w:val="99"/>
    <w:rPr>
      <w:color w:val="0000FF"/>
      <w:u w:val="single"/>
    </w:rPr>
  </w:style>
  <w:style w:type="character" w:customStyle="1" w:styleId="265">
    <w:name w:val="批注引用1"/>
    <w:link w:val="1"/>
    <w:semiHidden/>
    <w:qFormat/>
    <w:uiPriority w:val="0"/>
    <w:rPr>
      <w:sz w:val="21"/>
      <w:szCs w:val="21"/>
    </w:rPr>
  </w:style>
  <w:style w:type="character" w:customStyle="1" w:styleId="266">
    <w:name w:val="m11"/>
    <w:basedOn w:val="195"/>
    <w:link w:val="1"/>
    <w:qFormat/>
    <w:uiPriority w:val="0"/>
  </w:style>
  <w:style w:type="character" w:customStyle="1" w:styleId="267">
    <w:name w:val="报告书正文 Char"/>
    <w:link w:val="268"/>
    <w:qFormat/>
    <w:uiPriority w:val="0"/>
    <w:rPr>
      <w:sz w:val="24"/>
      <w:szCs w:val="24"/>
      <w:lang w:val="zh-CN"/>
    </w:rPr>
  </w:style>
  <w:style w:type="paragraph" w:customStyle="1" w:styleId="268">
    <w:name w:val="报告书正文"/>
    <w:basedOn w:val="1"/>
    <w:link w:val="267"/>
    <w:qFormat/>
    <w:uiPriority w:val="0"/>
    <w:pPr>
      <w:ind w:firstLine="480"/>
    </w:pPr>
    <w:rPr>
      <w:szCs w:val="24"/>
      <w:lang w:val="zh-CN"/>
    </w:rPr>
  </w:style>
  <w:style w:type="character" w:customStyle="1" w:styleId="269">
    <w:name w:val="style31"/>
    <w:link w:val="1"/>
    <w:qFormat/>
    <w:uiPriority w:val="0"/>
    <w:rPr>
      <w:color w:val="663300"/>
    </w:rPr>
  </w:style>
  <w:style w:type="character" w:customStyle="1" w:styleId="270">
    <w:name w:val="正文格式 Char"/>
    <w:link w:val="271"/>
    <w:qFormat/>
    <w:uiPriority w:val="0"/>
    <w:rPr>
      <w:rFonts w:ascii="宋体" w:hAnsi="宋体" w:eastAsia="宋体" w:cs="宋体"/>
      <w:sz w:val="24"/>
      <w:szCs w:val="24"/>
      <w:lang w:val="en-US" w:eastAsia="zh-CN" w:bidi="ar-SA"/>
    </w:rPr>
  </w:style>
  <w:style w:type="paragraph" w:customStyle="1" w:styleId="271">
    <w:name w:val="正文格式"/>
    <w:basedOn w:val="1"/>
    <w:link w:val="270"/>
    <w:qFormat/>
    <w:uiPriority w:val="0"/>
    <w:pPr>
      <w:ind w:firstLine="544"/>
    </w:pPr>
    <w:rPr>
      <w:rFonts w:ascii="宋体" w:hAnsi="宋体" w:cs="宋体"/>
      <w:szCs w:val="24"/>
    </w:rPr>
  </w:style>
  <w:style w:type="character" w:customStyle="1" w:styleId="272">
    <w:name w:val="常用正文样式 Char1"/>
    <w:link w:val="273"/>
    <w:qFormat/>
    <w:uiPriority w:val="0"/>
    <w:rPr>
      <w:rFonts w:ascii="宋体" w:hAnsi="宋体" w:cs="宋体"/>
      <w:bCs/>
      <w:sz w:val="24"/>
    </w:rPr>
  </w:style>
  <w:style w:type="paragraph" w:customStyle="1" w:styleId="273">
    <w:name w:val="常用正文样式"/>
    <w:basedOn w:val="1"/>
    <w:link w:val="272"/>
    <w:qFormat/>
    <w:uiPriority w:val="0"/>
    <w:pPr>
      <w:widowControl w:val="0"/>
      <w:ind w:firstLine="480"/>
    </w:pPr>
    <w:rPr>
      <w:rFonts w:ascii="宋体" w:hAnsi="宋体"/>
      <w:bCs/>
    </w:rPr>
  </w:style>
  <w:style w:type="character" w:customStyle="1" w:styleId="274">
    <w:name w:val="span5"/>
    <w:basedOn w:val="195"/>
    <w:link w:val="1"/>
    <w:qFormat/>
    <w:uiPriority w:val="0"/>
  </w:style>
  <w:style w:type="character" w:customStyle="1" w:styleId="275">
    <w:name w:val="正文（1） Char"/>
    <w:link w:val="276"/>
    <w:qFormat/>
    <w:uiPriority w:val="0"/>
    <w:rPr>
      <w:rFonts w:ascii="Arial" w:hAnsi="Arial" w:cs="Arial"/>
      <w:color w:val="000000"/>
      <w:szCs w:val="24"/>
      <w:lang w:val="zh-CN"/>
    </w:rPr>
  </w:style>
  <w:style w:type="paragraph" w:customStyle="1" w:styleId="276">
    <w:name w:val="正文（1）"/>
    <w:basedOn w:val="1"/>
    <w:link w:val="275"/>
    <w:qFormat/>
    <w:uiPriority w:val="0"/>
    <w:pPr>
      <w:ind w:firstLine="540"/>
    </w:pPr>
    <w:rPr>
      <w:rFonts w:ascii="Arial" w:hAnsi="Arial"/>
      <w:color w:val="000000"/>
      <w:sz w:val="20"/>
      <w:szCs w:val="24"/>
      <w:lang w:val="zh-CN"/>
    </w:rPr>
  </w:style>
  <w:style w:type="character" w:customStyle="1" w:styleId="277">
    <w:name w:val="span22"/>
    <w:basedOn w:val="195"/>
    <w:link w:val="1"/>
    <w:qFormat/>
    <w:uiPriority w:val="0"/>
  </w:style>
  <w:style w:type="character" w:customStyle="1" w:styleId="278">
    <w:name w:val="表 Char"/>
    <w:link w:val="279"/>
    <w:qFormat/>
    <w:uiPriority w:val="0"/>
    <w:rPr>
      <w:rFonts w:eastAsia="宋体"/>
      <w:sz w:val="21"/>
      <w:lang w:val="en-US" w:eastAsia="zh-CN" w:bidi="ar-SA"/>
    </w:rPr>
  </w:style>
  <w:style w:type="paragraph" w:customStyle="1" w:styleId="279">
    <w:name w:val="表"/>
    <w:basedOn w:val="1"/>
    <w:link w:val="278"/>
    <w:qFormat/>
    <w:uiPriority w:val="0"/>
    <w:pPr>
      <w:widowControl/>
      <w:spacing w:line="300" w:lineRule="exact"/>
      <w:jc w:val="center"/>
    </w:pPr>
    <w:rPr>
      <w:sz w:val="21"/>
    </w:rPr>
  </w:style>
  <w:style w:type="character" w:customStyle="1" w:styleId="280">
    <w:name w:val=" Char Char2"/>
    <w:link w:val="1"/>
    <w:qFormat/>
    <w:uiPriority w:val="0"/>
    <w:rPr>
      <w:sz w:val="24"/>
    </w:rPr>
  </w:style>
  <w:style w:type="character" w:customStyle="1" w:styleId="281">
    <w:name w:val="标题 44 Char"/>
    <w:link w:val="282"/>
    <w:qFormat/>
    <w:uiPriority w:val="0"/>
    <w:rPr>
      <w:rFonts w:eastAsia="黑体"/>
      <w:bCs/>
      <w:sz w:val="24"/>
      <w:szCs w:val="28"/>
    </w:rPr>
  </w:style>
  <w:style w:type="paragraph" w:customStyle="1" w:styleId="282">
    <w:name w:val="标题 44"/>
    <w:basedOn w:val="189"/>
    <w:next w:val="189"/>
    <w:link w:val="281"/>
    <w:qFormat/>
    <w:uiPriority w:val="0"/>
    <w:pPr>
      <w:spacing w:before="0" w:after="0" w:line="360" w:lineRule="auto"/>
      <w:ind w:firstLine="0"/>
    </w:pPr>
    <w:rPr>
      <w:rFonts w:ascii="Times New Roman" w:hAnsi="Times New Roman"/>
      <w:b w:val="0"/>
      <w:sz w:val="24"/>
    </w:rPr>
  </w:style>
  <w:style w:type="character" w:customStyle="1" w:styleId="283">
    <w:name w:val="Body text + 9.5 pt"/>
    <w:link w:val="1"/>
    <w:unhideWhenUsed/>
    <w:qFormat/>
    <w:uiPriority w:val="99"/>
    <w:rPr>
      <w:rFonts w:hint="eastAsia" w:ascii="MingLiU" w:hAnsi="MingLiU" w:eastAsia="MingLiU"/>
      <w:spacing w:val="7"/>
      <w:sz w:val="19"/>
      <w:szCs w:val="24"/>
      <w:lang w:val="en-US" w:eastAsia="zh-CN" w:bidi="ar-SA"/>
    </w:rPr>
  </w:style>
  <w:style w:type="character" w:customStyle="1" w:styleId="284">
    <w:name w:val="first-child"/>
    <w:basedOn w:val="195"/>
    <w:link w:val="1"/>
    <w:qFormat/>
    <w:uiPriority w:val="0"/>
  </w:style>
  <w:style w:type="character" w:customStyle="1" w:styleId="285">
    <w:name w:val="魏秀珍标题3（1.1.1） Char Char"/>
    <w:link w:val="1"/>
    <w:qFormat/>
    <w:uiPriority w:val="0"/>
    <w:rPr>
      <w:rFonts w:eastAsia="黑体"/>
      <w:b/>
      <w:sz w:val="30"/>
      <w:lang w:val="en-US" w:eastAsia="zh-CN" w:bidi="ar-SA"/>
    </w:rPr>
  </w:style>
  <w:style w:type="character" w:customStyle="1" w:styleId="286">
    <w:name w:val="saw"/>
    <w:basedOn w:val="195"/>
    <w:link w:val="1"/>
    <w:qFormat/>
    <w:uiPriority w:val="0"/>
  </w:style>
  <w:style w:type="character" w:customStyle="1" w:styleId="287">
    <w:name w:val="表头 Char Char"/>
    <w:link w:val="1"/>
    <w:qFormat/>
    <w:uiPriority w:val="0"/>
    <w:rPr>
      <w:rFonts w:ascii="宋体" w:hAnsi="宋体" w:eastAsia="宋体" w:cs="Courier New"/>
      <w:b/>
      <w:color w:val="000000"/>
      <w:sz w:val="21"/>
      <w:szCs w:val="21"/>
      <w:lang w:val="en-US" w:eastAsia="zh-CN" w:bidi="ar-SA"/>
    </w:rPr>
  </w:style>
  <w:style w:type="character" w:customStyle="1" w:styleId="288">
    <w:name w:val="span31"/>
    <w:basedOn w:val="195"/>
    <w:link w:val="1"/>
    <w:qFormat/>
    <w:uiPriority w:val="0"/>
  </w:style>
  <w:style w:type="character" w:customStyle="1" w:styleId="289">
    <w:name w:val="Char Char14"/>
    <w:link w:val="1"/>
    <w:qFormat/>
    <w:uiPriority w:val="0"/>
    <w:rPr>
      <w:rFonts w:eastAsia="宋体"/>
      <w:b/>
      <w:bCs/>
      <w:sz w:val="32"/>
      <w:szCs w:val="32"/>
      <w:lang w:val="en-US" w:eastAsia="zh-CN" w:bidi="ar-SA"/>
    </w:rPr>
  </w:style>
  <w:style w:type="character" w:customStyle="1" w:styleId="290">
    <w:name w:val="表格标题 Char3"/>
    <w:link w:val="1"/>
    <w:qFormat/>
    <w:uiPriority w:val="0"/>
    <w:rPr>
      <w:rFonts w:eastAsia="仿宋_GB2312"/>
      <w:sz w:val="24"/>
      <w:szCs w:val="24"/>
      <w:lang w:val="en-US" w:eastAsia="zh-CN" w:bidi="ar-SA"/>
    </w:rPr>
  </w:style>
  <w:style w:type="character" w:customStyle="1" w:styleId="291">
    <w:name w:val="m21"/>
    <w:basedOn w:val="195"/>
    <w:link w:val="1"/>
    <w:qFormat/>
    <w:uiPriority w:val="0"/>
  </w:style>
  <w:style w:type="character" w:customStyle="1" w:styleId="292">
    <w:name w:val="apple-converted-space"/>
    <w:basedOn w:val="195"/>
    <w:link w:val="1"/>
    <w:qFormat/>
    <w:uiPriority w:val="0"/>
  </w:style>
  <w:style w:type="character" w:customStyle="1" w:styleId="293">
    <w:name w:val="span42"/>
    <w:basedOn w:val="195"/>
    <w:link w:val="1"/>
    <w:qFormat/>
    <w:uiPriority w:val="0"/>
  </w:style>
  <w:style w:type="character" w:customStyle="1" w:styleId="294">
    <w:name w:val="span4"/>
    <w:basedOn w:val="195"/>
    <w:link w:val="1"/>
    <w:qFormat/>
    <w:uiPriority w:val="0"/>
  </w:style>
  <w:style w:type="character" w:customStyle="1" w:styleId="295">
    <w:name w:val="layui-layer-tabnow"/>
    <w:link w:val="1"/>
    <w:qFormat/>
    <w:uiPriority w:val="0"/>
    <w:rPr>
      <w:shd w:val="clear" w:color="auto" w:fill="FFFFFF"/>
    </w:rPr>
  </w:style>
  <w:style w:type="character" w:customStyle="1" w:styleId="296">
    <w:name w:val="m5"/>
    <w:basedOn w:val="195"/>
    <w:link w:val="1"/>
    <w:qFormat/>
    <w:uiPriority w:val="0"/>
  </w:style>
  <w:style w:type="character" w:customStyle="1" w:styleId="297">
    <w:name w:val="m61"/>
    <w:basedOn w:val="195"/>
    <w:link w:val="1"/>
    <w:qFormat/>
    <w:uiPriority w:val="0"/>
  </w:style>
  <w:style w:type="character" w:customStyle="1" w:styleId="298">
    <w:name w:val="m31"/>
    <w:basedOn w:val="195"/>
    <w:link w:val="1"/>
    <w:qFormat/>
    <w:uiPriority w:val="0"/>
  </w:style>
  <w:style w:type="character" w:customStyle="1" w:styleId="299">
    <w:name w:val=" Char Char1"/>
    <w:link w:val="1"/>
    <w:qFormat/>
    <w:uiPriority w:val="0"/>
    <w:rPr>
      <w:rFonts w:eastAsia="宋体"/>
      <w:sz w:val="24"/>
      <w:lang w:val="en-US" w:eastAsia="zh-CN" w:bidi="ar-SA"/>
    </w:rPr>
  </w:style>
  <w:style w:type="character" w:customStyle="1" w:styleId="300">
    <w:name w:val="span35"/>
    <w:basedOn w:val="195"/>
    <w:link w:val="1"/>
    <w:qFormat/>
    <w:uiPriority w:val="0"/>
  </w:style>
  <w:style w:type="character" w:customStyle="1" w:styleId="301">
    <w:name w:val="16"/>
    <w:link w:val="1"/>
    <w:qFormat/>
    <w:uiPriority w:val="0"/>
    <w:rPr>
      <w:rFonts w:ascii="Times New Roman" w:hAnsi="Times New Roman" w:cs="Times New Roman"/>
      <w:sz w:val="32"/>
      <w:szCs w:val="32"/>
    </w:rPr>
  </w:style>
  <w:style w:type="character" w:customStyle="1" w:styleId="302">
    <w:name w:val="m1"/>
    <w:basedOn w:val="195"/>
    <w:link w:val="1"/>
    <w:qFormat/>
    <w:uiPriority w:val="0"/>
  </w:style>
  <w:style w:type="character" w:customStyle="1" w:styleId="303">
    <w:name w:val="表格标题 Char"/>
    <w:link w:val="1"/>
    <w:qFormat/>
    <w:uiPriority w:val="0"/>
    <w:rPr>
      <w:rFonts w:eastAsia="新宋体"/>
      <w:b/>
      <w:sz w:val="28"/>
      <w:szCs w:val="24"/>
    </w:rPr>
  </w:style>
  <w:style w:type="character" w:customStyle="1" w:styleId="304">
    <w:name w:val="span61"/>
    <w:basedOn w:val="195"/>
    <w:link w:val="1"/>
    <w:qFormat/>
    <w:uiPriority w:val="0"/>
  </w:style>
  <w:style w:type="character" w:customStyle="1" w:styleId="305">
    <w:name w:val="m3"/>
    <w:basedOn w:val="195"/>
    <w:link w:val="1"/>
    <w:qFormat/>
    <w:uiPriority w:val="0"/>
  </w:style>
  <w:style w:type="character" w:customStyle="1" w:styleId="306">
    <w:name w:val="表格标题 Char Char Char Char"/>
    <w:link w:val="307"/>
    <w:qFormat/>
    <w:uiPriority w:val="0"/>
    <w:rPr>
      <w:rFonts w:eastAsia="黑体"/>
      <w:sz w:val="24"/>
    </w:rPr>
  </w:style>
  <w:style w:type="paragraph" w:customStyle="1" w:styleId="307">
    <w:name w:val="表格标题"/>
    <w:basedOn w:val="1"/>
    <w:next w:val="1"/>
    <w:link w:val="306"/>
    <w:qFormat/>
    <w:uiPriority w:val="0"/>
    <w:pPr>
      <w:ind w:firstLine="482"/>
      <w:jc w:val="center"/>
    </w:pPr>
    <w:rPr>
      <w:rFonts w:eastAsia="黑体"/>
    </w:rPr>
  </w:style>
  <w:style w:type="character" w:customStyle="1" w:styleId="308">
    <w:name w:val="t_tag"/>
    <w:basedOn w:val="195"/>
    <w:link w:val="1"/>
    <w:qFormat/>
    <w:uiPriority w:val="0"/>
  </w:style>
  <w:style w:type="character" w:customStyle="1" w:styleId="309">
    <w:name w:val="正文文字缩进 3 Char Char"/>
    <w:link w:val="1"/>
    <w:qFormat/>
    <w:uiPriority w:val="0"/>
    <w:rPr>
      <w:rFonts w:eastAsia="宋体"/>
      <w:sz w:val="16"/>
      <w:szCs w:val="16"/>
      <w:lang w:val="en-US" w:eastAsia="zh-CN" w:bidi="ar-SA"/>
    </w:rPr>
  </w:style>
  <w:style w:type="character" w:customStyle="1" w:styleId="310">
    <w:name w:val="样式1 Char"/>
    <w:link w:val="311"/>
    <w:qFormat/>
    <w:uiPriority w:val="0"/>
    <w:rPr>
      <w:rFonts w:eastAsia="宋体"/>
      <w:b/>
      <w:bCs/>
      <w:sz w:val="24"/>
      <w:szCs w:val="22"/>
      <w:lang w:val="en-US" w:eastAsia="zh-CN" w:bidi="ar-SA"/>
    </w:rPr>
  </w:style>
  <w:style w:type="paragraph" w:customStyle="1" w:styleId="311">
    <w:name w:val="样式1"/>
    <w:basedOn w:val="1"/>
    <w:link w:val="310"/>
    <w:qFormat/>
    <w:uiPriority w:val="0"/>
    <w:pPr>
      <w:tabs>
        <w:tab w:val="left" w:pos="1960"/>
      </w:tabs>
      <w:spacing w:line="324" w:lineRule="auto"/>
      <w:ind w:firstLine="482"/>
      <w:jc w:val="center"/>
    </w:pPr>
    <w:rPr>
      <w:b/>
      <w:bCs/>
      <w:szCs w:val="22"/>
    </w:rPr>
  </w:style>
  <w:style w:type="character" w:customStyle="1" w:styleId="312">
    <w:name w:val="！正文 Char"/>
    <w:link w:val="313"/>
    <w:qFormat/>
    <w:uiPriority w:val="0"/>
    <w:rPr>
      <w:rFonts w:cs="宋体"/>
      <w:sz w:val="24"/>
    </w:rPr>
  </w:style>
  <w:style w:type="paragraph" w:customStyle="1" w:styleId="313">
    <w:name w:val="！正文"/>
    <w:basedOn w:val="1"/>
    <w:link w:val="312"/>
    <w:qFormat/>
    <w:uiPriority w:val="0"/>
    <w:pPr>
      <w:ind w:firstLine="480"/>
    </w:pPr>
  </w:style>
  <w:style w:type="character" w:customStyle="1" w:styleId="314">
    <w:name w:val="0正文 Char Char"/>
    <w:link w:val="315"/>
    <w:qFormat/>
    <w:uiPriority w:val="0"/>
    <w:rPr>
      <w:color w:val="000000"/>
      <w:sz w:val="24"/>
    </w:rPr>
  </w:style>
  <w:style w:type="paragraph" w:customStyle="1" w:styleId="315">
    <w:name w:val="0正文"/>
    <w:basedOn w:val="1"/>
    <w:link w:val="314"/>
    <w:qFormat/>
    <w:uiPriority w:val="0"/>
    <w:pPr>
      <w:ind w:firstLine="480"/>
    </w:pPr>
    <w:rPr>
      <w:color w:val="000000"/>
    </w:rPr>
  </w:style>
  <w:style w:type="character" w:customStyle="1" w:styleId="316">
    <w:name w:val="m6"/>
    <w:basedOn w:val="195"/>
    <w:link w:val="1"/>
    <w:qFormat/>
    <w:uiPriority w:val="0"/>
  </w:style>
  <w:style w:type="character" w:customStyle="1" w:styleId="317">
    <w:name w:val="span13"/>
    <w:basedOn w:val="195"/>
    <w:link w:val="1"/>
    <w:qFormat/>
    <w:uiPriority w:val="0"/>
  </w:style>
  <w:style w:type="character" w:customStyle="1" w:styleId="318">
    <w:name w:val="m2"/>
    <w:basedOn w:val="195"/>
    <w:link w:val="1"/>
    <w:qFormat/>
    <w:uiPriority w:val="0"/>
  </w:style>
  <w:style w:type="character" w:customStyle="1" w:styleId="319">
    <w:name w:val="span12"/>
    <w:basedOn w:val="195"/>
    <w:link w:val="1"/>
    <w:qFormat/>
    <w:uiPriority w:val="0"/>
  </w:style>
  <w:style w:type="character" w:customStyle="1" w:styleId="320">
    <w:name w:val="表1 Char"/>
    <w:link w:val="321"/>
    <w:qFormat/>
    <w:uiPriority w:val="0"/>
    <w:rPr>
      <w:sz w:val="21"/>
      <w:szCs w:val="21"/>
      <w:lang w:val="en-US" w:eastAsia="zh-CN" w:bidi="ar-SA"/>
    </w:rPr>
  </w:style>
  <w:style w:type="paragraph" w:customStyle="1" w:styleId="321">
    <w:name w:val="表1"/>
    <w:next w:val="1"/>
    <w:link w:val="320"/>
    <w:qFormat/>
    <w:uiPriority w:val="0"/>
    <w:pPr>
      <w:spacing w:line="360" w:lineRule="auto"/>
      <w:ind w:firstLine="200"/>
      <w:jc w:val="center"/>
    </w:pPr>
    <w:rPr>
      <w:rFonts w:hint="default" w:ascii="Times New Roman" w:hAnsi="Times New Roman" w:eastAsia="宋体" w:cs="Times New Roman"/>
      <w:sz w:val="21"/>
      <w:szCs w:val="21"/>
      <w:lang w:val="en-US" w:eastAsia="zh-CN" w:bidi="ar-SA"/>
    </w:rPr>
  </w:style>
  <w:style w:type="character" w:customStyle="1" w:styleId="322">
    <w:name w:val="haydonli Char Char"/>
    <w:link w:val="323"/>
    <w:qFormat/>
    <w:uiPriority w:val="0"/>
    <w:rPr>
      <w:sz w:val="24"/>
    </w:rPr>
  </w:style>
  <w:style w:type="paragraph" w:customStyle="1" w:styleId="323">
    <w:name w:val="haydonli"/>
    <w:basedOn w:val="1"/>
    <w:link w:val="322"/>
    <w:qFormat/>
    <w:uiPriority w:val="0"/>
  </w:style>
  <w:style w:type="character" w:customStyle="1" w:styleId="324">
    <w:name w:val="span34"/>
    <w:basedOn w:val="195"/>
    <w:link w:val="1"/>
    <w:qFormat/>
    <w:uiPriority w:val="0"/>
  </w:style>
  <w:style w:type="character" w:customStyle="1" w:styleId="325">
    <w:name w:val="content1"/>
    <w:link w:val="1"/>
    <w:qFormat/>
    <w:uiPriority w:val="0"/>
    <w:rPr>
      <w:sz w:val="18"/>
      <w:szCs w:val="18"/>
    </w:rPr>
  </w:style>
  <w:style w:type="character" w:customStyle="1" w:styleId="326">
    <w:name w:val="span62"/>
    <w:basedOn w:val="195"/>
    <w:link w:val="1"/>
    <w:qFormat/>
    <w:uiPriority w:val="0"/>
  </w:style>
  <w:style w:type="character" w:customStyle="1" w:styleId="327">
    <w:name w:val="font01"/>
    <w:link w:val="1"/>
    <w:qFormat/>
    <w:uiPriority w:val="0"/>
    <w:rPr>
      <w:rFonts w:hint="eastAsia" w:ascii="宋体" w:hAnsi="宋体" w:eastAsia="宋体" w:cs="宋体"/>
      <w:color w:val="000000"/>
      <w:sz w:val="24"/>
      <w:szCs w:val="24"/>
      <w:u w:val="none"/>
    </w:rPr>
  </w:style>
  <w:style w:type="character" w:customStyle="1" w:styleId="328">
    <w:name w:val="m51"/>
    <w:basedOn w:val="195"/>
    <w:link w:val="1"/>
    <w:qFormat/>
    <w:uiPriority w:val="0"/>
  </w:style>
  <w:style w:type="character" w:customStyle="1" w:styleId="329">
    <w:name w:val="表格 Char"/>
    <w:link w:val="330"/>
    <w:qFormat/>
    <w:uiPriority w:val="0"/>
    <w:rPr>
      <w:rFonts w:eastAsia="仿宋_GB2312"/>
      <w:sz w:val="21"/>
    </w:rPr>
  </w:style>
  <w:style w:type="paragraph" w:customStyle="1" w:styleId="330">
    <w:name w:val="表格"/>
    <w:basedOn w:val="1"/>
    <w:link w:val="329"/>
    <w:qFormat/>
    <w:uiPriority w:val="0"/>
    <w:pPr>
      <w:widowControl w:val="0"/>
      <w:spacing w:line="240" w:lineRule="atLeast"/>
      <w:ind w:firstLine="0"/>
      <w:jc w:val="center"/>
    </w:pPr>
    <w:rPr>
      <w:rFonts w:eastAsia="仿宋_GB2312"/>
      <w:sz w:val="21"/>
    </w:rPr>
  </w:style>
  <w:style w:type="character" w:customStyle="1" w:styleId="331">
    <w:name w:val="span51"/>
    <w:basedOn w:val="195"/>
    <w:link w:val="1"/>
    <w:qFormat/>
    <w:uiPriority w:val="0"/>
  </w:style>
  <w:style w:type="character" w:customStyle="1" w:styleId="332">
    <w:name w:val="Char Char5"/>
    <w:link w:val="1"/>
    <w:semiHidden/>
    <w:qFormat/>
    <w:uiPriority w:val="0"/>
    <w:rPr>
      <w:rFonts w:eastAsia="宋体"/>
      <w:sz w:val="18"/>
      <w:szCs w:val="18"/>
      <w:lang w:val="en-US" w:eastAsia="zh-CN" w:bidi="ar-SA"/>
    </w:rPr>
  </w:style>
  <w:style w:type="character" w:customStyle="1" w:styleId="333">
    <w:name w:val="魏秀珍 标题2（1.1） Char Char"/>
    <w:link w:val="1"/>
    <w:qFormat/>
    <w:uiPriority w:val="0"/>
    <w:rPr>
      <w:rFonts w:eastAsia="黑体"/>
      <w:b/>
      <w:bCs/>
      <w:sz w:val="32"/>
      <w:szCs w:val="32"/>
      <w:lang w:val="en-US" w:eastAsia="zh-CN" w:bidi="ar-SA"/>
    </w:rPr>
  </w:style>
  <w:style w:type="character" w:customStyle="1" w:styleId="334">
    <w:name w:val="d1"/>
    <w:link w:val="1"/>
    <w:qFormat/>
    <w:uiPriority w:val="0"/>
    <w:rPr>
      <w:rFonts w:ascii="ˎ̥" w:hAnsi="ˎ̥"/>
      <w:b/>
      <w:bCs/>
      <w:color w:val="0000CC"/>
      <w:sz w:val="21"/>
      <w:szCs w:val="21"/>
    </w:rPr>
  </w:style>
  <w:style w:type="character" w:customStyle="1" w:styleId="335">
    <w:name w:val="引用 Char"/>
    <w:link w:val="336"/>
    <w:qFormat/>
    <w:uiPriority w:val="29"/>
    <w:rPr>
      <w:b/>
      <w:color w:val="000000"/>
      <w:sz w:val="24"/>
    </w:rPr>
  </w:style>
  <w:style w:type="paragraph" w:customStyle="1" w:styleId="336">
    <w:name w:val="引用1"/>
    <w:basedOn w:val="1"/>
    <w:next w:val="1"/>
    <w:link w:val="335"/>
    <w:qFormat/>
    <w:uiPriority w:val="29"/>
    <w:pPr>
      <w:spacing w:line="240" w:lineRule="auto"/>
      <w:jc w:val="left"/>
    </w:pPr>
    <w:rPr>
      <w:b/>
      <w:color w:val="000000"/>
    </w:rPr>
  </w:style>
  <w:style w:type="character" w:customStyle="1" w:styleId="337">
    <w:name w:val="font51"/>
    <w:link w:val="1"/>
    <w:qFormat/>
    <w:uiPriority w:val="0"/>
    <w:rPr>
      <w:rFonts w:hint="eastAsia" w:ascii="宋体" w:hAnsi="宋体" w:eastAsia="宋体" w:cs="宋体"/>
      <w:color w:val="000000"/>
      <w:sz w:val="24"/>
      <w:szCs w:val="24"/>
      <w:u w:val="none"/>
    </w:rPr>
  </w:style>
  <w:style w:type="character" w:customStyle="1" w:styleId="338">
    <w:name w:val="m4"/>
    <w:basedOn w:val="195"/>
    <w:link w:val="1"/>
    <w:qFormat/>
    <w:uiPriority w:val="0"/>
  </w:style>
  <w:style w:type="character" w:customStyle="1" w:styleId="339">
    <w:name w:val="span33"/>
    <w:basedOn w:val="195"/>
    <w:link w:val="1"/>
    <w:qFormat/>
    <w:uiPriority w:val="0"/>
  </w:style>
  <w:style w:type="character" w:customStyle="1" w:styleId="340">
    <w:name w:val="hei141"/>
    <w:link w:val="1"/>
    <w:qFormat/>
    <w:uiPriority w:val="0"/>
    <w:rPr>
      <w:color w:val="000000"/>
      <w:sz w:val="21"/>
      <w:szCs w:val="21"/>
    </w:rPr>
  </w:style>
  <w:style w:type="character" w:customStyle="1" w:styleId="341">
    <w:name w:val="@@ Char Char"/>
    <w:link w:val="342"/>
    <w:qFormat/>
    <w:uiPriority w:val="0"/>
    <w:rPr>
      <w:color w:val="000000"/>
      <w:sz w:val="24"/>
    </w:rPr>
  </w:style>
  <w:style w:type="paragraph" w:customStyle="1" w:styleId="342">
    <w:name w:val="@@"/>
    <w:basedOn w:val="1"/>
    <w:link w:val="341"/>
    <w:qFormat/>
    <w:uiPriority w:val="0"/>
    <w:pPr>
      <w:ind w:firstLine="480"/>
    </w:pPr>
    <w:rPr>
      <w:color w:val="000000"/>
    </w:rPr>
  </w:style>
  <w:style w:type="character" w:customStyle="1" w:styleId="343">
    <w:name w:val="span21"/>
    <w:basedOn w:val="195"/>
    <w:link w:val="1"/>
    <w:qFormat/>
    <w:uiPriority w:val="0"/>
  </w:style>
  <w:style w:type="character" w:customStyle="1" w:styleId="344">
    <w:name w:val="[正文格式] Char Char Char Char"/>
    <w:link w:val="345"/>
    <w:semiHidden/>
    <w:qFormat/>
    <w:uiPriority w:val="0"/>
    <w:rPr>
      <w:sz w:val="24"/>
      <w:szCs w:val="24"/>
    </w:rPr>
  </w:style>
  <w:style w:type="paragraph" w:customStyle="1" w:styleId="345">
    <w:name w:val="[正文格式] Char Char Char"/>
    <w:basedOn w:val="1"/>
    <w:link w:val="344"/>
    <w:semiHidden/>
    <w:qFormat/>
    <w:uiPriority w:val="0"/>
    <w:pPr>
      <w:spacing w:line="440" w:lineRule="exact"/>
      <w:ind w:firstLine="480"/>
    </w:pPr>
    <w:rPr>
      <w:szCs w:val="24"/>
    </w:rPr>
  </w:style>
  <w:style w:type="character" w:customStyle="1" w:styleId="346">
    <w:name w:val="span1"/>
    <w:basedOn w:val="195"/>
    <w:link w:val="1"/>
    <w:qFormat/>
    <w:uiPriority w:val="0"/>
  </w:style>
  <w:style w:type="character" w:customStyle="1" w:styleId="347">
    <w:name w:val="style71"/>
    <w:link w:val="1"/>
    <w:qFormat/>
    <w:uiPriority w:val="0"/>
    <w:rPr>
      <w:sz w:val="20"/>
      <w:szCs w:val="20"/>
    </w:rPr>
  </w:style>
  <w:style w:type="character" w:customStyle="1" w:styleId="348">
    <w:name w:val="未处理的提及"/>
    <w:link w:val="1"/>
    <w:unhideWhenUsed/>
    <w:qFormat/>
    <w:uiPriority w:val="99"/>
    <w:rPr>
      <w:color w:val="605E5C"/>
      <w:shd w:val="clear" w:color="auto" w:fill="E1DFDD"/>
    </w:rPr>
  </w:style>
  <w:style w:type="character" w:customStyle="1" w:styleId="349">
    <w:name w:val="style1"/>
    <w:basedOn w:val="195"/>
    <w:link w:val="1"/>
    <w:qFormat/>
    <w:uiPriority w:val="0"/>
  </w:style>
  <w:style w:type="character" w:customStyle="1" w:styleId="350">
    <w:name w:val="15"/>
    <w:link w:val="1"/>
    <w:qFormat/>
    <w:uiPriority w:val="0"/>
    <w:rPr>
      <w:rFonts w:hint="eastAsia" w:ascii="宋体" w:hAnsi="宋体" w:eastAsia="宋体"/>
      <w:spacing w:val="320"/>
      <w:sz w:val="24"/>
      <w:szCs w:val="24"/>
    </w:rPr>
  </w:style>
  <w:style w:type="character" w:customStyle="1" w:styleId="351">
    <w:name w:val=" Char Char Char Char1"/>
    <w:link w:val="1"/>
    <w:qFormat/>
    <w:uiPriority w:val="0"/>
    <w:rPr>
      <w:rFonts w:ascii="宋体" w:hAnsi="宋体" w:eastAsia="宋体" w:cs="宋体"/>
      <w:sz w:val="24"/>
      <w:szCs w:val="24"/>
      <w:lang w:val="en-US" w:eastAsia="zh-CN" w:bidi="ar-SA"/>
    </w:rPr>
  </w:style>
  <w:style w:type="character" w:customStyle="1" w:styleId="352">
    <w:name w:val="headline-content2"/>
    <w:basedOn w:val="195"/>
    <w:link w:val="1"/>
    <w:uiPriority w:val="0"/>
  </w:style>
  <w:style w:type="character" w:customStyle="1" w:styleId="353">
    <w:name w:val="span2"/>
    <w:basedOn w:val="195"/>
    <w:link w:val="1"/>
    <w:uiPriority w:val="0"/>
  </w:style>
  <w:style w:type="character" w:customStyle="1" w:styleId="354">
    <w:name w:val="span23"/>
    <w:basedOn w:val="195"/>
    <w:link w:val="1"/>
    <w:uiPriority w:val="0"/>
  </w:style>
  <w:style w:type="character" w:customStyle="1" w:styleId="355">
    <w:name w:val="span6"/>
    <w:basedOn w:val="195"/>
    <w:link w:val="1"/>
    <w:uiPriority w:val="0"/>
  </w:style>
  <w:style w:type="character" w:customStyle="1" w:styleId="356">
    <w:name w:val="文本样式1 Char"/>
    <w:link w:val="357"/>
    <w:uiPriority w:val="0"/>
    <w:rPr>
      <w:bCs/>
      <w:sz w:val="28"/>
    </w:rPr>
  </w:style>
  <w:style w:type="paragraph" w:customStyle="1" w:styleId="357">
    <w:name w:val="文本样式1"/>
    <w:basedOn w:val="1"/>
    <w:link w:val="356"/>
    <w:qFormat/>
    <w:uiPriority w:val="0"/>
    <w:pPr>
      <w:tabs>
        <w:tab w:val="left" w:pos="1960"/>
      </w:tabs>
      <w:spacing w:line="520" w:lineRule="exact"/>
      <w:jc w:val="left"/>
    </w:pPr>
    <w:rPr>
      <w:bCs/>
      <w:sz w:val="28"/>
    </w:rPr>
  </w:style>
  <w:style w:type="character" w:customStyle="1" w:styleId="358">
    <w:name w:val="2级 Char Char"/>
    <w:link w:val="359"/>
    <w:qFormat/>
    <w:uiPriority w:val="0"/>
    <w:rPr>
      <w:rFonts w:eastAsia="黑体"/>
      <w:b/>
      <w:bCs/>
      <w:color w:val="000000"/>
      <w:sz w:val="28"/>
      <w:szCs w:val="32"/>
    </w:rPr>
  </w:style>
  <w:style w:type="paragraph" w:customStyle="1" w:styleId="359">
    <w:name w:val="2级"/>
    <w:basedOn w:val="1"/>
    <w:link w:val="358"/>
    <w:uiPriority w:val="0"/>
    <w:pPr>
      <w:keepNext/>
      <w:keepLines/>
      <w:ind w:firstLine="0"/>
      <w:jc w:val="left"/>
      <w:outlineLvl w:val="1"/>
    </w:pPr>
    <w:rPr>
      <w:rFonts w:eastAsia="黑体"/>
      <w:b/>
      <w:bCs/>
      <w:color w:val="000000"/>
      <w:sz w:val="28"/>
      <w:szCs w:val="32"/>
    </w:rPr>
  </w:style>
  <w:style w:type="character" w:customStyle="1" w:styleId="360">
    <w:name w:val="m41"/>
    <w:basedOn w:val="195"/>
    <w:link w:val="1"/>
    <w:uiPriority w:val="0"/>
  </w:style>
  <w:style w:type="character" w:customStyle="1" w:styleId="361">
    <w:name w:val="span32"/>
    <w:basedOn w:val="195"/>
    <w:link w:val="1"/>
    <w:uiPriority w:val="0"/>
  </w:style>
  <w:style w:type="character" w:customStyle="1" w:styleId="362">
    <w:name w:val="表内 Char"/>
    <w:link w:val="363"/>
    <w:uiPriority w:val="0"/>
    <w:rPr>
      <w:rFonts w:eastAsia="宋体"/>
      <w:bCs/>
      <w:sz w:val="21"/>
      <w:szCs w:val="32"/>
      <w:lang w:val="en-US" w:eastAsia="zh-CN" w:bidi="ar-SA"/>
    </w:rPr>
  </w:style>
  <w:style w:type="paragraph" w:customStyle="1" w:styleId="363">
    <w:name w:val="表内"/>
    <w:basedOn w:val="251"/>
    <w:link w:val="362"/>
    <w:qFormat/>
    <w:uiPriority w:val="0"/>
    <w:pPr>
      <w:spacing w:line="240" w:lineRule="auto"/>
      <w:ind w:firstLine="0"/>
    </w:pPr>
  </w:style>
  <w:style w:type="character" w:customStyle="1" w:styleId="364">
    <w:name w:val="表头 Char"/>
    <w:link w:val="365"/>
    <w:uiPriority w:val="0"/>
    <w:rPr>
      <w:b/>
      <w:sz w:val="24"/>
    </w:rPr>
  </w:style>
  <w:style w:type="paragraph" w:customStyle="1" w:styleId="365">
    <w:name w:val="表头"/>
    <w:basedOn w:val="1"/>
    <w:link w:val="364"/>
    <w:uiPriority w:val="0"/>
    <w:pPr>
      <w:jc w:val="center"/>
    </w:pPr>
    <w:rPr>
      <w:b/>
    </w:rPr>
  </w:style>
  <w:style w:type="character" w:customStyle="1" w:styleId="366">
    <w:name w:val="span3"/>
    <w:basedOn w:val="195"/>
    <w:link w:val="1"/>
    <w:uiPriority w:val="0"/>
  </w:style>
  <w:style w:type="character" w:customStyle="1" w:styleId="367">
    <w:name w:val="span41"/>
    <w:basedOn w:val="195"/>
    <w:link w:val="1"/>
    <w:uiPriority w:val="0"/>
  </w:style>
  <w:style w:type="character" w:customStyle="1" w:styleId="368">
    <w:name w:val="Char Char Char Char1"/>
    <w:link w:val="1"/>
    <w:uiPriority w:val="0"/>
    <w:rPr>
      <w:rFonts w:ascii="宋体" w:hAnsi="Courier New" w:eastAsia="宋体" w:cs="Courier New"/>
      <w:sz w:val="21"/>
      <w:szCs w:val="21"/>
    </w:rPr>
  </w:style>
  <w:style w:type="character" w:customStyle="1" w:styleId="369">
    <w:name w:val="textcontents"/>
    <w:basedOn w:val="195"/>
    <w:link w:val="1"/>
    <w:uiPriority w:val="0"/>
  </w:style>
  <w:style w:type="character" w:customStyle="1" w:styleId="370">
    <w:name w:val="span11"/>
    <w:basedOn w:val="195"/>
    <w:link w:val="1"/>
    <w:uiPriority w:val="0"/>
  </w:style>
  <w:style w:type="character" w:customStyle="1" w:styleId="371">
    <w:name w:val="grame"/>
    <w:basedOn w:val="195"/>
    <w:link w:val="1"/>
    <w:uiPriority w:val="0"/>
  </w:style>
  <w:style w:type="character" w:customStyle="1" w:styleId="372">
    <w:name w:val="表格内文字 Char1"/>
    <w:link w:val="373"/>
    <w:uiPriority w:val="0"/>
    <w:rPr>
      <w:rFonts w:ascii="宋体" w:hAnsi="宋体"/>
      <w:lang w:val="en-US" w:eastAsia="zh-CN" w:bidi="ar-SA"/>
    </w:rPr>
  </w:style>
  <w:style w:type="paragraph" w:customStyle="1" w:styleId="373">
    <w:name w:val="表格内文字"/>
    <w:link w:val="372"/>
    <w:uiPriority w:val="0"/>
    <w:pPr>
      <w:keepNext/>
      <w:widowControl w:val="0"/>
      <w:spacing w:line="240" w:lineRule="atLeast"/>
      <w:ind w:firstLine="200"/>
      <w:jc w:val="center"/>
    </w:pPr>
    <w:rPr>
      <w:rFonts w:hint="default" w:ascii="宋体" w:hAnsi="宋体" w:eastAsia="宋体" w:cs="Times New Roman"/>
      <w:lang w:val="en-US" w:eastAsia="zh-CN" w:bidi="ar-SA"/>
    </w:rPr>
  </w:style>
  <w:style w:type="character" w:customStyle="1" w:styleId="374">
    <w:name w:val="span52"/>
    <w:basedOn w:val="195"/>
    <w:link w:val="1"/>
    <w:uiPriority w:val="0"/>
  </w:style>
  <w:style w:type="character" w:customStyle="1" w:styleId="375">
    <w:name w:val="swy11"/>
    <w:link w:val="1"/>
    <w:uiPriority w:val="0"/>
    <w:rPr>
      <w:rFonts w:hint="eastAsia" w:ascii="宋体" w:hAnsi="宋体" w:eastAsia="宋体"/>
      <w:sz w:val="24"/>
      <w:szCs w:val="24"/>
    </w:rPr>
  </w:style>
  <w:style w:type="character" w:customStyle="1" w:styleId="376">
    <w:name w:val="正文文本的 Char"/>
    <w:link w:val="377"/>
    <w:uiPriority w:val="0"/>
    <w:rPr>
      <w:rFonts w:eastAsia="宋体" w:cs="宋体"/>
      <w:sz w:val="24"/>
      <w:lang w:val="en-US" w:eastAsia="zh-CN" w:bidi="ar-SA"/>
    </w:rPr>
  </w:style>
  <w:style w:type="paragraph" w:customStyle="1" w:styleId="377">
    <w:name w:val="正文文本的"/>
    <w:basedOn w:val="1"/>
    <w:link w:val="376"/>
    <w:uiPriority w:val="0"/>
    <w:pPr>
      <w:ind w:firstLine="480"/>
    </w:pPr>
    <w:rPr>
      <w:rFonts w:cs="宋体"/>
    </w:rPr>
  </w:style>
  <w:style w:type="character" w:customStyle="1" w:styleId="378">
    <w:name w:val="apple-style-span"/>
    <w:link w:val="1"/>
    <w:qFormat/>
    <w:uiPriority w:val="0"/>
  </w:style>
  <w:style w:type="paragraph" w:customStyle="1" w:styleId="379">
    <w:name w:val="表格文字"/>
    <w:qFormat/>
    <w:uiPriority w:val="0"/>
    <w:pPr>
      <w:spacing w:before="10" w:after="10" w:line="0" w:lineRule="atLeast"/>
      <w:jc w:val="center"/>
    </w:pPr>
    <w:rPr>
      <w:rFonts w:hint="default" w:ascii="Times New Roman" w:hAnsi="Times New Roman" w:eastAsia="宋体" w:cs="Times New Roman"/>
      <w:sz w:val="18"/>
      <w:szCs w:val="21"/>
      <w:lang w:val="en-US" w:eastAsia="zh-CN" w:bidi="ar-SA"/>
    </w:rPr>
  </w:style>
  <w:style w:type="paragraph" w:customStyle="1" w:styleId="380">
    <w:name w:val="zxzx书正文"/>
    <w:basedOn w:val="1"/>
    <w:qFormat/>
    <w:uiPriority w:val="0"/>
    <w:pPr>
      <w:spacing w:line="440" w:lineRule="exact"/>
      <w:ind w:firstLine="880"/>
    </w:pPr>
  </w:style>
  <w:style w:type="paragraph" w:customStyle="1" w:styleId="381">
    <w:name w:val="表格文字1"/>
    <w:basedOn w:val="1"/>
    <w:qFormat/>
    <w:uiPriority w:val="0"/>
    <w:pPr>
      <w:widowControl w:val="0"/>
      <w:spacing w:line="360" w:lineRule="atLeast"/>
      <w:ind w:firstLine="0"/>
      <w:jc w:val="center"/>
    </w:pPr>
    <w:rPr>
      <w:sz w:val="21"/>
      <w:szCs w:val="24"/>
    </w:rPr>
  </w:style>
  <w:style w:type="paragraph" w:customStyle="1" w:styleId="382">
    <w:name w:val="Char Char Char"/>
    <w:basedOn w:val="213"/>
    <w:uiPriority w:val="0"/>
    <w:pPr>
      <w:spacing w:line="436" w:lineRule="exact"/>
      <w:ind w:left="357" w:firstLine="0"/>
      <w:jc w:val="left"/>
      <w:outlineLvl w:val="3"/>
    </w:pPr>
    <w:rPr>
      <w:rFonts w:ascii="Tahoma" w:hAnsi="Tahoma"/>
      <w:b/>
      <w:sz w:val="44"/>
      <w:szCs w:val="24"/>
    </w:rPr>
  </w:style>
  <w:style w:type="paragraph" w:customStyle="1" w:styleId="383">
    <w:name w:val="魏秀珍标题4"/>
    <w:basedOn w:val="189"/>
    <w:uiPriority w:val="0"/>
    <w:pPr>
      <w:spacing w:before="120" w:after="120" w:line="360" w:lineRule="auto"/>
      <w:jc w:val="left"/>
    </w:pPr>
    <w:rPr>
      <w:rFonts w:ascii="黑体" w:hAnsi="Times New Roman"/>
      <w:color w:val="000000"/>
      <w:szCs w:val="20"/>
    </w:rPr>
  </w:style>
  <w:style w:type="paragraph" w:customStyle="1" w:styleId="384">
    <w:name w:val="p18"/>
    <w:basedOn w:val="1"/>
    <w:uiPriority w:val="0"/>
    <w:pPr>
      <w:widowControl/>
      <w:spacing w:line="520" w:lineRule="atLeast"/>
      <w:ind w:firstLine="561"/>
    </w:pPr>
    <w:rPr>
      <w:szCs w:val="24"/>
    </w:rPr>
  </w:style>
  <w:style w:type="paragraph" w:customStyle="1" w:styleId="385">
    <w:name w:val="正文11"/>
    <w:basedOn w:val="1"/>
    <w:next w:val="1"/>
    <w:uiPriority w:val="0"/>
    <w:rPr>
      <w:szCs w:val="24"/>
    </w:rPr>
  </w:style>
  <w:style w:type="paragraph" w:customStyle="1" w:styleId="386">
    <w:name w:val="表格内容1"/>
    <w:basedOn w:val="387"/>
    <w:qFormat/>
    <w:uiPriority w:val="0"/>
    <w:pPr>
      <w:spacing w:line="240" w:lineRule="auto"/>
    </w:pPr>
    <w:rPr>
      <w:rFonts w:ascii="Times New Roman"/>
      <w:szCs w:val="24"/>
    </w:rPr>
  </w:style>
  <w:style w:type="paragraph" w:customStyle="1" w:styleId="387">
    <w:name w:val="表格1"/>
    <w:basedOn w:val="1"/>
    <w:uiPriority w:val="0"/>
    <w:pPr>
      <w:spacing w:before="93" w:beforeAutospacing="0" w:after="93" w:afterAutospacing="0"/>
      <w:jc w:val="center"/>
    </w:pPr>
    <w:rPr>
      <w:sz w:val="24"/>
    </w:rPr>
  </w:style>
  <w:style w:type="paragraph" w:customStyle="1" w:styleId="388">
    <w:name w:val="p0"/>
    <w:basedOn w:val="1"/>
    <w:uiPriority w:val="0"/>
    <w:pPr>
      <w:widowControl/>
    </w:pPr>
    <w:rPr>
      <w:szCs w:val="21"/>
    </w:rPr>
  </w:style>
  <w:style w:type="paragraph" w:customStyle="1" w:styleId="389">
    <w:name w:val="正文(首行缩进)"/>
    <w:basedOn w:val="1"/>
    <w:qFormat/>
    <w:uiPriority w:val="0"/>
    <w:pPr>
      <w:spacing w:line="360" w:lineRule="auto"/>
      <w:ind w:firstLine="466"/>
    </w:pPr>
    <w:rPr>
      <w:rFonts w:ascii="宋体" w:hAnsi="宋体"/>
      <w:color w:val="000000"/>
      <w:spacing w:val="-8"/>
      <w:sz w:val="24"/>
    </w:rPr>
  </w:style>
  <w:style w:type="paragraph" w:customStyle="1" w:styleId="390">
    <w:name w:val="表格+六号"/>
    <w:basedOn w:val="1"/>
    <w:next w:val="1"/>
    <w:uiPriority w:val="0"/>
    <w:pPr>
      <w:spacing w:line="260" w:lineRule="exact"/>
      <w:jc w:val="center"/>
    </w:pPr>
    <w:rPr>
      <w:sz w:val="15"/>
      <w:szCs w:val="15"/>
    </w:rPr>
  </w:style>
  <w:style w:type="paragraph" w:customStyle="1" w:styleId="391">
    <w:name w:val="Char Char Char Char"/>
    <w:basedOn w:val="1"/>
    <w:uiPriority w:val="0"/>
    <w:pPr>
      <w:spacing w:after="160" w:line="240" w:lineRule="exact"/>
      <w:ind w:firstLine="0"/>
      <w:jc w:val="left"/>
    </w:pPr>
    <w:rPr>
      <w:rFonts w:ascii="Verdana" w:hAnsi="Verdana"/>
      <w:sz w:val="20"/>
      <w:lang w:eastAsia="en-US"/>
    </w:rPr>
  </w:style>
  <w:style w:type="paragraph" w:customStyle="1" w:styleId="392">
    <w:name w:val="p20"/>
    <w:basedOn w:val="1"/>
    <w:uiPriority w:val="0"/>
    <w:pPr>
      <w:widowControl/>
      <w:spacing w:line="520" w:lineRule="atLeast"/>
      <w:ind w:right="-368" w:firstLine="420"/>
    </w:pPr>
    <w:rPr>
      <w:rFonts w:ascii="宋体" w:hAnsi="宋体" w:cs="宋体"/>
      <w:sz w:val="28"/>
      <w:szCs w:val="28"/>
    </w:rPr>
  </w:style>
  <w:style w:type="paragraph" w:customStyle="1" w:styleId="393">
    <w:name w:val="列出段落1"/>
    <w:basedOn w:val="1"/>
    <w:qFormat/>
    <w:uiPriority w:val="0"/>
    <w:pPr>
      <w:widowControl w:val="0"/>
      <w:spacing w:line="240" w:lineRule="auto"/>
      <w:ind w:firstLine="420"/>
    </w:pPr>
    <w:rPr>
      <w:sz w:val="21"/>
      <w:szCs w:val="24"/>
    </w:rPr>
  </w:style>
  <w:style w:type="paragraph" w:customStyle="1" w:styleId="394">
    <w:name w:val="p19"/>
    <w:basedOn w:val="1"/>
    <w:uiPriority w:val="0"/>
    <w:pPr>
      <w:widowControl/>
      <w:pBdr>
        <w:bottom w:val="single" w:color="000000" w:sz="6" w:space="1"/>
      </w:pBdr>
      <w:jc w:val="center"/>
    </w:pPr>
    <w:rPr>
      <w:sz w:val="18"/>
      <w:szCs w:val="18"/>
    </w:rPr>
  </w:style>
  <w:style w:type="paragraph" w:customStyle="1" w:styleId="395">
    <w:name w:val="魏秀珍表格标题"/>
    <w:basedOn w:val="1"/>
    <w:qFormat/>
    <w:uiPriority w:val="0"/>
    <w:pPr>
      <w:spacing w:before="120"/>
      <w:jc w:val="center"/>
    </w:pPr>
    <w:rPr>
      <w:b/>
      <w:sz w:val="24"/>
    </w:rPr>
  </w:style>
  <w:style w:type="paragraph" w:customStyle="1" w:styleId="396">
    <w:name w:val="wj样式"/>
    <w:basedOn w:val="1"/>
    <w:next w:val="1"/>
    <w:uiPriority w:val="0"/>
    <w:pPr>
      <w:spacing w:line="360" w:lineRule="auto"/>
      <w:ind w:firstLine="200"/>
    </w:pPr>
    <w:rPr>
      <w:spacing w:val="14"/>
      <w:sz w:val="24"/>
    </w:rPr>
  </w:style>
  <w:style w:type="paragraph" w:customStyle="1" w:styleId="397">
    <w:name w:val="样式 小四 行距: 固定值 24 磅"/>
    <w:basedOn w:val="1"/>
    <w:uiPriority w:val="0"/>
    <w:pPr>
      <w:widowControl w:val="0"/>
    </w:pPr>
    <w:rPr>
      <w:rFonts w:ascii="Arial" w:hAnsi="Arial" w:cs="����"/>
    </w:rPr>
  </w:style>
  <w:style w:type="paragraph" w:customStyle="1" w:styleId="398">
    <w:name w:val="xl22"/>
    <w:basedOn w:val="1"/>
    <w:uiPriority w:val="0"/>
    <w:pPr>
      <w:spacing w:before="100" w:beforeAutospacing="1" w:after="100" w:afterAutospacing="1" w:line="240" w:lineRule="auto"/>
      <w:ind w:firstLine="0"/>
      <w:jc w:val="center"/>
    </w:pPr>
    <w:rPr>
      <w:rFonts w:ascii="宋体" w:hAnsi="宋体"/>
      <w:szCs w:val="24"/>
    </w:rPr>
  </w:style>
  <w:style w:type="paragraph" w:customStyle="1" w:styleId="399">
    <w:name w:val="魏秀珍 表格"/>
    <w:basedOn w:val="1"/>
    <w:qFormat/>
    <w:uiPriority w:val="0"/>
    <w:pPr>
      <w:spacing w:line="360" w:lineRule="auto"/>
      <w:jc w:val="center"/>
    </w:pPr>
    <w:rPr>
      <w:rFonts w:ascii="宋体" w:hAnsi="宋体"/>
      <w:b/>
      <w:bCs/>
      <w:sz w:val="24"/>
      <w:szCs w:val="20"/>
    </w:rPr>
  </w:style>
  <w:style w:type="paragraph" w:customStyle="1" w:styleId="400">
    <w:name w:val="xl24"/>
    <w:basedOn w:val="1"/>
    <w:uiPriority w:val="0"/>
    <w:pPr>
      <w:widowControl/>
      <w:pBdr>
        <w:bottom w:val="single" w:color="000000" w:sz="4" w:space="0"/>
        <w:right w:val="single" w:color="000000" w:sz="4" w:space="0"/>
      </w:pBdr>
      <w:spacing w:before="100" w:beforeAutospacing="1" w:after="100" w:afterAutospacing="1"/>
      <w:jc w:val="center"/>
    </w:pPr>
    <w:rPr>
      <w:rFonts w:eastAsia="Arial Unicode MS"/>
      <w:szCs w:val="21"/>
    </w:rPr>
  </w:style>
  <w:style w:type="paragraph" w:customStyle="1" w:styleId="401">
    <w:name w:val="正缩1"/>
    <w:basedOn w:val="1"/>
    <w:uiPriority w:val="0"/>
    <w:pPr>
      <w:widowControl w:val="0"/>
      <w:spacing w:line="500" w:lineRule="exact"/>
      <w:ind w:firstLine="567"/>
    </w:pPr>
    <w:rPr>
      <w:rFonts w:eastAsia="仿宋_GB2312"/>
      <w:color w:val="000000"/>
      <w:sz w:val="28"/>
    </w:rPr>
  </w:style>
  <w:style w:type="paragraph" w:customStyle="1" w:styleId="402">
    <w:name w:val=" Char Char Char Char"/>
    <w:basedOn w:val="1"/>
    <w:semiHidden/>
    <w:uiPriority w:val="0"/>
    <w:pPr>
      <w:widowControl w:val="0"/>
      <w:spacing w:line="240" w:lineRule="auto"/>
      <w:ind w:firstLine="0"/>
    </w:pPr>
    <w:rPr>
      <w:sz w:val="21"/>
      <w:szCs w:val="24"/>
    </w:rPr>
  </w:style>
  <w:style w:type="paragraph" w:customStyle="1" w:styleId="403">
    <w:name w:val="reader-word-layer reader-word-s1-17"/>
    <w:basedOn w:val="1"/>
    <w:qFormat/>
    <w:uiPriority w:val="0"/>
    <w:pPr>
      <w:spacing w:before="100" w:beforeAutospacing="1" w:after="100" w:afterAutospacing="1" w:line="240" w:lineRule="auto"/>
      <w:ind w:firstLine="0"/>
      <w:jc w:val="left"/>
    </w:pPr>
    <w:rPr>
      <w:rFonts w:ascii="宋体" w:hAnsi="宋体" w:cs="宋体"/>
      <w:szCs w:val="24"/>
    </w:rPr>
  </w:style>
  <w:style w:type="paragraph" w:customStyle="1" w:styleId="404">
    <w:name w:val="表正文"/>
    <w:basedOn w:val="1"/>
    <w:next w:val="210"/>
    <w:uiPriority w:val="0"/>
    <w:pPr>
      <w:ind w:firstLine="420"/>
    </w:pPr>
    <w:rPr>
      <w:sz w:val="24"/>
    </w:rPr>
  </w:style>
  <w:style w:type="paragraph" w:customStyle="1" w:styleId="405">
    <w:name w:val=" Char Char1 Char"/>
    <w:basedOn w:val="1"/>
    <w:semiHidden/>
    <w:uiPriority w:val="0"/>
    <w:pPr>
      <w:widowControl w:val="0"/>
      <w:spacing w:line="240" w:lineRule="auto"/>
      <w:ind w:firstLine="0"/>
    </w:pPr>
    <w:rPr>
      <w:sz w:val="21"/>
      <w:szCs w:val="24"/>
    </w:rPr>
  </w:style>
  <w:style w:type="paragraph" w:customStyle="1" w:styleId="406">
    <w:name w:val="样式 样式 标题 3 + 宋体 四号 非加粗 段前: 6 磅 段后: 6 磅 行距: 单倍行距 + Times New Roman"/>
    <w:basedOn w:val="1"/>
    <w:uiPriority w:val="0"/>
    <w:pPr>
      <w:keepNext/>
      <w:keepLines/>
      <w:tabs>
        <w:tab w:val="left" w:pos="1260"/>
      </w:tabs>
      <w:spacing w:before="120" w:after="120"/>
      <w:ind w:left="1260" w:hanging="420"/>
      <w:outlineLvl w:val="2"/>
    </w:pPr>
    <w:rPr>
      <w:rFonts w:cs="宋体"/>
      <w:b/>
      <w:sz w:val="28"/>
    </w:rPr>
  </w:style>
  <w:style w:type="paragraph" w:customStyle="1" w:styleId="407">
    <w:name w:val="样式 正文文本缩进正文文字缩进 + 宋体"/>
    <w:basedOn w:val="221"/>
    <w:uiPriority w:val="0"/>
    <w:pPr>
      <w:widowControl w:val="0"/>
      <w:spacing w:after="0" w:line="240" w:lineRule="auto"/>
      <w:ind w:left="0" w:firstLine="552"/>
    </w:pPr>
    <w:rPr>
      <w:rFonts w:ascii="宋体" w:hAnsi="宋体"/>
      <w:sz w:val="28"/>
    </w:rPr>
  </w:style>
  <w:style w:type="paragraph" w:customStyle="1" w:styleId="408">
    <w:name w:val="魏秀珍   正文"/>
    <w:basedOn w:val="210"/>
    <w:qFormat/>
    <w:uiPriority w:val="0"/>
    <w:pPr>
      <w:tabs>
        <w:tab w:val="left" w:pos="574"/>
      </w:tabs>
      <w:spacing w:line="360" w:lineRule="auto"/>
      <w:ind w:firstLine="480"/>
    </w:pPr>
    <w:rPr>
      <w:rFonts w:ascii="宋体" w:hAnsi="宋体"/>
      <w:color w:val="800080"/>
      <w:sz w:val="24"/>
      <w:lang w:val="en-GB" w:bidi="he-IL"/>
    </w:rPr>
  </w:style>
  <w:style w:type="paragraph" w:customStyle="1" w:styleId="409">
    <w:name w:val="Normal1"/>
    <w:uiPriority w:val="0"/>
    <w:pPr>
      <w:jc w:val="both"/>
    </w:pPr>
    <w:rPr>
      <w:rFonts w:hint="default" w:ascii="Calibri" w:hAnsi="Calibri" w:eastAsia="宋体" w:cs="Calibri"/>
      <w:sz w:val="21"/>
      <w:szCs w:val="21"/>
      <w:lang w:val="en-US" w:eastAsia="zh-CN" w:bidi="ar-SA"/>
    </w:rPr>
  </w:style>
  <w:style w:type="paragraph" w:customStyle="1" w:styleId="410">
    <w:name w:val="正本AM"/>
    <w:basedOn w:val="1"/>
    <w:qFormat/>
    <w:uiPriority w:val="0"/>
    <w:pPr>
      <w:spacing w:line="360" w:lineRule="auto"/>
      <w:ind w:firstLine="576"/>
      <w:jc w:val="left"/>
    </w:pPr>
    <w:rPr>
      <w:rFonts w:eastAsia="仿宋_GB2312"/>
      <w:spacing w:val="4"/>
      <w:sz w:val="28"/>
      <w:szCs w:val="28"/>
    </w:rPr>
  </w:style>
  <w:style w:type="paragraph" w:customStyle="1" w:styleId="411">
    <w:name w:val="ZM"/>
    <w:basedOn w:val="1"/>
    <w:uiPriority w:val="0"/>
    <w:pPr>
      <w:spacing w:line="480" w:lineRule="exact"/>
      <w:ind w:firstLine="520"/>
      <w:jc w:val="left"/>
    </w:pPr>
    <w:rPr>
      <w:rFonts w:ascii="宋体" w:hAnsi="宋体"/>
      <w:color w:val="00B0F0"/>
      <w:sz w:val="26"/>
      <w:szCs w:val="26"/>
    </w:rPr>
  </w:style>
  <w:style w:type="paragraph" w:customStyle="1" w:styleId="412">
    <w:name w:val="表格2"/>
    <w:basedOn w:val="1"/>
    <w:uiPriority w:val="0"/>
    <w:pPr>
      <w:jc w:val="center"/>
    </w:pPr>
    <w:rPr>
      <w:rFonts w:hAnsi="宋体" w:cs="宋体"/>
    </w:rPr>
  </w:style>
  <w:style w:type="paragraph" w:customStyle="1" w:styleId="413">
    <w:name w:val="_Style 2"/>
    <w:basedOn w:val="1"/>
    <w:qFormat/>
    <w:uiPriority w:val="34"/>
    <w:pPr>
      <w:widowControl w:val="0"/>
      <w:spacing w:after="100" w:afterAutospacing="1" w:line="240" w:lineRule="auto"/>
      <w:ind w:firstLine="420"/>
      <w:jc w:val="left"/>
    </w:pPr>
    <w:rPr>
      <w:rFonts w:ascii="Calibri" w:hAnsi="Calibri"/>
      <w:sz w:val="21"/>
      <w:szCs w:val="22"/>
    </w:rPr>
  </w:style>
  <w:style w:type="paragraph" w:customStyle="1" w:styleId="414">
    <w:name w:val="中文报告书样式"/>
    <w:basedOn w:val="1"/>
    <w:uiPriority w:val="0"/>
    <w:pPr>
      <w:widowControl w:val="0"/>
      <w:spacing w:line="480" w:lineRule="atLeast"/>
      <w:ind w:firstLine="482"/>
    </w:pPr>
  </w:style>
  <w:style w:type="paragraph" w:customStyle="1" w:styleId="415">
    <w:name w:val="Char2"/>
    <w:basedOn w:val="1"/>
    <w:uiPriority w:val="0"/>
    <w:pPr>
      <w:spacing w:line="360" w:lineRule="atLeast"/>
      <w:ind w:firstLine="0"/>
    </w:pPr>
    <w:rPr>
      <w:rFonts w:eastAsia="黑体"/>
      <w:b/>
      <w:sz w:val="28"/>
    </w:rPr>
  </w:style>
  <w:style w:type="paragraph" w:customStyle="1" w:styleId="416">
    <w:name w:val="图名，环保"/>
    <w:basedOn w:val="1"/>
    <w:next w:val="1"/>
    <w:uiPriority w:val="0"/>
    <w:pPr>
      <w:ind w:right="-42" w:firstLine="0"/>
      <w:jc w:val="center"/>
    </w:pPr>
    <w:rPr>
      <w:b/>
      <w:szCs w:val="28"/>
    </w:rPr>
  </w:style>
  <w:style w:type="paragraph" w:customStyle="1" w:styleId="417">
    <w:name w:val="p16"/>
    <w:basedOn w:val="1"/>
    <w:uiPriority w:val="0"/>
    <w:pPr>
      <w:widowControl/>
      <w:ind w:firstLine="420"/>
    </w:pPr>
    <w:rPr>
      <w:szCs w:val="21"/>
    </w:rPr>
  </w:style>
  <w:style w:type="paragraph" w:customStyle="1" w:styleId="418">
    <w:name w:val="表格+小四"/>
    <w:basedOn w:val="1"/>
    <w:next w:val="1"/>
    <w:uiPriority w:val="0"/>
    <w:pPr>
      <w:spacing w:line="320" w:lineRule="exact"/>
      <w:jc w:val="center"/>
    </w:pPr>
    <w:rPr>
      <w:color w:val="000000"/>
      <w:sz w:val="24"/>
      <w:szCs w:val="24"/>
    </w:rPr>
  </w:style>
  <w:style w:type="paragraph" w:customStyle="1" w:styleId="419">
    <w:name w:val=" Char Char Char Char Char Char Char Char Char Char Char Char Char Char Char Char Char Char"/>
    <w:basedOn w:val="1"/>
    <w:qFormat/>
    <w:uiPriority w:val="0"/>
    <w:pPr>
      <w:widowControl w:val="0"/>
      <w:spacing w:line="240" w:lineRule="auto"/>
      <w:ind w:firstLine="0"/>
    </w:pPr>
    <w:rPr>
      <w:szCs w:val="24"/>
    </w:rPr>
  </w:style>
  <w:style w:type="paragraph" w:customStyle="1" w:styleId="420">
    <w:name w:val="报告"/>
    <w:basedOn w:val="1"/>
    <w:uiPriority w:val="0"/>
    <w:pPr>
      <w:widowControl w:val="0"/>
      <w:ind w:firstLine="505"/>
      <w:jc w:val="left"/>
    </w:pPr>
  </w:style>
  <w:style w:type="paragraph" w:customStyle="1" w:styleId="421">
    <w:name w:val="Table Paragraph"/>
    <w:basedOn w:val="1"/>
    <w:qFormat/>
    <w:uiPriority w:val="0"/>
    <w:pPr>
      <w:jc w:val="center"/>
    </w:pPr>
    <w:rPr>
      <w:rFonts w:ascii="Noto Sans CJK JP Regular" w:hAnsi="Noto Sans CJK JP Regular" w:eastAsia="Noto Sans CJK JP Regular" w:cs="Noto Sans CJK JP Regular"/>
    </w:rPr>
  </w:style>
  <w:style w:type="paragraph" w:customStyle="1" w:styleId="422">
    <w:name w:val="p15"/>
    <w:basedOn w:val="1"/>
    <w:uiPriority w:val="0"/>
    <w:pPr>
      <w:widowControl/>
      <w:spacing w:line="520" w:lineRule="atLeast"/>
      <w:ind w:firstLine="561"/>
    </w:pPr>
    <w:rPr>
      <w:szCs w:val="24"/>
    </w:rPr>
  </w:style>
  <w:style w:type="paragraph" w:customStyle="1" w:styleId="423">
    <w:name w:val=" Char2"/>
    <w:basedOn w:val="1"/>
    <w:uiPriority w:val="0"/>
    <w:pPr>
      <w:spacing w:line="360" w:lineRule="atLeast"/>
      <w:ind w:firstLine="0"/>
    </w:pPr>
    <w:rPr>
      <w:rFonts w:eastAsia="黑体"/>
      <w:b/>
      <w:sz w:val="28"/>
    </w:rPr>
  </w:style>
  <w:style w:type="paragraph" w:customStyle="1" w:styleId="424">
    <w:name w:val="New"/>
    <w:basedOn w:val="1"/>
    <w:uiPriority w:val="0"/>
    <w:pPr>
      <w:spacing w:line="520" w:lineRule="exact"/>
      <w:ind w:firstLine="480"/>
    </w:pPr>
    <w:rPr>
      <w:rFonts w:ascii="宋体" w:hAnsi="宋体" w:cs="宋体"/>
    </w:rPr>
  </w:style>
  <w:style w:type="paragraph" w:customStyle="1" w:styleId="425">
    <w:name w:val="默认段落字体 Para Char Char Char Char Char Char Char Char Char Char"/>
    <w:basedOn w:val="188"/>
    <w:uiPriority w:val="0"/>
    <w:pPr>
      <w:keepNext/>
      <w:keepLines/>
      <w:numPr>
        <w:ilvl w:val="2"/>
        <w:numId w:val="0"/>
      </w:numPr>
      <w:tabs>
        <w:tab w:val="left" w:pos="360"/>
        <w:tab w:val="left" w:pos="900"/>
      </w:tabs>
      <w:spacing w:before="120" w:after="120"/>
      <w:ind w:left="542" w:firstLine="200"/>
      <w:jc w:val="left"/>
    </w:pPr>
    <w:rPr>
      <w:rFonts w:eastAsia="宋体"/>
      <w:sz w:val="24"/>
      <w:szCs w:val="20"/>
      <w:lang w:val="en-US" w:eastAsia="zh-CN"/>
    </w:rPr>
  </w:style>
  <w:style w:type="paragraph" w:customStyle="1" w:styleId="426">
    <w:name w:val="表格表头"/>
    <w:basedOn w:val="388"/>
    <w:qFormat/>
    <w:uiPriority w:val="0"/>
    <w:pPr>
      <w:numPr>
        <w:ilvl w:val="0"/>
        <w:numId w:val="1"/>
      </w:numPr>
      <w:spacing w:line="240" w:lineRule="auto"/>
      <w:jc w:val="center"/>
    </w:pPr>
    <w:rPr>
      <w:rFonts w:ascii="黑体" w:hAnsi="宋体" w:eastAsia="黑体"/>
      <w:b/>
      <w:szCs w:val="24"/>
    </w:rPr>
  </w:style>
  <w:style w:type="paragraph" w:customStyle="1" w:styleId="427">
    <w:name w:val="wtext"/>
    <w:basedOn w:val="1"/>
    <w:uiPriority w:val="0"/>
    <w:pPr>
      <w:widowControl/>
      <w:spacing w:before="100" w:beforeAutospacing="1" w:after="100" w:afterAutospacing="1"/>
      <w:ind w:firstLine="480"/>
      <w:jc w:val="left"/>
    </w:pPr>
    <w:rPr>
      <w:rFonts w:ascii="_x000B__x000C_" w:hAnsi="_x000B__x000C_" w:eastAsia="Arial Unicode MS"/>
      <w:color w:val="000000"/>
      <w:sz w:val="22"/>
      <w:szCs w:val="22"/>
      <w:lang w:eastAsia="en-US"/>
    </w:rPr>
  </w:style>
  <w:style w:type="paragraph" w:customStyle="1" w:styleId="428">
    <w:name w:val="样式 标题 3 + 四号 非加粗 段前: 6 磅 段后: 6 磅 行距: 单倍行距"/>
    <w:basedOn w:val="188"/>
    <w:uiPriority w:val="0"/>
    <w:pPr>
      <w:tabs>
        <w:tab w:val="left" w:pos="1260"/>
      </w:tabs>
      <w:spacing w:before="120" w:after="120" w:line="240" w:lineRule="auto"/>
      <w:ind w:left="1260" w:hanging="420"/>
    </w:pPr>
    <w:rPr>
      <w:rFonts w:cs="宋体"/>
      <w:bCs/>
      <w:szCs w:val="20"/>
    </w:rPr>
  </w:style>
  <w:style w:type="paragraph" w:customStyle="1" w:styleId="429">
    <w:name w:val="正文首行缩进 2 + Times New Roman"/>
    <w:basedOn w:val="1"/>
    <w:uiPriority w:val="0"/>
    <w:pPr>
      <w:tabs>
        <w:tab w:val="left" w:pos="0"/>
        <w:tab w:val="left" w:pos="870"/>
        <w:tab w:val="left" w:pos="3150"/>
      </w:tabs>
      <w:jc w:val="center"/>
    </w:pPr>
    <w:rPr>
      <w:rFonts w:ascii="宋体" w:hAnsi="宋体"/>
      <w:sz w:val="24"/>
    </w:rPr>
  </w:style>
  <w:style w:type="paragraph" w:customStyle="1" w:styleId="430">
    <w:name w:val="默认段落字体 Para Char"/>
    <w:basedOn w:val="1"/>
    <w:uiPriority w:val="0"/>
    <w:pPr>
      <w:widowControl w:val="0"/>
      <w:spacing w:line="240" w:lineRule="auto"/>
      <w:ind w:firstLine="0"/>
    </w:pPr>
    <w:rPr>
      <w:sz w:val="21"/>
    </w:rPr>
  </w:style>
  <w:style w:type="paragraph" w:customStyle="1" w:styleId="431">
    <w:name w:val="标ti4"/>
    <w:basedOn w:val="1"/>
    <w:qFormat/>
    <w:uiPriority w:val="0"/>
    <w:pPr>
      <w:suppressLineNumbers/>
      <w:ind w:firstLine="0"/>
      <w:jc w:val="left"/>
      <w:outlineLvl w:val="3"/>
    </w:pPr>
    <w:rPr>
      <w:rFonts w:ascii="Calibri" w:hAnsi="Calibri" w:cs="宋体"/>
      <w:szCs w:val="24"/>
    </w:rPr>
  </w:style>
  <w:style w:type="paragraph" w:customStyle="1" w:styleId="432">
    <w:name w:val="报告表格"/>
    <w:basedOn w:val="1"/>
    <w:uiPriority w:val="0"/>
    <w:pPr>
      <w:widowControl w:val="0"/>
      <w:spacing w:before="40" w:after="40" w:line="240" w:lineRule="auto"/>
      <w:ind w:firstLine="0"/>
      <w:jc w:val="center"/>
    </w:pPr>
    <w:rPr>
      <w:sz w:val="21"/>
    </w:rPr>
  </w:style>
  <w:style w:type="paragraph" w:customStyle="1" w:styleId="433">
    <w:name w:val="王五"/>
    <w:basedOn w:val="1"/>
    <w:uiPriority w:val="0"/>
    <w:pPr>
      <w:spacing w:line="360" w:lineRule="auto"/>
      <w:ind w:firstLine="200"/>
      <w:jc w:val="left"/>
    </w:pPr>
    <w:rPr>
      <w:sz w:val="24"/>
    </w:rPr>
  </w:style>
  <w:style w:type="paragraph" w:customStyle="1" w:styleId="434">
    <w:name w:val="表格+五号"/>
    <w:basedOn w:val="1"/>
    <w:next w:val="1"/>
    <w:uiPriority w:val="0"/>
    <w:pPr>
      <w:spacing w:line="300" w:lineRule="exact"/>
      <w:jc w:val="center"/>
    </w:pPr>
    <w:rPr>
      <w:szCs w:val="21"/>
    </w:rPr>
  </w:style>
  <w:style w:type="paragraph" w:customStyle="1" w:styleId="435">
    <w:name w:val="默认段落字体 Para Char Char Char Char"/>
    <w:basedOn w:val="1"/>
    <w:uiPriority w:val="0"/>
    <w:pPr>
      <w:widowControl w:val="0"/>
      <w:spacing w:line="240" w:lineRule="auto"/>
      <w:ind w:firstLine="0"/>
    </w:pPr>
    <w:rPr>
      <w:sz w:val="21"/>
      <w:szCs w:val="24"/>
    </w:rPr>
  </w:style>
  <w:style w:type="paragraph" w:customStyle="1" w:styleId="436">
    <w:name w:val="标题2（1.1）"/>
    <w:basedOn w:val="187"/>
    <w:uiPriority w:val="0"/>
    <w:pPr>
      <w:numPr>
        <w:ilvl w:val="0"/>
        <w:numId w:val="0"/>
      </w:numPr>
      <w:tabs>
        <w:tab w:val="left" w:pos="0"/>
      </w:tabs>
      <w:spacing w:before="0" w:after="0" w:line="360" w:lineRule="auto"/>
    </w:pPr>
    <w:rPr>
      <w:rFonts w:ascii="Times New Roman" w:hAnsi="Times New Roman" w:cs="宋体"/>
      <w:szCs w:val="20"/>
    </w:rPr>
  </w:style>
  <w:style w:type="paragraph" w:customStyle="1" w:styleId="437">
    <w:name w:val="带点标题"/>
    <w:qFormat/>
    <w:uiPriority w:val="0"/>
    <w:pPr>
      <w:widowControl w:val="0"/>
      <w:spacing w:line="360" w:lineRule="auto"/>
      <w:ind w:firstLine="482"/>
      <w:jc w:val="both"/>
    </w:pPr>
    <w:rPr>
      <w:rFonts w:hint="default" w:ascii="宋体" w:hAnsi="宋体" w:eastAsia="宋体" w:cs="Times New Roman"/>
      <w:bCs/>
      <w:color w:val="000000"/>
      <w:sz w:val="24"/>
      <w:szCs w:val="24"/>
      <w:lang w:val="en-US" w:eastAsia="zh-CN" w:bidi="ar-SA"/>
    </w:rPr>
  </w:style>
  <w:style w:type="paragraph" w:customStyle="1" w:styleId="438">
    <w:name w:val="d"/>
    <w:basedOn w:val="1"/>
    <w:uiPriority w:val="0"/>
    <w:pPr>
      <w:spacing w:before="100" w:beforeAutospacing="1" w:after="100" w:afterAutospacing="1" w:line="300" w:lineRule="atLeast"/>
      <w:ind w:firstLine="0"/>
      <w:jc w:val="left"/>
    </w:pPr>
    <w:rPr>
      <w:rFonts w:ascii="ˎ̥" w:hAnsi="ˎ̥" w:cs="宋体"/>
      <w:color w:val="000000"/>
      <w:sz w:val="21"/>
      <w:szCs w:val="21"/>
    </w:rPr>
  </w:style>
  <w:style w:type="paragraph" w:customStyle="1" w:styleId="439">
    <w:name w:val="标题三"/>
    <w:basedOn w:val="188"/>
    <w:uiPriority w:val="0"/>
    <w:pPr>
      <w:spacing w:before="156" w:after="156" w:line="440" w:lineRule="exact"/>
    </w:pPr>
    <w:rPr>
      <w:rFonts w:ascii="黑体" w:eastAsia="黑体"/>
      <w:sz w:val="24"/>
      <w:szCs w:val="20"/>
    </w:rPr>
  </w:style>
  <w:style w:type="paragraph" w:customStyle="1" w:styleId="440">
    <w:name w:val="样式 Bt3 + 加粗1"/>
    <w:basedOn w:val="1"/>
    <w:uiPriority w:val="0"/>
    <w:pPr>
      <w:keepNext/>
      <w:keepLines/>
      <w:ind w:firstLine="0"/>
      <w:jc w:val="left"/>
      <w:outlineLvl w:val="2"/>
    </w:pPr>
    <w:rPr>
      <w:rFonts w:eastAsia="黑体"/>
    </w:rPr>
  </w:style>
  <w:style w:type="paragraph" w:customStyle="1" w:styleId="441">
    <w:name w:val="表格内容"/>
    <w:basedOn w:val="1"/>
    <w:qFormat/>
    <w:uiPriority w:val="0"/>
    <w:pPr>
      <w:spacing w:line="240" w:lineRule="auto"/>
      <w:jc w:val="center"/>
    </w:pPr>
    <w:rPr>
      <w:bCs/>
      <w:sz w:val="21"/>
      <w:szCs w:val="21"/>
    </w:rPr>
  </w:style>
  <w:style w:type="paragraph" w:customStyle="1" w:styleId="442">
    <w:name w:val="正文缩近"/>
    <w:basedOn w:val="1"/>
    <w:uiPriority w:val="0"/>
    <w:pPr>
      <w:widowControl w:val="0"/>
      <w:ind w:firstLine="560"/>
    </w:pPr>
    <w:rPr>
      <w:sz w:val="28"/>
      <w:szCs w:val="28"/>
    </w:rPr>
  </w:style>
  <w:style w:type="paragraph" w:customStyle="1" w:styleId="443">
    <w:name w:val="样式2"/>
    <w:basedOn w:val="234"/>
    <w:uiPriority w:val="0"/>
    <w:pPr>
      <w:spacing w:line="240" w:lineRule="auto"/>
      <w:ind w:firstLine="0"/>
    </w:pPr>
  </w:style>
  <w:style w:type="paragraph" w:customStyle="1" w:styleId="444">
    <w:name w:val=" Char2 Char Char Char Char Char Char Char Char Char Char Char Char"/>
    <w:basedOn w:val="1"/>
    <w:uiPriority w:val="0"/>
    <w:pPr>
      <w:spacing w:line="560" w:lineRule="exact"/>
    </w:pPr>
    <w:rPr>
      <w:rFonts w:ascii="宋体" w:hAnsi="宋体" w:cs="宋体"/>
      <w:sz w:val="28"/>
      <w:szCs w:val="28"/>
    </w:rPr>
  </w:style>
  <w:style w:type="paragraph" w:customStyle="1" w:styleId="445">
    <w:name w:val="报告正文"/>
    <w:basedOn w:val="1"/>
    <w:qFormat/>
    <w:uiPriority w:val="0"/>
    <w:pPr>
      <w:spacing w:line="360" w:lineRule="auto"/>
      <w:ind w:firstLine="480"/>
    </w:pPr>
    <w:rPr>
      <w:rFonts w:ascii="宋体" w:hAnsi="宋体"/>
      <w:color w:val="0000FF"/>
      <w:sz w:val="24"/>
      <w:lang w:val="zh-CN"/>
    </w:rPr>
  </w:style>
  <w:style w:type="paragraph" w:customStyle="1" w:styleId="446">
    <w:name w:val="table1"/>
    <w:uiPriority w:val="0"/>
    <w:pPr>
      <w:widowControl w:val="0"/>
      <w:spacing w:line="240" w:lineRule="atLeast"/>
      <w:jc w:val="center"/>
    </w:pPr>
    <w:rPr>
      <w:rFonts w:hint="default" w:ascii="Times New Roman" w:hAnsi="Times New Roman" w:eastAsia="黑体" w:cs="Times New Roman"/>
      <w:sz w:val="24"/>
      <w:szCs w:val="24"/>
      <w:lang w:val="en-US" w:eastAsia="zh-CN" w:bidi="ar-SA"/>
    </w:rPr>
  </w:style>
  <w:style w:type="paragraph" w:customStyle="1" w:styleId="447">
    <w:name w:val=" Char"/>
    <w:basedOn w:val="1"/>
    <w:uiPriority w:val="0"/>
    <w:pPr>
      <w:widowControl w:val="0"/>
      <w:spacing w:line="240" w:lineRule="auto"/>
      <w:ind w:firstLine="0"/>
    </w:pPr>
    <w:rPr>
      <w:sz w:val="28"/>
    </w:rPr>
  </w:style>
  <w:style w:type="paragraph" w:customStyle="1" w:styleId="448">
    <w:name w:val="样式 宋体 黑色 左侧:  1 字符 首行缩进:  2 字符 右侧:  1 字符 行距: 1.5 倍行距"/>
    <w:basedOn w:val="1"/>
    <w:qFormat/>
    <w:uiPriority w:val="0"/>
    <w:pPr>
      <w:spacing w:line="360" w:lineRule="auto"/>
      <w:ind w:left="280" w:right="280" w:firstLine="560"/>
    </w:pPr>
    <w:rPr>
      <w:rFonts w:ascii="宋体" w:hAnsi="宋体" w:cs="宋体"/>
      <w:color w:val="000000"/>
      <w:sz w:val="24"/>
    </w:rPr>
  </w:style>
  <w:style w:type="paragraph" w:customStyle="1" w:styleId="449">
    <w:name w:val="正文1"/>
    <w:basedOn w:val="1"/>
    <w:uiPriority w:val="0"/>
    <w:pPr>
      <w:ind w:firstLine="480"/>
    </w:pPr>
    <w:rPr>
      <w:color w:val="000000"/>
      <w:lang w:bidi="he-IL"/>
    </w:rPr>
  </w:style>
  <w:style w:type="paragraph" w:customStyle="1" w:styleId="450">
    <w:name w:val="brdrw15brsp20 tqctx4153t"/>
    <w:uiPriority w:val="0"/>
    <w:pPr>
      <w:widowControl w:val="0"/>
      <w:pBdr>
        <w:bottom w:val="single" w:color="000000" w:sz="6" w:space="0"/>
      </w:pBdr>
      <w:spacing w:line="312" w:lineRule="atLeast"/>
      <w:jc w:val="center"/>
    </w:pPr>
    <w:rPr>
      <w:rFonts w:hint="default" w:ascii="Times New Roman" w:hAnsi="Times New Roman" w:eastAsia="宋体" w:cs="Times New Roman"/>
      <w:sz w:val="21"/>
      <w:lang w:val="en-US" w:eastAsia="zh-CN" w:bidi="ar-SA"/>
    </w:rPr>
  </w:style>
  <w:style w:type="paragraph" w:customStyle="1" w:styleId="451">
    <w:name w:val="表图"/>
    <w:basedOn w:val="1"/>
    <w:qFormat/>
    <w:uiPriority w:val="0"/>
    <w:pPr>
      <w:spacing w:line="320" w:lineRule="atLeast"/>
      <w:ind w:firstLine="0"/>
      <w:jc w:val="center"/>
    </w:pPr>
    <w:rPr>
      <w:sz w:val="21"/>
      <w:szCs w:val="24"/>
      <w:lang w:val="en-GB" w:eastAsia="zh-TW"/>
    </w:rPr>
  </w:style>
  <w:style w:type="paragraph" w:customStyle="1" w:styleId="452">
    <w:name w:val="方案正文样式"/>
    <w:basedOn w:val="1"/>
    <w:qFormat/>
    <w:uiPriority w:val="0"/>
    <w:pPr>
      <w:spacing w:line="360" w:lineRule="auto"/>
      <w:ind w:firstLine="454"/>
    </w:pPr>
    <w:rPr>
      <w:sz w:val="24"/>
    </w:rPr>
  </w:style>
  <w:style w:type="paragraph" w:customStyle="1" w:styleId="453">
    <w:name w:val="Char2 Char Char Char Char Char Char Char Char Char Char Char Char"/>
    <w:basedOn w:val="1"/>
    <w:uiPriority w:val="0"/>
    <w:pPr>
      <w:spacing w:line="560" w:lineRule="exact"/>
    </w:pPr>
    <w:rPr>
      <w:rFonts w:ascii="宋体" w:hAnsi="宋体" w:cs="宋体"/>
      <w:sz w:val="28"/>
      <w:szCs w:val="28"/>
    </w:rPr>
  </w:style>
  <w:style w:type="paragraph" w:customStyle="1" w:styleId="454">
    <w:name w:val="Default"/>
    <w:qFormat/>
    <w:uiPriority w:val="0"/>
    <w:pPr>
      <w:widowControl w:val="0"/>
      <w:spacing w:line="360" w:lineRule="auto"/>
      <w:ind w:firstLine="200"/>
    </w:pPr>
    <w:rPr>
      <w:rFonts w:hint="default" w:ascii="仿宋" w:hAnsi="Times New Roman" w:eastAsia="仿宋" w:cs="仿宋"/>
      <w:color w:val="000000"/>
      <w:sz w:val="24"/>
      <w:szCs w:val="24"/>
      <w:lang w:val="en-US" w:eastAsia="zh-CN" w:bidi="ar-SA"/>
    </w:rPr>
  </w:style>
  <w:style w:type="paragraph" w:customStyle="1" w:styleId="455">
    <w:name w:val="0"/>
    <w:basedOn w:val="1"/>
    <w:uiPriority w:val="0"/>
    <w:pPr>
      <w:widowControl/>
    </w:pPr>
    <w:rPr>
      <w:szCs w:val="21"/>
    </w:rPr>
  </w:style>
  <w:style w:type="paragraph" w:customStyle="1" w:styleId="456">
    <w:name w:val="样式 标题 3 + 四号 非加粗 段前: 6 磅 段后: 6 磅 行距: 固定值 26 磅"/>
    <w:basedOn w:val="188"/>
    <w:uiPriority w:val="0"/>
    <w:pPr>
      <w:tabs>
        <w:tab w:val="left" w:pos="1260"/>
      </w:tabs>
      <w:spacing w:before="120" w:after="120" w:line="520" w:lineRule="exact"/>
      <w:ind w:left="1260" w:hanging="420"/>
    </w:pPr>
    <w:rPr>
      <w:rFonts w:cs="宋体"/>
      <w:bCs/>
      <w:szCs w:val="20"/>
    </w:rPr>
  </w:style>
  <w:style w:type="paragraph" w:customStyle="1" w:styleId="457">
    <w:name w:val="样式 报告表正文 + 首行缩进:  2 字符 行距: 1.5 倍行距"/>
    <w:basedOn w:val="1"/>
    <w:uiPriority w:val="0"/>
    <w:pPr>
      <w:widowControl w:val="0"/>
      <w:ind w:left="113" w:right="113" w:firstLine="480"/>
    </w:pPr>
  </w:style>
  <w:style w:type="paragraph" w:customStyle="1" w:styleId="458">
    <w:name w:val="流程图"/>
    <w:basedOn w:val="1"/>
    <w:uiPriority w:val="0"/>
    <w:pPr>
      <w:tabs>
        <w:tab w:val="left" w:pos="0"/>
      </w:tabs>
      <w:spacing w:line="240" w:lineRule="atLeast"/>
      <w:jc w:val="center"/>
    </w:pPr>
    <w:rPr>
      <w:rFonts w:ascii="宋体"/>
    </w:rPr>
  </w:style>
  <w:style w:type="paragraph" w:customStyle="1" w:styleId="459">
    <w:name w:val="样式 行距: 1.5 倍行距"/>
    <w:basedOn w:val="1"/>
    <w:uiPriority w:val="0"/>
    <w:pPr>
      <w:spacing w:line="540" w:lineRule="exact"/>
      <w:ind w:firstLine="480"/>
    </w:pPr>
    <w:rPr>
      <w:rFonts w:cs="宋体"/>
      <w:iCs/>
      <w:szCs w:val="24"/>
    </w:rPr>
  </w:style>
  <w:style w:type="paragraph" w:customStyle="1" w:styleId="460">
    <w:name w:val="表格式"/>
    <w:basedOn w:val="240"/>
    <w:qFormat/>
    <w:uiPriority w:val="0"/>
    <w:pPr>
      <w:spacing w:line="360" w:lineRule="auto"/>
      <w:jc w:val="center"/>
    </w:pPr>
    <w:rPr>
      <w:sz w:val="21"/>
      <w:szCs w:val="21"/>
    </w:rPr>
  </w:style>
  <w:style w:type="paragraph" w:customStyle="1" w:styleId="461">
    <w:name w:val="样式 样式 标题 3 + 宋体 四号 非加粗 段前: 6 磅 段后: 6 磅 行距: 固定值 26 磅 + Times New ..."/>
    <w:basedOn w:val="1"/>
    <w:uiPriority w:val="0"/>
    <w:pPr>
      <w:keepNext/>
      <w:keepLines/>
      <w:numPr>
        <w:ilvl w:val="2"/>
        <w:numId w:val="2"/>
      </w:numPr>
      <w:spacing w:before="120" w:after="120" w:line="520" w:lineRule="exact"/>
      <w:outlineLvl w:val="2"/>
    </w:pPr>
    <w:rPr>
      <w:rFonts w:cs="宋体"/>
      <w:b/>
      <w:sz w:val="28"/>
    </w:rPr>
  </w:style>
  <w:style w:type="paragraph" w:customStyle="1" w:styleId="462">
    <w:name w:val="p17"/>
    <w:basedOn w:val="1"/>
    <w:uiPriority w:val="0"/>
    <w:pPr>
      <w:widowControl/>
      <w:spacing w:before="100" w:after="100"/>
      <w:jc w:val="left"/>
    </w:pPr>
    <w:rPr>
      <w:rFonts w:ascii="宋体" w:hAnsi="宋体" w:cs="宋体"/>
      <w:szCs w:val="24"/>
    </w:rPr>
  </w:style>
  <w:style w:type="paragraph" w:customStyle="1" w:styleId="463">
    <w:name w:val="报告书"/>
    <w:basedOn w:val="1"/>
    <w:uiPriority w:val="0"/>
    <w:pPr>
      <w:spacing w:line="300" w:lineRule="auto"/>
      <w:ind w:firstLine="480"/>
    </w:pPr>
    <w:rPr>
      <w:rFonts w:eastAsia="宋体"/>
      <w:sz w:val="24"/>
      <w:szCs w:val="24"/>
      <w:lang w:val="en-US" w:eastAsia="zh-CN" w:bidi="ar-SA"/>
    </w:rPr>
  </w:style>
  <w:style w:type="paragraph" w:customStyle="1" w:styleId="464">
    <w:name w:val="zxzx表标题"/>
    <w:basedOn w:val="380"/>
    <w:qFormat/>
    <w:uiPriority w:val="0"/>
    <w:pPr>
      <w:spacing w:line="240" w:lineRule="auto"/>
      <w:ind w:firstLine="0"/>
      <w:jc w:val="center"/>
      <w:outlineLvl w:val="8"/>
    </w:pPr>
    <w:rPr>
      <w:b/>
      <w:sz w:val="21"/>
    </w:rPr>
  </w:style>
  <w:style w:type="paragraph" w:customStyle="1" w:styleId="465">
    <w:name w:val="正文2"/>
    <w:basedOn w:val="1"/>
    <w:uiPriority w:val="0"/>
    <w:pPr>
      <w:spacing w:line="440" w:lineRule="exact"/>
      <w:ind w:firstLine="539"/>
    </w:pPr>
    <w:rPr>
      <w:rFonts w:hint="eastAsia" w:ascii="黑体"/>
    </w:rPr>
  </w:style>
  <w:style w:type="paragraph" w:customStyle="1" w:styleId="466">
    <w:name w:val="LH样式"/>
    <w:basedOn w:val="1"/>
    <w:qFormat/>
    <w:uiPriority w:val="0"/>
    <w:pPr>
      <w:spacing w:line="480" w:lineRule="exact"/>
      <w:ind w:firstLine="520"/>
    </w:pPr>
    <w:rPr>
      <w:color w:val="00B0F0"/>
      <w:sz w:val="26"/>
      <w:szCs w:val="26"/>
    </w:rPr>
  </w:style>
  <w:style w:type="paragraph" w:customStyle="1" w:styleId="467">
    <w:name w:val="正常段落"/>
    <w:basedOn w:val="210"/>
    <w:uiPriority w:val="0"/>
  </w:style>
  <w:style w:type="paragraph" w:customStyle="1" w:styleId="468">
    <w:name w:val="标题 1级"/>
    <w:basedOn w:val="1"/>
    <w:uiPriority w:val="0"/>
    <w:pPr>
      <w:spacing w:line="240" w:lineRule="auto"/>
      <w:ind w:firstLine="0"/>
      <w:jc w:val="center"/>
      <w:outlineLvl w:val="0"/>
    </w:pPr>
    <w:rPr>
      <w:rFonts w:eastAsia="黑体"/>
      <w:sz w:val="44"/>
    </w:rPr>
  </w:style>
  <w:style w:type="paragraph" w:customStyle="1" w:styleId="469">
    <w:name w:val="正文01"/>
    <w:basedOn w:val="1"/>
    <w:uiPriority w:val="0"/>
    <w:pPr>
      <w:widowControl w:val="0"/>
      <w:spacing w:before="60" w:line="460" w:lineRule="exact"/>
    </w:pPr>
    <w:rPr>
      <w:rFonts w:ascii="Arial" w:hAnsi="Arial"/>
      <w:szCs w:val="24"/>
    </w:rPr>
  </w:style>
  <w:style w:type="paragraph" w:customStyle="1" w:styleId="470">
    <w:name w:val="正文001"/>
    <w:basedOn w:val="1"/>
    <w:uiPriority w:val="0"/>
    <w:pPr>
      <w:widowControl w:val="0"/>
      <w:spacing w:before="60" w:line="460" w:lineRule="exact"/>
      <w:ind w:firstLine="482"/>
    </w:pPr>
    <w:rPr>
      <w:rFonts w:ascii="Arial" w:hAnsi="Arial"/>
    </w:rPr>
  </w:style>
  <w:style w:type="paragraph" w:customStyle="1" w:styleId="471">
    <w:name w:val="通用正文"/>
    <w:basedOn w:val="210"/>
    <w:qFormat/>
    <w:uiPriority w:val="0"/>
    <w:pPr>
      <w:widowControl w:val="0"/>
      <w:spacing w:before="20" w:after="60" w:line="440" w:lineRule="exact"/>
      <w:ind w:firstLine="425"/>
    </w:pPr>
    <w:rPr>
      <w:rFonts w:ascii="宋体"/>
      <w:b/>
      <w:bCs/>
      <w:sz w:val="24"/>
      <w:szCs w:val="20"/>
    </w:rPr>
  </w:style>
  <w:style w:type="paragraph" w:customStyle="1" w:styleId="472">
    <w:name w:val="TOC 标题"/>
    <w:basedOn w:val="186"/>
    <w:next w:val="1"/>
    <w:qFormat/>
    <w:uiPriority w:val="39"/>
    <w:pPr>
      <w:spacing w:before="340" w:after="330" w:line="578" w:lineRule="auto"/>
      <w:jc w:val="both"/>
      <w:outlineLvl w:val="9"/>
    </w:pPr>
  </w:style>
  <w:style w:type="paragraph" w:customStyle="1" w:styleId="473">
    <w:name w:val="列出段落"/>
    <w:basedOn w:val="1"/>
    <w:qFormat/>
    <w:uiPriority w:val="34"/>
    <w:pPr>
      <w:ind w:firstLine="420"/>
    </w:pPr>
  </w:style>
  <w:style w:type="paragraph" w:customStyle="1" w:styleId="474">
    <w:name w:val="普通内容"/>
    <w:basedOn w:val="1"/>
    <w:uiPriority w:val="0"/>
    <w:pPr>
      <w:tabs>
        <w:tab w:val="left" w:pos="600"/>
      </w:tabs>
      <w:spacing w:line="360" w:lineRule="auto"/>
      <w:ind w:left="4200" w:firstLine="482"/>
    </w:pPr>
    <w:rPr>
      <w:rFonts w:eastAsia="Times New Roman"/>
      <w:sz w:val="24"/>
    </w:rPr>
  </w:style>
  <w:style w:type="paragraph" w:customStyle="1" w:styleId="475">
    <w:name w:val="zxzx表格正文"/>
    <w:basedOn w:val="464"/>
    <w:qFormat/>
    <w:uiPriority w:val="0"/>
    <w:pPr>
      <w:outlineLvl w:val="9"/>
    </w:pPr>
    <w:rPr>
      <w:rFonts w:cs="Calibri"/>
      <w:b w:val="0"/>
      <w:sz w:val="18"/>
      <w:szCs w:val="21"/>
    </w:rPr>
  </w:style>
  <w:style w:type="paragraph" w:customStyle="1" w:styleId="476">
    <w:name w:val="法条正文"/>
    <w:basedOn w:val="1"/>
    <w:uiPriority w:val="0"/>
    <w:pPr>
      <w:widowControl w:val="0"/>
      <w:spacing w:line="240" w:lineRule="auto"/>
      <w:ind w:firstLine="420"/>
    </w:pPr>
    <w:rPr>
      <w:sz w:val="21"/>
      <w:szCs w:val="24"/>
    </w:rPr>
  </w:style>
  <w:style w:type="paragraph" w:customStyle="1" w:styleId="477">
    <w:name w:val="魏秀珍  表标题"/>
    <w:basedOn w:val="1"/>
    <w:qFormat/>
    <w:uiPriority w:val="0"/>
    <w:pPr>
      <w:spacing w:before="240"/>
      <w:jc w:val="center"/>
    </w:pPr>
    <w:rPr>
      <w:rFonts w:cs="宋体"/>
      <w:b/>
      <w:bCs/>
      <w:color w:val="0000FF"/>
      <w:sz w:val="24"/>
      <w:szCs w:val="20"/>
    </w:rPr>
  </w:style>
  <w:style w:type="paragraph" w:customStyle="1" w:styleId="478">
    <w:name w:val="1"/>
    <w:basedOn w:val="1"/>
    <w:next w:val="221"/>
    <w:uiPriority w:val="0"/>
    <w:pPr>
      <w:widowControl w:val="0"/>
      <w:ind w:firstLine="480"/>
    </w:pPr>
    <w:rPr>
      <w:rFonts w:ascii="宋体"/>
      <w:bCs/>
      <w:szCs w:val="24"/>
    </w:rPr>
  </w:style>
  <w:style w:type="paragraph" w:customStyle="1" w:styleId="479">
    <w:name w:val="xyb自建正文"/>
    <w:basedOn w:val="1"/>
    <w:uiPriority w:val="0"/>
    <w:pPr>
      <w:ind w:firstLine="480"/>
    </w:pPr>
    <w:rPr>
      <w:color w:val="0000FF"/>
    </w:rPr>
  </w:style>
  <w:style w:type="paragraph" w:customStyle="1" w:styleId="480">
    <w:name w:val="引言"/>
    <w:basedOn w:val="1"/>
    <w:next w:val="1"/>
    <w:uiPriority w:val="0"/>
    <w:pPr>
      <w:widowControl w:val="0"/>
      <w:spacing w:line="480" w:lineRule="auto"/>
      <w:ind w:firstLine="0"/>
      <w:jc w:val="center"/>
    </w:pPr>
    <w:rPr>
      <w:rFonts w:ascii="宋体" w:hAnsi="宋体"/>
      <w:bCs/>
      <w:color w:val="000000"/>
      <w:sz w:val="21"/>
    </w:rPr>
  </w:style>
  <w:style w:type="paragraph" w:customStyle="1" w:styleId="481">
    <w:name w:val="Table caption"/>
    <w:basedOn w:val="1"/>
    <w:unhideWhenUsed/>
    <w:uiPriority w:val="99"/>
    <w:pPr>
      <w:widowControl w:val="0"/>
      <w:shd w:val="clear" w:color="auto" w:fill="FFFFFF"/>
      <w:spacing w:line="240" w:lineRule="atLeast"/>
      <w:ind w:firstLine="0"/>
    </w:pPr>
    <w:rPr>
      <w:rFonts w:hint="eastAsia" w:ascii="MingLiU" w:hAnsi="MingLiU" w:eastAsia="MingLiU"/>
      <w:b/>
      <w:spacing w:val="9"/>
      <w:sz w:val="19"/>
      <w:szCs w:val="24"/>
    </w:rPr>
  </w:style>
  <w:style w:type="paragraph" w:customStyle="1" w:styleId="482">
    <w:name w:val=" Char4"/>
    <w:basedOn w:val="1"/>
    <w:uiPriority w:val="0"/>
    <w:pPr>
      <w:widowControl w:val="0"/>
    </w:pPr>
    <w:rPr>
      <w:rFonts w:ascii="宋体" w:hAnsi="宋体" w:cs="宋体"/>
      <w:szCs w:val="24"/>
    </w:rPr>
  </w:style>
  <w:style w:type="paragraph" w:customStyle="1" w:styleId="483">
    <w:name w:val="无间隔1"/>
    <w:basedOn w:val="1"/>
    <w:qFormat/>
    <w:uiPriority w:val="0"/>
    <w:pPr>
      <w:widowControl w:val="0"/>
      <w:ind w:firstLine="0"/>
      <w:jc w:val="center"/>
    </w:pPr>
    <w:rPr>
      <w:szCs w:val="24"/>
    </w:rPr>
  </w:style>
  <w:style w:type="paragraph" w:customStyle="1" w:styleId="484">
    <w:name w:val="昆明中海正文"/>
    <w:basedOn w:val="1"/>
    <w:uiPriority w:val="0"/>
    <w:pPr>
      <w:spacing w:line="360" w:lineRule="auto"/>
      <w:ind w:firstLine="567"/>
    </w:pPr>
    <w:rPr>
      <w:rFonts w:ascii="宋体" w:hAnsi="宋体" w:cs="宋体"/>
      <w:bCs/>
      <w:spacing w:val="12"/>
      <w:sz w:val="24"/>
    </w:rPr>
  </w:style>
  <w:style w:type="paragraph" w:customStyle="1" w:styleId="485">
    <w:name w:val="简单回函地址"/>
    <w:basedOn w:val="1"/>
    <w:uiPriority w:val="0"/>
  </w:style>
  <w:style w:type="paragraph" w:customStyle="1" w:styleId="486">
    <w:name w:val="listp"/>
    <w:basedOn w:val="1"/>
    <w:uiPriority w:val="0"/>
    <w:pPr>
      <w:spacing w:before="245" w:after="82" w:line="240" w:lineRule="auto"/>
      <w:ind w:left="245" w:right="82" w:firstLine="0"/>
      <w:jc w:val="left"/>
    </w:pPr>
    <w:rPr>
      <w:rFonts w:ascii="宋体" w:hAnsi="宋体" w:cs="宋体"/>
      <w:szCs w:val="24"/>
    </w:rPr>
  </w:style>
  <w:style w:type="table" w:customStyle="1" w:styleId="487">
    <w:name w:val="标准表格"/>
    <w:basedOn w:val="196"/>
    <w:qFormat/>
    <w:uiPriority w:val="99"/>
    <w:pPr>
      <w:spacing w:before="74"/>
      <w:jc w:val="center"/>
    </w:pPr>
    <w:rPr>
      <w:sz w:val="18"/>
    </w:r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488">
    <w:name w:val="表格样式1"/>
    <w:basedOn w:val="196"/>
    <w:uiPriority w:val="0"/>
    <w:pPr>
      <w:jc w:val="center"/>
    </w:p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489">
    <w:name w:val="网格型1"/>
    <w:basedOn w:val="196"/>
    <w:qFormat/>
    <w:uiPriority w:val="39"/>
    <w:rPr>
      <w:rFonts w:ascii="Calibri" w:hAnsi="Calibri"/>
      <w:sz w:val="21"/>
      <w:szCs w:val="22"/>
    </w:r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39.png"/><Relationship Id="rId70" Type="http://schemas.openxmlformats.org/officeDocument/2006/relationships/image" Target="media/image38.png"/><Relationship Id="rId7" Type="http://schemas.openxmlformats.org/officeDocument/2006/relationships/header" Target="header3.xml"/><Relationship Id="rId69" Type="http://schemas.openxmlformats.org/officeDocument/2006/relationships/image" Target="media/image37.jpeg"/><Relationship Id="rId68" Type="http://schemas.openxmlformats.org/officeDocument/2006/relationships/image" Target="media/image36.png"/><Relationship Id="rId67" Type="http://schemas.openxmlformats.org/officeDocument/2006/relationships/image" Target="media/image35.png"/><Relationship Id="rId66" Type="http://schemas.openxmlformats.org/officeDocument/2006/relationships/image" Target="media/image34.png"/><Relationship Id="rId65" Type="http://schemas.openxmlformats.org/officeDocument/2006/relationships/image" Target="media/image33.png"/><Relationship Id="rId64" Type="http://schemas.openxmlformats.org/officeDocument/2006/relationships/image" Target="media/image32.png"/><Relationship Id="rId63" Type="http://schemas.openxmlformats.org/officeDocument/2006/relationships/image" Target="media/image31.png"/><Relationship Id="rId62" Type="http://schemas.openxmlformats.org/officeDocument/2006/relationships/image" Target="media/image30.png"/><Relationship Id="rId61" Type="http://schemas.openxmlformats.org/officeDocument/2006/relationships/image" Target="media/image29.png"/><Relationship Id="rId60" Type="http://schemas.openxmlformats.org/officeDocument/2006/relationships/image" Target="media/image28.png"/><Relationship Id="rId6" Type="http://schemas.openxmlformats.org/officeDocument/2006/relationships/header" Target="header2.xml"/><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wmf"/><Relationship Id="rId50" Type="http://schemas.openxmlformats.org/officeDocument/2006/relationships/image" Target="media/image18.png"/><Relationship Id="rId5" Type="http://schemas.openxmlformats.org/officeDocument/2006/relationships/header" Target="header1.xml"/><Relationship Id="rId49" Type="http://schemas.openxmlformats.org/officeDocument/2006/relationships/image" Target="media/image17.png"/><Relationship Id="rId48" Type="http://schemas.openxmlformats.org/officeDocument/2006/relationships/image" Target="media/image16.emf"/><Relationship Id="rId47" Type="http://schemas.openxmlformats.org/officeDocument/2006/relationships/oleObject" Target="embeddings/oleObject8.bin"/><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emf"/><Relationship Id="rId43" Type="http://schemas.openxmlformats.org/officeDocument/2006/relationships/oleObject" Target="embeddings/oleObject7.bin"/><Relationship Id="rId42" Type="http://schemas.openxmlformats.org/officeDocument/2006/relationships/image" Target="media/image12.emf"/><Relationship Id="rId41" Type="http://schemas.openxmlformats.org/officeDocument/2006/relationships/oleObject" Target="embeddings/oleObject6.bin"/><Relationship Id="rId40" Type="http://schemas.openxmlformats.org/officeDocument/2006/relationships/image" Target="media/image11.png"/><Relationship Id="rId4" Type="http://schemas.openxmlformats.org/officeDocument/2006/relationships/endnotes" Target="endnotes.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emf"/><Relationship Id="rId36" Type="http://schemas.openxmlformats.org/officeDocument/2006/relationships/oleObject" Target="embeddings/oleObject5.bin"/><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emf"/><Relationship Id="rId31" Type="http://schemas.openxmlformats.org/officeDocument/2006/relationships/oleObject" Target="embeddings/oleObject4.bin"/><Relationship Id="rId30" Type="http://schemas.openxmlformats.org/officeDocument/2006/relationships/image" Target="media/image3.e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Template>
  <Company>微软</Company>
  <Pages>267</Pages>
  <Words>11096</Words>
  <Characters>12987</Characters>
  <TotalTime>3</TotalTime>
  <ScaleCrop>false</ScaleCrop>
  <LinksUpToDate>false</LinksUpToDate>
  <CharactersWithSpaces>13324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2015-05-05T05:40:00Z</dcterms:created>
  <dc:creator>微软</dc:creator>
  <cp:lastModifiedBy>刘变香</cp:lastModifiedBy>
  <dcterms:modified xsi:type="dcterms:W3CDTF">2025-04-15T09:20:38Z</dcterms:modified>
  <dc:title>1 总</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9C5933B90C6546BEAD3F5973B971A373_12</vt:lpwstr>
  </property>
  <property fmtid="{D5CDD505-2E9C-101B-9397-08002B2CF9AE}" pid="4" name="KSOTemplateDocerSaveRecord">
    <vt:lpwstr>eyJoZGlkIjoiNGU5YTk2NWU3OTRhNTU0YjZlNWE0ODExMjY4YzM0MTgifQ==</vt:lpwstr>
  </property>
</Properties>
</file>